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70EB51F-AE3C-4940-B545-A77DF4C41D66" style="width:450.8pt;height:397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PRÍLOHA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V prílohe I k nariadeniu (ES) č. 715/2007 sa vkladá táto tabuľka 2a:</w:t>
      </w:r>
    </w:p>
    <w:p>
      <w:pPr>
        <w:jc w:val="center"/>
        <w:rPr>
          <w:i/>
          <w:noProof/>
        </w:rPr>
      </w:pPr>
      <w:r>
        <w:rPr>
          <w:i/>
          <w:noProof/>
        </w:rPr>
        <w:t xml:space="preserve"> </w:t>
      </w:r>
      <w:r>
        <w:rPr>
          <w:noProof/>
        </w:rPr>
        <w:t>„</w:t>
      </w:r>
      <w:r>
        <w:rPr>
          <w:i/>
          <w:noProof/>
        </w:rPr>
        <w:t>Tabuľka 2a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Faktory zhody týkajúce sa emisií pri skutočnej jazde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275"/>
        <w:gridCol w:w="1276"/>
        <w:gridCol w:w="1388"/>
        <w:gridCol w:w="1978"/>
      </w:tblGrid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Oxidy dusíka (NO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Počet častíc (PN)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Oxid uhoľnatý (CO)</w:t>
            </w:r>
            <w:r>
              <w:rPr>
                <w:noProof/>
                <w:vertAlign w:val="superscript"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  <w:vertAlign w:val="superscript"/>
              </w:rPr>
              <w:t>)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Celkové uhľovodíky (THC)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Kombinované uhľovodíky a oxidy dusíka (THC + 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</w:tr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i/>
                <w:noProof/>
              </w:rPr>
              <w:t>CF</w:t>
            </w:r>
            <w:r>
              <w:rPr>
                <w:i/>
                <w:noProof/>
                <w:vertAlign w:val="subscript"/>
              </w:rPr>
              <w:t>pollutant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 xml:space="preserve">final </w:t>
            </w:r>
            <w:r>
              <w:rPr>
                <w:i/>
                <w:noProof/>
                <w:vertAlign w:val="superscript"/>
              </w:rPr>
              <w:t>2)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i/>
                <w:iCs/>
                <w:noProof/>
              </w:rPr>
            </w:pPr>
            <w:r>
              <w:rPr>
                <w:i/>
                <w:noProof/>
              </w:rPr>
              <w:t xml:space="preserve">CF </w:t>
            </w:r>
            <w:r>
              <w:rPr>
                <w:i/>
                <w:noProof/>
                <w:vertAlign w:val="subscript"/>
              </w:rPr>
              <w:t>pollutant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>temp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  <w:vertAlign w:val="superscript"/>
              </w:rPr>
              <w:t>3)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  <w:vertAlign w:val="superscript"/>
        </w:rPr>
        <w:t>1)</w:t>
      </w:r>
      <w:r>
        <w:rPr>
          <w:noProof/>
        </w:rPr>
        <w:t xml:space="preserve"> Emisie CO sa merajú a zaznamenávajú v rámci všetkých skúšok emisií pri skutočnej jazde.</w:t>
      </w:r>
    </w:p>
    <w:p>
      <w:pPr>
        <w:rPr>
          <w:noProof/>
        </w:rPr>
      </w:pPr>
      <w:r>
        <w:rPr>
          <w:noProof/>
          <w:vertAlign w:val="superscript"/>
        </w:rPr>
        <w:t xml:space="preserve">2) </w:t>
      </w:r>
      <w:r>
        <w:rPr>
          <w:i/>
          <w:noProof/>
        </w:rPr>
        <w:t>CF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final</w:t>
      </w:r>
      <w:r>
        <w:rPr>
          <w:noProof/>
        </w:rPr>
        <w:t xml:space="preserve"> je faktor zhody, ktorý sa používa na stanovenie súladu s emisnými limitmi Euro 6, pri ktorom sa zohľadňujú technické neistoty spojené s používaním prenosných systémov na meranie emisií (PEMS).</w:t>
      </w:r>
    </w:p>
    <w:p>
      <w:pPr>
        <w:rPr>
          <w:noProof/>
        </w:rPr>
      </w:pPr>
      <w:r>
        <w:rPr>
          <w:noProof/>
          <w:vertAlign w:val="superscript"/>
        </w:rPr>
        <w:t>3)</w:t>
      </w:r>
      <w:r>
        <w:rPr>
          <w:noProof/>
        </w:rPr>
        <w:t xml:space="preserve"> CF 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temp</w:t>
      </w:r>
      <w:r>
        <w:rPr>
          <w:noProof/>
        </w:rPr>
        <w:t xml:space="preserve"> je dočasný faktor zhody, ktorý sa môže na žiadosť výrobcu použiť ako alternatíva ku konečnému faktoru zhody </w:t>
      </w:r>
      <w:r>
        <w:rPr>
          <w:i/>
          <w:noProof/>
        </w:rPr>
        <w:t>CF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final</w:t>
      </w:r>
      <w:r>
        <w:rPr>
          <w:noProof/>
        </w:rPr>
        <w:t xml:space="preserve"> v období 5 rokov a 4 mesiacov od dátumov uvedených v článku 10 ods. 4 a 5.“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r>
        <w:rPr>
          <w:rStyle w:val="FootnoteReference"/>
        </w:rPr>
        <w:footnoteRef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209D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3C76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5A3A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6E2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E25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8C8CC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DA64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7808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1:44:0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70EB51F-AE3C-4940-B545-A77DF4C41D66"/>
    <w:docVar w:name="LW_COVERPAGE_TYPE" w:val="1"/>
    <w:docVar w:name="LW_CROSSREFERENCE" w:val="&lt;UNUSED&gt;"/>
    <w:docVar w:name="LW_DocType" w:val="ANNEX"/>
    <w:docVar w:name="LW_EMISSION" w:val="14. 6. 2019"/>
    <w:docVar w:name="LW_EMISSION_ISODATE" w:val="2019-06-14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mení nariadenie (ES) \u269?. 715/2007 o typovom schva\u318?ovaní motorových vozidiel so zrete\u318?om na emisie \u318?ahkých osobných a&lt;LWCR:NBS&gt;ú\u382?itkových vozidiel (Euro 5 a&lt;LWCR:NBS&gt;Euro 6) a&lt;LWCR:NBS&gt;o&lt;LWCR:NBS&gt;prístupe k&lt;LWCR:NBS&gt;informáciám o&lt;LWCR:NBS&gt;opravách a&lt;LWCR:NBS&gt;údr\u382?be vozidiel"/>
    <w:docVar w:name="LW_OBJETACTEPRINCIPAL.CP" w:val="ktorým sa mení nariadenie (ES) \u269?. 715/2007 o typovom schva\u318?ovaní motorových vozidiel so zrete\u318?om na emisie \u318?ahkých osobných a ú\u382?itkových vozidiel (Euro 5 a Euro 6) a o prístupe k informáciám o opravách a údr\u382?be vozidiel"/>
    <w:docVar w:name="LW_PART_NBR" w:val="1"/>
    <w:docVar w:name="LW_PART_NBR_TOTAL" w:val="1"/>
    <w:docVar w:name="LW_REF.INST.NEW" w:val="COM"/>
    <w:docVar w:name="LW_REF.INST.NEW_ADOPTED" w:val="final"/>
    <w:docVar w:name="LW_REF.INST.NEW_TEXT" w:val="(2019) 2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nariadenia Európskeho parlamentu a Rady,"/>
    <w:docVar w:name="LW_TYPEACTEPRINCIPAL.CP" w:val="návrhu nariadenia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DB3717-9E33-4DD5-85C5-BC928E49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140</Words>
  <Characters>747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 ROMAO Margarida (GROW)</dc:creator>
  <cp:lastModifiedBy>DIGIT/C6</cp:lastModifiedBy>
  <cp:revision>8</cp:revision>
  <cp:lastPrinted>2019-03-06T17:01:00Z</cp:lastPrinted>
  <dcterms:created xsi:type="dcterms:W3CDTF">2019-04-16T12:44:00Z</dcterms:created>
  <dcterms:modified xsi:type="dcterms:W3CDTF">2019-06-12T09:44:00Z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