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6BBE7AE-7FC7-4DC8-8649-6356F0D38599" style="width:450.75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ALLEGATO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Nell'allegato I del regolamento (CE) n. 715/2007 è inserita la seguente tabella 2a:</w:t>
      </w:r>
    </w:p>
    <w:p>
      <w:pPr>
        <w:jc w:val="center"/>
        <w:rPr>
          <w:i/>
          <w:noProof/>
        </w:rPr>
      </w:pPr>
      <w:r>
        <w:rPr>
          <w:i/>
          <w:noProof/>
        </w:rPr>
        <w:t xml:space="preserve"> Tabella 2a 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Fattori di conformità per le emissioni reali di guida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275"/>
        <w:gridCol w:w="1276"/>
        <w:gridCol w:w="1276"/>
        <w:gridCol w:w="2090"/>
      </w:tblGrid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Ossidi di azoto (NO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particelle (PN)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Monossido di carbonio (CO)</w:t>
            </w:r>
            <w:r>
              <w:rPr>
                <w:noProof/>
                <w:vertAlign w:val="superscript"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Idrocarburi totali (THC)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Idrocarburi e ossidi di azoto combinati (THC + 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i/>
                <w:noProof/>
              </w:rPr>
              <w:t>FC</w:t>
            </w:r>
            <w:r>
              <w:rPr>
                <w:i/>
                <w:noProof/>
                <w:vertAlign w:val="subscript"/>
              </w:rPr>
              <w:t>inquinante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>definitivo</w:t>
            </w:r>
            <w:r>
              <w:rPr>
                <w:i/>
                <w:noProof/>
                <w:vertAlign w:val="superscript"/>
              </w:rPr>
              <w:t>(2)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i/>
                <w:iCs/>
                <w:noProof/>
              </w:rPr>
            </w:pPr>
            <w:r>
              <w:rPr>
                <w:i/>
                <w:noProof/>
              </w:rPr>
              <w:t xml:space="preserve">FC </w:t>
            </w:r>
            <w:r>
              <w:rPr>
                <w:i/>
                <w:noProof/>
                <w:vertAlign w:val="subscript"/>
              </w:rPr>
              <w:t>inquinante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>temp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  <w:vertAlign w:val="superscript"/>
              </w:rPr>
              <w:t>(3)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  <w:vertAlign w:val="superscript"/>
        </w:rPr>
        <w:t>(1)</w:t>
      </w:r>
      <w:r>
        <w:rPr>
          <w:noProof/>
        </w:rPr>
        <w:t xml:space="preserve"> Le emissioni di CO devono essere misurate e registrate per tutte le prove RDE.</w:t>
      </w:r>
    </w:p>
    <w:p>
      <w:pPr>
        <w:rPr>
          <w:noProof/>
        </w:rPr>
      </w:pPr>
      <w:r>
        <w:rPr>
          <w:noProof/>
          <w:vertAlign w:val="superscript"/>
        </w:rPr>
        <w:t xml:space="preserve"> (2)</w:t>
      </w:r>
      <w:r>
        <w:rPr>
          <w:noProof/>
        </w:rPr>
        <w:t xml:space="preserve"> </w:t>
      </w:r>
      <w:r>
        <w:rPr>
          <w:i/>
          <w:noProof/>
        </w:rPr>
        <w:t>FC</w:t>
      </w:r>
      <w:r>
        <w:rPr>
          <w:i/>
          <w:noProof/>
          <w:vertAlign w:val="subscript"/>
        </w:rPr>
        <w:t>inquinante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definitivo</w:t>
      </w:r>
      <w:r>
        <w:rPr>
          <w:noProof/>
        </w:rPr>
        <w:t xml:space="preserve"> è il fattore di conformità utilizzato per determinare la conformità ai limiti delle emissioni Euro 6 tenendo conto delle incertezze tecniche connesse all'uso dei sistemi portatili di misura delle emissioni (PEMS).</w:t>
      </w:r>
    </w:p>
    <w:p>
      <w:pPr>
        <w:rPr>
          <w:noProof/>
        </w:rPr>
      </w:pPr>
      <w:r>
        <w:rPr>
          <w:noProof/>
          <w:vertAlign w:val="superscript"/>
        </w:rPr>
        <w:t xml:space="preserve"> (3)</w:t>
      </w:r>
      <w:r>
        <w:rPr>
          <w:noProof/>
        </w:rPr>
        <w:t xml:space="preserve"> FC </w:t>
      </w:r>
      <w:r>
        <w:rPr>
          <w:i/>
          <w:noProof/>
          <w:vertAlign w:val="subscript"/>
        </w:rPr>
        <w:t>inquinante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temp</w:t>
      </w:r>
      <w:r>
        <w:rPr>
          <w:noProof/>
        </w:rPr>
        <w:t xml:space="preserve"> è il fattore di conformità temporaneo che può essere utilizzato su richiesta del costruttore in alternativa a </w:t>
      </w:r>
      <w:r>
        <w:rPr>
          <w:i/>
          <w:noProof/>
        </w:rPr>
        <w:t>FC</w:t>
      </w:r>
      <w:r>
        <w:rPr>
          <w:i/>
          <w:noProof/>
          <w:vertAlign w:val="subscript"/>
        </w:rPr>
        <w:t>inquinante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definitivo</w:t>
      </w:r>
      <w:r>
        <w:rPr>
          <w:noProof/>
        </w:rPr>
        <w:t xml:space="preserve"> per un periodo di cinque anni e quattro mesi a decorrere dalle date indicate all'articolo 10, paragrafi 4 e 5.".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r>
        <w:rPr>
          <w:rStyle w:val="FootnoteReference"/>
        </w:rPr>
        <w:footnoteRef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209D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3C76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5A3A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6E2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E25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8C8CC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DA64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7808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1:44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6BBE7AE-7FC7-4DC8-8649-6356F0D38599"/>
    <w:docVar w:name="LW_COVERPAGE_TYPE" w:val="1"/>
    <w:docVar w:name="LW_CROSSREFERENCE" w:val="&lt;UNUSED&gt;"/>
    <w:docVar w:name="LW_DocType" w:val="ANNEX"/>
    <w:docVar w:name="LW_EMISSION" w:val="14.6.2019"/>
    <w:docVar w:name="LW_EMISSION_ISODATE" w:val="2019-06-14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che modifica il regolamento (CE) n. 715/2007 relativo all'omologazione dei veicoli a motore riguardo alle emissioni dai veicoli passeggeri e commerciali leggeri (Euro 5 ed Euro 6) e all'ottenimento di informazioni sulla riparazione e la manutenzione del veicolo"/>
    <w:docVar w:name="LW_OBJETACTEPRINCIPAL.CP" w:val="che modifica il regolamento (CE) n. 715/2007 relativo all'omologazione dei veicoli a motore riguardo alle emissioni dai veicoli passeggeri e commerciali leggeri (Euro 5 ed Euro 6) e all'ottenimento di informazioni sulla riparazione e la manutenzione del veicolo"/>
    <w:docVar w:name="LW_PART_NBR" w:val="1"/>
    <w:docVar w:name="LW_PART_NBR_TOTAL" w:val="1"/>
    <w:docVar w:name="LW_REF.INST.NEW" w:val="COM"/>
    <w:docVar w:name="LW_REF.INST.NEW_ADOPTED" w:val="final"/>
    <w:docVar w:name="LW_REF.INST.NEW_TEXT" w:val="(2019) 2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regolamento del Parliamento europeo e del Consiglio"/>
    <w:docVar w:name="LW_TYPEACTEPRINCIPAL.CP" w:val="proposta di regolamento del Parli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C1B4AB-A405-4EAD-82F7-A27B2460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155</Words>
  <Characters>847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 ROMAO Margarida (GROW)</dc:creator>
  <cp:lastModifiedBy>DIGIT/C6</cp:lastModifiedBy>
  <cp:revision>8</cp:revision>
  <cp:lastPrinted>2019-03-06T17:01:00Z</cp:lastPrinted>
  <dcterms:created xsi:type="dcterms:W3CDTF">2019-04-16T14:13:00Z</dcterms:created>
  <dcterms:modified xsi:type="dcterms:W3CDTF">2019-06-12T09:44:00Z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