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EA" w:rsidRDefault="00B004C8">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53922DA-177F-49AC-AF6C-5BD50E52E06E" style="width:450.45pt;height:333.65pt">
            <v:imagedata r:id="rId8" o:title=""/>
          </v:shape>
        </w:pict>
      </w:r>
    </w:p>
    <w:bookmarkEnd w:id="0"/>
    <w:p w:rsidR="00BB42EA" w:rsidRDefault="00BB42EA">
      <w:pPr>
        <w:rPr>
          <w:noProof/>
        </w:rPr>
        <w:sectPr w:rsidR="00BB42E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B42EA" w:rsidRDefault="00B004C8">
      <w:pPr>
        <w:spacing w:after="120" w:line="240" w:lineRule="auto"/>
        <w:jc w:val="both"/>
        <w:rPr>
          <w:rFonts w:ascii="Times New Roman" w:hAnsi="Times New Roman" w:cs="Times New Roman"/>
          <w:b/>
          <w:bCs/>
          <w:noProof/>
          <w:sz w:val="24"/>
          <w:szCs w:val="24"/>
        </w:rPr>
      </w:pPr>
      <w:r>
        <w:rPr>
          <w:rFonts w:ascii="Times New Roman" w:hAnsi="Times New Roman"/>
          <w:b/>
          <w:noProof/>
          <w:sz w:val="24"/>
        </w:rPr>
        <w:lastRenderedPageBreak/>
        <w:t xml:space="preserve">I. </w:t>
      </w:r>
      <w:r>
        <w:rPr>
          <w:noProof/>
        </w:rPr>
        <w:tab/>
      </w:r>
      <w:r>
        <w:rPr>
          <w:rFonts w:ascii="Times New Roman" w:hAnsi="Times New Roman"/>
          <w:b/>
          <w:noProof/>
          <w:sz w:val="24"/>
        </w:rPr>
        <w:t>ÚVOD</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listopadu 2015 stanovila Evropská komise </w:t>
      </w:r>
      <w:r>
        <w:rPr>
          <w:rFonts w:ascii="Times New Roman" w:hAnsi="Times New Roman"/>
          <w:b/>
          <w:noProof/>
          <w:sz w:val="24"/>
        </w:rPr>
        <w:t>střednědobou strategii politiky rozšíření EU</w:t>
      </w:r>
      <w:r>
        <w:rPr>
          <w:rStyle w:val="FootnoteReference"/>
          <w:rFonts w:ascii="Times New Roman" w:hAnsi="Times New Roman"/>
          <w:b/>
          <w:noProof/>
          <w:sz w:val="24"/>
        </w:rPr>
        <w:footnoteReference w:id="1"/>
      </w:r>
      <w:r>
        <w:rPr>
          <w:rFonts w:ascii="Times New Roman" w:hAnsi="Times New Roman"/>
          <w:noProof/>
          <w:sz w:val="24"/>
        </w:rPr>
        <w:t xml:space="preserve"> pokrývající mandát této Komise. Toto sdělení hodnotí pokrok dosažený při provádění politiky rozšíření do konce února 2019. Uvádí pokrok, jehož bylo dosaženo, a současně se zaměřuje na závažné problémy, jimž čelí státy, které o členství v Unii usilují. </w:t>
      </w:r>
    </w:p>
    <w:p w:rsidR="00BB42EA" w:rsidRDefault="00B004C8">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Zá</w:t>
      </w:r>
      <w:r>
        <w:rPr>
          <w:rFonts w:ascii="Times New Roman" w:hAnsi="Times New Roman"/>
          <w:b/>
          <w:noProof/>
          <w:sz w:val="24"/>
        </w:rPr>
        <w:t>padní Balkán</w:t>
      </w:r>
    </w:p>
    <w:p w:rsidR="00BB42EA" w:rsidRDefault="00B004C8">
      <w:pPr>
        <w:spacing w:after="120" w:line="240" w:lineRule="auto"/>
        <w:jc w:val="both"/>
        <w:rPr>
          <w:rFonts w:ascii="Times New Roman" w:hAnsi="Times New Roman" w:cs="Times New Roman"/>
          <w:bCs/>
          <w:noProof/>
          <w:sz w:val="24"/>
          <w:szCs w:val="24"/>
        </w:rPr>
      </w:pPr>
      <w:r>
        <w:rPr>
          <w:rFonts w:ascii="Times New Roman" w:hAnsi="Times New Roman"/>
          <w:b/>
          <w:noProof/>
          <w:sz w:val="24"/>
        </w:rPr>
        <w:t>Strategie pro západní Balkán</w:t>
      </w:r>
      <w:r>
        <w:rPr>
          <w:rStyle w:val="FootnoteReference"/>
          <w:noProof/>
        </w:rPr>
        <w:footnoteReference w:id="2"/>
      </w:r>
      <w:r>
        <w:rPr>
          <w:rFonts w:ascii="Times New Roman" w:hAnsi="Times New Roman"/>
          <w:noProof/>
          <w:sz w:val="24"/>
        </w:rPr>
        <w:t xml:space="preserve"> z února 2018 vypracovaná Evropskou komisí významně podpořila evropské směřování tohoto regionu. Opětovně potvrdila budoucnost západního Balkánu jako nedílné součásti EU. Znovu zdůraznila, že vyhlídky na členství v</w:t>
      </w:r>
      <w:r>
        <w:rPr>
          <w:rFonts w:ascii="Times New Roman" w:hAnsi="Times New Roman"/>
          <w:noProof/>
          <w:sz w:val="24"/>
        </w:rPr>
        <w:t> EU založené na splnění přísných zavedených kritérií jsou v politickém, bezpečnostním a hospodářském zájmu samotné Unie. Potvrdila významný pokrok, jehož tento region dosáhl jak v oblasti reforem, tak i při překonání dědictví války a konfliktu. Aby však ty</w:t>
      </w:r>
      <w:r>
        <w:rPr>
          <w:rFonts w:ascii="Times New Roman" w:hAnsi="Times New Roman"/>
          <w:noProof/>
          <w:sz w:val="24"/>
        </w:rPr>
        <w:t xml:space="preserve">to země splnily všechny podmínky členství, včetně upevnění své demokracie, jsou zapotřebí vážnější, komplexnější a přesvědčivější reformy v klíčových oblastech, zejména v oblasti právního státu, včetně boje proti korupci a organizované trestné činnosti, a </w:t>
      </w:r>
      <w:r>
        <w:rPr>
          <w:rFonts w:ascii="Times New Roman" w:hAnsi="Times New Roman"/>
          <w:noProof/>
          <w:sz w:val="24"/>
        </w:rPr>
        <w:t>v oblasti hospodářských reforem a konkurenceschopnosti, regionální spolupráce a usmíření. Komise vyzvala k významnému posílení politické, technické a finanční podpory EU tomuto regionu, mimo jiné prostřednictvím šesti stěžejních iniciativ strategie, přičem</w:t>
      </w:r>
      <w:r>
        <w:rPr>
          <w:rFonts w:ascii="Times New Roman" w:hAnsi="Times New Roman"/>
          <w:noProof/>
          <w:sz w:val="24"/>
        </w:rPr>
        <w:t>ž na období 2014–2020 bylo vyčleněno předvstupní financování ve výši 11,7 miliardy EUR. Aby se zlepšila struktura pobídek této politiky, Komise rovněž uvedla, že bude-li projevena nezbytná politická vůle a budou-li provedeny opravdové a trvalé reformy a de</w:t>
      </w:r>
      <w:r>
        <w:rPr>
          <w:rFonts w:ascii="Times New Roman" w:hAnsi="Times New Roman"/>
          <w:noProof/>
          <w:sz w:val="24"/>
        </w:rPr>
        <w:t xml:space="preserve">finitivně vyřešeny spory se sousedy, mohly by být země, které v přístupových jednáních v současnosti pokročily nejdále, připraveny na členství v horizontu roku 2025. </w:t>
      </w:r>
    </w:p>
    <w:p w:rsidR="00BB42EA" w:rsidRDefault="00B004C8">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Na </w:t>
      </w:r>
      <w:r>
        <w:rPr>
          <w:rFonts w:ascii="Times New Roman" w:hAnsi="Times New Roman"/>
          <w:b/>
          <w:noProof/>
          <w:sz w:val="24"/>
        </w:rPr>
        <w:t>summitu EU a zemí západního Balkánu</w:t>
      </w:r>
      <w:r>
        <w:rPr>
          <w:rFonts w:ascii="Times New Roman" w:hAnsi="Times New Roman"/>
          <w:noProof/>
          <w:sz w:val="24"/>
        </w:rPr>
        <w:t xml:space="preserve">, který se konal v květnu 2018 v Sofii, vedoucí </w:t>
      </w:r>
      <w:r>
        <w:rPr>
          <w:rFonts w:ascii="Times New Roman" w:hAnsi="Times New Roman"/>
          <w:noProof/>
          <w:sz w:val="24"/>
        </w:rPr>
        <w:t>představitelé EU znovu potvrdili jednoznačnou podporu evropské perspektivě západního Balkánu a partneři ze západního Balkánu se k této perspektivě jako ke své jednoznačné strategické volbě opětovně přihlásili. Vedoucí představitelé EU se dohodli na Sofijsk</w:t>
      </w:r>
      <w:r>
        <w:rPr>
          <w:rFonts w:ascii="Times New Roman" w:hAnsi="Times New Roman"/>
          <w:noProof/>
          <w:sz w:val="24"/>
        </w:rPr>
        <w:t>ém prohlášení a Sofijském programu priorit</w:t>
      </w:r>
      <w:r>
        <w:rPr>
          <w:rStyle w:val="FootnoteReference"/>
          <w:noProof/>
        </w:rPr>
        <w:footnoteReference w:id="3"/>
      </w:r>
      <w:r>
        <w:rPr>
          <w:rFonts w:ascii="Times New Roman" w:hAnsi="Times New Roman"/>
          <w:noProof/>
          <w:sz w:val="24"/>
        </w:rPr>
        <w:t>, který nastiňuje nová opatření pro posílenou spolupráci s tímto regionem v takových klíčových oblastech, jako je například bezpečnost, právní stát a migrace.</w:t>
      </w:r>
    </w:p>
    <w:p w:rsidR="00BB42EA" w:rsidRDefault="00B004C8">
      <w:pPr>
        <w:spacing w:after="120" w:line="240" w:lineRule="auto"/>
        <w:jc w:val="both"/>
        <w:rPr>
          <w:rFonts w:ascii="Times New Roman" w:hAnsi="Times New Roman" w:cs="Times New Roman"/>
          <w:noProof/>
          <w:color w:val="000000"/>
          <w:sz w:val="24"/>
          <w:szCs w:val="24"/>
        </w:rPr>
      </w:pPr>
      <w:r>
        <w:rPr>
          <w:rFonts w:ascii="Times New Roman" w:hAnsi="Times New Roman"/>
          <w:noProof/>
          <w:sz w:val="24"/>
        </w:rPr>
        <w:t>Vedoucí představitelé EU rovněž jednotlivým zemím zápa</w:t>
      </w:r>
      <w:r>
        <w:rPr>
          <w:rFonts w:ascii="Times New Roman" w:hAnsi="Times New Roman"/>
          <w:noProof/>
          <w:sz w:val="24"/>
        </w:rPr>
        <w:t xml:space="preserve">dního Balkánu v loňském roce vyslali </w:t>
      </w:r>
      <w:r>
        <w:rPr>
          <w:rFonts w:ascii="Times New Roman" w:hAnsi="Times New Roman"/>
          <w:b/>
          <w:noProof/>
          <w:sz w:val="24"/>
        </w:rPr>
        <w:t>jasné signály</w:t>
      </w:r>
      <w:r>
        <w:rPr>
          <w:rFonts w:ascii="Times New Roman" w:hAnsi="Times New Roman"/>
          <w:noProof/>
          <w:sz w:val="24"/>
        </w:rPr>
        <w:t xml:space="preserve">. V reakci na doporučení Komise z roku 2018 zahájit jednání o přistoupení s Republikou Severní Makedonie a Albánskou republikou se Rada v červnu dohodla, že bude na </w:t>
      </w:r>
      <w:r>
        <w:rPr>
          <w:rFonts w:ascii="Times New Roman" w:hAnsi="Times New Roman"/>
          <w:noProof/>
          <w:color w:val="000000"/>
          <w:sz w:val="24"/>
        </w:rPr>
        <w:t>dosažený pokrok reagovat pozitivně a vyty</w:t>
      </w:r>
      <w:r>
        <w:rPr>
          <w:rFonts w:ascii="Times New Roman" w:hAnsi="Times New Roman"/>
          <w:noProof/>
          <w:color w:val="000000"/>
          <w:sz w:val="24"/>
        </w:rPr>
        <w:t>čí cestu k zahájení přístupových jednání s oběma zeměmi v červnu 2019</w:t>
      </w:r>
      <w:r>
        <w:rPr>
          <w:rFonts w:ascii="Times New Roman" w:hAnsi="Times New Roman"/>
          <w:noProof/>
          <w:sz w:val="24"/>
        </w:rPr>
        <w:t xml:space="preserve">. </w:t>
      </w:r>
      <w:r>
        <w:rPr>
          <w:rFonts w:ascii="Times New Roman" w:hAnsi="Times New Roman"/>
          <w:noProof/>
          <w:color w:val="000000"/>
          <w:sz w:val="24"/>
        </w:rPr>
        <w:t>Pokud jde o Kosovo</w:t>
      </w:r>
      <w:r>
        <w:rPr>
          <w:noProof/>
          <w:vertAlign w:val="superscript"/>
        </w:rPr>
        <w:footnoteReference w:customMarkFollows="1" w:id="4"/>
        <w:t>*</w:t>
      </w:r>
      <w:r>
        <w:rPr>
          <w:rFonts w:ascii="Times New Roman" w:hAnsi="Times New Roman"/>
          <w:noProof/>
          <w:color w:val="000000"/>
          <w:sz w:val="24"/>
        </w:rPr>
        <w:t>, Komise informovala o tom, že všechna kritéria pro bezvízové cestování do schengenského prostoru byla splněna a</w:t>
      </w:r>
      <w:r>
        <w:rPr>
          <w:rFonts w:ascii="Times New Roman" w:hAnsi="Times New Roman"/>
          <w:noProof/>
          <w:sz w:val="24"/>
        </w:rPr>
        <w:t xml:space="preserve"> v březnu 2019 Evropský parlament podpořil návrh Komis</w:t>
      </w:r>
      <w:r>
        <w:rPr>
          <w:rFonts w:ascii="Times New Roman" w:hAnsi="Times New Roman"/>
          <w:noProof/>
          <w:sz w:val="24"/>
        </w:rPr>
        <w:t>e na uvolnění vízového režimu v prvním čtení.</w:t>
      </w:r>
    </w:p>
    <w:p w:rsidR="00BB42EA" w:rsidRDefault="00B004C8">
      <w:pPr>
        <w:spacing w:after="120" w:line="240" w:lineRule="auto"/>
        <w:jc w:val="both"/>
        <w:rPr>
          <w:rFonts w:ascii="Times New Roman" w:hAnsi="Times New Roman" w:cs="Times New Roman"/>
          <w:noProof/>
          <w:color w:val="000000"/>
          <w:sz w:val="24"/>
          <w:szCs w:val="24"/>
        </w:rPr>
      </w:pPr>
      <w:r>
        <w:rPr>
          <w:rFonts w:ascii="Times New Roman" w:hAnsi="Times New Roman"/>
          <w:noProof/>
          <w:sz w:val="24"/>
        </w:rPr>
        <w:t xml:space="preserve">Větší angažovanost a odhodlání EU patrné ve vztahu k tomuto regionu v minulém roce již přinášejí konkrétní a významné </w:t>
      </w:r>
      <w:r>
        <w:rPr>
          <w:rFonts w:ascii="Times New Roman" w:hAnsi="Times New Roman"/>
          <w:b/>
          <w:noProof/>
          <w:sz w:val="24"/>
        </w:rPr>
        <w:t>výsledky</w:t>
      </w:r>
      <w:r>
        <w:rPr>
          <w:rFonts w:ascii="Times New Roman" w:hAnsi="Times New Roman"/>
          <w:noProof/>
          <w:sz w:val="24"/>
        </w:rPr>
        <w:t>. Severní Makedonie nejenže nadále pokračovala ve svém ambiciózním programu reforem,</w:t>
      </w:r>
      <w:r>
        <w:rPr>
          <w:rFonts w:ascii="Times New Roman" w:hAnsi="Times New Roman"/>
          <w:noProof/>
          <w:sz w:val="24"/>
        </w:rPr>
        <w:t xml:space="preserve"> ale dospěla také k historické dohodě s Řeckem, jež přinesla řešení 27 let trvajícího sporu o název. To je spolu s dvoustrannou dohodou s Bulharskem příkladem pro celý region, jak posilovat dobré sousedské vztahy, a dokládá to sílu atraktivity evropské per</w:t>
      </w:r>
      <w:r>
        <w:rPr>
          <w:rFonts w:ascii="Times New Roman" w:hAnsi="Times New Roman"/>
          <w:noProof/>
          <w:sz w:val="24"/>
        </w:rPr>
        <w:t xml:space="preserve">spektivy. Podobně i Albánie provádí zásadní reformy, zejména velkou transformaci svého systému soudnictví, včetně bezprecedentního nového hodnocení soudců a státních zástupců. </w:t>
      </w:r>
    </w:p>
    <w:p w:rsidR="00BB42EA" w:rsidRDefault="00B004C8">
      <w:pPr>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Tento vítaný pokrok si nyní žádá konkrétní a rychlé kroky Unie. EU má příležito</w:t>
      </w:r>
      <w:r>
        <w:rPr>
          <w:rFonts w:ascii="Times New Roman" w:hAnsi="Times New Roman"/>
          <w:noProof/>
          <w:color w:val="000000"/>
          <w:sz w:val="24"/>
        </w:rPr>
        <w:t>st dát dlouhodobě celému regionu pozitivní impulz, což je velkou měrou i v jejím vlastním zájmu. Unie musí dostát svým závazkům a projevit zasloužené uznání. Pokud by se objektivnímu pokroku nedostalo ocenění v podobě postupu do další fáze evropského směřo</w:t>
      </w:r>
      <w:r>
        <w:rPr>
          <w:rFonts w:ascii="Times New Roman" w:hAnsi="Times New Roman"/>
          <w:noProof/>
          <w:color w:val="000000"/>
          <w:sz w:val="24"/>
        </w:rPr>
        <w:t>vání, poškodilo by to důvěryhodnost EU v celém regionu i mimo něj. Vlažná reakce na historické úspěchy a významné reformy by podkopala stabilitu, silně by demotivovala od tolik potřebných dalších reforem a ovlivnila by aktivitu v citlivých dvoustranných ot</w:t>
      </w:r>
      <w:r>
        <w:rPr>
          <w:rFonts w:ascii="Times New Roman" w:hAnsi="Times New Roman"/>
          <w:noProof/>
          <w:color w:val="000000"/>
          <w:sz w:val="24"/>
        </w:rPr>
        <w:t xml:space="preserve">ázkách, jako je dialog mezi Bělehradem a Prištinou. Ze strategického hlediska by to jen pomohlo geopolitickým konkurentům EU zapustit kořeny na prahu Evropy. </w:t>
      </w:r>
    </w:p>
    <w:p w:rsidR="00BB42EA" w:rsidRDefault="00B004C8">
      <w:pPr>
        <w:spacing w:after="120" w:line="240" w:lineRule="auto"/>
        <w:jc w:val="both"/>
        <w:rPr>
          <w:rFonts w:ascii="Times New Roman" w:hAnsi="Times New Roman" w:cs="Times New Roman"/>
          <w:bCs/>
          <w:noProof/>
          <w:sz w:val="24"/>
          <w:szCs w:val="24"/>
        </w:rPr>
      </w:pPr>
      <w:r>
        <w:rPr>
          <w:rFonts w:ascii="Times New Roman" w:hAnsi="Times New Roman"/>
          <w:noProof/>
          <w:sz w:val="24"/>
        </w:rPr>
        <w:t>Nicméně ne všechny země příležitostí nabízených strategií pro západní Balkán využily. Úsilí někte</w:t>
      </w:r>
      <w:r>
        <w:rPr>
          <w:rFonts w:ascii="Times New Roman" w:hAnsi="Times New Roman"/>
          <w:noProof/>
          <w:sz w:val="24"/>
        </w:rPr>
        <w:t>rých stagnovalo, především v klíčových oblastech právního státu a základních práv. Hrozí, že zemím, které v procesu přistoupení pokročily nejvíce, se nepodaří svých stanovených ambiciózních cílů dosáhnout, pokud též výrazně nezvýší své úsilí, zejména v obl</w:t>
      </w:r>
      <w:r>
        <w:rPr>
          <w:rFonts w:ascii="Times New Roman" w:hAnsi="Times New Roman"/>
          <w:noProof/>
          <w:sz w:val="24"/>
        </w:rPr>
        <w:t>asti základních reforem. Všichni političtí představitelé v regionu musí, pokud jde o reformy, splnit očekávání svých občanů a nesmí nechat žádný prostor pro pochybnosti ohledně své strategické orientace a odhodlání připojit se k EU.</w:t>
      </w:r>
      <w:r>
        <w:rPr>
          <w:rFonts w:ascii="Arial" w:hAnsi="Arial"/>
          <w:noProof/>
          <w:sz w:val="21"/>
        </w:rPr>
        <w:t xml:space="preserve"> </w:t>
      </w:r>
      <w:r>
        <w:rPr>
          <w:rFonts w:ascii="Times New Roman" w:hAnsi="Times New Roman"/>
          <w:noProof/>
          <w:sz w:val="24"/>
        </w:rPr>
        <w:t>Přistoupení k EU je zás</w:t>
      </w:r>
      <w:r>
        <w:rPr>
          <w:rFonts w:ascii="Times New Roman" w:hAnsi="Times New Roman"/>
          <w:noProof/>
          <w:sz w:val="24"/>
        </w:rPr>
        <w:t xml:space="preserve">adní volba založená na hodnotách, k níž musí každá země přistupovat aktivněji. </w:t>
      </w:r>
    </w:p>
    <w:p w:rsidR="00BB42EA" w:rsidRDefault="00B004C8">
      <w:pPr>
        <w:spacing w:after="120" w:line="240" w:lineRule="auto"/>
        <w:jc w:val="both"/>
        <w:rPr>
          <w:rFonts w:ascii="Times New Roman" w:hAnsi="Times New Roman" w:cs="Times New Roman"/>
          <w:bCs/>
          <w:noProof/>
          <w:sz w:val="24"/>
          <w:szCs w:val="24"/>
        </w:rPr>
      </w:pPr>
      <w:r>
        <w:rPr>
          <w:rFonts w:ascii="Times New Roman" w:hAnsi="Times New Roman"/>
          <w:noProof/>
          <w:sz w:val="24"/>
        </w:rPr>
        <w:t>Komise paralelně s tímto sdělením přijala své stanovisko k žádosti Bosny a Hercegoviny o členství v Evropské unii. Závěr a doporučení obsažené ve stanovisku jsou uvedeny v příl</w:t>
      </w:r>
      <w:r>
        <w:rPr>
          <w:rFonts w:ascii="Times New Roman" w:hAnsi="Times New Roman"/>
          <w:noProof/>
          <w:sz w:val="24"/>
        </w:rPr>
        <w:t>oze tohoto sdělení.</w:t>
      </w:r>
    </w:p>
    <w:p w:rsidR="00BB42EA" w:rsidRDefault="00B004C8">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Turecko</w:t>
      </w:r>
    </w:p>
    <w:p w:rsidR="00BB42EA" w:rsidRDefault="00B004C8">
      <w:pPr>
        <w:spacing w:after="120" w:line="240" w:lineRule="auto"/>
        <w:jc w:val="both"/>
        <w:rPr>
          <w:rFonts w:ascii="Times New Roman" w:hAnsi="Times New Roman" w:cs="Times New Roman"/>
          <w:bCs/>
          <w:noProof/>
          <w:sz w:val="24"/>
          <w:szCs w:val="24"/>
        </w:rPr>
      </w:pPr>
      <w:r>
        <w:rPr>
          <w:rFonts w:ascii="Times New Roman" w:hAnsi="Times New Roman"/>
          <w:noProof/>
          <w:sz w:val="24"/>
        </w:rPr>
        <w:t>Turecko</w:t>
      </w:r>
      <w:r>
        <w:rPr>
          <w:rFonts w:ascii="Times New Roman" w:hAnsi="Times New Roman"/>
          <w:b/>
          <w:noProof/>
          <w:sz w:val="24"/>
        </w:rPr>
        <w:t xml:space="preserve"> </w:t>
      </w:r>
      <w:r>
        <w:rPr>
          <w:rFonts w:ascii="Times New Roman" w:hAnsi="Times New Roman"/>
          <w:noProof/>
          <w:sz w:val="24"/>
        </w:rPr>
        <w:t>je jedním z klíčových partnerů EU a kandidátskou zemí. Pokračoval dialog a spolupráce, i na nejvyšší úrovni, v zásadních oblastech společného zájmu, též prostřednictvím účinné spolupráce v oblasti migrace a silné podpory</w:t>
      </w:r>
      <w:r>
        <w:rPr>
          <w:rFonts w:ascii="Times New Roman" w:hAnsi="Times New Roman"/>
          <w:noProof/>
          <w:sz w:val="24"/>
        </w:rPr>
        <w:t xml:space="preserve"> EU poskytované uprchlíkům. Turecko se však Evropské unii i nadále vzdalovalo vzhledem k výraznému zhoršení situace v oblastech právního státu a základních práv a kvůli oslabení účinnosti systému brzd a protivah v politickém systému, jež přinesl vstup v pl</w:t>
      </w:r>
      <w:r>
        <w:rPr>
          <w:rFonts w:ascii="Times New Roman" w:hAnsi="Times New Roman"/>
          <w:noProof/>
          <w:sz w:val="24"/>
        </w:rPr>
        <w:t>atnost změny ústavy. V červnu 2018 Rada jednomyslně konstatovala, že přístupová jednání s Tureckem se tedy v podstatě zastavila a nelze uvažovat o otevření či uzavření žádných dalších kapitol. Skutečnosti vedoucí k tomuto posouzení jsou stále platné.</w:t>
      </w:r>
    </w:p>
    <w:p w:rsidR="00BB42EA" w:rsidRDefault="00BB42EA">
      <w:pPr>
        <w:spacing w:after="120" w:line="240" w:lineRule="auto"/>
        <w:jc w:val="both"/>
        <w:rPr>
          <w:rFonts w:ascii="Times New Roman" w:hAnsi="Times New Roman" w:cs="Times New Roman"/>
          <w:b/>
          <w:bCs/>
          <w:noProof/>
          <w:sz w:val="24"/>
          <w:szCs w:val="24"/>
        </w:rPr>
      </w:pPr>
    </w:p>
    <w:p w:rsidR="00BB42EA" w:rsidRDefault="00B004C8">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Uryc</w:t>
      </w:r>
      <w:r>
        <w:rPr>
          <w:rFonts w:ascii="Times New Roman" w:hAnsi="Times New Roman"/>
          <w:noProof/>
          <w:sz w:val="24"/>
        </w:rPr>
        <w:t xml:space="preserve">hlení </w:t>
      </w:r>
      <w:r>
        <w:rPr>
          <w:rFonts w:ascii="Times New Roman" w:hAnsi="Times New Roman"/>
          <w:b/>
          <w:noProof/>
          <w:sz w:val="24"/>
        </w:rPr>
        <w:t>dosažení souladu</w:t>
      </w:r>
      <w:r>
        <w:rPr>
          <w:rFonts w:ascii="Times New Roman" w:hAnsi="Times New Roman"/>
          <w:noProof/>
          <w:sz w:val="24"/>
        </w:rPr>
        <w:t xml:space="preserve"> se společnou zahraniční a bezpečnostní politikou EU, mimo jiné v oblasti omezujících opatření, je významnou součástí procesu rozšíření a důležitým prvkem potvrzujícím, že země plně sdílí zásady, hodnoty a cíle, jež se Unie snaží pros</w:t>
      </w:r>
      <w:r>
        <w:rPr>
          <w:rFonts w:ascii="Times New Roman" w:hAnsi="Times New Roman"/>
          <w:noProof/>
          <w:sz w:val="24"/>
        </w:rPr>
        <w:t>azovat ve svém sousedství i mimo ně. Albánie a Černá Hora jednaly důsledně v souladu s postoji společné zahraniční a bezpečnostní politiky EU.</w:t>
      </w:r>
    </w:p>
    <w:p w:rsidR="00BB42EA" w:rsidRDefault="00BB42EA">
      <w:pPr>
        <w:spacing w:after="120" w:line="240" w:lineRule="auto"/>
        <w:jc w:val="both"/>
        <w:rPr>
          <w:rFonts w:ascii="Times New Roman" w:hAnsi="Times New Roman" w:cs="Times New Roman"/>
          <w:noProof/>
          <w:sz w:val="24"/>
          <w:szCs w:val="24"/>
        </w:rPr>
      </w:pPr>
    </w:p>
    <w:p w:rsidR="00BB42EA" w:rsidRDefault="00B004C8">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PROVÁDĚNÍ STRATEGIE ROZŠÍŘENÍ Z ROKU 2015</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Klíčem ke splnění kodaňských a madridských kritérií pro členství </w:t>
      </w:r>
      <w:r>
        <w:rPr>
          <w:rFonts w:ascii="Times New Roman" w:hAnsi="Times New Roman"/>
          <w:noProof/>
          <w:sz w:val="24"/>
        </w:rPr>
        <w:t>je aktivnější uskutečňování základních reforem. Snahy v těchto oblastech jsou nedělitelné, vzájemně se posilují a</w:t>
      </w:r>
      <w:r>
        <w:rPr>
          <w:rFonts w:ascii="Times New Roman" w:hAnsi="Times New Roman"/>
          <w:noProof/>
          <w:color w:val="000000" w:themeColor="text1"/>
          <w:sz w:val="24"/>
        </w:rPr>
        <w:t xml:space="preserve"> je třeba v nich pokračovat energičtěji a s jasnějším politickým odhodláním. </w:t>
      </w:r>
    </w:p>
    <w:p w:rsidR="00BB42EA" w:rsidRDefault="00B004C8">
      <w:pPr>
        <w:keepNext/>
        <w:spacing w:after="120" w:line="240" w:lineRule="auto"/>
        <w:rPr>
          <w:rFonts w:ascii="Times New Roman" w:hAnsi="Times New Roman" w:cs="Times New Roman"/>
          <w:b/>
          <w:noProof/>
          <w:sz w:val="24"/>
          <w:szCs w:val="24"/>
        </w:rPr>
      </w:pPr>
      <w:r>
        <w:rPr>
          <w:rFonts w:ascii="Times New Roman" w:hAnsi="Times New Roman"/>
          <w:b/>
          <w:noProof/>
          <w:sz w:val="24"/>
        </w:rPr>
        <w:t>a) Fungování demokratických institucí</w:t>
      </w:r>
    </w:p>
    <w:p w:rsidR="00BB42EA" w:rsidRDefault="00B004C8">
      <w:pPr>
        <w:pStyle w:val="Default"/>
        <w:spacing w:after="120"/>
        <w:jc w:val="both"/>
        <w:rPr>
          <w:rFonts w:ascii="Times New Roman" w:hAnsi="Times New Roman" w:cstheme="minorBidi"/>
          <w:noProof/>
          <w:color w:val="auto"/>
          <w:sz w:val="22"/>
          <w:szCs w:val="22"/>
        </w:rPr>
      </w:pPr>
      <w:r>
        <w:rPr>
          <w:rFonts w:ascii="Times New Roman" w:hAnsi="Times New Roman"/>
          <w:noProof/>
        </w:rPr>
        <w:t xml:space="preserve">Řádné fungování </w:t>
      </w:r>
      <w:r>
        <w:rPr>
          <w:rFonts w:ascii="Times New Roman" w:hAnsi="Times New Roman"/>
          <w:b/>
          <w:noProof/>
        </w:rPr>
        <w:t>demokratick</w:t>
      </w:r>
      <w:r>
        <w:rPr>
          <w:rFonts w:ascii="Times New Roman" w:hAnsi="Times New Roman"/>
          <w:b/>
          <w:noProof/>
        </w:rPr>
        <w:t>ých institucí</w:t>
      </w:r>
      <w:r>
        <w:rPr>
          <w:rFonts w:ascii="Times New Roman" w:hAnsi="Times New Roman"/>
          <w:noProof/>
        </w:rPr>
        <w:t xml:space="preserve"> zůstává ve většině zemí klíčovým problémem. Ústřední úloha vnitrostátních </w:t>
      </w:r>
      <w:r>
        <w:rPr>
          <w:rFonts w:ascii="Times New Roman" w:hAnsi="Times New Roman"/>
          <w:b/>
          <w:noProof/>
        </w:rPr>
        <w:t>parlamentů</w:t>
      </w:r>
      <w:r>
        <w:rPr>
          <w:rFonts w:ascii="Times New Roman" w:hAnsi="Times New Roman"/>
          <w:noProof/>
        </w:rPr>
        <w:t xml:space="preserve"> musí být pevně ukotvena v politické kultuře. Konstruktivní dialog napříč politickým spektrem musí stále ještě zapustit kořeny. Opoziční strany, jež rovněž ne</w:t>
      </w:r>
      <w:r>
        <w:rPr>
          <w:rFonts w:ascii="Times New Roman" w:hAnsi="Times New Roman"/>
          <w:noProof/>
        </w:rPr>
        <w:t xml:space="preserve">sou významnou odpovědnost za formování budoucnosti svých zemí, by měly mít možnost plně vykonávat svoji úlohu a zapojit se do demokratických procesů. Zásadní je posílit odpovědnost parlamentu, dohled nad výkonnou mocí a demokratickou kontrolu.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V zemích </w:t>
      </w:r>
      <w:r>
        <w:rPr>
          <w:rFonts w:ascii="Times New Roman" w:hAnsi="Times New Roman"/>
          <w:b/>
          <w:noProof/>
        </w:rPr>
        <w:t>zá</w:t>
      </w:r>
      <w:r>
        <w:rPr>
          <w:rFonts w:ascii="Times New Roman" w:hAnsi="Times New Roman"/>
          <w:b/>
          <w:noProof/>
        </w:rPr>
        <w:t>padního Balkánu</w:t>
      </w:r>
      <w:r>
        <w:rPr>
          <w:rFonts w:ascii="Times New Roman" w:hAnsi="Times New Roman"/>
          <w:noProof/>
        </w:rPr>
        <w:t xml:space="preserve"> nebyl konstruktivní </w:t>
      </w:r>
      <w:r>
        <w:rPr>
          <w:rFonts w:ascii="Times New Roman" w:hAnsi="Times New Roman"/>
          <w:b/>
          <w:noProof/>
        </w:rPr>
        <w:t>dialog</w:t>
      </w:r>
      <w:r>
        <w:rPr>
          <w:rFonts w:ascii="Times New Roman" w:hAnsi="Times New Roman"/>
          <w:noProof/>
        </w:rPr>
        <w:t xml:space="preserve"> napříč politickým spektrem, zejména v rámci parlamentů, ještě navázán. Obavy stále vzbuzují kontraproduktivní bojkoty parlamentů, jako například v Albánii, Černé Hoře a Srbsku. Zesílily protesty občanů požadujícíc</w:t>
      </w:r>
      <w:r>
        <w:rPr>
          <w:rFonts w:ascii="Times New Roman" w:hAnsi="Times New Roman"/>
          <w:noProof/>
        </w:rPr>
        <w:t>h reformy. Bylo by možné využít mechanismy mediace a dialogu, jako jsou ty, jež nabízí Evropský parlament, a to například v Srbsku. Vlády musí zajistit, aby opozice měla možnost plně vykonávat svoji úlohu ve stávajících rámcích. A opozice se musí konstrukt</w:t>
      </w:r>
      <w:r>
        <w:rPr>
          <w:rFonts w:ascii="Times New Roman" w:hAnsi="Times New Roman"/>
          <w:noProof/>
        </w:rPr>
        <w:t xml:space="preserve">ivně zapojit do demokratického procesu.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Posílení </w:t>
      </w:r>
      <w:r>
        <w:rPr>
          <w:rFonts w:ascii="Times New Roman" w:hAnsi="Times New Roman"/>
          <w:b/>
          <w:noProof/>
        </w:rPr>
        <w:t>kontrolní úlohy parlamentů</w:t>
      </w:r>
      <w:r>
        <w:rPr>
          <w:rFonts w:ascii="Times New Roman" w:hAnsi="Times New Roman"/>
          <w:noProof/>
        </w:rPr>
        <w:t xml:space="preserve"> vyžaduje značné úsilí.</w:t>
      </w:r>
      <w:r>
        <w:rPr>
          <w:rFonts w:ascii="Times New Roman" w:hAnsi="Times New Roman"/>
          <w:bCs/>
          <w:noProof/>
        </w:rPr>
        <w:t xml:space="preserve">V Severní Makedonii parlament zlepšil kapacitu dohledu, obnovil svůj systém brzd a protivah a v roce 2018 podstatně omezil využívání </w:t>
      </w:r>
      <w:r>
        <w:rPr>
          <w:rFonts w:ascii="Times New Roman" w:hAnsi="Times New Roman"/>
          <w:b/>
          <w:noProof/>
        </w:rPr>
        <w:t>zkrácených parlamentních</w:t>
      </w:r>
      <w:r>
        <w:rPr>
          <w:rFonts w:ascii="Times New Roman" w:hAnsi="Times New Roman"/>
          <w:b/>
          <w:noProof/>
        </w:rPr>
        <w:t xml:space="preserve"> postupů</w:t>
      </w:r>
      <w:r>
        <w:rPr>
          <w:rFonts w:ascii="Times New Roman" w:hAnsi="Times New Roman"/>
          <w:noProof/>
        </w:rPr>
        <w:t xml:space="preserve"> na 20 %. Tento jev je však i nadále v celém regionu znepokojivý. V Srbsku, kde </w:t>
      </w:r>
      <w:r>
        <w:rPr>
          <w:rFonts w:ascii="Times New Roman" w:hAnsi="Times New Roman"/>
          <w:noProof/>
          <w:color w:val="auto"/>
        </w:rPr>
        <w:t>parlamentní praxe vládnoucí koalice vedla ke zhoršení legislativní debaty a kontroly</w:t>
      </w:r>
      <w:r>
        <w:rPr>
          <w:rFonts w:ascii="Times New Roman" w:hAnsi="Times New Roman"/>
          <w:noProof/>
        </w:rPr>
        <w:t>, dosahuje příslušná míra 44 %.</w:t>
      </w:r>
      <w:r>
        <w:rPr>
          <w:rFonts w:ascii="Times New Roman" w:hAnsi="Times New Roman"/>
          <w:noProof/>
          <w:color w:val="auto"/>
        </w:rPr>
        <w:t xml:space="preserve"> </w:t>
      </w:r>
      <w:r>
        <w:rPr>
          <w:rFonts w:ascii="Times New Roman" w:hAnsi="Times New Roman"/>
          <w:noProof/>
        </w:rPr>
        <w:t>V Černé Hoře musí dočasný mezistranický výbor pro da</w:t>
      </w:r>
      <w:r>
        <w:rPr>
          <w:rFonts w:ascii="Times New Roman" w:hAnsi="Times New Roman"/>
          <w:noProof/>
        </w:rPr>
        <w:t>lší reformu volebních a jiných právních předpisů svůj úkol teprve splnit.</w:t>
      </w:r>
    </w:p>
    <w:p w:rsidR="00BB42EA" w:rsidRDefault="00B004C8">
      <w:pPr>
        <w:pStyle w:val="Default"/>
        <w:spacing w:after="120"/>
        <w:jc w:val="both"/>
        <w:rPr>
          <w:rFonts w:ascii="Times New Roman" w:eastAsia="Calibri" w:hAnsi="Times New Roman"/>
          <w:noProof/>
        </w:rPr>
      </w:pPr>
      <w:r>
        <w:rPr>
          <w:rFonts w:ascii="Times New Roman" w:hAnsi="Times New Roman"/>
          <w:b/>
          <w:noProof/>
        </w:rPr>
        <w:t>Volby</w:t>
      </w:r>
      <w:r>
        <w:rPr>
          <w:noProof/>
        </w:rPr>
        <w:t></w:t>
      </w:r>
      <w:r>
        <w:rPr>
          <w:rFonts w:ascii="Times New Roman" w:hAnsi="Times New Roman"/>
          <w:noProof/>
        </w:rPr>
        <w:t xml:space="preserve">musí být svobodné a spravedlivé a doporučení volebních pozorovatelských misí musí být řádně provedena. Dlouhodobé nedostatky je třeba řešit v průběhu celého volebního cyklu. Pravidla pro veřejné a soukromé financování politických stran vyžadují podstatnou </w:t>
      </w:r>
      <w:r>
        <w:rPr>
          <w:rFonts w:ascii="Times New Roman" w:hAnsi="Times New Roman"/>
          <w:noProof/>
        </w:rPr>
        <w:t xml:space="preserve">reformu. </w:t>
      </w:r>
    </w:p>
    <w:p w:rsidR="00BB42EA" w:rsidRDefault="00B004C8">
      <w:pPr>
        <w:pStyle w:val="Default"/>
        <w:spacing w:after="120"/>
        <w:jc w:val="both"/>
        <w:rPr>
          <w:rFonts w:ascii="Times New Roman" w:hAnsi="Times New Roman"/>
          <w:noProof/>
        </w:rPr>
      </w:pPr>
      <w:r>
        <w:rPr>
          <w:rFonts w:ascii="Times New Roman" w:hAnsi="Times New Roman"/>
          <w:noProof/>
        </w:rPr>
        <w:t xml:space="preserve">Nový prezidentský systém, který v </w:t>
      </w:r>
      <w:r>
        <w:rPr>
          <w:rFonts w:ascii="Times New Roman" w:hAnsi="Times New Roman"/>
          <w:b/>
          <w:noProof/>
        </w:rPr>
        <w:t>Turecku</w:t>
      </w:r>
      <w:r>
        <w:rPr>
          <w:rFonts w:ascii="Times New Roman" w:hAnsi="Times New Roman"/>
          <w:noProof/>
        </w:rPr>
        <w:t xml:space="preserve"> vstoupil v platnost po volbách v červnu 2018, výrazně </w:t>
      </w:r>
      <w:r>
        <w:rPr>
          <w:rFonts w:ascii="Times New Roman" w:hAnsi="Times New Roman"/>
          <w:b/>
          <w:noProof/>
        </w:rPr>
        <w:t>omezil legislativní a kontrolní funkce parlamentu</w:t>
      </w:r>
      <w:r>
        <w:rPr>
          <w:rFonts w:ascii="Times New Roman" w:hAnsi="Times New Roman"/>
          <w:noProof/>
        </w:rPr>
        <w:t>. Neexistuje zde žádný konstruktivní parlamentní dialog ani fungující systém brzd a protivah. Dlouhod</w:t>
      </w:r>
      <w:r>
        <w:rPr>
          <w:rFonts w:ascii="Times New Roman" w:hAnsi="Times New Roman"/>
          <w:noProof/>
        </w:rPr>
        <w:t>obé nedostatky systému poslanecké imunity dosud nebyly vyřešeny. Rozhodnutí Nejvyšší volební rady opakovat volby v Istanbulu a uvést do funkce starostů některých obcí na jihovýchodě země kandidáty, kteří skončili až na druhém místě, vyvolávají vážné znepok</w:t>
      </w:r>
      <w:r>
        <w:rPr>
          <w:rFonts w:ascii="Times New Roman" w:hAnsi="Times New Roman"/>
          <w:noProof/>
        </w:rPr>
        <w:t>ojení, pokud jde o dodržování legality a integrity volebního procesu a nezávislost této instituce na politickém tlaku.</w:t>
      </w:r>
    </w:p>
    <w:p w:rsidR="00BB42EA" w:rsidRDefault="00B004C8">
      <w:pPr>
        <w:keepNext/>
        <w:spacing w:after="120" w:line="240" w:lineRule="auto"/>
        <w:rPr>
          <w:rFonts w:ascii="Times New Roman" w:hAnsi="Times New Roman" w:cs="Times New Roman"/>
          <w:b/>
          <w:noProof/>
          <w:sz w:val="24"/>
          <w:szCs w:val="24"/>
        </w:rPr>
      </w:pPr>
      <w:r>
        <w:rPr>
          <w:rFonts w:ascii="Times New Roman" w:hAnsi="Times New Roman"/>
          <w:b/>
          <w:noProof/>
          <w:sz w:val="24"/>
        </w:rPr>
        <w:t>b) Právní stát a bezpečnost</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b/>
          <w:noProof/>
          <w:sz w:val="24"/>
        </w:rPr>
        <w:t>Právní stát</w:t>
      </w:r>
      <w:r>
        <w:rPr>
          <w:rFonts w:ascii="Times New Roman" w:hAnsi="Times New Roman"/>
          <w:noProof/>
          <w:sz w:val="24"/>
        </w:rPr>
        <w:t xml:space="preserve"> je základním aspektem dobře fungující demokracie. Stojí na svobodných a spravedlivých volbách, do</w:t>
      </w:r>
      <w:r>
        <w:rPr>
          <w:rFonts w:ascii="Times New Roman" w:hAnsi="Times New Roman"/>
          <w:noProof/>
          <w:sz w:val="24"/>
        </w:rPr>
        <w:t xml:space="preserve">bře fungujícím parlamentu, který by měl být schopen plně vykonávat své základní legislativní a kontrolní funkce, a na oddělení pravomocí, a současně na zavedeném fungujícím systému brzd a protivah.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b/>
          <w:noProof/>
          <w:sz w:val="24"/>
        </w:rPr>
        <w:t>Právní stát</w:t>
      </w:r>
      <w:r>
        <w:rPr>
          <w:rFonts w:ascii="Times New Roman" w:hAnsi="Times New Roman"/>
          <w:noProof/>
          <w:sz w:val="24"/>
        </w:rPr>
        <w:t xml:space="preserve"> je pevně a jasně zakotven v procesu přistoupe</w:t>
      </w:r>
      <w:r>
        <w:rPr>
          <w:rFonts w:ascii="Times New Roman" w:hAnsi="Times New Roman"/>
          <w:noProof/>
          <w:sz w:val="24"/>
        </w:rPr>
        <w:t>ní k EU. Je klíčovým aspektem demokratické transformace a zásadním srovnávacím kritériem, na jehož základě EU posuzuje pokrok zemí procesu rozšíření na jejich cestě k členství v EU. Přesvědčivý pokrok v této oblasti však i nadále zůstává značnou výzvou. Ty</w:t>
      </w:r>
      <w:r>
        <w:rPr>
          <w:rFonts w:ascii="Times New Roman" w:hAnsi="Times New Roman"/>
          <w:noProof/>
          <w:sz w:val="24"/>
        </w:rPr>
        <w:t xml:space="preserve">to nedostatky jsou často spojeny s chybějící politickou vůlí, institucionálním odporem a stále nepřátelštějším prostředím pro občanskou společnost. To částečně odráží existenci určitých prvků </w:t>
      </w:r>
      <w:r>
        <w:rPr>
          <w:rFonts w:ascii="Times New Roman" w:hAnsi="Times New Roman"/>
          <w:b/>
          <w:noProof/>
          <w:sz w:val="24"/>
        </w:rPr>
        <w:t>zmocňování se státu</w:t>
      </w:r>
      <w:r>
        <w:rPr>
          <w:rFonts w:ascii="Times New Roman" w:hAnsi="Times New Roman"/>
          <w:noProof/>
          <w:sz w:val="24"/>
        </w:rPr>
        <w:t xml:space="preserve">. V důsledku toho se právní stát stále řádně </w:t>
      </w:r>
      <w:r>
        <w:rPr>
          <w:rFonts w:ascii="Times New Roman" w:hAnsi="Times New Roman"/>
          <w:noProof/>
          <w:sz w:val="24"/>
        </w:rPr>
        <w:t xml:space="preserve">neuplatňuje na všechny úrovně moci. K nápravě nepříznivého vývoje v oblasti právního státu nebyly v Turecku podniknuty žádné kroky. </w:t>
      </w:r>
    </w:p>
    <w:p w:rsidR="00BB42EA" w:rsidRDefault="00B004C8">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rPr>
        <w:t xml:space="preserve">Pro právní stát má klíčový význam dobře fungující a nezávislé </w:t>
      </w:r>
      <w:r>
        <w:rPr>
          <w:rFonts w:ascii="Times New Roman" w:hAnsi="Times New Roman"/>
          <w:b/>
          <w:noProof/>
          <w:sz w:val="24"/>
        </w:rPr>
        <w:t>soudnictví</w:t>
      </w:r>
      <w:r>
        <w:rPr>
          <w:rFonts w:ascii="Times New Roman" w:hAnsi="Times New Roman"/>
          <w:noProof/>
          <w:sz w:val="24"/>
        </w:rPr>
        <w:t>, kde jsou rozhodnutí účinně vykonávána. Albánie do</w:t>
      </w:r>
      <w:r>
        <w:rPr>
          <w:rFonts w:ascii="Times New Roman" w:hAnsi="Times New Roman"/>
          <w:noProof/>
          <w:sz w:val="24"/>
        </w:rPr>
        <w:t xml:space="preserve">sáhla </w:t>
      </w:r>
      <w:r>
        <w:rPr>
          <w:rFonts w:ascii="Times New Roman" w:hAnsi="Times New Roman"/>
          <w:noProof/>
          <w:color w:val="000000" w:themeColor="text1"/>
          <w:sz w:val="24"/>
        </w:rPr>
        <w:t>významného pokroku</w:t>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v reformě svého soudního systému, jež postupuje podle harmonogramu. Cílem zřízení nových justičních orgánů je zaručit nezávislou správu soudnictví. Prověřovací proces přinesl další viditelné výsledky, celkově bylo přijato více než </w:t>
      </w:r>
      <w:r>
        <w:rPr>
          <w:rFonts w:ascii="Times New Roman" w:hAnsi="Times New Roman"/>
          <w:noProof/>
          <w:color w:val="000000" w:themeColor="text1"/>
          <w:sz w:val="24"/>
        </w:rPr>
        <w:t>140 rozhodnutí a všechny prioritní případy byly finalizovány v prvním stupni, což vedlo k propuštění nebo dobrovolnému odchodu 88 posuzovaných soudců. V celém regionu západního Balkánu však reformy trpí pomalým tempem změn v justiční kultuře. V Srbsku dosu</w:t>
      </w:r>
      <w:r>
        <w:rPr>
          <w:rFonts w:ascii="Times New Roman" w:hAnsi="Times New Roman"/>
          <w:noProof/>
          <w:color w:val="000000" w:themeColor="text1"/>
          <w:sz w:val="24"/>
        </w:rPr>
        <w:t xml:space="preserve">d nebyly přijaty změny ústavy, jejichž cílem je sladit ústavu s evropskými normami v oblasti soudnictví. V Turecku stále trval politický tlak a pokračovaly přesuny velkého počtu soudců a státních zástupců proti jejich vůli, což dále oslabovalo nezávislost </w:t>
      </w:r>
      <w:r>
        <w:rPr>
          <w:rFonts w:ascii="Times New Roman" w:hAnsi="Times New Roman"/>
          <w:noProof/>
          <w:color w:val="000000" w:themeColor="text1"/>
          <w:sz w:val="24"/>
        </w:rPr>
        <w:t>tureckého soudnictví.</w:t>
      </w:r>
    </w:p>
    <w:p w:rsidR="00BB42EA" w:rsidRDefault="00B004C8">
      <w:pPr>
        <w:spacing w:after="120" w:line="240" w:lineRule="auto"/>
        <w:jc w:val="both"/>
        <w:rPr>
          <w:rFonts w:ascii="Times New Roman" w:hAnsi="Times New Roman" w:cs="Times New Roman"/>
          <w:noProof/>
          <w:color w:val="FF0000"/>
          <w:sz w:val="24"/>
          <w:szCs w:val="24"/>
        </w:rPr>
      </w:pPr>
      <w:r>
        <w:rPr>
          <w:rStyle w:val="Standaardalinea-lettertype"/>
          <w:rFonts w:ascii="Times New Roman" w:hAnsi="Times New Roman"/>
          <w:noProof/>
          <w:sz w:val="24"/>
        </w:rPr>
        <w:t xml:space="preserve">V zemích západního Balkánu a v Turecku jsou i nadále patrné případy rozsáhlé </w:t>
      </w:r>
      <w:r>
        <w:rPr>
          <w:rStyle w:val="Standaardalinea-lettertype"/>
          <w:rFonts w:ascii="Times New Roman" w:hAnsi="Times New Roman"/>
          <w:b/>
          <w:noProof/>
          <w:sz w:val="24"/>
        </w:rPr>
        <w:t>korupce</w:t>
      </w:r>
      <w:r>
        <w:rPr>
          <w:rStyle w:val="Standaardalinea-lettertype"/>
          <w:rFonts w:ascii="Times New Roman" w:hAnsi="Times New Roman"/>
          <w:noProof/>
          <w:sz w:val="24"/>
        </w:rPr>
        <w:t xml:space="preserve">. Pokrok v úspěšném potírání korupce na vysoké a střední úrovni se napříč regionem různí. Ačkoli některé země, například Severní Makedonie a Albánie, dosáhly pokroku, zůstávají výsledky většiny zemí nepřesvědčivé a vzdálené požadavkům na členství. Korupci </w:t>
      </w:r>
      <w:r>
        <w:rPr>
          <w:rStyle w:val="Standaardalinea-lettertype"/>
          <w:rFonts w:ascii="Times New Roman" w:hAnsi="Times New Roman"/>
          <w:noProof/>
          <w:sz w:val="24"/>
        </w:rPr>
        <w:t xml:space="preserve">na vysoké úrovni a politickou korupci je třeba řešit jasnějším a jednotnějším způsobem. </w:t>
      </w:r>
      <w:r>
        <w:rPr>
          <w:rFonts w:ascii="Times New Roman" w:hAnsi="Times New Roman"/>
          <w:noProof/>
          <w:sz w:val="24"/>
        </w:rPr>
        <w:t xml:space="preserve">Hmatatelné výsledky v boji proti korupci jsou zapotřebí také pro stabilní a transparentní podnikatelské prostředí a ke zmírňování skutečných hrozeb pro </w:t>
      </w:r>
      <w:r>
        <w:rPr>
          <w:rStyle w:val="Standaardalinea-lettertype"/>
          <w:rFonts w:ascii="Times New Roman" w:hAnsi="Times New Roman"/>
          <w:noProof/>
          <w:sz w:val="24"/>
        </w:rPr>
        <w:t>demokratické str</w:t>
      </w:r>
      <w:r>
        <w:rPr>
          <w:rStyle w:val="Standaardalinea-lettertype"/>
          <w:rFonts w:ascii="Times New Roman" w:hAnsi="Times New Roman"/>
          <w:noProof/>
          <w:sz w:val="24"/>
        </w:rPr>
        <w:t xml:space="preserve">uktury. </w:t>
      </w:r>
      <w:r>
        <w:rPr>
          <w:rFonts w:ascii="Times New Roman" w:hAnsi="Times New Roman"/>
          <w:noProof/>
          <w:sz w:val="24"/>
        </w:rPr>
        <w:t xml:space="preserve">Oblastí zvláště náchylnou k rozšířené korupci zůstává </w:t>
      </w:r>
      <w:r>
        <w:rPr>
          <w:rFonts w:ascii="Times New Roman" w:hAnsi="Times New Roman"/>
          <w:b/>
          <w:noProof/>
          <w:sz w:val="24"/>
        </w:rPr>
        <w:t>zadávání veřejných zakázek</w:t>
      </w:r>
      <w:r>
        <w:rPr>
          <w:rFonts w:ascii="Times New Roman" w:hAnsi="Times New Roman"/>
          <w:noProof/>
          <w:sz w:val="24"/>
        </w:rPr>
        <w:t xml:space="preserve">. Pomocí důrazných a ambiciózních opatření je potřeba posílit kontrolní mechanismy v celém procesu zadávání veřejných zakázek a podstatně zvýšit transparentnost. </w:t>
      </w:r>
    </w:p>
    <w:p w:rsidR="00BB42EA" w:rsidRDefault="00B004C8">
      <w:pPr>
        <w:autoSpaceDE w:val="0"/>
        <w:autoSpaceDN w:val="0"/>
        <w:adjustRightInd w:val="0"/>
        <w:spacing w:after="120" w:line="240" w:lineRule="auto"/>
        <w:jc w:val="both"/>
        <w:rPr>
          <w:rFonts w:ascii="Times New Roman" w:hAnsi="Times New Roman" w:cs="Times New Roman"/>
          <w:iCs/>
          <w:noProof/>
          <w:sz w:val="24"/>
          <w:szCs w:val="24"/>
        </w:rPr>
      </w:pPr>
      <w:r>
        <w:rPr>
          <w:rFonts w:ascii="Times New Roman" w:hAnsi="Times New Roman"/>
          <w:noProof/>
          <w:sz w:val="24"/>
        </w:rPr>
        <w:t>Velmi</w:t>
      </w:r>
      <w:r>
        <w:rPr>
          <w:rFonts w:ascii="Times New Roman" w:hAnsi="Times New Roman"/>
          <w:noProof/>
          <w:sz w:val="24"/>
        </w:rPr>
        <w:t xml:space="preserve"> vážným problémem v zemích západního Balkánu a v Turecku i nadále zůstává </w:t>
      </w:r>
      <w:r>
        <w:rPr>
          <w:rFonts w:ascii="Times New Roman" w:hAnsi="Times New Roman"/>
          <w:b/>
          <w:noProof/>
          <w:sz w:val="24"/>
        </w:rPr>
        <w:t>organizovaná trestná činnost</w:t>
      </w:r>
      <w:r>
        <w:rPr>
          <w:rFonts w:ascii="Times New Roman" w:hAnsi="Times New Roman"/>
          <w:noProof/>
          <w:sz w:val="24"/>
        </w:rPr>
        <w:t>. Tureckem i západním Balkánem procházejí důležité převaděčské trasy. Z těchto zemí a přes ně stále působí mocné zločinecké sítě s mezinárodním dosahem. N</w:t>
      </w:r>
      <w:r>
        <w:rPr>
          <w:rFonts w:ascii="Times New Roman" w:hAnsi="Times New Roman"/>
          <w:noProof/>
          <w:sz w:val="24"/>
        </w:rPr>
        <w:t>ěkterými aspekty tohoto jevu se země zabývaly a v průběhu roku 2018 byly hlášeny významná zatčení a záchyty drog. Operativní spolupráce, mimo jiné s agenturami EU, nabyla na intenzitě, zejména s Albánií, a v praxi přináší viditelné výsledky. Obecně však zů</w:t>
      </w:r>
      <w:r>
        <w:rPr>
          <w:rFonts w:ascii="Times New Roman" w:hAnsi="Times New Roman"/>
          <w:noProof/>
          <w:sz w:val="24"/>
        </w:rPr>
        <w:t xml:space="preserve">stávají </w:t>
      </w:r>
      <w:r>
        <w:rPr>
          <w:rFonts w:ascii="Times New Roman" w:hAnsi="Times New Roman"/>
          <w:b/>
          <w:noProof/>
          <w:sz w:val="24"/>
        </w:rPr>
        <w:t>dosavadní výsledky</w:t>
      </w:r>
      <w:r>
        <w:rPr>
          <w:rFonts w:ascii="Times New Roman" w:hAnsi="Times New Roman"/>
          <w:noProof/>
          <w:sz w:val="24"/>
        </w:rPr>
        <w:t xml:space="preserve"> v oblasti </w:t>
      </w:r>
      <w:r>
        <w:rPr>
          <w:rFonts w:ascii="Times New Roman" w:hAnsi="Times New Roman"/>
          <w:b/>
          <w:noProof/>
          <w:sz w:val="24"/>
        </w:rPr>
        <w:t>pravomocných odsouzení</w:t>
      </w:r>
      <w:r>
        <w:rPr>
          <w:rFonts w:ascii="Times New Roman" w:hAnsi="Times New Roman"/>
          <w:noProof/>
          <w:sz w:val="24"/>
        </w:rPr>
        <w:t xml:space="preserve"> za organizovanou trestnou činnost často slabé. Některé země mohou za poslední roky doložit maximálně hrstku pravomocných odsouzení za organizovanou trestnou činnost nebo praní peněz. Takové slabé </w:t>
      </w:r>
      <w:r>
        <w:rPr>
          <w:rFonts w:ascii="Times New Roman" w:hAnsi="Times New Roman"/>
          <w:noProof/>
          <w:sz w:val="24"/>
        </w:rPr>
        <w:t>výsledky poukazují na neúčinnost trestních řízení, výrazně signalizují beztrestnost a přispívají k riziku pronikání trestné činnosti do politických a ekonomických systémů. Země musí rovněž výrazně zvýšit</w:t>
      </w:r>
      <w:r>
        <w:rPr>
          <w:rFonts w:ascii="Times New Roman" w:hAnsi="Times New Roman"/>
          <w:b/>
          <w:noProof/>
          <w:sz w:val="24"/>
        </w:rPr>
        <w:t xml:space="preserve"> zadržování a konfiskaci majetku</w:t>
      </w:r>
      <w:r>
        <w:rPr>
          <w:rFonts w:ascii="Times New Roman" w:hAnsi="Times New Roman"/>
          <w:noProof/>
          <w:sz w:val="24"/>
        </w:rPr>
        <w:t xml:space="preserve"> v případech organizo</w:t>
      </w:r>
      <w:r>
        <w:rPr>
          <w:rFonts w:ascii="Times New Roman" w:hAnsi="Times New Roman"/>
          <w:noProof/>
          <w:sz w:val="24"/>
        </w:rPr>
        <w:t xml:space="preserve">vané trestné činnosti a korupce a energičtěji postupovat proti zločineckým skupinám. </w:t>
      </w:r>
    </w:p>
    <w:p w:rsidR="00BB42EA" w:rsidRDefault="00B004C8">
      <w:pPr>
        <w:spacing w:after="120" w:line="240" w:lineRule="auto"/>
        <w:jc w:val="both"/>
        <w:rPr>
          <w:rFonts w:ascii="Times New Roman" w:eastAsia="Arial Unicode MS" w:hAnsi="Times New Roman" w:cs="Times New Roman"/>
          <w:noProof/>
          <w:color w:val="000000" w:themeColor="text1"/>
          <w:sz w:val="24"/>
          <w:szCs w:val="24"/>
        </w:rPr>
      </w:pPr>
      <w:r>
        <w:rPr>
          <w:rStyle w:val="AucunA"/>
          <w:rFonts w:ascii="Times New Roman" w:hAnsi="Times New Roman"/>
          <w:noProof/>
          <w:sz w:val="24"/>
        </w:rPr>
        <w:t xml:space="preserve">Pokud jde o </w:t>
      </w:r>
      <w:r>
        <w:rPr>
          <w:rStyle w:val="AucunA"/>
          <w:rFonts w:ascii="Times New Roman" w:hAnsi="Times New Roman"/>
          <w:b/>
          <w:noProof/>
          <w:sz w:val="24"/>
        </w:rPr>
        <w:t>boj proti terorismu</w:t>
      </w:r>
      <w:r>
        <w:rPr>
          <w:rStyle w:val="AucunA"/>
          <w:rFonts w:ascii="Times New Roman" w:hAnsi="Times New Roman"/>
          <w:noProof/>
          <w:sz w:val="24"/>
        </w:rPr>
        <w:t>, země západního Balkánu podnikly v posledních letech důležité kroky k modernizaci právního a institucionálního rámce.</w:t>
      </w:r>
      <w:r>
        <w:rPr>
          <w:rStyle w:val="AucunA"/>
          <w:rFonts w:ascii="Times New Roman" w:hAnsi="Times New Roman"/>
          <w:b/>
          <w:noProof/>
          <w:sz w:val="24"/>
        </w:rPr>
        <w:t xml:space="preserve"> </w:t>
      </w:r>
      <w:r>
        <w:rPr>
          <w:rStyle w:val="AucunA"/>
          <w:rFonts w:ascii="Times New Roman" w:hAnsi="Times New Roman"/>
          <w:noProof/>
          <w:sz w:val="24"/>
        </w:rPr>
        <w:t>Operativní spoluprác</w:t>
      </w:r>
      <w:r>
        <w:rPr>
          <w:rStyle w:val="AucunA"/>
          <w:rFonts w:ascii="Times New Roman" w:hAnsi="Times New Roman"/>
          <w:noProof/>
          <w:sz w:val="24"/>
        </w:rPr>
        <w:t xml:space="preserve">e s členskými státy EU a agenturami EU se i nadále zlepšovala a prohlubovala. </w:t>
      </w:r>
      <w:r>
        <w:rPr>
          <w:rFonts w:ascii="Times New Roman" w:hAnsi="Times New Roman"/>
          <w:noProof/>
          <w:sz w:val="24"/>
        </w:rPr>
        <w:t xml:space="preserve">Všechny země západního Balkánu se aktivně účastní iniciativy EU pro boj proti terorismu na západním Balkánu (WBCTi). Nicméně </w:t>
      </w:r>
      <w:r>
        <w:rPr>
          <w:rFonts w:ascii="Times New Roman" w:hAnsi="Times New Roman"/>
          <w:noProof/>
          <w:color w:val="000000" w:themeColor="text1"/>
          <w:sz w:val="24"/>
        </w:rPr>
        <w:t>většina zemí ještě musí zvýšit své úsilí za účelem ře</w:t>
      </w:r>
      <w:r>
        <w:rPr>
          <w:rFonts w:ascii="Times New Roman" w:hAnsi="Times New Roman"/>
          <w:noProof/>
          <w:color w:val="000000" w:themeColor="text1"/>
          <w:sz w:val="24"/>
        </w:rPr>
        <w:t>šení otázky navracejících se zahraničních bojovníků a prevence extremismu a radikalizace, a to i ve věznicích. Je třeba posílit online monitorování a zlepšit kapacity pro odezvu. Aktivní sledování finančních toků by mělo být zasazeno do strategičtějšího př</w:t>
      </w:r>
      <w:r>
        <w:rPr>
          <w:rFonts w:ascii="Times New Roman" w:hAnsi="Times New Roman"/>
          <w:noProof/>
          <w:color w:val="000000" w:themeColor="text1"/>
          <w:sz w:val="24"/>
        </w:rPr>
        <w:t xml:space="preserve">ístupu zaměřeného proti praní peněz a financování terorismu. </w:t>
      </w:r>
      <w:r>
        <w:rPr>
          <w:rStyle w:val="AucunA"/>
          <w:rFonts w:ascii="Times New Roman" w:hAnsi="Times New Roman"/>
          <w:noProof/>
          <w:sz w:val="24"/>
        </w:rPr>
        <w:t xml:space="preserve">Turecko musí své protiteroristické právní předpisy revidovat. </w:t>
      </w:r>
      <w:r>
        <w:rPr>
          <w:rFonts w:ascii="Times New Roman" w:hAnsi="Times New Roman"/>
          <w:noProof/>
          <w:sz w:val="24"/>
        </w:rPr>
        <w:t>Ačkoli má Turecko legitimní právo proti terorismu bojovat, je rovněž odpovědné za to, že se tak děje v souladu se zásadami právního s</w:t>
      </w:r>
      <w:r>
        <w:rPr>
          <w:rFonts w:ascii="Times New Roman" w:hAnsi="Times New Roman"/>
          <w:noProof/>
          <w:sz w:val="24"/>
        </w:rPr>
        <w:t xml:space="preserve">tátu, lidskými právy a základními svobodami. Protiteroristická opatření musí být přiměřená. </w:t>
      </w:r>
    </w:p>
    <w:p w:rsidR="00BB42EA" w:rsidRDefault="00B004C8">
      <w:pPr>
        <w:spacing w:after="120" w:line="240" w:lineRule="auto"/>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Je naléhavě nutné </w:t>
      </w:r>
      <w:r>
        <w:rPr>
          <w:rFonts w:ascii="Times New Roman" w:hAnsi="Times New Roman"/>
          <w:b/>
          <w:noProof/>
          <w:color w:val="000000" w:themeColor="text1"/>
          <w:sz w:val="24"/>
        </w:rPr>
        <w:t>důrazněji a přesvědčivěji</w:t>
      </w:r>
      <w:r>
        <w:rPr>
          <w:rFonts w:ascii="Times New Roman" w:hAnsi="Times New Roman"/>
          <w:noProof/>
          <w:color w:val="000000" w:themeColor="text1"/>
          <w:sz w:val="24"/>
        </w:rPr>
        <w:t xml:space="preserve"> provádět reformy v oblasti právního státu. To je nejdůležitější podmínkou pro to, aby se jednotlivé země západního Balk</w:t>
      </w:r>
      <w:r>
        <w:rPr>
          <w:rFonts w:ascii="Times New Roman" w:hAnsi="Times New Roman"/>
          <w:noProof/>
          <w:color w:val="000000" w:themeColor="text1"/>
          <w:sz w:val="24"/>
        </w:rPr>
        <w:t xml:space="preserve">ánu posunuly ve svém evropském směřování vpřed, a v případě Černé Hory a Srbska to mimo jiné zahrnuje splnění prozatímních kritérií v přístupových jednáních o kapitolách 23 a 24 týkajících se právního státu. </w:t>
      </w:r>
    </w:p>
    <w:p w:rsidR="00BB42EA" w:rsidRDefault="00B004C8">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Jakmile budou prozatímní kritéria splněna, bude</w:t>
      </w:r>
      <w:r>
        <w:rPr>
          <w:rFonts w:ascii="Times New Roman" w:hAnsi="Times New Roman"/>
          <w:noProof/>
          <w:color w:val="000000" w:themeColor="text1"/>
          <w:sz w:val="24"/>
        </w:rPr>
        <w:t xml:space="preserve"> EU moci stanovit kritéria pro uzavření jednání a v rámci toho jasně definovat požadavky týkající se právního státu, které musí země jednající o přistoupení nakonec splnit, aby byly v této klíčové oblasti připraveny na členství v EU. </w:t>
      </w:r>
      <w:r>
        <w:rPr>
          <w:rFonts w:ascii="Times New Roman" w:hAnsi="Times New Roman"/>
          <w:noProof/>
          <w:sz w:val="24"/>
        </w:rPr>
        <w:t>Černá Hora je první ze</w:t>
      </w:r>
      <w:r>
        <w:rPr>
          <w:rFonts w:ascii="Times New Roman" w:hAnsi="Times New Roman"/>
          <w:noProof/>
          <w:sz w:val="24"/>
        </w:rPr>
        <w:t>mí jednající o přistoupení, která by této fáze mohla dosáhnout, pokud vyřeší nedostatky v zásadních oblastech svobody sdělovacích prostředků, boje proti korupci a obchodování s lidmi.</w:t>
      </w:r>
    </w:p>
    <w:p w:rsidR="00BB42EA" w:rsidRDefault="00B004C8">
      <w:pPr>
        <w:spacing w:after="120" w:line="240" w:lineRule="auto"/>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V případě právního státu je smyslem prozatímních kritérií v první řadě z</w:t>
      </w:r>
      <w:r>
        <w:rPr>
          <w:rFonts w:ascii="Times New Roman" w:hAnsi="Times New Roman"/>
          <w:noProof/>
          <w:color w:val="000000" w:themeColor="text1"/>
          <w:sz w:val="24"/>
        </w:rPr>
        <w:t>ajistit, aby dotčená země měla zavedeno institucionální a legislativní uspořádání a aby bylo v provádění dosaženo prvotních výsledků. Jakmile bude tento rámec zaveden,</w:t>
      </w:r>
      <w:r>
        <w:rPr>
          <w:rFonts w:ascii="Times New Roman" w:hAnsi="Times New Roman"/>
          <w:noProof/>
          <w:sz w:val="24"/>
        </w:rPr>
        <w:t xml:space="preserve"> navrhne Komise členským státům EU kritéria pro uzavření jednání</w:t>
      </w:r>
      <w:r>
        <w:rPr>
          <w:noProof/>
        </w:rPr>
        <w:t>.</w:t>
      </w:r>
      <w:r>
        <w:rPr>
          <w:rFonts w:ascii="Times New Roman" w:hAnsi="Times New Roman"/>
          <w:noProof/>
          <w:sz w:val="24"/>
        </w:rPr>
        <w:t xml:space="preserve"> Tato kritéria by se zam</w:t>
      </w:r>
      <w:r>
        <w:rPr>
          <w:rFonts w:ascii="Times New Roman" w:hAnsi="Times New Roman"/>
          <w:noProof/>
          <w:sz w:val="24"/>
        </w:rPr>
        <w:t>ěřila především na docílení hmatatelných výsledků a na dosažení přesvědčivých, věrohodných a udržitelných úspěchů v oblasti provádění.</w:t>
      </w:r>
      <w:r>
        <w:rPr>
          <w:rFonts w:ascii="Times New Roman" w:hAnsi="Times New Roman"/>
          <w:noProof/>
          <w:color w:val="000000" w:themeColor="text1"/>
          <w:sz w:val="24"/>
        </w:rPr>
        <w:t xml:space="preserve"> </w:t>
      </w:r>
    </w:p>
    <w:p w:rsidR="00BB42EA" w:rsidRDefault="00B004C8">
      <w:pPr>
        <w:keepNext/>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c) Základní práva </w:t>
      </w:r>
    </w:p>
    <w:p w:rsidR="00BB42EA" w:rsidRDefault="00B004C8">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rPr>
        <w:t>Základní práva</w:t>
      </w:r>
      <w:r>
        <w:rPr>
          <w:noProof/>
        </w:rPr>
        <w:t xml:space="preserve"> </w:t>
      </w:r>
      <w:r>
        <w:rPr>
          <w:rFonts w:ascii="Times New Roman" w:hAnsi="Times New Roman"/>
          <w:noProof/>
          <w:color w:val="000000"/>
          <w:sz w:val="24"/>
        </w:rPr>
        <w:t>jsou v právních předpisech zemí západního Balkánu do značné míry zakotvena. Je však třeba vyvinout značné úsilí, aby se posílilo jejich provádění. V Turecku bylo ve sledovaném období patrné pokračující silné zhoršování situace, pokud jde o klíčová lidská p</w:t>
      </w:r>
      <w:r>
        <w:rPr>
          <w:rFonts w:ascii="Times New Roman" w:hAnsi="Times New Roman"/>
          <w:noProof/>
          <w:color w:val="000000"/>
          <w:sz w:val="24"/>
        </w:rPr>
        <w:t xml:space="preserve">ráva. </w:t>
      </w:r>
    </w:p>
    <w:p w:rsidR="00BB42EA" w:rsidRDefault="00B004C8">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V celém regionu vzbuzuje rostoucí znepokojení vývoj v oblasti </w:t>
      </w:r>
      <w:r>
        <w:rPr>
          <w:rFonts w:ascii="Times New Roman" w:hAnsi="Times New Roman"/>
          <w:b/>
          <w:noProof/>
          <w:color w:val="000000"/>
          <w:sz w:val="24"/>
        </w:rPr>
        <w:t>svobody projevu</w:t>
      </w:r>
      <w:r>
        <w:rPr>
          <w:rFonts w:ascii="Times New Roman" w:hAnsi="Times New Roman"/>
          <w:noProof/>
          <w:color w:val="000000"/>
          <w:sz w:val="24"/>
        </w:rPr>
        <w:t xml:space="preserve"> a nezávislosti sdělovacích prostředků. Situace se výrazně zhoršila v </w:t>
      </w:r>
      <w:r>
        <w:rPr>
          <w:rFonts w:ascii="Times New Roman" w:hAnsi="Times New Roman"/>
          <w:b/>
          <w:noProof/>
          <w:color w:val="000000"/>
          <w:sz w:val="24"/>
        </w:rPr>
        <w:t>Turecku</w:t>
      </w:r>
      <w:r>
        <w:rPr>
          <w:rFonts w:ascii="Times New Roman" w:hAnsi="Times New Roman"/>
          <w:noProof/>
          <w:color w:val="000000"/>
          <w:sz w:val="24"/>
        </w:rPr>
        <w:t>, kde</w:t>
      </w:r>
      <w:r>
        <w:rPr>
          <w:rFonts w:ascii="Times New Roman" w:hAnsi="Times New Roman"/>
          <w:noProof/>
          <w:sz w:val="24"/>
        </w:rPr>
        <w:t xml:space="preserve"> došlo k podstatnému omezení svobody projevu a uvězněno zůstává </w:t>
      </w:r>
      <w:r>
        <w:rPr>
          <w:rFonts w:ascii="Times New Roman" w:hAnsi="Times New Roman"/>
          <w:noProof/>
          <w:color w:val="000000"/>
          <w:sz w:val="24"/>
        </w:rPr>
        <w:t xml:space="preserve">přes 160 novinářů, což je </w:t>
      </w:r>
      <w:r>
        <w:rPr>
          <w:rFonts w:ascii="Times New Roman" w:hAnsi="Times New Roman"/>
          <w:noProof/>
          <w:color w:val="000000"/>
          <w:sz w:val="24"/>
        </w:rPr>
        <w:t>jedno z nejvyšších čísel na světě.</w:t>
      </w:r>
    </w:p>
    <w:p w:rsidR="00BB42EA" w:rsidRDefault="00B004C8">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V zemích </w:t>
      </w:r>
      <w:r>
        <w:rPr>
          <w:rFonts w:ascii="Times New Roman" w:hAnsi="Times New Roman"/>
          <w:b/>
          <w:noProof/>
          <w:color w:val="000000"/>
          <w:sz w:val="24"/>
        </w:rPr>
        <w:t>západního Balkánu</w:t>
      </w:r>
      <w:r>
        <w:rPr>
          <w:rFonts w:ascii="Times New Roman" w:hAnsi="Times New Roman"/>
          <w:noProof/>
          <w:color w:val="000000"/>
          <w:sz w:val="24"/>
        </w:rPr>
        <w:t xml:space="preserve"> bylo zaznamenáno velmi omezené úsilí. </w:t>
      </w:r>
      <w:r>
        <w:rPr>
          <w:rFonts w:ascii="Times New Roman" w:hAnsi="Times New Roman"/>
          <w:noProof/>
          <w:sz w:val="24"/>
        </w:rPr>
        <w:t xml:space="preserve">Obecně </w:t>
      </w:r>
      <w:r>
        <w:rPr>
          <w:rFonts w:ascii="Times New Roman" w:hAnsi="Times New Roman"/>
          <w:noProof/>
          <w:color w:val="000000"/>
          <w:sz w:val="24"/>
        </w:rPr>
        <w:t>pokračovalo fyzické a verbální zastrašování a vyšetřování a stíhání zůstávají pomalá. Ve všech zemích tohoto regionu jsou běžné snahy o ovlivňování n</w:t>
      </w:r>
      <w:r>
        <w:rPr>
          <w:rFonts w:ascii="Times New Roman" w:hAnsi="Times New Roman"/>
          <w:noProof/>
          <w:color w:val="000000"/>
          <w:sz w:val="24"/>
        </w:rPr>
        <w:t>ezávislosti veřejnoprávního vysílání, netransparentní veřejné a soukromé financování sdělovacích prostředků a narušený reklamní trh. Pro podnikatelské prostředí v oblasti sdělovacích prostředků je rovněž typické časté politické zasahování a neprůhledné vla</w:t>
      </w:r>
      <w:r>
        <w:rPr>
          <w:rFonts w:ascii="Times New Roman" w:hAnsi="Times New Roman"/>
          <w:noProof/>
          <w:color w:val="000000"/>
          <w:sz w:val="24"/>
        </w:rPr>
        <w:t xml:space="preserve">stnictví sdělovacích prostředků podkopávající udržitelnost nezávislých sdělovacích prostředků. EU nadále silně podporuje místní organizace občanské společnosti, obránce lidských práv, novináře a nezávislé sdělovací prostředky. </w:t>
      </w:r>
    </w:p>
    <w:p w:rsidR="00BB42EA" w:rsidRDefault="00B004C8">
      <w:pPr>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Účinné řešení porušování </w:t>
      </w:r>
      <w:r>
        <w:rPr>
          <w:rFonts w:ascii="Times New Roman" w:hAnsi="Times New Roman"/>
          <w:b/>
          <w:noProof/>
          <w:color w:val="000000"/>
          <w:sz w:val="24"/>
        </w:rPr>
        <w:t>prá</w:t>
      </w:r>
      <w:r>
        <w:rPr>
          <w:rFonts w:ascii="Times New Roman" w:hAnsi="Times New Roman"/>
          <w:b/>
          <w:noProof/>
          <w:color w:val="000000"/>
          <w:sz w:val="24"/>
        </w:rPr>
        <w:t>v dětí</w:t>
      </w:r>
      <w:r>
        <w:rPr>
          <w:rFonts w:ascii="Times New Roman" w:hAnsi="Times New Roman"/>
          <w:noProof/>
          <w:color w:val="000000"/>
          <w:sz w:val="24"/>
        </w:rPr>
        <w:t xml:space="preserve"> vyžaduje na západním Balkánu a v Turecku zvýšené úsilí. Vlády se musí rovněž zabývat diskriminací </w:t>
      </w:r>
      <w:r>
        <w:rPr>
          <w:rFonts w:ascii="Times New Roman" w:hAnsi="Times New Roman"/>
          <w:b/>
          <w:noProof/>
          <w:color w:val="000000"/>
          <w:sz w:val="24"/>
        </w:rPr>
        <w:t>osob se zdravotním postižením</w:t>
      </w:r>
      <w:r>
        <w:rPr>
          <w:rFonts w:ascii="Times New Roman" w:hAnsi="Times New Roman"/>
          <w:noProof/>
          <w:color w:val="000000"/>
          <w:sz w:val="24"/>
        </w:rPr>
        <w:t xml:space="preserve">, </w:t>
      </w:r>
      <w:r>
        <w:rPr>
          <w:rFonts w:ascii="Times New Roman" w:hAnsi="Times New Roman"/>
          <w:b/>
          <w:noProof/>
          <w:color w:val="000000"/>
          <w:sz w:val="24"/>
        </w:rPr>
        <w:t>menšin</w:t>
      </w:r>
      <w:r>
        <w:rPr>
          <w:rFonts w:ascii="Times New Roman" w:hAnsi="Times New Roman"/>
          <w:noProof/>
          <w:color w:val="000000"/>
          <w:sz w:val="24"/>
        </w:rPr>
        <w:t xml:space="preserve"> a dalších zranitelných skupin. Dále je zapotřebí většího úsilí k zajištění </w:t>
      </w:r>
      <w:r>
        <w:rPr>
          <w:rFonts w:ascii="Times New Roman" w:hAnsi="Times New Roman"/>
          <w:b/>
          <w:noProof/>
          <w:color w:val="000000"/>
          <w:sz w:val="24"/>
        </w:rPr>
        <w:t>genderové rovnosti</w:t>
      </w:r>
      <w:r>
        <w:rPr>
          <w:rFonts w:ascii="Times New Roman" w:hAnsi="Times New Roman"/>
          <w:noProof/>
          <w:color w:val="000000"/>
          <w:sz w:val="24"/>
        </w:rPr>
        <w:t xml:space="preserve"> a k prevenci a řeše</w:t>
      </w:r>
      <w:r>
        <w:rPr>
          <w:rFonts w:ascii="Times New Roman" w:hAnsi="Times New Roman"/>
          <w:noProof/>
          <w:color w:val="000000"/>
          <w:sz w:val="24"/>
        </w:rPr>
        <w:t>ní diskriminace žen a násilí páchaného na ženách. V oblasti práv leseb, gayů, bisexuálů a transgender a intersexuálních osob v zemích západního Balkánu bylo dosaženo pokroku. K vypořádání se s diskriminací, a zejména s nenávistnými verbálními projevy a nás</w:t>
      </w:r>
      <w:r>
        <w:rPr>
          <w:rFonts w:ascii="Times New Roman" w:hAnsi="Times New Roman"/>
          <w:noProof/>
          <w:color w:val="000000"/>
          <w:sz w:val="24"/>
        </w:rPr>
        <w:t xml:space="preserve">ilím, je však třeba vyvinout značné úsilí. </w:t>
      </w:r>
      <w:r>
        <w:rPr>
          <w:rFonts w:ascii="Times New Roman" w:hAnsi="Times New Roman"/>
          <w:b/>
          <w:noProof/>
          <w:color w:val="000000"/>
          <w:sz w:val="24"/>
        </w:rPr>
        <w:t>Romové</w:t>
      </w:r>
      <w:r>
        <w:rPr>
          <w:rFonts w:ascii="Times New Roman" w:hAnsi="Times New Roman"/>
          <w:noProof/>
          <w:color w:val="000000"/>
          <w:sz w:val="24"/>
        </w:rPr>
        <w:t xml:space="preserve"> stále čelí sociálnímu vyloučení, marginalizaci a diskriminaci. Stále je třeba zlepšit </w:t>
      </w:r>
      <w:r>
        <w:rPr>
          <w:rFonts w:ascii="Times New Roman" w:hAnsi="Times New Roman"/>
          <w:b/>
          <w:noProof/>
          <w:color w:val="000000"/>
          <w:sz w:val="24"/>
        </w:rPr>
        <w:t>podmínky ve věznicích</w:t>
      </w:r>
      <w:r>
        <w:rPr>
          <w:rFonts w:ascii="Times New Roman" w:hAnsi="Times New Roman"/>
          <w:noProof/>
          <w:color w:val="000000"/>
          <w:sz w:val="24"/>
        </w:rPr>
        <w:t xml:space="preserve">. V Turecku zůstala i přes ukončení výjimečného stavu v platnosti většina opatření, jež byla během </w:t>
      </w:r>
      <w:r>
        <w:rPr>
          <w:rFonts w:ascii="Times New Roman" w:hAnsi="Times New Roman"/>
          <w:noProof/>
          <w:color w:val="000000"/>
          <w:sz w:val="24"/>
        </w:rPr>
        <w:t xml:space="preserve">výjimečného stavu zavedena, včetně těch, jež omezují klíčová </w:t>
      </w:r>
      <w:r>
        <w:rPr>
          <w:rFonts w:ascii="Times New Roman" w:hAnsi="Times New Roman"/>
          <w:b/>
          <w:noProof/>
          <w:color w:val="000000"/>
          <w:sz w:val="24"/>
        </w:rPr>
        <w:t>procesní práva</w:t>
      </w:r>
      <w:r>
        <w:rPr>
          <w:rFonts w:ascii="Times New Roman" w:hAnsi="Times New Roman"/>
          <w:noProof/>
          <w:color w:val="000000"/>
          <w:sz w:val="24"/>
        </w:rPr>
        <w:t xml:space="preserve">, jako například práva na obhajobu a právo na účinnou právní ochranu. </w:t>
      </w:r>
    </w:p>
    <w:p w:rsidR="00BB42EA" w:rsidRDefault="00B004C8">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d) Reforma veřejné správy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b/>
          <w:noProof/>
          <w:sz w:val="24"/>
        </w:rPr>
        <w:t>Reforma veřejné</w:t>
      </w:r>
      <w:r>
        <w:rPr>
          <w:noProof/>
        </w:rPr>
        <w:t xml:space="preserve"> </w:t>
      </w:r>
      <w:r>
        <w:rPr>
          <w:rFonts w:ascii="Times New Roman" w:hAnsi="Times New Roman"/>
          <w:b/>
          <w:noProof/>
          <w:sz w:val="24"/>
        </w:rPr>
        <w:t>správy</w:t>
      </w:r>
      <w:r>
        <w:rPr>
          <w:rFonts w:ascii="Times New Roman" w:hAnsi="Times New Roman"/>
          <w:noProof/>
          <w:sz w:val="24"/>
        </w:rPr>
        <w:t xml:space="preserve"> má zásadní význam pro zlepšení správy na všech úrovních. K tomu patří kvalita a odpovědnost veřejné správy, profesionalizace veřejné služby a její odpolitizování, řádná správa veřejných financí a zajištění kvalitních služeb pro občany a podniky. V této ob</w:t>
      </w:r>
      <w:r>
        <w:rPr>
          <w:rFonts w:ascii="Times New Roman" w:hAnsi="Times New Roman"/>
          <w:noProof/>
          <w:sz w:val="24"/>
        </w:rPr>
        <w:t xml:space="preserve">lasti dosáhl západní Balkán mírného pokroku. V Turecku se v důsledku velké restrukturalizace systému veřejné správy a veřejné služby prostřednictvím prezidentských dekretů </w:t>
      </w:r>
      <w:r>
        <w:rPr>
          <w:rFonts w:ascii="Times New Roman" w:hAnsi="Times New Roman"/>
          <w:noProof/>
          <w:color w:val="000000"/>
          <w:sz w:val="24"/>
        </w:rPr>
        <w:t>výrazně zhoršila situace v oblasti veřejné služby, což rovněž ovlivnilo plánování a </w:t>
      </w:r>
      <w:r>
        <w:rPr>
          <w:rFonts w:ascii="Times New Roman" w:hAnsi="Times New Roman"/>
          <w:noProof/>
          <w:color w:val="000000"/>
          <w:sz w:val="24"/>
        </w:rPr>
        <w:t>odpovědnost politik</w:t>
      </w:r>
      <w:r>
        <w:rPr>
          <w:rFonts w:ascii="Times New Roman" w:hAnsi="Times New Roman"/>
          <w:noProof/>
          <w:sz w:val="24"/>
        </w:rPr>
        <w:t>.</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Při zlepšování </w:t>
      </w:r>
      <w:r>
        <w:rPr>
          <w:rFonts w:ascii="Times New Roman" w:hAnsi="Times New Roman"/>
          <w:b/>
          <w:noProof/>
          <w:sz w:val="24"/>
        </w:rPr>
        <w:t>plánování politik</w:t>
      </w:r>
      <w:r>
        <w:rPr>
          <w:rFonts w:ascii="Times New Roman" w:hAnsi="Times New Roman"/>
          <w:noProof/>
          <w:sz w:val="24"/>
        </w:rPr>
        <w:t xml:space="preserve"> bylo dosaženo určitého pokroku, ale k zajištění přesvědčivé kontroly kvality ze strany ústředních vládních institucí je třeba dalšího úsilí. Politiky, právní předpisy a veřejné investice se stále často </w:t>
      </w:r>
      <w:r>
        <w:rPr>
          <w:rFonts w:ascii="Times New Roman" w:hAnsi="Times New Roman"/>
          <w:noProof/>
          <w:sz w:val="24"/>
        </w:rPr>
        <w:t xml:space="preserve">připravují bez posouzení dopadů a bez interinstitucionálních a veřejných konzultací. K zajištění transparentního a účinného </w:t>
      </w:r>
      <w:r>
        <w:rPr>
          <w:rFonts w:ascii="Times New Roman" w:hAnsi="Times New Roman"/>
          <w:b/>
          <w:noProof/>
          <w:sz w:val="24"/>
        </w:rPr>
        <w:t>zadávání veřejných zakázek</w:t>
      </w:r>
      <w:r>
        <w:rPr>
          <w:rFonts w:ascii="Times New Roman" w:hAnsi="Times New Roman"/>
          <w:noProof/>
          <w:sz w:val="24"/>
        </w:rPr>
        <w:t xml:space="preserve"> je zapotřebí značné úsilí.</w:t>
      </w:r>
      <w:r>
        <w:rPr>
          <w:rFonts w:ascii="Times New Roman" w:hAnsi="Times New Roman"/>
          <w:b/>
          <w:noProof/>
          <w:sz w:val="24"/>
        </w:rPr>
        <w:t xml:space="preserve"> </w:t>
      </w:r>
      <w:r>
        <w:rPr>
          <w:rFonts w:ascii="Times New Roman" w:hAnsi="Times New Roman"/>
          <w:noProof/>
          <w:sz w:val="24"/>
        </w:rPr>
        <w:t>K omezení plýtvání zdroji, podvodů a korupce je nezbytné brzké sladění předpis</w:t>
      </w:r>
      <w:r>
        <w:rPr>
          <w:rFonts w:ascii="Times New Roman" w:hAnsi="Times New Roman"/>
          <w:noProof/>
          <w:sz w:val="24"/>
        </w:rPr>
        <w:t xml:space="preserve">ů s </w:t>
      </w:r>
      <w:r>
        <w:rPr>
          <w:rFonts w:ascii="Times New Roman" w:hAnsi="Times New Roman"/>
          <w:i/>
          <w:noProof/>
          <w:sz w:val="24"/>
        </w:rPr>
        <w:t>acquis</w:t>
      </w:r>
      <w:r>
        <w:rPr>
          <w:rFonts w:ascii="Times New Roman" w:hAnsi="Times New Roman"/>
          <w:noProof/>
          <w:sz w:val="24"/>
        </w:rPr>
        <w:t xml:space="preserve"> EU spolu s účinným systémem </w:t>
      </w:r>
      <w:r>
        <w:rPr>
          <w:rFonts w:ascii="Times New Roman" w:hAnsi="Times New Roman"/>
          <w:b/>
          <w:noProof/>
          <w:sz w:val="24"/>
        </w:rPr>
        <w:t>vnitřní kontroly</w:t>
      </w:r>
      <w:r>
        <w:rPr>
          <w:rFonts w:ascii="Times New Roman" w:hAnsi="Times New Roman"/>
          <w:noProof/>
          <w:sz w:val="24"/>
        </w:rPr>
        <w:t xml:space="preserve"> ve veřejném sektoru.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Ve většině zemí je stále třeba zajistit </w:t>
      </w:r>
      <w:r>
        <w:rPr>
          <w:rFonts w:ascii="Times New Roman" w:hAnsi="Times New Roman"/>
          <w:b/>
          <w:noProof/>
          <w:sz w:val="24"/>
        </w:rPr>
        <w:t>profesionalizaci</w:t>
      </w:r>
      <w:r>
        <w:rPr>
          <w:rFonts w:ascii="Times New Roman" w:hAnsi="Times New Roman"/>
          <w:noProof/>
          <w:sz w:val="24"/>
        </w:rPr>
        <w:t xml:space="preserve"> veřejné služby a řešit nadměrné </w:t>
      </w:r>
      <w:r>
        <w:rPr>
          <w:rFonts w:ascii="Times New Roman" w:hAnsi="Times New Roman"/>
          <w:b/>
          <w:noProof/>
          <w:sz w:val="24"/>
        </w:rPr>
        <w:t>zpolitizování</w:t>
      </w:r>
      <w:r>
        <w:rPr>
          <w:rFonts w:ascii="Times New Roman" w:hAnsi="Times New Roman"/>
          <w:noProof/>
          <w:sz w:val="24"/>
        </w:rPr>
        <w:t>.</w:t>
      </w:r>
      <w:r>
        <w:rPr>
          <w:rFonts w:ascii="Times New Roman" w:hAnsi="Times New Roman"/>
          <w:b/>
          <w:noProof/>
          <w:sz w:val="24"/>
        </w:rPr>
        <w:t xml:space="preserve"> Struktura státní správy</w:t>
      </w:r>
      <w:r>
        <w:rPr>
          <w:rFonts w:ascii="Times New Roman" w:hAnsi="Times New Roman"/>
          <w:noProof/>
          <w:sz w:val="24"/>
        </w:rPr>
        <w:t xml:space="preserve"> by měla zajistit účinné vymezení odpovědnosti. Vět</w:t>
      </w:r>
      <w:r>
        <w:rPr>
          <w:rFonts w:ascii="Times New Roman" w:hAnsi="Times New Roman"/>
          <w:noProof/>
          <w:sz w:val="24"/>
        </w:rPr>
        <w:t xml:space="preserve">šina zemí vynaložila úsilí na zlepšení </w:t>
      </w:r>
      <w:r>
        <w:rPr>
          <w:rFonts w:ascii="Times New Roman" w:hAnsi="Times New Roman"/>
          <w:b/>
          <w:noProof/>
          <w:sz w:val="24"/>
        </w:rPr>
        <w:t>služeb</w:t>
      </w:r>
      <w:r>
        <w:rPr>
          <w:rFonts w:ascii="Times New Roman" w:hAnsi="Times New Roman"/>
          <w:noProof/>
          <w:sz w:val="24"/>
        </w:rPr>
        <w:t xml:space="preserve"> poskytovaných občanům a podnikům, zejména elektronických služeb; je však třeba další koordinace mezi různými iniciativami a celkovou reformou veřejné správy. </w:t>
      </w:r>
    </w:p>
    <w:p w:rsidR="00BB42EA" w:rsidRDefault="00B004C8">
      <w:pPr>
        <w:pStyle w:val="Default"/>
        <w:jc w:val="both"/>
        <w:rPr>
          <w:rFonts w:ascii="Times New Roman" w:hAnsi="Times New Roman" w:cstheme="minorBidi"/>
          <w:noProof/>
          <w:color w:val="auto"/>
          <w:sz w:val="22"/>
          <w:szCs w:val="22"/>
        </w:rPr>
      </w:pPr>
      <w:r>
        <w:rPr>
          <w:rFonts w:ascii="Times New Roman" w:hAnsi="Times New Roman"/>
          <w:noProof/>
        </w:rPr>
        <w:t xml:space="preserve">Je třeba zohlednit úlohu </w:t>
      </w:r>
      <w:r>
        <w:rPr>
          <w:rFonts w:ascii="Times New Roman" w:hAnsi="Times New Roman"/>
          <w:b/>
          <w:noProof/>
        </w:rPr>
        <w:t>regionálních a místních or</w:t>
      </w:r>
      <w:r>
        <w:rPr>
          <w:rFonts w:ascii="Times New Roman" w:hAnsi="Times New Roman"/>
          <w:b/>
          <w:noProof/>
        </w:rPr>
        <w:t>gánů</w:t>
      </w:r>
      <w:r>
        <w:rPr>
          <w:rFonts w:ascii="Times New Roman" w:hAnsi="Times New Roman"/>
          <w:noProof/>
        </w:rPr>
        <w:t xml:space="preserve"> v procesu sbližování s EU a konečném uplatňování pravidel EU. Je zapotřebí najít vhodnou rovnováhu mezi ústředními, regionálními a místními vládními institucemi, která by nejlépe podporovala provádění reforem a poskytování služeb občanům. </w:t>
      </w:r>
    </w:p>
    <w:p w:rsidR="00BB42EA" w:rsidRDefault="00B004C8">
      <w:pPr>
        <w:keepNext/>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xml:space="preserve">e) </w:t>
      </w:r>
      <w:r>
        <w:rPr>
          <w:noProof/>
        </w:rPr>
        <w:tab/>
      </w:r>
      <w:r>
        <w:rPr>
          <w:rFonts w:ascii="Times New Roman" w:hAnsi="Times New Roman"/>
          <w:b/>
          <w:noProof/>
          <w:sz w:val="24"/>
        </w:rPr>
        <w:t>Migrace</w:t>
      </w:r>
      <w:r>
        <w:rPr>
          <w:rFonts w:ascii="Times New Roman" w:hAnsi="Times New Roman"/>
          <w:b/>
          <w:noProof/>
          <w:sz w:val="24"/>
        </w:rPr>
        <w:t xml:space="preserve"> </w:t>
      </w:r>
      <w:r>
        <w:rPr>
          <w:noProof/>
        </w:rPr>
        <w:tab/>
      </w:r>
    </w:p>
    <w:p w:rsidR="00BB42EA" w:rsidRDefault="00B004C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Hlavními problémy pro EU i pro země západního Balkánu a Turecko byly </w:t>
      </w:r>
      <w:r>
        <w:rPr>
          <w:rFonts w:ascii="Times New Roman" w:hAnsi="Times New Roman"/>
          <w:b/>
          <w:noProof/>
          <w:sz w:val="24"/>
        </w:rPr>
        <w:t>uprchlická krize a nelegální</w:t>
      </w:r>
      <w:r>
        <w:rPr>
          <w:rFonts w:ascii="Times New Roman" w:hAnsi="Times New Roman"/>
          <w:noProof/>
          <w:sz w:val="24"/>
        </w:rPr>
        <w:t xml:space="preserve"> </w:t>
      </w:r>
      <w:r>
        <w:rPr>
          <w:rFonts w:ascii="Times New Roman" w:hAnsi="Times New Roman"/>
          <w:b/>
          <w:noProof/>
          <w:sz w:val="24"/>
        </w:rPr>
        <w:t>migrace</w:t>
      </w:r>
      <w:r>
        <w:rPr>
          <w:rFonts w:ascii="Times New Roman" w:hAnsi="Times New Roman"/>
          <w:noProof/>
          <w:sz w:val="24"/>
        </w:rPr>
        <w:t>. Spolupráce pokračovala společnými aktivitami na migračních trasách přes východní Středomoří / západní Balkán. Problémem zůstává převaděčství migra</w:t>
      </w:r>
      <w:r>
        <w:rPr>
          <w:rFonts w:ascii="Times New Roman" w:hAnsi="Times New Roman"/>
          <w:noProof/>
          <w:sz w:val="24"/>
        </w:rPr>
        <w:t>ntů a obchodování s lidmi. Partnerské země by měly podniknout další kroky k zajištění plného souladu s vízovou politikou EU.</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b/>
          <w:noProof/>
          <w:sz w:val="24"/>
        </w:rPr>
        <w:t>Prohlášení EU a Turecka</w:t>
      </w:r>
      <w:r>
        <w:rPr>
          <w:rStyle w:val="FootnoteReference"/>
          <w:b/>
          <w:noProof/>
        </w:rPr>
        <w:footnoteReference w:id="5"/>
      </w:r>
      <w:r>
        <w:rPr>
          <w:rFonts w:ascii="Times New Roman" w:hAnsi="Times New Roman"/>
          <w:noProof/>
          <w:sz w:val="24"/>
        </w:rPr>
        <w:t xml:space="preserve"> z března 2016 dále přinášelo konkrétní výsledky při omezování nelegálního a nebezpečného překračování hranic a při záchraně životů v Egejském moři. Počet nelegálních vstupů je o 97 % nižší než v období před zahájením uplatňování tohoto prohlášení a počet </w:t>
      </w:r>
      <w:r>
        <w:rPr>
          <w:rFonts w:ascii="Times New Roman" w:hAnsi="Times New Roman"/>
          <w:noProof/>
          <w:sz w:val="24"/>
        </w:rPr>
        <w:t xml:space="preserve">úmrtí na moři podstatně klesl. Turecké donucovací orgány zintenzivnily ve sledovaném období své úsilí.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Turecko i nadále vynakládalo pozoruhodné úsilí na </w:t>
      </w:r>
      <w:r>
        <w:rPr>
          <w:rFonts w:ascii="Times New Roman" w:hAnsi="Times New Roman"/>
          <w:b/>
          <w:noProof/>
          <w:sz w:val="24"/>
        </w:rPr>
        <w:t xml:space="preserve">poskytování útočiště </w:t>
      </w:r>
      <w:r>
        <w:rPr>
          <w:rFonts w:ascii="Times New Roman" w:hAnsi="Times New Roman"/>
          <w:b/>
          <w:noProof/>
          <w:color w:val="000000" w:themeColor="text1"/>
          <w:sz w:val="24"/>
        </w:rPr>
        <w:t>více než 3,6 milionu registrovaných uprchlíků ze Sýrie</w:t>
      </w:r>
      <w:r>
        <w:rPr>
          <w:rFonts w:ascii="Times New Roman" w:hAnsi="Times New Roman"/>
          <w:noProof/>
          <w:color w:val="000000" w:themeColor="text1"/>
          <w:sz w:val="24"/>
        </w:rPr>
        <w:t xml:space="preserve"> a přibližně 370 000 uprchl</w:t>
      </w:r>
      <w:r>
        <w:rPr>
          <w:rFonts w:ascii="Times New Roman" w:hAnsi="Times New Roman"/>
          <w:noProof/>
          <w:color w:val="000000" w:themeColor="text1"/>
          <w:sz w:val="24"/>
        </w:rPr>
        <w:t xml:space="preserve">íků z dalších zemí. </w:t>
      </w:r>
      <w:r>
        <w:rPr>
          <w:rFonts w:ascii="Times New Roman" w:hAnsi="Times New Roman"/>
          <w:noProof/>
          <w:sz w:val="24"/>
        </w:rPr>
        <w:t xml:space="preserve">EU tuto zemi při řešení této výzvy dále podporovala. Na humanitární a rozvojové potřeby uprchlíků a hostitelských společenství se i nadále zaměřuje </w:t>
      </w:r>
      <w:r>
        <w:rPr>
          <w:rFonts w:ascii="Times New Roman" w:hAnsi="Times New Roman"/>
          <w:b/>
          <w:noProof/>
          <w:sz w:val="24"/>
        </w:rPr>
        <w:t>nástroj EU pro uprchlíky v Turecku</w:t>
      </w:r>
      <w:r>
        <w:rPr>
          <w:rStyle w:val="FootnoteReference"/>
          <w:b/>
          <w:noProof/>
        </w:rPr>
        <w:footnoteReference w:id="6"/>
      </w:r>
      <w:r>
        <w:rPr>
          <w:rFonts w:ascii="Times New Roman" w:hAnsi="Times New Roman"/>
          <w:noProof/>
          <w:sz w:val="24"/>
        </w:rPr>
        <w:t xml:space="preserve"> s celkovým rozpočtem 6 miliard EUR. Na celou první t</w:t>
      </w:r>
      <w:r>
        <w:rPr>
          <w:rFonts w:ascii="Times New Roman" w:hAnsi="Times New Roman"/>
          <w:noProof/>
          <w:sz w:val="24"/>
        </w:rPr>
        <w:t>ranši ve výši tří miliard EUR byly uzavřeny smlouvy. Výsledky jsou jasně patrné a velmi efektivní: zhruba 1,6 milionu uprchlíků v současnosti využívá měsíční převody hotovosti prostřednictvím nouzové záchranné sociální sítě, bylo poskytnuto pět milionů kon</w:t>
      </w:r>
      <w:r>
        <w:rPr>
          <w:rFonts w:ascii="Times New Roman" w:hAnsi="Times New Roman"/>
          <w:noProof/>
          <w:sz w:val="24"/>
        </w:rPr>
        <w:t>zultací v oblasti primární zdravotní péče a rodiny více než 494 000 dětí navštěvujících školu obdržely finanční podporu. Provádění druhé tranše ve výši 3 miliard EUR je v plném proudu. Nástroj i nadále představuje stěžejní mechanismus koordinace umožňující</w:t>
      </w:r>
      <w:r>
        <w:rPr>
          <w:rFonts w:ascii="Times New Roman" w:hAnsi="Times New Roman"/>
          <w:noProof/>
          <w:sz w:val="24"/>
        </w:rPr>
        <w:t xml:space="preserve"> rychlé, účinné a účelné poskytování pomoci z EU. </w:t>
      </w:r>
    </w:p>
    <w:p w:rsidR="00BB42EA" w:rsidRDefault="00B004C8">
      <w:pPr>
        <w:pStyle w:val="Raluca"/>
      </w:pPr>
      <w:r>
        <w:t xml:space="preserve">Pokud jde o </w:t>
      </w:r>
      <w:r>
        <w:rPr>
          <w:b/>
        </w:rPr>
        <w:t>západní Balkán</w:t>
      </w:r>
      <w:r>
        <w:t>, pokračující opatření na podporu vnitrostátních snah koordinovaná Evropskou unií vedla ve sledovaném období ke snížení počtu nelegálních vstupů na této trase o dalších 35 %, a dá</w:t>
      </w:r>
      <w:r>
        <w:t>le tak panoval klesající trend z roku 2017. K tomu, aby byly země na řízení migrace lépe vybaveny, je však třeba učinit více, mimo jiné je nutné usilovat o lepší správu hranic a omezení nelegální migrace. Bosna a Hercegovina se v roce 2018 potýkala s příli</w:t>
      </w:r>
      <w:r>
        <w:t>vem více než 20 000 migrantů a uprchlíků. EU i nadále poskytuje podporu tomuto regionu budováním kapacity partnerů v oblasti řízení migračních toků, zavádění azylových řízení, mechanismů navracení a výměny informací. Byla završena jednání s pěti zeměmi toh</w:t>
      </w:r>
      <w:r>
        <w:t>oto regionu o dohodách o postavení jednotek, které s cílem podpořit vnitrostátní pohraniční orgány umožní nasazení jednotek Evropské pohraniční a pobřežní stráže s výkonnými pravomocemi v oblastech sousedících s vnější hranicí EU. Dohoda s Albánií již vsto</w:t>
      </w:r>
      <w:r>
        <w:t>upila v platnost a byli nasazeni první příslušníci pohraniční stráže. Země západního Balkánu musí zintenzivnit své úsilí o řešení problému nepodložených žádostí o azyl podávaných občany regionu v členských státech EU.</w:t>
      </w:r>
    </w:p>
    <w:p w:rsidR="00BB42EA" w:rsidRDefault="00B004C8">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f) </w:t>
      </w:r>
      <w:r>
        <w:rPr>
          <w:noProof/>
        </w:rPr>
        <w:tab/>
      </w:r>
      <w:r>
        <w:rPr>
          <w:rFonts w:ascii="Times New Roman" w:hAnsi="Times New Roman"/>
          <w:b/>
          <w:noProof/>
          <w:sz w:val="24"/>
        </w:rPr>
        <w:t xml:space="preserve">Ekonomika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Ekonomiky západního Bal</w:t>
      </w:r>
      <w:r>
        <w:rPr>
          <w:rFonts w:ascii="Times New Roman" w:hAnsi="Times New Roman"/>
          <w:noProof/>
          <w:sz w:val="24"/>
        </w:rPr>
        <w:t xml:space="preserve">kánu a Turecka stále čelí </w:t>
      </w:r>
      <w:r>
        <w:rPr>
          <w:rFonts w:ascii="Times New Roman" w:hAnsi="Times New Roman"/>
          <w:b/>
          <w:noProof/>
          <w:sz w:val="24"/>
        </w:rPr>
        <w:t>velkým problémům</w:t>
      </w:r>
      <w:r>
        <w:rPr>
          <w:rFonts w:ascii="Times New Roman" w:hAnsi="Times New Roman"/>
          <w:noProof/>
          <w:sz w:val="24"/>
        </w:rPr>
        <w:t>, které jim brání plně využívat jejich hospodářského potenciálu.</w:t>
      </w:r>
      <w:r>
        <w:rPr>
          <w:rFonts w:ascii="Times New Roman" w:hAnsi="Times New Roman"/>
          <w:b/>
          <w:noProof/>
          <w:sz w:val="24"/>
        </w:rPr>
        <w:t xml:space="preserve"> </w:t>
      </w:r>
      <w:r>
        <w:rPr>
          <w:rFonts w:ascii="Times New Roman" w:hAnsi="Times New Roman"/>
          <w:noProof/>
          <w:sz w:val="24"/>
        </w:rPr>
        <w:t>Navzdory určitému urychlení růstu, vytváření pracovních míst a růstu příjmů v posledních letech tyto země stále zaostávají v reformě svých hospodářsk</w:t>
      </w:r>
      <w:r>
        <w:rPr>
          <w:rFonts w:ascii="Times New Roman" w:hAnsi="Times New Roman"/>
          <w:noProof/>
          <w:sz w:val="24"/>
        </w:rPr>
        <w:t>ých struktur a při zvyšování konkurenceschopnosti. Stále se potýkají s vysokou mírou nezaměstnanosti, zejména u mladých lidí, s velkým nesouladem mezi nabízenými a požadovanými dovednostmi, přetrvávající neformální ekonomikou, nepřívětivým podnikatelským p</w:t>
      </w:r>
      <w:r>
        <w:rPr>
          <w:rFonts w:ascii="Times New Roman" w:hAnsi="Times New Roman"/>
          <w:noProof/>
          <w:sz w:val="24"/>
        </w:rPr>
        <w:t xml:space="preserve">rostředím a nízkou úrovní inovací.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w:t>
      </w:r>
      <w:r>
        <w:rPr>
          <w:rFonts w:ascii="Times New Roman" w:hAnsi="Times New Roman"/>
          <w:b/>
          <w:noProof/>
          <w:sz w:val="24"/>
        </w:rPr>
        <w:t>Turecku</w:t>
      </w:r>
      <w:r>
        <w:rPr>
          <w:rFonts w:ascii="Times New Roman" w:hAnsi="Times New Roman"/>
          <w:noProof/>
          <w:sz w:val="24"/>
        </w:rPr>
        <w:t xml:space="preserve"> pokračoval závažný </w:t>
      </w:r>
      <w:r>
        <w:rPr>
          <w:rFonts w:ascii="Times New Roman" w:hAnsi="Times New Roman"/>
          <w:b/>
          <w:noProof/>
          <w:sz w:val="24"/>
        </w:rPr>
        <w:t>negativní vývoj</w:t>
      </w:r>
      <w:r>
        <w:rPr>
          <w:rFonts w:ascii="Times New Roman" w:hAnsi="Times New Roman"/>
          <w:noProof/>
          <w:sz w:val="24"/>
        </w:rPr>
        <w:t xml:space="preserve"> v oblasti hospodářství, což prohloubilo obavy ohledně fungování tržního hospodářství země. Hospodářské podmínky se v roce 2018 zhoršily v důsledku prudkého zhoršení podmínek f</w:t>
      </w:r>
      <w:r>
        <w:rPr>
          <w:rFonts w:ascii="Times New Roman" w:hAnsi="Times New Roman"/>
          <w:noProof/>
          <w:sz w:val="24"/>
        </w:rPr>
        <w:t xml:space="preserve">inancování, které odhalilo makroekonomickou zranitelnost, jež se během let nastřádala. Se sílícími zásahy státu do hospodářství se dále </w:t>
      </w:r>
      <w:r>
        <w:rPr>
          <w:rFonts w:ascii="Times New Roman" w:hAnsi="Times New Roman"/>
          <w:b/>
          <w:noProof/>
          <w:sz w:val="24"/>
        </w:rPr>
        <w:t>zhoršovala správa ekonomických záležitostí</w:t>
      </w:r>
      <w:r>
        <w:rPr>
          <w:rFonts w:ascii="Times New Roman" w:hAnsi="Times New Roman"/>
          <w:noProof/>
          <w:sz w:val="24"/>
        </w:rPr>
        <w:t xml:space="preserve">. Turecko potřebuje zvrátit trend nepříznivého vývoje v tržních reformách. </w:t>
      </w:r>
    </w:p>
    <w:p w:rsidR="00BB42EA" w:rsidRDefault="00B004C8">
      <w:pPr>
        <w:spacing w:after="120" w:line="240" w:lineRule="auto"/>
        <w:jc w:val="both"/>
        <w:rPr>
          <w:rFonts w:ascii="Times New Roman" w:eastAsia="Calibri" w:hAnsi="Times New Roman" w:cs="Times New Roman"/>
          <w:bCs/>
          <w:noProof/>
          <w:sz w:val="24"/>
          <w:szCs w:val="24"/>
        </w:rPr>
      </w:pPr>
      <w:r>
        <w:rPr>
          <w:rFonts w:ascii="Times New Roman" w:hAnsi="Times New Roman"/>
          <w:b/>
          <w:noProof/>
          <w:sz w:val="24"/>
        </w:rPr>
        <w:t>In</w:t>
      </w:r>
      <w:r>
        <w:rPr>
          <w:rFonts w:ascii="Times New Roman" w:hAnsi="Times New Roman"/>
          <w:b/>
          <w:noProof/>
          <w:sz w:val="24"/>
        </w:rPr>
        <w:t>vestiční prostředí</w:t>
      </w:r>
      <w:r>
        <w:rPr>
          <w:rFonts w:ascii="Times New Roman" w:hAnsi="Times New Roman"/>
          <w:noProof/>
          <w:sz w:val="24"/>
        </w:rPr>
        <w:t xml:space="preserve"> se v zemích </w:t>
      </w:r>
      <w:r>
        <w:rPr>
          <w:rFonts w:ascii="Times New Roman" w:hAnsi="Times New Roman"/>
          <w:b/>
          <w:noProof/>
          <w:sz w:val="24"/>
        </w:rPr>
        <w:t>západního Balkánu</w:t>
      </w:r>
      <w:r>
        <w:rPr>
          <w:rFonts w:ascii="Times New Roman" w:hAnsi="Times New Roman"/>
          <w:noProof/>
          <w:sz w:val="24"/>
        </w:rPr>
        <w:t xml:space="preserve"> do velké míry nezměnilo a je pro něj typický slabý právní stát, nedostatek odpovídajícího prosazování kontroly státní podpory, zakořeněná šedá ekonomika, špatný přístup k financování a nízká úroveň regionáln</w:t>
      </w:r>
      <w:r>
        <w:rPr>
          <w:rFonts w:ascii="Times New Roman" w:hAnsi="Times New Roman"/>
          <w:noProof/>
          <w:sz w:val="24"/>
        </w:rPr>
        <w:t xml:space="preserve">í integrace a propojení. Zásahy státu do ekonomiky pokračují, čímž se zvyšuje nebezpečí korupce kvůli slabé správě veřejných financí a častým změnám právního prostředí a daní. Je velmi nezbytné modernizovat infrastrukturu a investice by měly být směrovány </w:t>
      </w:r>
      <w:r>
        <w:rPr>
          <w:rFonts w:ascii="Times New Roman" w:hAnsi="Times New Roman"/>
          <w:noProof/>
          <w:sz w:val="24"/>
        </w:rPr>
        <w:t>prostřednictvím jednoho seznamu projektů každé země a měly by být v souladu s prioritami dohodnutými s EU. Rozhodnutí týkající se zásadních investic by se měla zakládat na transparentnosti a řádné náležité péči, jako je tomu v případě projektů v oblasti pr</w:t>
      </w:r>
      <w:r>
        <w:rPr>
          <w:rFonts w:ascii="Times New Roman" w:hAnsi="Times New Roman"/>
          <w:noProof/>
          <w:sz w:val="24"/>
        </w:rPr>
        <w:t xml:space="preserve">opojení financovaných prostřednictvím investičního rámce pro západní Balkán. </w:t>
      </w:r>
    </w:p>
    <w:p w:rsidR="00BB42EA" w:rsidRDefault="00B004C8">
      <w:pPr>
        <w:spacing w:after="120" w:line="240" w:lineRule="auto"/>
        <w:jc w:val="both"/>
        <w:rPr>
          <w:noProof/>
        </w:rPr>
      </w:pPr>
      <w:r>
        <w:rPr>
          <w:rFonts w:ascii="Times New Roman" w:hAnsi="Times New Roman"/>
          <w:noProof/>
          <w:sz w:val="24"/>
        </w:rPr>
        <w:t xml:space="preserve">Klíčovým faktorem pro zvyšování životní úrovně na západním Balkáně je regionální integrace. Vytvoření </w:t>
      </w:r>
      <w:r>
        <w:rPr>
          <w:rFonts w:ascii="Times New Roman" w:hAnsi="Times New Roman"/>
          <w:b/>
          <w:noProof/>
          <w:sz w:val="24"/>
        </w:rPr>
        <w:t>regionálního hospodářského prostoru</w:t>
      </w:r>
      <w:r>
        <w:rPr>
          <w:rFonts w:ascii="Times New Roman" w:hAnsi="Times New Roman"/>
          <w:noProof/>
          <w:sz w:val="24"/>
        </w:rPr>
        <w:t xml:space="preserve"> přináší více hospodářské soutěže a umožň</w:t>
      </w:r>
      <w:r>
        <w:rPr>
          <w:rFonts w:ascii="Times New Roman" w:hAnsi="Times New Roman"/>
          <w:noProof/>
          <w:sz w:val="24"/>
        </w:rPr>
        <w:t>uje úspory z rozsahu a zvýšení produktivity. Regionální trh uvolní intraregionální obchod a učinil by ze západního Balkánu atraktivnější destinaci pro investice. Integrace trhů založená na pravidlech a normách EU pomůže vytvořit příležitosti pro rozvoj nov</w:t>
      </w:r>
      <w:r>
        <w:rPr>
          <w:rFonts w:ascii="Times New Roman" w:hAnsi="Times New Roman"/>
          <w:noProof/>
          <w:sz w:val="24"/>
        </w:rPr>
        <w:t>ých hodnotových řetězců a zvýšení atraktivity regionu pro přímé zahraniční investice, mimo jiné i z EU. Větší propojení v oblasti dopravy a energetiky urychlí integraci regionu do celoevropských sítí a zároveň posílí konkurenční trhy s energií a bude rozví</w:t>
      </w:r>
      <w:r>
        <w:rPr>
          <w:rFonts w:ascii="Times New Roman" w:hAnsi="Times New Roman"/>
          <w:noProof/>
          <w:sz w:val="24"/>
        </w:rPr>
        <w:t>jet ekonomické koridory v regionu. Smlouva o Dopravním společenství, kterou již ratifikovaly všechny strany, podpoří a posílí provádění agendy v oblasti propojení. Vytvoření digitálního prostoru a integrovanějších trhů práce rovněž nabízí nové možnosti pro</w:t>
      </w:r>
      <w:r>
        <w:rPr>
          <w:rFonts w:ascii="Times New Roman" w:hAnsi="Times New Roman"/>
          <w:noProof/>
          <w:sz w:val="24"/>
        </w:rPr>
        <w:t xml:space="preserve"> mládež v regionu.</w:t>
      </w:r>
      <w:r>
        <w:rPr>
          <w:noProof/>
        </w:rPr>
        <w:t xml:space="preserve">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Nová regionální dohoda o roamingu podepsaná v dubnu 2019 přinese občanům a podnikům v tomto regionu značné výhody. Povede k postupnému snižování poplatků za roaming počínaje červencem 2019 (snížení maloobchodní ceny přenosu dat a volání</w:t>
      </w:r>
      <w:r>
        <w:rPr>
          <w:rFonts w:ascii="Times New Roman" w:hAnsi="Times New Roman"/>
          <w:noProof/>
          <w:sz w:val="24"/>
        </w:rPr>
        <w:t xml:space="preserve"> o 25 % a SMS o 33 %) a od července 2021 budou poplatky za roaming zrušeny. Mobilní účastníci z regionu budou při roamingu na západním Balkáně využívat všech výhod svého vnitrostátního balíčku bez jakýchkoli dodatečných nákladů. Tato dohoda rovněž otevírá </w:t>
      </w:r>
      <w:r>
        <w:rPr>
          <w:rFonts w:ascii="Times New Roman" w:hAnsi="Times New Roman"/>
          <w:noProof/>
          <w:sz w:val="24"/>
        </w:rPr>
        <w:t>cestu pro přípravu plánu na snižování ceny roamingu mezi zeměmi západního Balkánu a EU, jak je stanoveno v </w:t>
      </w:r>
      <w:r>
        <w:rPr>
          <w:rFonts w:ascii="Times New Roman" w:hAnsi="Times New Roman"/>
          <w:b/>
          <w:noProof/>
          <w:sz w:val="24"/>
        </w:rPr>
        <w:t>Digitální agendě</w:t>
      </w:r>
      <w:r>
        <w:rPr>
          <w:rFonts w:ascii="Times New Roman" w:hAnsi="Times New Roman"/>
          <w:noProof/>
          <w:sz w:val="24"/>
        </w:rPr>
        <w:t xml:space="preserve"> pro západní Balkán.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b/>
          <w:noProof/>
          <w:sz w:val="24"/>
        </w:rPr>
        <w:t>EU zůstává zdaleka největším obchodním partnerem</w:t>
      </w:r>
      <w:r>
        <w:rPr>
          <w:rFonts w:ascii="Times New Roman" w:hAnsi="Times New Roman"/>
          <w:noProof/>
          <w:sz w:val="24"/>
        </w:rPr>
        <w:t xml:space="preserve"> západního Balkánu, a to jak v případě dovozu (73,5 %), tak i vývozu (80,6 %). Společnosti z EU jsou největšími investory v regionu a přinášejí 73 % přímých zahraničních investic. Jsou tak hlavní vnější hnací silou růstu a zaměstnanosti v regionu. Zásadní </w:t>
      </w:r>
      <w:r>
        <w:rPr>
          <w:rFonts w:ascii="Times New Roman" w:hAnsi="Times New Roman"/>
          <w:noProof/>
          <w:sz w:val="24"/>
        </w:rPr>
        <w:t xml:space="preserve">je </w:t>
      </w:r>
      <w:r>
        <w:rPr>
          <w:rFonts w:ascii="Times New Roman" w:hAnsi="Times New Roman"/>
          <w:b/>
          <w:noProof/>
          <w:sz w:val="24"/>
        </w:rPr>
        <w:t>posílit odolnost</w:t>
      </w:r>
      <w:r>
        <w:rPr>
          <w:rFonts w:ascii="Times New Roman" w:hAnsi="Times New Roman"/>
          <w:noProof/>
          <w:sz w:val="24"/>
        </w:rPr>
        <w:t xml:space="preserve"> regionu, aby se tak zajistilo, že veškerá hospodářská činnost financovaná ze zahraničí bude dodržovat hodnoty, normy a standardy EU, a to zejména v klíčových oblastech, jako je právní stát, zadávání veřejných zakázek, životní prostředí,</w:t>
      </w:r>
      <w:r>
        <w:rPr>
          <w:rFonts w:ascii="Times New Roman" w:hAnsi="Times New Roman"/>
          <w:noProof/>
          <w:sz w:val="24"/>
        </w:rPr>
        <w:t xml:space="preserve"> energetika, infrastruktura a hospodářská soutěž. </w:t>
      </w:r>
      <w:r>
        <w:rPr>
          <w:rFonts w:ascii="Times New Roman" w:hAnsi="Times New Roman"/>
          <w:b/>
          <w:noProof/>
          <w:sz w:val="24"/>
        </w:rPr>
        <w:t>Obchodní a investiční aktivita Číny</w:t>
      </w:r>
      <w:r>
        <w:rPr>
          <w:rFonts w:ascii="Times New Roman" w:hAnsi="Times New Roman"/>
          <w:noProof/>
          <w:sz w:val="24"/>
        </w:rPr>
        <w:t xml:space="preserve"> na západním Balkáně je na vzestupu a v zásadě může tomuto regionu nabídnout příležitosti; tyto investice však velmi často zanedbávají socioekonomickou a finanční udržitel</w:t>
      </w:r>
      <w:r>
        <w:rPr>
          <w:rFonts w:ascii="Times New Roman" w:hAnsi="Times New Roman"/>
          <w:noProof/>
          <w:sz w:val="24"/>
        </w:rPr>
        <w:t>nost a pravidla EU pro zadávání veřejných zakázek a mohou vést k vysokým úrovním zadluženosti a k předání kontroly nad strategickými aktivy a zdroji. To znamená, že partnerské země by měly plně provádět literu i ducha dohod o stabilizaci a přidružení uzavř</w:t>
      </w:r>
      <w:r>
        <w:rPr>
          <w:rFonts w:ascii="Times New Roman" w:hAnsi="Times New Roman"/>
          <w:noProof/>
          <w:sz w:val="24"/>
        </w:rPr>
        <w:t>ených s EU a upřednostňovat reformy v příslušných kapitolách jednání v rámci procesu přistoupení. EU by měla tyto reformy důrazněji orientovat, a toto je mimo jiné třeba zohlednit v budoucích rámcích pro jednání.</w:t>
      </w:r>
    </w:p>
    <w:p w:rsidR="00BB42EA" w:rsidRDefault="00B004C8">
      <w:pPr>
        <w:spacing w:after="120" w:line="240" w:lineRule="auto"/>
        <w:jc w:val="both"/>
        <w:rPr>
          <w:rFonts w:ascii="Times New Roman" w:hAnsi="Times New Roman" w:cs="Times New Roman"/>
          <w:noProof/>
          <w:color w:val="FF0000"/>
          <w:sz w:val="24"/>
          <w:szCs w:val="24"/>
        </w:rPr>
      </w:pPr>
      <w:r>
        <w:rPr>
          <w:rFonts w:ascii="Times New Roman" w:hAnsi="Times New Roman"/>
          <w:noProof/>
          <w:sz w:val="24"/>
        </w:rPr>
        <w:t xml:space="preserve">EU podporuje lepší správu ekonomických záležitostí v zemích západního Balkánu a v Turecku prostřednictvím ročního </w:t>
      </w:r>
      <w:r>
        <w:rPr>
          <w:rFonts w:ascii="Times New Roman" w:hAnsi="Times New Roman"/>
          <w:b/>
          <w:noProof/>
          <w:sz w:val="24"/>
        </w:rPr>
        <w:t>procesu programu hospodářských reforem</w:t>
      </w:r>
      <w:r>
        <w:rPr>
          <w:rFonts w:ascii="Times New Roman" w:hAnsi="Times New Roman"/>
          <w:noProof/>
          <w:sz w:val="24"/>
        </w:rPr>
        <w:t>. Tento proces, jenž je nedílnou součástí přípravy na členství v EU, se stal klíčovým nástrojem pro příp</w:t>
      </w:r>
      <w:r>
        <w:rPr>
          <w:rFonts w:ascii="Times New Roman" w:hAnsi="Times New Roman"/>
          <w:noProof/>
          <w:sz w:val="24"/>
        </w:rPr>
        <w:t>ravu a provádění makroekonomických a strukturálních reforem koncipovaných za účelem zvýšení konkurenceschopnosti a posílení růstu a tvorby pracovních míst. Přispívá k posílení dlouhodobého udržitelného růstu a konvergence, usnadňuje přípravu politik a pokr</w:t>
      </w:r>
      <w:r>
        <w:rPr>
          <w:rFonts w:ascii="Times New Roman" w:hAnsi="Times New Roman"/>
          <w:noProof/>
          <w:sz w:val="24"/>
        </w:rPr>
        <w:t>ok při plnění přístupových hospodářských kritérií. K tomu, aby se zlepšilo provádění určených reforem, je třeba se více zaměřit na zvyšování odpovědnosti.</w:t>
      </w:r>
      <w:r>
        <w:rPr>
          <w:rFonts w:ascii="Times New Roman" w:hAnsi="Times New Roman"/>
          <w:noProof/>
          <w:color w:val="FF0000"/>
          <w:sz w:val="24"/>
        </w:rPr>
        <w:t xml:space="preserve">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Hospodářský rozvoj a růst zaměstnanosti mají zásadní význam také pro to, aby se zamezilo demografick</w:t>
      </w:r>
      <w:r>
        <w:rPr>
          <w:rFonts w:ascii="Times New Roman" w:hAnsi="Times New Roman"/>
          <w:noProof/>
          <w:sz w:val="24"/>
        </w:rPr>
        <w:t>ým problémům západního Balkánu s vysokou mírou emigrace a nízkou porodností. Bez silnějšího hospodářství a demokratické správy obecně budou tyto jevy přetrvávat a s nimi i související rizika odlivu mozků a všeobecné deziluze, zejména mezi mladými lidmi.</w:t>
      </w:r>
    </w:p>
    <w:p w:rsidR="00BB42EA" w:rsidRDefault="00B004C8">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g)</w:t>
      </w:r>
      <w:r>
        <w:rPr>
          <w:rFonts w:ascii="Times New Roman" w:hAnsi="Times New Roman"/>
          <w:b/>
          <w:noProof/>
          <w:sz w:val="24"/>
        </w:rPr>
        <w:t xml:space="preserve"> </w:t>
      </w:r>
      <w:r>
        <w:rPr>
          <w:noProof/>
        </w:rPr>
        <w:tab/>
      </w:r>
      <w:r>
        <w:rPr>
          <w:rFonts w:ascii="Times New Roman" w:hAnsi="Times New Roman"/>
          <w:b/>
          <w:noProof/>
          <w:sz w:val="24"/>
        </w:rPr>
        <w:t>Regionální spolupráce a dobré sousedské vztahy</w:t>
      </w:r>
    </w:p>
    <w:p w:rsidR="00BB42EA" w:rsidRDefault="00B004C8">
      <w:pPr>
        <w:pStyle w:val="Kosovo"/>
      </w:pPr>
      <w:r>
        <w:t xml:space="preserve">Politika EU v oblasti rozšíření musí i nadále šířit stabilitu. EU proto nemůže a nebude do svého středu vnášet </w:t>
      </w:r>
      <w:r>
        <w:rPr>
          <w:b/>
        </w:rPr>
        <w:t>dvoustranné spory</w:t>
      </w:r>
      <w:r>
        <w:t xml:space="preserve"> a nestabilitu, která se s nimi může pojit. Před přistoupením jakékoli země je </w:t>
      </w:r>
      <w:r>
        <w:t xml:space="preserve">třeba najít a provést definitivní a závazná řešení přispívající k regionální stabilitě. Historická dohoda mezi Severní Makedonií a Řeckem, </w:t>
      </w:r>
      <w:r>
        <w:rPr>
          <w:color w:val="auto"/>
        </w:rPr>
        <w:t>jež přinesla řešení 27 let trvajícího sporu o název, je příkladem usmíření jak pro tento region, tak i za jeho hranic</w:t>
      </w:r>
      <w:r>
        <w:rPr>
          <w:color w:val="auto"/>
        </w:rPr>
        <w:t xml:space="preserve">emi. </w:t>
      </w:r>
      <w:r>
        <w:t xml:space="preserve">Přesto je po celém západním Balkánu zapotřebí dalšího intenzivního a přesvědčivého úsilí. Vztahy mezi Prištinou a Bělehradem se zhoršily; nejzřetelněji v návaznosti na rozhodnutí Kosova uvalit </w:t>
      </w:r>
      <w:r>
        <w:rPr>
          <w:color w:val="auto"/>
        </w:rPr>
        <w:t>v rozporu se Středoevropskou dohodu o volném obchodu na do</w:t>
      </w:r>
      <w:r>
        <w:rPr>
          <w:color w:val="auto"/>
        </w:rPr>
        <w:t>voz ze Srbska a z Bosny a Hercegoviny 100% cla. Tento krok je posledním příkladem z řady oboustranných provokací</w:t>
      </w:r>
      <w:r>
        <w:t>. Kosovo musí toto rozhodnutí neprodleně odvolat a obě strany se musí zdržet dalších kroků, jež by mohly být považovány za provokativní. Je zapo</w:t>
      </w:r>
      <w:r>
        <w:t>třebí dosáhnout rychlého pokroku v dialogu zprostředkovaném EU, jehož cílem je přinést úplné narovnání vztahů mezi Srbskem a Kosovem a jenž by měl vyústit v uzavření a provádění komplexní, právně závazné dohody o normalizaci vztahů.</w:t>
      </w:r>
    </w:p>
    <w:p w:rsidR="00BB42EA" w:rsidRDefault="00B004C8">
      <w:pPr>
        <w:pStyle w:val="Default"/>
        <w:spacing w:after="120"/>
        <w:jc w:val="both"/>
        <w:rPr>
          <w:rFonts w:ascii="Times New Roman" w:eastAsia="Calibri" w:hAnsi="Times New Roman"/>
          <w:noProof/>
        </w:rPr>
      </w:pPr>
      <w:r>
        <w:rPr>
          <w:rFonts w:ascii="Times New Roman" w:hAnsi="Times New Roman"/>
          <w:b/>
          <w:noProof/>
        </w:rPr>
        <w:t>Dobré sousedské vztahy</w:t>
      </w:r>
      <w:r>
        <w:rPr>
          <w:rFonts w:ascii="Times New Roman" w:hAnsi="Times New Roman"/>
          <w:noProof/>
        </w:rPr>
        <w:t xml:space="preserve"> </w:t>
      </w:r>
      <w:r>
        <w:rPr>
          <w:rFonts w:ascii="Times New Roman" w:hAnsi="Times New Roman"/>
          <w:noProof/>
        </w:rPr>
        <w:t>a regionální spolupráce jsou základními prvky procesu stabilizace a přidružení i procesu rozšíření. Summit v Sofii přinesl obnovení závazku posilovat dobré sousedské vztahy, regionální stabilitu a vzájemnou spolupráci. Pokračovaly pravidelné mezivládní sty</w:t>
      </w:r>
      <w:r>
        <w:rPr>
          <w:rFonts w:ascii="Times New Roman" w:hAnsi="Times New Roman"/>
          <w:noProof/>
        </w:rPr>
        <w:t>ky a technický dialog a spolupráce na dvoustranné i regionální úrovni. Je však třeba vyvinout větší úsilí, zejména v nejcitlivějších oblastech. Měla by posílit regionální spolupráce, zejména ohledně válečných zločinů, a to mimo jiné i prostřednictvím inici</w:t>
      </w:r>
      <w:r>
        <w:rPr>
          <w:rFonts w:ascii="Times New Roman" w:hAnsi="Times New Roman"/>
          <w:noProof/>
        </w:rPr>
        <w:t>ativ podporujících usmíření, jako je například zřízení regionální komise pravdy. Další úsilí je třeba vyvinout i v oblasti pohřešovaných osob, kde je důležitým krokem vpřed přijetí regionálního rámcového akčního plánu. Je třeba se zdržet prohlášení či krok</w:t>
      </w:r>
      <w:r>
        <w:rPr>
          <w:rFonts w:ascii="Times New Roman" w:hAnsi="Times New Roman"/>
          <w:noProof/>
        </w:rPr>
        <w:t xml:space="preserve">ů, jež mají negativní dopad na dobré sousedské vztahy. V EU není místo pro štvavou rétoriku ani pro glorifikaci válečných zločinců, a to z žádné strany. </w:t>
      </w:r>
    </w:p>
    <w:p w:rsidR="00BB42EA" w:rsidRDefault="00B004C8">
      <w:pPr>
        <w:spacing w:after="120" w:line="240" w:lineRule="auto"/>
        <w:jc w:val="both"/>
        <w:rPr>
          <w:rFonts w:ascii="Times New Roman" w:eastAsia="Calibri" w:hAnsi="Times New Roman"/>
          <w:bCs/>
          <w:noProof/>
          <w:sz w:val="24"/>
          <w:szCs w:val="24"/>
        </w:rPr>
      </w:pPr>
      <w:r>
        <w:rPr>
          <w:rFonts w:ascii="Times New Roman" w:hAnsi="Times New Roman"/>
          <w:noProof/>
          <w:sz w:val="24"/>
        </w:rPr>
        <w:t xml:space="preserve">Pokračovala </w:t>
      </w:r>
      <w:r>
        <w:rPr>
          <w:rFonts w:ascii="Times New Roman" w:hAnsi="Times New Roman"/>
          <w:b/>
          <w:noProof/>
          <w:sz w:val="24"/>
        </w:rPr>
        <w:t>regionální spolupráce</w:t>
      </w:r>
      <w:r>
        <w:rPr>
          <w:rFonts w:ascii="Times New Roman" w:hAnsi="Times New Roman"/>
          <w:noProof/>
          <w:sz w:val="24"/>
        </w:rPr>
        <w:t>, v níž důležitou úlohu hrála agenda EU v oblasti propojení; a to zej</w:t>
      </w:r>
      <w:r>
        <w:rPr>
          <w:rFonts w:ascii="Times New Roman" w:hAnsi="Times New Roman"/>
          <w:noProof/>
          <w:sz w:val="24"/>
        </w:rPr>
        <w:t xml:space="preserve">ména prostřednictvím dohodnutého akčního plánu pro regionální hospodářský prostor, rozvoje dopravní a energetické sítě, digitální agendy a provádění projektů mobility mladých lidí podporovaných Regionální kanceláří pro spolupráci mládeže. Program Erasmus+ </w:t>
      </w:r>
      <w:r>
        <w:rPr>
          <w:rFonts w:ascii="Times New Roman" w:hAnsi="Times New Roman"/>
          <w:noProof/>
          <w:sz w:val="24"/>
        </w:rPr>
        <w:t>nadále upevňoval mezikulturní dialog v oblasti vysokoškolského vzdělávání a mezi mladými lidmi. K posílení stabilizace a spolupráce rovněž přispěl proces spolupráce v jihovýchodní Evropě a další regionální iniciativy. Určitého pokroku bylo dosaženo při pro</w:t>
      </w:r>
      <w:r>
        <w:rPr>
          <w:rFonts w:ascii="Times New Roman" w:hAnsi="Times New Roman"/>
          <w:noProof/>
          <w:sz w:val="24"/>
        </w:rPr>
        <w:t xml:space="preserve">vádění projektů v oblasti propojení v praxi. Dále je však třeba vyvíjet značné úsilí, aby byly splněny povinnosti vyplývající z regionálních dohod a závazků a aby se tyto dohody a závazky začaly uplatňovat, a to i pokud jde o provádění reformních opatření </w:t>
      </w:r>
      <w:r>
        <w:rPr>
          <w:rFonts w:ascii="Times New Roman" w:hAnsi="Times New Roman"/>
          <w:noProof/>
          <w:sz w:val="24"/>
        </w:rPr>
        <w:t>v oblasti propojení, jež byla dohodnuta v roce 2015. Priority v regionu týkající se propojení a životního prostředí budou vyžadovat zejména silné synergie s okolními členskými státy, též prostřednictvím strategie EU pro jadransko-jónský region. Plné a inkl</w:t>
      </w:r>
      <w:r>
        <w:rPr>
          <w:rFonts w:ascii="Times New Roman" w:hAnsi="Times New Roman"/>
          <w:noProof/>
          <w:sz w:val="24"/>
        </w:rPr>
        <w:t>uzivní účasti všech partnerů ze západního Balkánu na iniciativách a akcích regionální spolupráce by neměly stát v cestě žádné překážky. Regionální spolupráci obecně nelze vnucovat zvenčí, musí se o ni aktivněji zasazovat země z regionu, který musí přijmout</w:t>
      </w:r>
      <w:r>
        <w:rPr>
          <w:rFonts w:ascii="Times New Roman" w:hAnsi="Times New Roman"/>
          <w:noProof/>
          <w:sz w:val="24"/>
        </w:rPr>
        <w:t xml:space="preserve"> plnou odpovědnost za úsilí přispívající ke stabilitě, usmíření a větším ekonomickým příležitostem.</w:t>
      </w:r>
    </w:p>
    <w:p w:rsidR="00BB42EA" w:rsidRDefault="00B004C8">
      <w:pPr>
        <w:pStyle w:val="Default"/>
        <w:spacing w:after="120"/>
        <w:jc w:val="both"/>
        <w:rPr>
          <w:rFonts w:ascii="Times New Roman" w:eastAsia="Calibri" w:hAnsi="Times New Roman"/>
          <w:bCs/>
          <w:noProof/>
        </w:rPr>
      </w:pPr>
      <w:r>
        <w:rPr>
          <w:rFonts w:ascii="Times New Roman" w:hAnsi="Times New Roman"/>
          <w:noProof/>
        </w:rPr>
        <w:t xml:space="preserve">Na základě prohlášení podepsaného na ministerském zasedání konaném v únoru 2019 a věnovaném přechodu na čistou energii existuje značný prostor pro to, aby </w:t>
      </w:r>
      <w:r>
        <w:rPr>
          <w:rFonts w:ascii="Times New Roman" w:hAnsi="Times New Roman"/>
          <w:noProof/>
        </w:rPr>
        <w:t>se země západního Balkánu zapojily do „</w:t>
      </w:r>
      <w:r>
        <w:rPr>
          <w:rFonts w:ascii="Times New Roman" w:hAnsi="Times New Roman"/>
          <w:b/>
          <w:noProof/>
        </w:rPr>
        <w:t>zelené agendy</w:t>
      </w:r>
      <w:r>
        <w:rPr>
          <w:rFonts w:ascii="Times New Roman" w:hAnsi="Times New Roman"/>
          <w:noProof/>
        </w:rPr>
        <w:t>“ pro tento region s cílem řešit otázky životního prostředí sahající od odstraňování odpadů a znečištění ovzduší až po obecnější otázky, jako je změna klimatu. Nejen, že by to přímo podpořilo zdraví a dob</w:t>
      </w:r>
      <w:r>
        <w:rPr>
          <w:rFonts w:ascii="Times New Roman" w:hAnsi="Times New Roman"/>
          <w:noProof/>
        </w:rPr>
        <w:t xml:space="preserve">ré životní podmínky jejich občanů, ale rovněž by se tak tento region stal atraktivní pro investice a cestovní ruch a využil by se značný hospodářský potenciál zeleného růstu a oběhového hospodářství.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Je důležité udržet pokrok, kterého bylo zatím dosaženo </w:t>
      </w:r>
      <w:r>
        <w:rPr>
          <w:rFonts w:ascii="Times New Roman" w:hAnsi="Times New Roman"/>
          <w:b/>
          <w:noProof/>
        </w:rPr>
        <w:t>pod vedením OSN při jednáních o urovnání kyperské otázky</w:t>
      </w:r>
      <w:r>
        <w:rPr>
          <w:rFonts w:ascii="Times New Roman" w:hAnsi="Times New Roman"/>
          <w:noProof/>
        </w:rPr>
        <w:t>, a pokračovat v přípravách na spravedlivé, komplexní a proveditelné řešení, a to i pokud jde o jeho vnější aspekty. Trvalé odhodlání Turecka a jeho konkrétní příspěvek k jednáním o dosažení spravedli</w:t>
      </w:r>
      <w:r>
        <w:rPr>
          <w:rFonts w:ascii="Times New Roman" w:hAnsi="Times New Roman"/>
          <w:noProof/>
        </w:rPr>
        <w:t>vého, komplexního a proveditelného urovnání kyperské otázky v rámci OSN budou mít zásadní význam. Turecko musí urychleně splnit svůj závazek plně provést dodatkový protokol k dohodě o přidružení mezi EU a Tureckem a pokročit v narovnávání vztahů s Kypersko</w:t>
      </w:r>
      <w:r>
        <w:rPr>
          <w:rFonts w:ascii="Times New Roman" w:hAnsi="Times New Roman"/>
          <w:noProof/>
        </w:rPr>
        <w:t xml:space="preserve">u republikou. Komise vyzývá Turecko, aby se zdrželo jakýchkoli hrozeb, zdrojů neshod či jednání, jež nepříznivě ovlivňují dobré sousedské vztahy a mírové urovnání sporů. Komise klade důraz na všechna svrchovaná práva členských států EU. Mezi ně patří mimo </w:t>
      </w:r>
      <w:r>
        <w:rPr>
          <w:rFonts w:ascii="Times New Roman" w:hAnsi="Times New Roman"/>
          <w:noProof/>
        </w:rPr>
        <w:t xml:space="preserve">jiné právo uzavírat dvoustranné dohody, jakož i právo provádět průzkum přírodních zdrojů a využívat jich v souladu s </w:t>
      </w:r>
      <w:r>
        <w:rPr>
          <w:rFonts w:ascii="Times New Roman" w:hAnsi="Times New Roman"/>
          <w:i/>
          <w:noProof/>
        </w:rPr>
        <w:t>acquis</w:t>
      </w:r>
      <w:r>
        <w:rPr>
          <w:rFonts w:ascii="Times New Roman" w:hAnsi="Times New Roman"/>
          <w:noProof/>
        </w:rPr>
        <w:t xml:space="preserve"> EU a mezinárodním právem, včetně Úmluvy OSN o mořském právu. </w:t>
      </w:r>
    </w:p>
    <w:p w:rsidR="00BB42EA" w:rsidRDefault="00B004C8">
      <w:pPr>
        <w:pStyle w:val="Default"/>
        <w:keepNext/>
        <w:spacing w:after="120"/>
        <w:jc w:val="both"/>
        <w:rPr>
          <w:rFonts w:ascii="Times New Roman" w:eastAsia="Calibri" w:hAnsi="Times New Roman"/>
          <w:b/>
          <w:noProof/>
        </w:rPr>
      </w:pPr>
      <w:r>
        <w:rPr>
          <w:rFonts w:ascii="Times New Roman" w:hAnsi="Times New Roman"/>
          <w:b/>
          <w:noProof/>
        </w:rPr>
        <w:t>h) Předvstupní finanční pomoc v příštím víceletém finančním rámci</w:t>
      </w:r>
    </w:p>
    <w:p w:rsidR="00BB42EA" w:rsidRDefault="00B004C8">
      <w:pPr>
        <w:pStyle w:val="Default"/>
        <w:spacing w:after="120"/>
        <w:jc w:val="both"/>
        <w:rPr>
          <w:rFonts w:ascii="Times New Roman" w:eastAsia="Calibri" w:hAnsi="Times New Roman"/>
          <w:noProof/>
        </w:rPr>
      </w:pPr>
      <w:r>
        <w:rPr>
          <w:rFonts w:ascii="Times New Roman" w:hAnsi="Times New Roman"/>
          <w:noProof/>
        </w:rPr>
        <w:t>Návr</w:t>
      </w:r>
      <w:r>
        <w:rPr>
          <w:rFonts w:ascii="Times New Roman" w:hAnsi="Times New Roman"/>
          <w:noProof/>
        </w:rPr>
        <w:t xml:space="preserve">h Komise týkající se </w:t>
      </w:r>
      <w:r>
        <w:rPr>
          <w:rFonts w:ascii="Times New Roman" w:hAnsi="Times New Roman"/>
          <w:b/>
          <w:noProof/>
        </w:rPr>
        <w:t>nástroje předvstupní pomoci (NPP III)</w:t>
      </w:r>
      <w:r>
        <w:rPr>
          <w:rStyle w:val="FootnoteReference"/>
          <w:b/>
          <w:noProof/>
        </w:rPr>
        <w:footnoteReference w:id="7"/>
      </w:r>
      <w:r>
        <w:rPr>
          <w:rFonts w:ascii="Times New Roman" w:hAnsi="Times New Roman"/>
          <w:noProof/>
        </w:rPr>
        <w:t xml:space="preserve"> v rámci příštího víceletého finančního rámce pro období 2021–2027 předpokládá pevný politicky orientovaný přístup se </w:t>
      </w:r>
      <w:r>
        <w:rPr>
          <w:rFonts w:ascii="Times New Roman" w:hAnsi="Times New Roman"/>
          <w:b/>
          <w:noProof/>
        </w:rPr>
        <w:t>strategičtějším a dynamičtějším poskytováním pomoci</w:t>
      </w:r>
      <w:r>
        <w:rPr>
          <w:rFonts w:ascii="Times New Roman" w:hAnsi="Times New Roman"/>
          <w:noProof/>
        </w:rPr>
        <w:t>, přičemž nástroj klade ústř</w:t>
      </w:r>
      <w:r>
        <w:rPr>
          <w:rFonts w:ascii="Times New Roman" w:hAnsi="Times New Roman"/>
          <w:noProof/>
        </w:rPr>
        <w:t>ední důraz na základní požadavky na členství. Tím, že se finanční pomoc EU ještě více zaměří na klíčové priority, přinese navrhovaný NPP III ještě silnější pákový efekt na podporu reforem a partnery přiblíží k hodnotám a normám Unie. Očekává se, že nový NP</w:t>
      </w:r>
      <w:r>
        <w:rPr>
          <w:rFonts w:ascii="Times New Roman" w:hAnsi="Times New Roman"/>
          <w:noProof/>
        </w:rPr>
        <w:t xml:space="preserve">P III dosáhne rovnováhy mezi neodmyslitelnou výkonností, pobídkami pro partnery, kteří dosahují pokroku, a vyváženým zajišťováním toho, aby všichni partneři obdrželi spravedlivý díl podpory, která jim pomůže v jejich úsilí o reformy. </w:t>
      </w:r>
    </w:p>
    <w:p w:rsidR="00BB42EA" w:rsidRDefault="00B004C8">
      <w:pPr>
        <w:pStyle w:val="Default"/>
        <w:spacing w:after="120"/>
        <w:jc w:val="both"/>
        <w:rPr>
          <w:rFonts w:ascii="Times New Roman" w:eastAsia="Calibri" w:hAnsi="Times New Roman"/>
          <w:noProof/>
          <w:color w:val="auto"/>
        </w:rPr>
      </w:pPr>
      <w:r>
        <w:rPr>
          <w:rFonts w:ascii="Times New Roman" w:hAnsi="Times New Roman"/>
          <w:noProof/>
          <w:color w:val="auto"/>
        </w:rPr>
        <w:t>Na letošní rok připad</w:t>
      </w:r>
      <w:r>
        <w:rPr>
          <w:rFonts w:ascii="Times New Roman" w:hAnsi="Times New Roman"/>
          <w:noProof/>
          <w:color w:val="auto"/>
        </w:rPr>
        <w:t xml:space="preserve">á desáté výročí </w:t>
      </w:r>
      <w:r>
        <w:rPr>
          <w:rFonts w:ascii="Times New Roman" w:hAnsi="Times New Roman"/>
          <w:b/>
          <w:noProof/>
          <w:color w:val="auto"/>
        </w:rPr>
        <w:t>investičního rámce pro západní Balkán (WBIF)</w:t>
      </w:r>
      <w:r>
        <w:rPr>
          <w:rFonts w:ascii="Times New Roman" w:hAnsi="Times New Roman"/>
          <w:noProof/>
          <w:color w:val="auto"/>
        </w:rPr>
        <w:t>. Tato úspěšná platforma pro spolupráci a koordinaci vedená Komisí sdružuje mezinárodní a vnitrostátní finanční instituce, jakož i bilaterální dárce a příjemce. Za roky své existence přispěla k př</w:t>
      </w:r>
      <w:r>
        <w:rPr>
          <w:rFonts w:ascii="Times New Roman" w:hAnsi="Times New Roman"/>
          <w:noProof/>
          <w:color w:val="auto"/>
        </w:rPr>
        <w:t>ípravě a financování důležitých projektů infrastruktury na západním Balkánu souvisejících s propojením, ale také v oblasti životního prostředí a v sociální oblasti. EU přispěla částkou 925 milionů EUR formou prostředků předvstupní pomoci, které dosud mobil</w:t>
      </w:r>
      <w:r>
        <w:rPr>
          <w:rFonts w:ascii="Times New Roman" w:hAnsi="Times New Roman"/>
          <w:noProof/>
          <w:color w:val="auto"/>
        </w:rPr>
        <w:t xml:space="preserve">izovaly podepsané úvěry ve výši 5,4 miliardy EUR a odhadované investice přesahující 18 miliard EUR. V souladu se strategií pro západní Balkán bude investiční rámec pro západní Balkán dále rozšířen, a to jak ze strategického, tak i finančního hlediska. </w:t>
      </w:r>
    </w:p>
    <w:p w:rsidR="00BB42EA" w:rsidRDefault="00BB42EA">
      <w:pPr>
        <w:pStyle w:val="Default"/>
        <w:spacing w:after="120"/>
        <w:jc w:val="both"/>
        <w:rPr>
          <w:rFonts w:ascii="Times New Roman" w:eastAsia="Calibri" w:hAnsi="Times New Roman"/>
          <w:b/>
          <w:noProof/>
        </w:rPr>
      </w:pPr>
    </w:p>
    <w:p w:rsidR="00BB42EA" w:rsidRDefault="00B004C8">
      <w:pPr>
        <w:spacing w:after="120" w:line="240" w:lineRule="auto"/>
        <w:jc w:val="both"/>
        <w:rPr>
          <w:rFonts w:ascii="Times New Roman" w:hAnsi="Times New Roman" w:cs="Times New Roman"/>
          <w:b/>
          <w:bCs/>
          <w:noProof/>
          <w:sz w:val="24"/>
          <w:szCs w:val="24"/>
        </w:rPr>
      </w:pPr>
      <w:r>
        <w:rPr>
          <w:rFonts w:ascii="Times New Roman" w:hAnsi="Times New Roman"/>
          <w:b/>
          <w:noProof/>
          <w:sz w:val="24"/>
        </w:rPr>
        <w:t>II</w:t>
      </w:r>
      <w:r>
        <w:rPr>
          <w:rFonts w:ascii="Times New Roman" w:hAnsi="Times New Roman"/>
          <w:b/>
          <w:noProof/>
          <w:sz w:val="24"/>
        </w:rPr>
        <w:t xml:space="preserve">I. </w:t>
      </w:r>
      <w:r>
        <w:rPr>
          <w:noProof/>
        </w:rPr>
        <w:tab/>
      </w:r>
      <w:r>
        <w:rPr>
          <w:rFonts w:ascii="Times New Roman" w:hAnsi="Times New Roman"/>
          <w:b/>
          <w:noProof/>
          <w:sz w:val="24"/>
        </w:rPr>
        <w:t xml:space="preserve">ZÁVĚRY A DOPORUČENÍ </w:t>
      </w:r>
    </w:p>
    <w:p w:rsidR="00BB42EA" w:rsidRDefault="00BB42EA">
      <w:pPr>
        <w:spacing w:after="120" w:line="240" w:lineRule="auto"/>
        <w:jc w:val="both"/>
        <w:rPr>
          <w:rFonts w:ascii="Times New Roman" w:hAnsi="Times New Roman" w:cs="Times New Roman"/>
          <w:noProof/>
          <w:sz w:val="24"/>
          <w:szCs w:val="24"/>
        </w:rPr>
      </w:pP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Proces přistoupení k EU je i nadále založen na stanovených kritériích, </w:t>
      </w:r>
      <w:r>
        <w:rPr>
          <w:rFonts w:ascii="Times New Roman" w:hAnsi="Times New Roman"/>
          <w:b/>
          <w:noProof/>
          <w:sz w:val="24"/>
        </w:rPr>
        <w:t>spravedlivých a přesně vymezených podmínkách</w:t>
      </w:r>
      <w:r>
        <w:rPr>
          <w:rFonts w:ascii="Times New Roman" w:hAnsi="Times New Roman"/>
          <w:noProof/>
          <w:sz w:val="24"/>
        </w:rPr>
        <w:t xml:space="preserve"> a zásadě </w:t>
      </w:r>
      <w:r>
        <w:rPr>
          <w:rFonts w:ascii="Times New Roman" w:hAnsi="Times New Roman"/>
          <w:b/>
          <w:noProof/>
          <w:sz w:val="24"/>
        </w:rPr>
        <w:t>posuzování dle vlastních výsledků</w:t>
      </w:r>
      <w:r>
        <w:rPr>
          <w:rFonts w:ascii="Times New Roman" w:hAnsi="Times New Roman"/>
          <w:noProof/>
          <w:sz w:val="24"/>
        </w:rPr>
        <w:t xml:space="preserve">. Přistoupení k EU vyžaduje provedení komplexních reforem v náročném prostředí, což je cíl, jehož lze dosáhnout pouze v dlouhodobém horizontu.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Na základě výše uvedené analýzy a shrnutí hodnocení jednotlivých zemí, jež jsou uvedeny v příloze, předkládá Kom</w:t>
      </w:r>
      <w:r>
        <w:rPr>
          <w:rFonts w:ascii="Times New Roman" w:hAnsi="Times New Roman"/>
          <w:noProof/>
          <w:sz w:val="24"/>
        </w:rPr>
        <w:t>ise tyto závěry a doporučení:</w:t>
      </w:r>
    </w:p>
    <w:p w:rsidR="00BB42EA" w:rsidRDefault="00B004C8">
      <w:pPr>
        <w:spacing w:after="120"/>
        <w:jc w:val="center"/>
        <w:rPr>
          <w:rFonts w:ascii="Times New Roman" w:hAnsi="Times New Roman" w:cs="Times New Roman"/>
          <w:b/>
          <w:noProof/>
          <w:sz w:val="24"/>
          <w:szCs w:val="24"/>
        </w:rPr>
      </w:pPr>
      <w:r>
        <w:rPr>
          <w:rFonts w:ascii="Times New Roman" w:hAnsi="Times New Roman"/>
          <w:b/>
          <w:noProof/>
          <w:sz w:val="24"/>
        </w:rPr>
        <w:t>I</w:t>
      </w:r>
    </w:p>
    <w:p w:rsidR="00BB42EA" w:rsidRDefault="00B004C8">
      <w:pPr>
        <w:numPr>
          <w:ilvl w:val="0"/>
          <w:numId w:val="1"/>
        </w:numPr>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Důvěryhodná politika rozšíření je </w:t>
      </w:r>
      <w:r>
        <w:rPr>
          <w:rFonts w:ascii="Times New Roman" w:hAnsi="Times New Roman"/>
          <w:b/>
          <w:noProof/>
          <w:sz w:val="24"/>
        </w:rPr>
        <w:t>geostrategickou investicí do míru, stability, bezpečnosti a hospodářského růstu</w:t>
      </w:r>
      <w:r>
        <w:rPr>
          <w:rFonts w:ascii="Times New Roman" w:hAnsi="Times New Roman"/>
          <w:noProof/>
          <w:sz w:val="24"/>
        </w:rPr>
        <w:t xml:space="preserve"> v celé Evropě.</w:t>
      </w:r>
      <w:r>
        <w:rPr>
          <w:rFonts w:ascii="Times New Roman" w:hAnsi="Times New Roman"/>
          <w:b/>
          <w:noProof/>
          <w:sz w:val="24"/>
        </w:rPr>
        <w:t xml:space="preserve"> </w:t>
      </w:r>
      <w:r>
        <w:rPr>
          <w:rFonts w:ascii="Times New Roman" w:hAnsi="Times New Roman"/>
          <w:noProof/>
          <w:sz w:val="24"/>
        </w:rPr>
        <w:t xml:space="preserve">Je rovněž nedílnou součástí širší strategie na posílení Unie do roku 2025. EU a její partneři, </w:t>
      </w:r>
      <w:r>
        <w:rPr>
          <w:rFonts w:ascii="Times New Roman" w:hAnsi="Times New Roman"/>
          <w:noProof/>
          <w:sz w:val="24"/>
        </w:rPr>
        <w:t xml:space="preserve">kteří se ucházejí o členství, těží ze společných příležitostí, ale také čelí společným výzvám, jako je migrace, organizovaná trestná činnost a terorismus. Příprava dotčených zemí na splnění všech požadavků na členství v EU zůstává i nadále jednou z </w:t>
      </w:r>
      <w:r>
        <w:rPr>
          <w:rFonts w:ascii="Times New Roman" w:hAnsi="Times New Roman"/>
          <w:b/>
          <w:noProof/>
          <w:sz w:val="24"/>
        </w:rPr>
        <w:t>hlavníc</w:t>
      </w:r>
      <w:r>
        <w:rPr>
          <w:rFonts w:ascii="Times New Roman" w:hAnsi="Times New Roman"/>
          <w:b/>
          <w:noProof/>
          <w:sz w:val="24"/>
        </w:rPr>
        <w:t>h politických priorit EU</w:t>
      </w:r>
      <w:r>
        <w:rPr>
          <w:rFonts w:ascii="Times New Roman" w:hAnsi="Times New Roman"/>
          <w:noProof/>
          <w:sz w:val="24"/>
        </w:rPr>
        <w:t>.</w:t>
      </w:r>
      <w:r>
        <w:rPr>
          <w:rFonts w:ascii="Times New Roman" w:hAnsi="Times New Roman"/>
          <w:b/>
          <w:noProof/>
          <w:sz w:val="24"/>
        </w:rPr>
        <w:t xml:space="preserve"> </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Turecko</w:t>
      </w:r>
      <w:r>
        <w:rPr>
          <w:rFonts w:ascii="Times New Roman" w:hAnsi="Times New Roman"/>
          <w:noProof/>
          <w:sz w:val="24"/>
        </w:rPr>
        <w:t xml:space="preserve"> zůstává klíčovým partnerem Evropské unie v několika oblastech společného zájmu. Strategie Komise pro západní Balkán z února 2018 dala celému regionu nový impuls a zvýšila angažovanost EU a jejích členských států. Míra, v </w:t>
      </w:r>
      <w:r>
        <w:rPr>
          <w:rFonts w:ascii="Times New Roman" w:hAnsi="Times New Roman"/>
          <w:noProof/>
          <w:sz w:val="24"/>
        </w:rPr>
        <w:t xml:space="preserve">jaké dotčené země této historické příležitosti využívají, se však liší. </w:t>
      </w:r>
      <w:r>
        <w:rPr>
          <w:rFonts w:ascii="Times New Roman" w:hAnsi="Times New Roman"/>
          <w:b/>
          <w:noProof/>
          <w:sz w:val="24"/>
        </w:rPr>
        <w:t>Albánie</w:t>
      </w:r>
      <w:r>
        <w:rPr>
          <w:rFonts w:ascii="Times New Roman" w:hAnsi="Times New Roman"/>
          <w:noProof/>
          <w:sz w:val="24"/>
        </w:rPr>
        <w:t xml:space="preserve"> a </w:t>
      </w:r>
      <w:r>
        <w:rPr>
          <w:rFonts w:ascii="Times New Roman" w:hAnsi="Times New Roman"/>
          <w:b/>
          <w:noProof/>
          <w:sz w:val="24"/>
        </w:rPr>
        <w:t>Severní Makedonie</w:t>
      </w:r>
      <w:r>
        <w:rPr>
          <w:rFonts w:ascii="Times New Roman" w:hAnsi="Times New Roman"/>
          <w:noProof/>
          <w:sz w:val="24"/>
        </w:rPr>
        <w:t xml:space="preserve"> využily příležitosti a provedly reformy, zejména v oblastech, které byly jednomyslně stanoveny v závěrech Rady z června 2018. </w:t>
      </w:r>
      <w:r>
        <w:rPr>
          <w:rFonts w:ascii="Times New Roman" w:hAnsi="Times New Roman"/>
          <w:b/>
          <w:noProof/>
          <w:sz w:val="24"/>
        </w:rPr>
        <w:t>Černá Hora</w:t>
      </w:r>
      <w:r>
        <w:rPr>
          <w:rFonts w:ascii="Times New Roman" w:hAnsi="Times New Roman"/>
          <w:noProof/>
          <w:sz w:val="24"/>
        </w:rPr>
        <w:t xml:space="preserve"> a </w:t>
      </w:r>
      <w:r>
        <w:rPr>
          <w:rFonts w:ascii="Times New Roman" w:hAnsi="Times New Roman"/>
          <w:b/>
          <w:noProof/>
          <w:sz w:val="24"/>
        </w:rPr>
        <w:t>Srbsko</w:t>
      </w:r>
      <w:r>
        <w:rPr>
          <w:rFonts w:ascii="Times New Roman" w:hAnsi="Times New Roman"/>
          <w:noProof/>
          <w:sz w:val="24"/>
        </w:rPr>
        <w:t xml:space="preserve"> musí jedna</w:t>
      </w:r>
      <w:r>
        <w:rPr>
          <w:rFonts w:ascii="Times New Roman" w:hAnsi="Times New Roman"/>
          <w:noProof/>
          <w:sz w:val="24"/>
        </w:rPr>
        <w:t xml:space="preserve">t s větším odhodláním a zvýšit své úsilí v klíčových oblastech. </w:t>
      </w:r>
      <w:r>
        <w:rPr>
          <w:rFonts w:ascii="Times New Roman" w:hAnsi="Times New Roman"/>
          <w:b/>
          <w:noProof/>
          <w:sz w:val="24"/>
        </w:rPr>
        <w:t>Bosna a Hercegovina</w:t>
      </w:r>
      <w:r>
        <w:rPr>
          <w:rFonts w:ascii="Times New Roman" w:hAnsi="Times New Roman"/>
          <w:noProof/>
          <w:sz w:val="24"/>
        </w:rPr>
        <w:t xml:space="preserve"> čelí mnoha strukturálním problémům. Stanovisko Komise k žádosti Bosny a Hercegoviny o členství v EU obsahuje komplexní plán reforem, který dá této zemi při procesu integrac</w:t>
      </w:r>
      <w:r>
        <w:rPr>
          <w:rFonts w:ascii="Times New Roman" w:hAnsi="Times New Roman"/>
          <w:noProof/>
          <w:sz w:val="24"/>
        </w:rPr>
        <w:t xml:space="preserve">e do EU nový impuls. </w:t>
      </w:r>
      <w:r>
        <w:rPr>
          <w:rFonts w:ascii="Times New Roman" w:hAnsi="Times New Roman"/>
          <w:b/>
          <w:noProof/>
          <w:sz w:val="24"/>
        </w:rPr>
        <w:t>Kosovo</w:t>
      </w:r>
      <w:r>
        <w:rPr>
          <w:rFonts w:ascii="Times New Roman" w:hAnsi="Times New Roman"/>
          <w:noProof/>
          <w:sz w:val="24"/>
        </w:rPr>
        <w:t xml:space="preserve"> by se mělo na pokrok na cestě do Evropy znovu zaměřit na politické úrovni. </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Aby proces přistoupení mohl pokročit, musí kandidáti na přistoupení co nejrychleji dosáhnout </w:t>
      </w:r>
      <w:r>
        <w:rPr>
          <w:rFonts w:ascii="Times New Roman" w:hAnsi="Times New Roman"/>
          <w:b/>
          <w:noProof/>
          <w:sz w:val="24"/>
        </w:rPr>
        <w:t>skutečných a udržitelných výsledků</w:t>
      </w:r>
      <w:r>
        <w:rPr>
          <w:rFonts w:ascii="Times New Roman" w:hAnsi="Times New Roman"/>
          <w:noProof/>
          <w:sz w:val="24"/>
        </w:rPr>
        <w:t xml:space="preserve"> </w:t>
      </w:r>
      <w:r>
        <w:rPr>
          <w:rFonts w:ascii="Times New Roman" w:hAnsi="Times New Roman"/>
          <w:b/>
          <w:noProof/>
          <w:sz w:val="24"/>
        </w:rPr>
        <w:t>v klíčových otázkách</w:t>
      </w:r>
      <w:r>
        <w:rPr>
          <w:rFonts w:ascii="Times New Roman" w:hAnsi="Times New Roman"/>
          <w:noProof/>
          <w:sz w:val="24"/>
        </w:rPr>
        <w:t>, kt</w:t>
      </w:r>
      <w:r>
        <w:rPr>
          <w:rFonts w:ascii="Times New Roman" w:hAnsi="Times New Roman"/>
          <w:noProof/>
          <w:sz w:val="24"/>
        </w:rPr>
        <w:t>eré se odrážejí v principu „základní zásady na prvním místě“. Jedná se o právní stát, reformu soudnictví, boj proti korupci a organizované trestné činnosti, bezpečnost, základní práva, fungování demokratických institucí a reformu veřejné správy a také hosp</w:t>
      </w:r>
      <w:r>
        <w:rPr>
          <w:rFonts w:ascii="Times New Roman" w:hAnsi="Times New Roman"/>
          <w:noProof/>
          <w:sz w:val="24"/>
        </w:rPr>
        <w:t xml:space="preserve">odářský rozvoj a konkurenceschopnost. Je rovněž naléhavě nutné, aby země západního Balkánu pokročily v oblasti usmíření, dobrých sousedských vztahů a regionální spolupráce, a to po vzoru historické dohody mezi Severní Makedonií a Řeckem. </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Jak bylo znovu </w:t>
      </w:r>
      <w:r>
        <w:rPr>
          <w:rFonts w:ascii="Times New Roman" w:hAnsi="Times New Roman"/>
          <w:noProof/>
          <w:sz w:val="24"/>
        </w:rPr>
        <w:t>potvrzeno v loňském roce, EU dlouhodobě podporuje evropskou perspektivu celého regionu západního Balkánu. Podle strategie Komise pro západní Balkán ale žádná ze zemí momentálně nesplňuje kritéria pro členství. Jejich dosažení vyžaduje řadu let intenzivní t</w:t>
      </w:r>
      <w:r>
        <w:rPr>
          <w:rFonts w:ascii="Times New Roman" w:hAnsi="Times New Roman"/>
          <w:noProof/>
          <w:sz w:val="24"/>
        </w:rPr>
        <w:t>vrdé práce a hmatatelné výsledky. Také samotná Unie musí být silnější a pevnější, než se bude moci rozšířit</w:t>
      </w:r>
      <w:r>
        <w:rPr>
          <w:rStyle w:val="FootnoteReference"/>
          <w:rFonts w:ascii="Times New Roman" w:hAnsi="Times New Roman"/>
          <w:noProof/>
          <w:sz w:val="24"/>
        </w:rPr>
        <w:footnoteReference w:id="8"/>
      </w:r>
      <w:r>
        <w:rPr>
          <w:rFonts w:ascii="Times New Roman" w:hAnsi="Times New Roman"/>
          <w:noProof/>
          <w:sz w:val="24"/>
        </w:rPr>
        <w:t xml:space="preserve">. Pro tuto transformaci, podporu usmíření, posílení stability regionu a prosazování hodnot, norem a standardů EU má však nadále zásadní význam </w:t>
      </w:r>
      <w:r>
        <w:rPr>
          <w:rFonts w:ascii="Times New Roman" w:hAnsi="Times New Roman"/>
          <w:b/>
          <w:noProof/>
          <w:sz w:val="24"/>
        </w:rPr>
        <w:t>solid</w:t>
      </w:r>
      <w:r>
        <w:rPr>
          <w:rFonts w:ascii="Times New Roman" w:hAnsi="Times New Roman"/>
          <w:b/>
          <w:noProof/>
          <w:sz w:val="24"/>
        </w:rPr>
        <w:t>ní a důvěryhodná perspektiva</w:t>
      </w:r>
      <w:r>
        <w:rPr>
          <w:rFonts w:ascii="Times New Roman" w:hAnsi="Times New Roman"/>
          <w:noProof/>
          <w:sz w:val="24"/>
        </w:rPr>
        <w:t xml:space="preserve"> pro všechny země. EU musí dodržet své závazky a jasně a pozitivně reagovat na objektivní výsledky, jichž země dosáhly v plnění podmínek, které stanovila. Jedná se o strategickou investici nejen do budoucnosti tohoto regionu, al</w:t>
      </w:r>
      <w:r>
        <w:rPr>
          <w:rFonts w:ascii="Times New Roman" w:hAnsi="Times New Roman"/>
          <w:noProof/>
          <w:sz w:val="24"/>
        </w:rPr>
        <w:t xml:space="preserve">e především do politického a ekonomického zájmu EU. </w:t>
      </w:r>
    </w:p>
    <w:p w:rsidR="00BB42EA" w:rsidRDefault="00B004C8">
      <w:pPr>
        <w:pStyle w:val="ListParagraph"/>
        <w:numPr>
          <w:ilvl w:val="0"/>
          <w:numId w:val="1"/>
        </w:numPr>
        <w:spacing w:after="120" w:line="240" w:lineRule="auto"/>
        <w:ind w:left="360"/>
        <w:jc w:val="both"/>
        <w:rPr>
          <w:rFonts w:ascii="Times New Roman" w:hAnsi="Times New Roman" w:cs="Times New Roman"/>
          <w:noProof/>
          <w:sz w:val="24"/>
          <w:szCs w:val="24"/>
        </w:rPr>
      </w:pPr>
      <w:r>
        <w:rPr>
          <w:rFonts w:ascii="Times New Roman" w:hAnsi="Times New Roman"/>
          <w:noProof/>
          <w:sz w:val="24"/>
        </w:rPr>
        <w:t>EU zůstává hlavní vnější hnací silou růstu a zaměstnanosti v zemích západního Balkánu. Klíčem k úspěchu tohoto regionu je, aby při jakékoli zahraniční hospodářské činnosti byly v plné míře dodržovány hod</w:t>
      </w:r>
      <w:r>
        <w:rPr>
          <w:rFonts w:ascii="Times New Roman" w:hAnsi="Times New Roman"/>
          <w:noProof/>
          <w:sz w:val="24"/>
        </w:rPr>
        <w:t>noty, normy a standardy EU, zejména v oblastech jako právní stát, hospodářská soutěž, veřejné zakázky, životní prostředí, energetika a infrastruktura.</w:t>
      </w:r>
      <w:r>
        <w:rPr>
          <w:rFonts w:ascii="Times New Roman" w:hAnsi="Times New Roman"/>
          <w:b/>
          <w:noProof/>
          <w:sz w:val="24"/>
        </w:rPr>
        <w:t xml:space="preserve"> Rostoucí obchodní a investiční aktivity Číny</w:t>
      </w:r>
      <w:r>
        <w:rPr>
          <w:rFonts w:ascii="Times New Roman" w:hAnsi="Times New Roman"/>
          <w:noProof/>
          <w:sz w:val="24"/>
        </w:rPr>
        <w:t xml:space="preserve"> v regionu mohou v zásadě nabídnout příležitosti, tyto invest</w:t>
      </w:r>
      <w:r>
        <w:rPr>
          <w:rFonts w:ascii="Times New Roman" w:hAnsi="Times New Roman"/>
          <w:noProof/>
          <w:sz w:val="24"/>
        </w:rPr>
        <w:t xml:space="preserve">ice však často nezohledňují socioekonomickou a finanční udržitelnost. To podtrhuje důležitost toho, aby partnerské země plně prováděly ducha a konkrétní ustanovení dohod o stabilizaci a přidružení s EU ve výše uvedených oblastech a upřednostnily v procesu </w:t>
      </w:r>
      <w:r>
        <w:rPr>
          <w:rFonts w:ascii="Times New Roman" w:hAnsi="Times New Roman"/>
          <w:noProof/>
          <w:sz w:val="24"/>
        </w:rPr>
        <w:t>přistoupení odpovídající reformy.</w:t>
      </w:r>
    </w:p>
    <w:p w:rsidR="00BB42EA" w:rsidRDefault="00BB42EA">
      <w:pPr>
        <w:spacing w:after="120" w:line="240" w:lineRule="auto"/>
        <w:jc w:val="both"/>
        <w:rPr>
          <w:rFonts w:ascii="Times New Roman" w:hAnsi="Times New Roman" w:cs="Times New Roman"/>
          <w:noProof/>
          <w:sz w:val="24"/>
          <w:szCs w:val="24"/>
        </w:rPr>
      </w:pPr>
    </w:p>
    <w:p w:rsidR="00BB42EA" w:rsidRDefault="00B004C8">
      <w:pPr>
        <w:spacing w:after="120" w:line="240" w:lineRule="auto"/>
        <w:jc w:val="center"/>
        <w:rPr>
          <w:rFonts w:ascii="Times New Roman" w:hAnsi="Times New Roman" w:cs="Times New Roman"/>
          <w:b/>
          <w:noProof/>
          <w:sz w:val="24"/>
          <w:szCs w:val="24"/>
        </w:rPr>
      </w:pPr>
      <w:r>
        <w:rPr>
          <w:rFonts w:ascii="Times New Roman" w:hAnsi="Times New Roman"/>
          <w:b/>
          <w:noProof/>
          <w:sz w:val="24"/>
        </w:rPr>
        <w:t>II</w:t>
      </w:r>
    </w:p>
    <w:p w:rsidR="00BB42EA" w:rsidRDefault="00B004C8">
      <w:pPr>
        <w:numPr>
          <w:ilvl w:val="0"/>
          <w:numId w:val="1"/>
        </w:numPr>
        <w:spacing w:after="120" w:line="240" w:lineRule="auto"/>
        <w:ind w:left="357" w:hanging="357"/>
        <w:jc w:val="both"/>
        <w:rPr>
          <w:rFonts w:ascii="Times New Roman" w:eastAsia="Calibri" w:hAnsi="Times New Roman" w:cs="Times New Roman"/>
          <w:noProof/>
          <w:sz w:val="24"/>
          <w:szCs w:val="24"/>
        </w:rPr>
      </w:pPr>
      <w:r>
        <w:rPr>
          <w:rFonts w:ascii="Times New Roman" w:hAnsi="Times New Roman"/>
          <w:b/>
          <w:noProof/>
          <w:sz w:val="24"/>
        </w:rPr>
        <w:t>Turecko</w:t>
      </w:r>
      <w:r>
        <w:rPr>
          <w:noProof/>
        </w:rPr>
        <w:t xml:space="preserve"> </w:t>
      </w:r>
      <w:r>
        <w:rPr>
          <w:rFonts w:ascii="Times New Roman" w:hAnsi="Times New Roman"/>
          <w:noProof/>
          <w:sz w:val="24"/>
        </w:rPr>
        <w:t>zůstává klíčovým partnerem Evropské unie v oblastech společného zájmu, které sahají od migrace a boje proti terorismu až po energetiku, dopravu a obchod. Rada pro obecné záležitosti ve svých závěrech z června 2</w:t>
      </w:r>
      <w:r>
        <w:rPr>
          <w:rFonts w:ascii="Times New Roman" w:hAnsi="Times New Roman"/>
          <w:noProof/>
          <w:sz w:val="24"/>
        </w:rPr>
        <w:t>018 uvedla, že za současných okolností se přístupová jednání s Tureckem v podstatě zastavila a nelze uvažovat o otevření či uzavření žádných dalších kapitol. Základní skutečnosti, které vedly k tomuto posouzení, se nezměnily. Přestože se turecká vláda opak</w:t>
      </w:r>
      <w:r>
        <w:rPr>
          <w:rFonts w:ascii="Times New Roman" w:hAnsi="Times New Roman"/>
          <w:noProof/>
          <w:sz w:val="24"/>
        </w:rPr>
        <w:t>ovaně vyslovila ve prospěch cíle přistoupení k EU, tento závazek nedoprovázela odpovídající opatření a reformy a nebyly řešeny vážné výhrady EU k pokračujícímu negativnímu vývoji v oblasti právního státu, základních práv a soudnictví.</w:t>
      </w:r>
    </w:p>
    <w:p w:rsidR="00BB42EA" w:rsidRDefault="00B004C8">
      <w:pPr>
        <w:spacing w:after="120" w:line="240" w:lineRule="auto"/>
        <w:ind w:left="357"/>
        <w:jc w:val="both"/>
        <w:rPr>
          <w:rFonts w:ascii="Times New Roman" w:eastAsia="Calibri" w:hAnsi="Times New Roman" w:cs="Times New Roman"/>
          <w:bCs/>
          <w:noProof/>
          <w:sz w:val="24"/>
          <w:szCs w:val="24"/>
        </w:rPr>
      </w:pPr>
      <w:r>
        <w:rPr>
          <w:rFonts w:ascii="Times New Roman" w:hAnsi="Times New Roman"/>
          <w:noProof/>
          <w:sz w:val="24"/>
        </w:rPr>
        <w:t xml:space="preserve">Po zrušení </w:t>
      </w:r>
      <w:r>
        <w:rPr>
          <w:rFonts w:ascii="Times New Roman" w:hAnsi="Times New Roman"/>
          <w:noProof/>
          <w:sz w:val="24"/>
        </w:rPr>
        <w:t>výjimečného stavu v červenci 2018 Turecko zavedlo do stávající legislativy řadu jeho represivnějších prvků. Nový prezidentský systém odstranil řadu prvků systému brzd a protivah, které existovaly dříve. Výsledkem byla další politizace veřejné správy a soud</w:t>
      </w:r>
      <w:r>
        <w:rPr>
          <w:rFonts w:ascii="Times New Roman" w:hAnsi="Times New Roman"/>
          <w:noProof/>
          <w:sz w:val="24"/>
        </w:rPr>
        <w:t>nictví.</w:t>
      </w:r>
    </w:p>
    <w:p w:rsidR="00BB42EA" w:rsidRDefault="00B004C8">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Prezidentské a parlamentní volby, které se konaly v červnu 2018, a komunální volby v březnu 2019 se vyznačovaly výraznou účastí. Voliči měli skutečnou možnost volby, přestože kandidáti měli zjevně nedostatečné podmínky k tomu, aby soutěžili na rovn</w:t>
      </w:r>
      <w:r>
        <w:rPr>
          <w:rFonts w:ascii="Times New Roman" w:hAnsi="Times New Roman"/>
          <w:noProof/>
          <w:sz w:val="24"/>
        </w:rPr>
        <w:t>ém a spravedlivém základě. Vládnoucí strana měla významnou výhodu, a to i díky nepřiměřeně velkému zájmu veřejných a soukromých sdělovacích prostředků nakloněných vládě. Po komunálních volbách Nejvyšší volební rada prohlásila, že čtyři zvolení starostové a</w:t>
      </w:r>
      <w:r>
        <w:rPr>
          <w:rFonts w:ascii="Times New Roman" w:hAnsi="Times New Roman"/>
          <w:noProof/>
          <w:sz w:val="24"/>
        </w:rPr>
        <w:t> členové obecních zastupitelstev na jihovýchodě Turecka nejsou způsobilí k výkonu funkce, přestože jejich kandidatury byly před volbami schváleny. Rovněž anulovala výsledky metropolitních primátorských voleb v Istanbulu a nařídila jejich opakování na 23. č</w:t>
      </w:r>
      <w:r>
        <w:rPr>
          <w:rFonts w:ascii="Times New Roman" w:hAnsi="Times New Roman"/>
          <w:noProof/>
          <w:sz w:val="24"/>
        </w:rPr>
        <w:t>ervna. Tato rozhodnutí Nejvyšší volební rady opakovat volby v Istanbulu a uvést do funkce starostů některých obcí na jihovýchodě země kandidáty, kteří skončili až na druhém místě, vyvolávají vážné znepokojení, pokud jde o dodržování legality a integrity vo</w:t>
      </w:r>
      <w:r>
        <w:rPr>
          <w:rFonts w:ascii="Times New Roman" w:hAnsi="Times New Roman"/>
          <w:noProof/>
          <w:sz w:val="24"/>
        </w:rPr>
        <w:t>lebního procesu a nezávislost této instituce na politickém tlaku. Jdou proti samotnému jádru demokratického volebního procesu, jímž je zajistit, aby zvítězila vůle občanů.</w:t>
      </w:r>
    </w:p>
    <w:p w:rsidR="00BB42EA" w:rsidRDefault="00B004C8">
      <w:pPr>
        <w:spacing w:after="120" w:line="240" w:lineRule="auto"/>
        <w:ind w:left="357"/>
        <w:jc w:val="both"/>
        <w:rPr>
          <w:rFonts w:ascii="Times New Roman" w:eastAsia="Calibri" w:hAnsi="Times New Roman" w:cs="Times New Roman"/>
          <w:b/>
          <w:noProof/>
          <w:sz w:val="24"/>
          <w:szCs w:val="24"/>
        </w:rPr>
      </w:pPr>
      <w:r>
        <w:rPr>
          <w:rFonts w:ascii="Times New Roman" w:hAnsi="Times New Roman"/>
          <w:noProof/>
          <w:sz w:val="24"/>
        </w:rPr>
        <w:t>Závažně se zhoršila situace v oblasti svobody projevu, shromažďování a sdružování. T</w:t>
      </w:r>
      <w:r>
        <w:rPr>
          <w:rFonts w:ascii="Times New Roman" w:hAnsi="Times New Roman"/>
          <w:noProof/>
          <w:sz w:val="24"/>
        </w:rPr>
        <w:t xml:space="preserve">urecko musí zlepšit a zefektivnit ochranu základních práv a schválit a provést komplexní a důvěryhodnou reformu soudnictví, která obnoví jeho nezávislost. </w:t>
      </w:r>
    </w:p>
    <w:p w:rsidR="00BB42EA" w:rsidRDefault="00B004C8">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Silné zhoršování situace pokračovalo i v tureckém hospodářství, což prohloubilo obavy ohledně fungov</w:t>
      </w:r>
      <w:r>
        <w:rPr>
          <w:rFonts w:ascii="Times New Roman" w:hAnsi="Times New Roman"/>
          <w:noProof/>
          <w:sz w:val="24"/>
        </w:rPr>
        <w:t>ání tržního hospodářství země. Turecké úřady při řešení silných tlaků na národní měnu přijaly řadu politických opatření, která negativně ovlivnila fungování trhů. Byla sice přijata pozitivní opatření ke zlepšení podnikatelského prostředí, investory však dá</w:t>
      </w:r>
      <w:r>
        <w:rPr>
          <w:rFonts w:ascii="Times New Roman" w:hAnsi="Times New Roman"/>
          <w:noProof/>
          <w:sz w:val="24"/>
        </w:rPr>
        <w:t xml:space="preserve">le odrazovaly obavy spojené s dodržováním zásad právního státu. </w:t>
      </w:r>
    </w:p>
    <w:p w:rsidR="00BB42EA" w:rsidRDefault="00B004C8">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Prohlášení EU a Turecka z března 2016 nadále přináší výsledky a obě strany se zavázaly k jeho provádění. Intenzivnější činnost Turecka má podíl na klesajícím trendu nelegálního překračování h</w:t>
      </w:r>
      <w:r>
        <w:rPr>
          <w:rFonts w:ascii="Times New Roman" w:hAnsi="Times New Roman"/>
          <w:noProof/>
          <w:sz w:val="24"/>
        </w:rPr>
        <w:t>ranic z Turecka do EU od doby, kdy toto prohlášení vstoupilo v platnost. Turecko nadále s mimořádným úsilím poskytovalo rozsáhlou humanitární pomoc a podporu více než 3,6 milionu uprchlíků ze Sýrie a přibližně 370 000 uprchlíků z dalších zemí. Turecko a EU</w:t>
      </w:r>
      <w:r>
        <w:rPr>
          <w:rFonts w:ascii="Times New Roman" w:hAnsi="Times New Roman"/>
          <w:noProof/>
          <w:sz w:val="24"/>
        </w:rPr>
        <w:t xml:space="preserve"> dále rozvíjely plodnou spolupráci v rámci nástroje pro uprchlíky v Turecku. Do května 2019 bylo z 6 miliard EUR uvolněných Evropskou unií zahájeno více než 80 projektů. </w:t>
      </w:r>
    </w:p>
    <w:p w:rsidR="00BB42EA" w:rsidRDefault="00B004C8">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Turecko uvítalo obnovené úsilí OSN o konzultace se zúčastněnými stranami ohledně možn</w:t>
      </w:r>
      <w:r>
        <w:rPr>
          <w:rFonts w:ascii="Times New Roman" w:hAnsi="Times New Roman"/>
          <w:noProof/>
          <w:sz w:val="24"/>
        </w:rPr>
        <w:t>ého obnovení jednání o Kypru. Je důležité udržet pokrok, kterého bylo pod vedením OSN při jednáních o urovnání kyperské otázky zatím dosaženo, a pokračovat v přípravách na komplexní, spravedlivé a proveditelné řešení, včetně jeho vnějších aspektů. Pokračuj</w:t>
      </w:r>
      <w:r>
        <w:rPr>
          <w:rFonts w:ascii="Times New Roman" w:hAnsi="Times New Roman"/>
          <w:noProof/>
          <w:sz w:val="24"/>
        </w:rPr>
        <w:t xml:space="preserve">ící angažovanost Turecka a jeho přínos k těmto jednáním budou mít velký význam. </w:t>
      </w:r>
    </w:p>
    <w:p w:rsidR="00BB42EA" w:rsidRDefault="00B004C8">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Vzhledem ke krokům a prohlášením Turecka, které zpochybňovaly právo Kyperské republiky na využívání zdrojů uhlovodíků v její výlučné ekonomické zóně, se zvýšilo napětí v regio</w:t>
      </w:r>
      <w:r>
        <w:rPr>
          <w:rFonts w:ascii="Times New Roman" w:hAnsi="Times New Roman"/>
          <w:noProof/>
          <w:sz w:val="24"/>
        </w:rPr>
        <w:t>nu ohledně výhledu na průzkum ložisek uhlovodíků u pobřeží Kypru. Napětí dále vyhrotil fakt, že v květnu 2019 Turecko vyslalo do výlučné ekonomické zóny Kyperské republiky vrtnou plošinu v doprovodu vojenských plavidel. Komise připomíná prohlášení Evropské</w:t>
      </w:r>
      <w:r>
        <w:rPr>
          <w:rFonts w:ascii="Times New Roman" w:hAnsi="Times New Roman"/>
          <w:noProof/>
          <w:sz w:val="24"/>
        </w:rPr>
        <w:t xml:space="preserve"> rady z března 2018, které důrazně odsoudilo pokračující protiprávní jednání Turecka ve východním Středomoří a Egejském moři. Rovněž připomněla povinnost Turecka dodržovat mezinárodní právo a zachovávat dobré sousedské vztahy a vyzvala tuto zemi, aby respe</w:t>
      </w:r>
      <w:r>
        <w:rPr>
          <w:rFonts w:ascii="Times New Roman" w:hAnsi="Times New Roman"/>
          <w:noProof/>
          <w:sz w:val="24"/>
        </w:rPr>
        <w:t>ktovala svrchovaná práva Kypru provádět průzkum svých přírodních zdrojů a tyto zdroje využívat v souladu s právem EU a mezinárodním právem. V březnu 2019 vyzvala EU Turecko, aby se zdrželo veškerých takových protiprávních akcí, na něž by musela reagovat pa</w:t>
      </w:r>
      <w:r>
        <w:rPr>
          <w:rFonts w:ascii="Times New Roman" w:hAnsi="Times New Roman"/>
          <w:noProof/>
          <w:sz w:val="24"/>
        </w:rPr>
        <w:t>třičným způsobem a v plné solidaritě s Kyprem.</w:t>
      </w:r>
    </w:p>
    <w:p w:rsidR="00BB42EA" w:rsidRDefault="00B004C8">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Turecko musí urychleně splnit svůj závazek zajistit úplné a nediskriminační provádění dodatkového protokolu k dohodě o přidružení mezi EU a Tureckem a odstranit všechny překážky volného pohybu zboží, včetně om</w:t>
      </w:r>
      <w:r>
        <w:rPr>
          <w:rFonts w:ascii="Times New Roman" w:hAnsi="Times New Roman"/>
          <w:noProof/>
          <w:sz w:val="24"/>
        </w:rPr>
        <w:t>ezení přímého dopravního spojení s Kyprem. V narovnávání dvoustranných vztahů s Kyperskou republikou nedošlo k žádnému pokroku.</w:t>
      </w:r>
    </w:p>
    <w:p w:rsidR="00BB42EA" w:rsidRDefault="00B004C8">
      <w:pPr>
        <w:spacing w:after="120" w:line="240" w:lineRule="auto"/>
        <w:ind w:left="357"/>
        <w:jc w:val="both"/>
        <w:rPr>
          <w:rFonts w:ascii="Times New Roman" w:eastAsia="Calibri" w:hAnsi="Times New Roman" w:cs="Times New Roman"/>
          <w:b/>
          <w:noProof/>
          <w:sz w:val="24"/>
          <w:szCs w:val="24"/>
        </w:rPr>
      </w:pPr>
      <w:r>
        <w:rPr>
          <w:rFonts w:ascii="Times New Roman" w:hAnsi="Times New Roman"/>
          <w:noProof/>
          <w:sz w:val="24"/>
        </w:rPr>
        <w:t xml:space="preserve">Pokračovala operativní spolupráce s Řeckem v oblasti migrace. Napětí v Egejském moři a ve východním Středomoří však podkopávalo </w:t>
      </w:r>
      <w:r>
        <w:rPr>
          <w:rFonts w:ascii="Times New Roman" w:hAnsi="Times New Roman"/>
          <w:noProof/>
          <w:sz w:val="24"/>
        </w:rPr>
        <w:t xml:space="preserve">regionální stabilitu a bezpečnost. Turecko opakovaně a s rostoucí intenzitou narušovalo teritoriální vody a vzdušný prostor Řecka a Kypru. Zlepšily se dvoustranné vztahy s několika členskými státy EU, zejména s Rakouskem, Německem a Nizozemskem. </w:t>
      </w:r>
    </w:p>
    <w:p w:rsidR="00BB42EA" w:rsidRDefault="00B004C8">
      <w:pPr>
        <w:pStyle w:val="ListParagraph"/>
        <w:numPr>
          <w:ilvl w:val="0"/>
          <w:numId w:val="1"/>
        </w:numPr>
        <w:spacing w:after="120" w:line="240" w:lineRule="auto"/>
        <w:ind w:left="360"/>
        <w:jc w:val="both"/>
        <w:rPr>
          <w:rFonts w:ascii="Times New Roman" w:hAnsi="Times New Roman" w:cs="Times New Roman"/>
          <w:noProof/>
          <w:spacing w:val="-6"/>
          <w:sz w:val="24"/>
          <w:szCs w:val="24"/>
        </w:rPr>
      </w:pPr>
      <w:r>
        <w:rPr>
          <w:rFonts w:ascii="Times New Roman" w:hAnsi="Times New Roman"/>
          <w:b/>
          <w:noProof/>
          <w:sz w:val="24"/>
        </w:rPr>
        <w:t>Černá Hor</w:t>
      </w:r>
      <w:r>
        <w:rPr>
          <w:rFonts w:ascii="Times New Roman" w:hAnsi="Times New Roman"/>
          <w:b/>
          <w:noProof/>
          <w:sz w:val="24"/>
        </w:rPr>
        <w:t>a</w:t>
      </w:r>
      <w:r>
        <w:rPr>
          <w:rFonts w:ascii="Times New Roman" w:hAnsi="Times New Roman"/>
          <w:noProof/>
          <w:sz w:val="24"/>
        </w:rPr>
        <w:t xml:space="preserve"> otevřela v roce 2018 další dvě kapitoly jednání. Jejich celkový počet se tím zvýšil na 32 otevřených kapitol, přičemž tři z nich jsou prozatímně uzavřeny. Hlavní prioritou a dalším milníkem je splnění prozatímních kritérií pro dodržování zásad právního s</w:t>
      </w:r>
      <w:r>
        <w:rPr>
          <w:rFonts w:ascii="Times New Roman" w:hAnsi="Times New Roman"/>
          <w:noProof/>
          <w:sz w:val="24"/>
        </w:rPr>
        <w:t>tátu stanovených v kapitolách 23 a 24. Po více než pěti letech práce Černá Hora významně pokročila v reformě příslušného právního a institucionálního rámce, přičemž ve většině oblastí se již objevily prvotní výsledky. Jakmile budou prozatímní kritéria spln</w:t>
      </w:r>
      <w:r>
        <w:rPr>
          <w:rFonts w:ascii="Times New Roman" w:hAnsi="Times New Roman"/>
          <w:noProof/>
          <w:sz w:val="24"/>
        </w:rPr>
        <w:t xml:space="preserve">ěna, </w:t>
      </w:r>
      <w:r>
        <w:rPr>
          <w:rFonts w:ascii="Times New Roman" w:hAnsi="Times New Roman"/>
          <w:noProof/>
          <w:color w:val="000000"/>
          <w:sz w:val="24"/>
        </w:rPr>
        <w:t>bude EU moci stanovit kritéria pro uzavření kapitol a v rámci toho jasně definovat požadavky týkající se právního státu, které musí Černá Hora před uzavřením příslušných kapitol splnit.</w:t>
      </w:r>
      <w:r>
        <w:rPr>
          <w:rFonts w:ascii="Times New Roman" w:hAnsi="Times New Roman"/>
          <w:noProof/>
          <w:sz w:val="24"/>
        </w:rPr>
        <w:t xml:space="preserve"> Černá Hora však může do této nové fáze v procesu přistoupení vsto</w:t>
      </w:r>
      <w:r>
        <w:rPr>
          <w:rFonts w:ascii="Times New Roman" w:hAnsi="Times New Roman"/>
          <w:noProof/>
          <w:sz w:val="24"/>
        </w:rPr>
        <w:t>upit až po vyřešení zbývajících nedostatků, zejména v kritických oblastech svobody sdělovacích prostředků, boje proti korupci a obchodování s lidmi. Pokrok v plnění kapitol týkajících se právního státu bude i nadále určovat celkové tempo přístupových jedná</w:t>
      </w:r>
      <w:r>
        <w:rPr>
          <w:rFonts w:ascii="Times New Roman" w:hAnsi="Times New Roman"/>
          <w:noProof/>
          <w:sz w:val="24"/>
        </w:rPr>
        <w:t xml:space="preserve">ní. </w:t>
      </w:r>
    </w:p>
    <w:p w:rsidR="00BB42EA" w:rsidRDefault="00B004C8">
      <w:pPr>
        <w:spacing w:after="120" w:line="240" w:lineRule="auto"/>
        <w:ind w:left="357"/>
        <w:jc w:val="both"/>
        <w:rPr>
          <w:rFonts w:ascii="Times New Roman" w:eastAsia="Times New Roman" w:hAnsi="Times New Roman" w:cs="Times New Roman"/>
          <w:noProof/>
          <w:color w:val="000000"/>
          <w:sz w:val="24"/>
          <w:szCs w:val="24"/>
        </w:rPr>
      </w:pPr>
      <w:r>
        <w:rPr>
          <w:rFonts w:ascii="Times New Roman" w:hAnsi="Times New Roman"/>
          <w:noProof/>
          <w:sz w:val="24"/>
        </w:rPr>
        <w:t>Po posledních podzimních volbách v roce 2016 zůstává politická scéna v Černé Hoře polarizována a opozice do značné míry pokračuje v bojkotu parlamentu. Obvinění z korupce a nezákonného financování politických stran na počátku roku 2019 vyvolala pokojn</w:t>
      </w:r>
      <w:r>
        <w:rPr>
          <w:rFonts w:ascii="Times New Roman" w:hAnsi="Times New Roman"/>
          <w:noProof/>
          <w:sz w:val="24"/>
        </w:rPr>
        <w:t>é protesty občanů. Navrátit politickou debatu do parlamentu je odpovědností všech stran. Dočasný parlamentní výbor pro další reformu volebních a jiných právních předpisů musí ještě dosáhnout výsledků, a to prostřednictvím diskuse všech stran. Značného pokr</w:t>
      </w:r>
      <w:r>
        <w:rPr>
          <w:rFonts w:ascii="Times New Roman" w:hAnsi="Times New Roman"/>
          <w:noProof/>
          <w:sz w:val="24"/>
        </w:rPr>
        <w:t>oku bylo dosaženo, pokud jde o plánování politiky, nábor pracovníků na základě zásluh a racionalizaci organizace státní správy. Jako zvláště problematické se nicméně stále jeví odpolitizování veřejné služby, a to i na místní úrovni. Země posílila svůj práv</w:t>
      </w:r>
      <w:r>
        <w:rPr>
          <w:rFonts w:ascii="Times New Roman" w:hAnsi="Times New Roman"/>
          <w:noProof/>
          <w:sz w:val="24"/>
        </w:rPr>
        <w:t xml:space="preserve">ní rámec v oblasti migrace a azylu. Ekonomika Černé Hory nadále rostla stabilním tempem. Úroveň veřejného dluhu však dosáhla nového rekordu. </w:t>
      </w:r>
      <w:r>
        <w:rPr>
          <w:rFonts w:ascii="Times New Roman" w:hAnsi="Times New Roman"/>
          <w:noProof/>
          <w:color w:val="000000"/>
          <w:sz w:val="24"/>
        </w:rPr>
        <w:t>Rozvoji soukromého sektoru stále bránily nedostatky v podnikatelském prostředí a soudnictví i vysoká míra neformáln</w:t>
      </w:r>
      <w:r>
        <w:rPr>
          <w:rFonts w:ascii="Times New Roman" w:hAnsi="Times New Roman"/>
          <w:noProof/>
          <w:color w:val="000000"/>
          <w:sz w:val="24"/>
        </w:rPr>
        <w:t>í ekonomiky, což je odrazem nedostatečné implementační kapacity hlavních státních institucí odpovědných za prosazování právního státu a hospodářské soutěže.</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Srbsko</w:t>
      </w:r>
      <w:r>
        <w:rPr>
          <w:rFonts w:ascii="Times New Roman" w:hAnsi="Times New Roman"/>
          <w:noProof/>
          <w:sz w:val="24"/>
        </w:rPr>
        <w:t xml:space="preserve"> zahájilo ve sledovaném období jednání o čtyřech kapitolách. Celkový počet se tím zvýšil na š</w:t>
      </w:r>
      <w:r>
        <w:rPr>
          <w:rFonts w:ascii="Times New Roman" w:hAnsi="Times New Roman"/>
          <w:noProof/>
          <w:sz w:val="24"/>
        </w:rPr>
        <w:t>estnáct otevřených kapitol, z nichž dvě jsou prozatímně uzavřeny. Zásadní význam má pokrok v oblasti právního státu a normalizace vztahů s Kosovem, jež budou i nadále určovat celkové tempo přístupových jednání. Chce-li Srbsko zachovat celkovou vyváženost s</w:t>
      </w:r>
      <w:r>
        <w:rPr>
          <w:rFonts w:ascii="Times New Roman" w:hAnsi="Times New Roman"/>
          <w:noProof/>
          <w:sz w:val="24"/>
        </w:rPr>
        <w:t xml:space="preserve">vých jednání o přistoupení k EU, musí výrazně urychlit tempo reforem právního státu, zejména pokud jde o nezávislost soudnictví, boj proti korupci, svobodu sdělovacích prostředků, vnitřní řešení válečných zločinů a boj proti organizované trestné činnosti. </w:t>
      </w:r>
    </w:p>
    <w:p w:rsidR="00BB42EA" w:rsidRDefault="00B004C8">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Srbská politická scéna se vyznačuje stále větší polarizací a zužováním prostoru pro různá politická stanoviska. </w:t>
      </w:r>
      <w:r>
        <w:rPr>
          <w:rFonts w:ascii="Times New Roman" w:hAnsi="Times New Roman"/>
          <w:noProof/>
          <w:color w:val="000000" w:themeColor="text1"/>
          <w:sz w:val="24"/>
        </w:rPr>
        <w:t>Je nezbytně nutné vytvořit více prostoru pro skutečnou diskusi napříč politickým spektrem, aby mohl být dosažen široký proevropský konsensus, k</w:t>
      </w:r>
      <w:r>
        <w:rPr>
          <w:rFonts w:ascii="Times New Roman" w:hAnsi="Times New Roman"/>
          <w:noProof/>
          <w:color w:val="000000" w:themeColor="text1"/>
          <w:sz w:val="24"/>
        </w:rPr>
        <w:t xml:space="preserve">terý má pro pokrok této země na její cestě do EU zásadní význam. </w:t>
      </w:r>
      <w:r>
        <w:rPr>
          <w:rFonts w:ascii="Times New Roman" w:hAnsi="Times New Roman"/>
          <w:noProof/>
          <w:sz w:val="24"/>
        </w:rPr>
        <w:t>V březnu 2019 začalo několik opozičních stran bojkotovat parlament. Postupy vládnoucí koalice v parlamentu přinesly zhoršení legislativní debaty a kontroly a podkopání dohledu, který vykonává</w:t>
      </w:r>
      <w:r>
        <w:rPr>
          <w:rFonts w:ascii="Times New Roman" w:hAnsi="Times New Roman"/>
          <w:noProof/>
          <w:sz w:val="24"/>
        </w:rPr>
        <w:t xml:space="preserve"> parlament nad výkonnou mocí. V prosinci 2018 vypukly v Bělehradě týdenní protivládní protesty vyvolané útokem na vůdce opoziční strany. Ačkoli v souvislosti se svobodou projevu celkově nedošlo k žádnému pokroku, nová mediální strategie byla navržena trans</w:t>
      </w:r>
      <w:r>
        <w:rPr>
          <w:rFonts w:ascii="Times New Roman" w:hAnsi="Times New Roman"/>
          <w:noProof/>
          <w:sz w:val="24"/>
        </w:rPr>
        <w:t>parentním a inkluzivním způsobem. Vzhledem k závažným problémům v této oblasti musí být nyní co nejrychleji schválena a implementována. Určitého pokroku bylo dosaženo ve sféře poskytování služeb občanům, je však nutná profesionalizace a odpolitizování veře</w:t>
      </w:r>
      <w:r>
        <w:rPr>
          <w:rFonts w:ascii="Times New Roman" w:hAnsi="Times New Roman"/>
          <w:noProof/>
          <w:sz w:val="24"/>
        </w:rPr>
        <w:t>jné správy. Zásadní je schopnost Srbska přilákat a udržet ve veřejné správě zabývající se unijní tématikou kvalifikované pracovníky. Cílem probíhající ústavní reformy postavené na vládním návrhu z října 2018 je zejména posílit záruky nezávislosti soudnictv</w:t>
      </w:r>
      <w:r>
        <w:rPr>
          <w:rFonts w:ascii="Times New Roman" w:hAnsi="Times New Roman"/>
          <w:noProof/>
          <w:sz w:val="24"/>
        </w:rPr>
        <w:t>í v souladu s evropskými normami. Hospodářské reformy i nadále přinášely výsledky, zejména pokud šlo o makroekonomickou stabilizaci. Cenový tlak byl nadále nízký a výkonnost trhu práce se zlepšila. Hlavní strukturální reformy veřejné správy, daňového orgán</w:t>
      </w:r>
      <w:r>
        <w:rPr>
          <w:rFonts w:ascii="Times New Roman" w:hAnsi="Times New Roman"/>
          <w:noProof/>
          <w:sz w:val="24"/>
        </w:rPr>
        <w:t>u a státních podniků však pokročily jen pomalu. Soukromý sektor stále oslabují nedostatky v oblasti právního státu a v prosazování spravedlivé hospodářské soutěže. Srbsko nadále významně přispívalo k řízení smíšených migračních toků směřujících do EU.</w:t>
      </w:r>
    </w:p>
    <w:p w:rsidR="00BB42EA" w:rsidRDefault="00B004C8">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Země</w:t>
      </w:r>
      <w:r>
        <w:rPr>
          <w:rFonts w:ascii="Times New Roman" w:hAnsi="Times New Roman"/>
          <w:noProof/>
          <w:sz w:val="24"/>
        </w:rPr>
        <w:t xml:space="preserve"> se dále aktivně účastnila dialogu s Prištinou, který zprostředkovala EU, a to i přes zavedení cel Kosovem. Srbsko musí nadále vyvíjet podstatné úsilí a zejména v rámci svých mezinárodních vztahů přispět k vytvoření příznivého prostředí pro uzavření komple</w:t>
      </w:r>
      <w:r>
        <w:rPr>
          <w:rFonts w:ascii="Times New Roman" w:hAnsi="Times New Roman"/>
          <w:noProof/>
          <w:sz w:val="24"/>
        </w:rPr>
        <w:t>xní právně závazné dohody s Kosovem. Tato dohoda je nezbytně nutná a má klíčový význam pro to, aby Srbsko a Kosovo mohly pokročit ve svém evropském směřování.</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Severní Makedonie</w:t>
      </w:r>
      <w:r>
        <w:rPr>
          <w:rFonts w:ascii="Times New Roman" w:hAnsi="Times New Roman"/>
          <w:noProof/>
          <w:sz w:val="24"/>
        </w:rPr>
        <w:t xml:space="preserve"> učinila ohromný pokrok ke svému strategickému cíli integrace do EU a NATO. Země</w:t>
      </w:r>
      <w:r>
        <w:rPr>
          <w:rFonts w:ascii="Times New Roman" w:hAnsi="Times New Roman"/>
          <w:noProof/>
          <w:sz w:val="24"/>
        </w:rPr>
        <w:t xml:space="preserve"> prokázala odhodlání pokročit v programu reforem EU a dosáhla hmatatelných a trvalých výsledků, zejména v plnění podmínek pro zahájení přístupových jednání, jak byly stanoveny v závěrech Rady z června 2018. Ve sledovaném období vláda a postupně také opozic</w:t>
      </w:r>
      <w:r>
        <w:rPr>
          <w:rFonts w:ascii="Times New Roman" w:hAnsi="Times New Roman"/>
          <w:noProof/>
          <w:sz w:val="24"/>
        </w:rPr>
        <w:t>e setrvale prokazovaly politickou vůli k dosažení pokroku a navzdory politickým výzvám</w:t>
      </w:r>
      <w:r>
        <w:rPr>
          <w:rFonts w:ascii="Times New Roman" w:hAnsi="Times New Roman"/>
          <w:noProof/>
          <w:color w:val="000000" w:themeColor="text1"/>
          <w:sz w:val="24"/>
        </w:rPr>
        <w:t xml:space="preserve"> došlo k pozitivnímu posunu</w:t>
      </w:r>
      <w:r>
        <w:rPr>
          <w:rFonts w:ascii="Times New Roman" w:hAnsi="Times New Roman"/>
          <w:noProof/>
          <w:sz w:val="24"/>
        </w:rPr>
        <w:t xml:space="preserve"> v myšlení. Udržitelnost těchto strukturálních reforem je dlouhodobý proces, který vyžaduje neustálou angažovanost. Příslušné legislativní změn</w:t>
      </w:r>
      <w:r>
        <w:rPr>
          <w:rFonts w:ascii="Times New Roman" w:hAnsi="Times New Roman"/>
          <w:noProof/>
          <w:sz w:val="24"/>
        </w:rPr>
        <w:t>y v uvedených oblastech byly provedeny převážně inkluzivním a transparentním způsobem a za účasti opozice, občanské společnosti a mezinárodních partnerů. Prvních konkrétních výsledků bylo dosaženo při posilování nezávislosti soudnictví a bilance vyšetřován</w:t>
      </w:r>
      <w:r>
        <w:rPr>
          <w:rFonts w:ascii="Times New Roman" w:hAnsi="Times New Roman"/>
          <w:noProof/>
          <w:sz w:val="24"/>
        </w:rPr>
        <w:t>í, stíhání a vydávání pravomocných odsouzení v případech korupce a organizované trestné činnosti, a to i na vysoké úrovni. Tyto snahy musí pokračovat v nezmenšené míře a transparentním způsobem, aby bylo zajištěno profesionální a nestranné fungování soudní</w:t>
      </w:r>
      <w:r>
        <w:rPr>
          <w:rFonts w:ascii="Times New Roman" w:hAnsi="Times New Roman"/>
          <w:noProof/>
          <w:sz w:val="24"/>
        </w:rPr>
        <w:t xml:space="preserve"> moci. Státní komise pro předcházení korupci podnikla důležité kroky k aktivnímu boji proti tomuto fenoménu, jemuž podléhají i vysocí státní úředníci napříč celým politickým spektrem. Ve spolupráci s NATO a strategickými partnery byly zavedeny záruky v obl</w:t>
      </w:r>
      <w:r>
        <w:rPr>
          <w:rFonts w:ascii="Times New Roman" w:hAnsi="Times New Roman"/>
          <w:noProof/>
          <w:sz w:val="24"/>
        </w:rPr>
        <w:t>asti zpravodajských a bezpečnostních služeb, aby se zabránilo opakovanému výskytu závažných problémů z minulosti. Pracuje se na zlepšení profesionalizace veřejné správy a státní komise pro předcházení korupci podnikla kroky v případech údajně zpolitizované</w:t>
      </w:r>
      <w:r>
        <w:rPr>
          <w:rFonts w:ascii="Times New Roman" w:hAnsi="Times New Roman"/>
          <w:noProof/>
          <w:sz w:val="24"/>
        </w:rPr>
        <w:t xml:space="preserve">ho jmenování osob do funkcí. Celkově došlo k obnovení systému brzd a protivah a konsolidaci demokracie a právního státu v zemi. </w:t>
      </w:r>
      <w:r>
        <w:rPr>
          <w:rFonts w:ascii="Times New Roman" w:hAnsi="Times New Roman"/>
          <w:noProof/>
          <w:color w:val="000000" w:themeColor="text1"/>
          <w:sz w:val="24"/>
        </w:rPr>
        <w:t>Prezidentské volby, které se konaly 21. dubna a 5. května 2019, proběhly klidně, mírumilovně a transparentně.</w:t>
      </w:r>
      <w:r>
        <w:rPr>
          <w:noProof/>
        </w:rPr>
        <w:t xml:space="preserve"> </w:t>
      </w:r>
      <w:r>
        <w:rPr>
          <w:rFonts w:ascii="Times New Roman" w:hAnsi="Times New Roman"/>
          <w:noProof/>
          <w:color w:val="000000" w:themeColor="text1"/>
          <w:sz w:val="24"/>
        </w:rPr>
        <w:t xml:space="preserve">Historická dohoda </w:t>
      </w:r>
      <w:r>
        <w:rPr>
          <w:rFonts w:ascii="Times New Roman" w:hAnsi="Times New Roman"/>
          <w:noProof/>
          <w:color w:val="000000" w:themeColor="text1"/>
          <w:sz w:val="24"/>
        </w:rPr>
        <w:t>dosažená s Řeckem ukončila dlouhodobý spor a je</w:t>
      </w:r>
      <w:r>
        <w:rPr>
          <w:noProof/>
        </w:rPr>
        <w:t xml:space="preserve"> </w:t>
      </w:r>
      <w:r>
        <w:rPr>
          <w:rFonts w:ascii="Times New Roman" w:hAnsi="Times New Roman"/>
          <w:noProof/>
          <w:sz w:val="24"/>
        </w:rPr>
        <w:t>příkladem usmíření jak pro tento region, tak Evropu jako celek. Komise se těší na pokračující provádění dohody o přátelství s Bulharskem. Po letech stagnace se v roce 2018 obnovil hospodářský růst, který dosá</w:t>
      </w:r>
      <w:r>
        <w:rPr>
          <w:rFonts w:ascii="Times New Roman" w:hAnsi="Times New Roman"/>
          <w:noProof/>
          <w:sz w:val="24"/>
        </w:rPr>
        <w:t>hl 2,7 %, a dále klesala nezaměstnanost, jež se ale drží na vysoké úrovni. Vláda schválila reformu zdanění příjmů a penzijní reformu a podnikla další kroky ke zlepšení správy veřejných financí a zvýšení transparentnosti. Nedostatek dovedností, strukturální</w:t>
      </w:r>
      <w:r>
        <w:rPr>
          <w:rFonts w:ascii="Times New Roman" w:hAnsi="Times New Roman"/>
          <w:noProof/>
          <w:sz w:val="24"/>
        </w:rPr>
        <w:t xml:space="preserve"> problémy v podnikatelském prostředí a nízké investice do infrastruktury však snižují konkurenceschopnost domácích společností a brání jejich začlenění do globálních hodnotových řetězců. </w:t>
      </w:r>
    </w:p>
    <w:p w:rsidR="00BB42EA" w:rsidRDefault="00B004C8">
      <w:pPr>
        <w:autoSpaceDE w:val="0"/>
        <w:autoSpaceDN w:val="0"/>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S ohledem na zásadní pokrok, jehož bylo dosaženo, a na splnění podmínek, které byly v červnu 2018 jednomyslně stanoveny Radou, Komise doporučuje, aby Rada nyní zahájila přístupová jednání se Severní Makedonií. Na podporu pokračujících reforem </w:t>
      </w:r>
      <w:r>
        <w:rPr>
          <w:rFonts w:ascii="Times New Roman" w:hAnsi="Times New Roman"/>
          <w:noProof/>
          <w:color w:val="000000" w:themeColor="text1"/>
          <w:sz w:val="24"/>
        </w:rPr>
        <w:t>by Komise u t</w:t>
      </w:r>
      <w:r>
        <w:rPr>
          <w:rFonts w:ascii="Times New Roman" w:hAnsi="Times New Roman"/>
          <w:noProof/>
          <w:color w:val="000000" w:themeColor="text1"/>
          <w:sz w:val="24"/>
        </w:rPr>
        <w:t>éto země uplatnila</w:t>
      </w:r>
      <w:r>
        <w:rPr>
          <w:rFonts w:ascii="Times New Roman" w:hAnsi="Times New Roman"/>
          <w:noProof/>
          <w:sz w:val="24"/>
        </w:rPr>
        <w:t xml:space="preserve"> posílený přístup ke kapitolám jednání týkajícím se soudnictví a základních práv a rovněž spravedlnosti, svobody a bezpečnosti.</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Albánie</w:t>
      </w:r>
      <w:r>
        <w:rPr>
          <w:rFonts w:ascii="Times New Roman" w:hAnsi="Times New Roman"/>
          <w:noProof/>
          <w:sz w:val="24"/>
        </w:rPr>
        <w:t xml:space="preserve"> nadále dosahuje dobrého pokroku a</w:t>
      </w:r>
      <w:r>
        <w:rPr>
          <w:rFonts w:ascii="Calibri" w:hAnsi="Calibri"/>
          <w:noProof/>
        </w:rPr>
        <w:t xml:space="preserve"> </w:t>
      </w:r>
      <w:r>
        <w:rPr>
          <w:rFonts w:ascii="Times New Roman" w:hAnsi="Times New Roman"/>
          <w:noProof/>
          <w:sz w:val="24"/>
        </w:rPr>
        <w:t xml:space="preserve">prokazuje své neutuchající odhodlání pokročit v agendě EU. Podařilo </w:t>
      </w:r>
      <w:r>
        <w:rPr>
          <w:rFonts w:ascii="Times New Roman" w:hAnsi="Times New Roman"/>
          <w:noProof/>
          <w:sz w:val="24"/>
        </w:rPr>
        <w:t>se jí dosáhnout hmatatelných a trvalých výsledků, zejména pokud jde o podmínky stanovené v závěrech Rady z června 2018 pro zahájení přístupových jednání, a to v trvale polarizované politické atmosféře. Opoziční strany, z nichž většina se v únoru 2019 vzdal</w:t>
      </w:r>
      <w:r>
        <w:rPr>
          <w:rFonts w:ascii="Times New Roman" w:hAnsi="Times New Roman"/>
          <w:noProof/>
          <w:sz w:val="24"/>
        </w:rPr>
        <w:t xml:space="preserve">a parlamentního mandátu, by se měly znovu konstruktivně zapojit do demokratických institucí a zavázat se k širokému evropskému konsensu. Plynule pokračuje reforma soudnictví, která vykazuje celkově dobrý pokrok a staví základy pro významné posílení tohoto </w:t>
      </w:r>
      <w:r>
        <w:rPr>
          <w:rFonts w:ascii="Times New Roman" w:hAnsi="Times New Roman"/>
          <w:noProof/>
          <w:sz w:val="24"/>
        </w:rPr>
        <w:t>sektoru a upevnění jeho nezávislosti, nestrannosti, profesionality a odpovědnosti. Konkrétních výsledků bylo dosaženo při novém hodnocení všech soudců a státních zástupců (prověřování). Institucionální restrukturalizace soudnictví také pokračovala. Byly zř</w:t>
      </w:r>
      <w:r>
        <w:rPr>
          <w:rFonts w:ascii="Times New Roman" w:hAnsi="Times New Roman"/>
          <w:noProof/>
          <w:sz w:val="24"/>
        </w:rPr>
        <w:t>ízeny nové orgány pro nezávislou samosprávu soudnictví a v návaznosti na to i specializované soudní a vyšetřovací orgány pro boj proti organizované trestné činnosti a korupci. Rozhodné úsilí bylo dále vynakládáno v boji proti korupci a organizované trestné</w:t>
      </w:r>
      <w:r>
        <w:rPr>
          <w:rFonts w:ascii="Times New Roman" w:hAnsi="Times New Roman"/>
          <w:noProof/>
          <w:sz w:val="24"/>
        </w:rPr>
        <w:t xml:space="preserve"> činnosti, a to i v boji proti obchodování s drogami a pěstování drog, což přineslo dobré výsledky z hlediska proaktivního vyšetřování, stíhání a vydávání odsouzení. V posledních letech Albánie vytrvale prokazovala pevné odhodlání potírat produkci konopí a</w:t>
      </w:r>
      <w:r>
        <w:rPr>
          <w:rFonts w:ascii="Times New Roman" w:hAnsi="Times New Roman"/>
          <w:noProof/>
          <w:sz w:val="24"/>
        </w:rPr>
        <w:t xml:space="preserve"> obchod s ním. Zintenzivnila se rovněž mezinárodní policejní spolupráce, zejména s členskými státy EU, která přinesla řadu úspěšných rozsáhlých operací donucovacích orgánů a zatčení a stíhání vůdců organizované kriminální sítě. Dlouhodobým problémem, který</w:t>
      </w:r>
      <w:r>
        <w:rPr>
          <w:rFonts w:ascii="Times New Roman" w:hAnsi="Times New Roman"/>
          <w:noProof/>
          <w:sz w:val="24"/>
        </w:rPr>
        <w:t xml:space="preserve"> i nadále vyžaduje intenzivnější důsledné úsilí Albánie, včetně operativní spolupráce s členskými státy EU, zůstává dosahování solidních výsledků v proaktivním vyšetřování, stíhání a vydávání odsouzení v boji proti korupci na všech úrovních a v boji proti </w:t>
      </w:r>
      <w:r>
        <w:rPr>
          <w:rFonts w:ascii="Times New Roman" w:hAnsi="Times New Roman"/>
          <w:noProof/>
          <w:sz w:val="24"/>
        </w:rPr>
        <w:t>organizované trestné činnosti.</w:t>
      </w:r>
    </w:p>
    <w:p w:rsidR="00BB42EA" w:rsidRDefault="00B004C8">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Pokračovala též reforma veřejné správy, jejímž obecným cílem je zvýšení profesionality a transparentnosti přijímacích řízení pro veřejnou službu a zlepšení tvorby politik prostřednictvím konsolidace struktur pro koordinaci od</w:t>
      </w:r>
      <w:r>
        <w:rPr>
          <w:rFonts w:ascii="Times New Roman" w:hAnsi="Times New Roman"/>
          <w:noProof/>
          <w:sz w:val="24"/>
        </w:rPr>
        <w:t>větví a vytvoření regulačního rámce pro posuzování dopadů. Nadále se uskutečňovala opatření k posílení účinné ochrany lidských práv, včetně práv příslušníků menšin a Romů, a byly prováděny politiky zaměřené proti diskriminaci. Hospodářský růst vzrostl z 3,</w:t>
      </w:r>
      <w:r>
        <w:rPr>
          <w:rFonts w:ascii="Times New Roman" w:hAnsi="Times New Roman"/>
          <w:noProof/>
          <w:sz w:val="24"/>
        </w:rPr>
        <w:t>8 % v roce 2017 na 4,2 % v roce 2018 a nezaměstnanost a rozpočtový schodek se snížily, i když zůstávají vysoké. Nedostatek výrobního know-how, nízká úroveň vzdělání a omezený přenos technologií však snižují konkurenceschopnost země a brání jejímu začlenění</w:t>
      </w:r>
      <w:r>
        <w:rPr>
          <w:rFonts w:ascii="Times New Roman" w:hAnsi="Times New Roman"/>
          <w:noProof/>
          <w:sz w:val="24"/>
        </w:rPr>
        <w:t xml:space="preserve"> do mezinárodních hodnotových řetězců.</w:t>
      </w:r>
    </w:p>
    <w:p w:rsidR="00BB42EA" w:rsidRDefault="00B004C8">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S ohledem na zásadní pokrok, jehož bylo dosaženo, a na splnění podmínek, které byly v červnu 2018 jednomyslně stanoveny Radou, Komise doporučuje, aby Rada nyní zahájila přístupová jednání s Albánií. Na podporu pokraču</w:t>
      </w:r>
      <w:r>
        <w:rPr>
          <w:rFonts w:ascii="Times New Roman" w:hAnsi="Times New Roman"/>
          <w:noProof/>
          <w:sz w:val="24"/>
        </w:rPr>
        <w:t>jících reforem by Komise u této země uplatnila posílený přístup ke kapitolám jednání týkajícím se soudnictví a základních práv a rovněž spravedlnosti, svobody a bezpečnosti. Je třeba, aby Albánie i nadále dosahovala dobrých výsledků v oblasti boje proti ko</w:t>
      </w:r>
      <w:r>
        <w:rPr>
          <w:rFonts w:ascii="Times New Roman" w:hAnsi="Times New Roman"/>
          <w:noProof/>
          <w:sz w:val="24"/>
        </w:rPr>
        <w:t>rupci na všech úrovních a v boji proti organizované trestné činnosti. Pro zachování a upevnění pokroku, jehož země dosáhla, je rovněž nezbytný silnější národní konsensus ohledně hlavní priority, jíž je integrace do EU, překonání současné polarizace a proká</w:t>
      </w:r>
      <w:r>
        <w:rPr>
          <w:rFonts w:ascii="Times New Roman" w:hAnsi="Times New Roman"/>
          <w:noProof/>
          <w:sz w:val="24"/>
        </w:rPr>
        <w:t xml:space="preserve">zání politické vůle přes stranické rozdíly. </w:t>
      </w:r>
    </w:p>
    <w:p w:rsidR="00BB42EA" w:rsidRDefault="00B004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V </w:t>
      </w:r>
      <w:r>
        <w:rPr>
          <w:rFonts w:ascii="Times New Roman" w:hAnsi="Times New Roman"/>
          <w:b/>
          <w:noProof/>
          <w:sz w:val="24"/>
        </w:rPr>
        <w:t>Kosovu</w:t>
      </w:r>
      <w:r>
        <w:rPr>
          <w:rFonts w:ascii="Times New Roman" w:hAnsi="Times New Roman"/>
          <w:noProof/>
          <w:sz w:val="24"/>
        </w:rPr>
        <w:t xml:space="preserve"> se celková politická situace jevila jako problematická. Pokrok u některých klíčových reforem souvisejících s EU byl zatlačen do pozadí rozhodnutím vlády uložit 100% clo na dovoz ze Srbska a Bosny a Herc</w:t>
      </w:r>
      <w:r>
        <w:rPr>
          <w:rFonts w:ascii="Times New Roman" w:hAnsi="Times New Roman"/>
          <w:noProof/>
          <w:sz w:val="24"/>
        </w:rPr>
        <w:t>egoviny, což je v rozporu se Středoevropskou dohodou o volném obchodu a s duchem dohody o stabilizaci a přidružení. Kosovo by mělo toto opatření urychleně odvolat a zaměřit se na provádění dohody o stabilizaci a přidružení, jež vyžaduje silnou shodu napříč</w:t>
      </w:r>
      <w:r>
        <w:rPr>
          <w:rFonts w:ascii="Times New Roman" w:hAnsi="Times New Roman"/>
          <w:noProof/>
          <w:sz w:val="24"/>
        </w:rPr>
        <w:t xml:space="preserve"> politickým spektrem. Dále by mělo Kosovo účinně provádět nedávno přijaté právní předpisy v oblasti právního státu a veřejné správy a dokončit provádění evropského programu reforem. Je třeba vyvinout značné úsilí, aby se zabránilo politickému zasahování do</w:t>
      </w:r>
      <w:r>
        <w:rPr>
          <w:rFonts w:ascii="Times New Roman" w:hAnsi="Times New Roman"/>
          <w:noProof/>
          <w:sz w:val="24"/>
        </w:rPr>
        <w:t> přijímání vyšších státních úředníků, a koordinovaněji postupovat v boji proti korupci a organizované trestné činnosti. Jmenování osob, které byly odsouzeny za válečné zločiny nebo korupci či organizovanou trestnou činnost, do veřejných funkcí je v rozporu</w:t>
      </w:r>
      <w:r>
        <w:rPr>
          <w:rFonts w:ascii="Times New Roman" w:hAnsi="Times New Roman"/>
          <w:noProof/>
          <w:sz w:val="24"/>
        </w:rPr>
        <w:t xml:space="preserve"> s evropskými hodnotami. Je nutné rázně řešit vysokou míru korupce a organizované trestné činnosti, a to i na severu Kosova. Určitého pokroku bylo dosaženo v hospodářství, které vykazuje trvalý růst a jisté zlepšení podnikatelského prostředí. Je však třeba</w:t>
      </w:r>
      <w:r>
        <w:rPr>
          <w:rFonts w:ascii="Times New Roman" w:hAnsi="Times New Roman"/>
          <w:noProof/>
          <w:sz w:val="24"/>
        </w:rPr>
        <w:t xml:space="preserve"> přijmout opatření ke zvýšení výkonu hospodářství a míry zaměstnanosti, aby se zajistilo dodržování stávajících fiskálních pravidel v rozpočtu a vyřešil problém neformální ekonomiky.</w:t>
      </w:r>
    </w:p>
    <w:p w:rsidR="00BB42EA" w:rsidRDefault="00B004C8">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V červenci 2018 Komise potvrdila, že Kosovo splnilo všechna kritéria pro </w:t>
      </w:r>
      <w:r>
        <w:rPr>
          <w:rFonts w:ascii="Times New Roman" w:hAnsi="Times New Roman"/>
          <w:noProof/>
          <w:sz w:val="24"/>
        </w:rPr>
        <w:t>uvolnění vízového režimu schválená Radou. V březnu 2019 Evropský parlament v prvním čtení podpořil návrh Komise na uvolnění vízového režimu. Tímto návrhem se nyní zabývá Rada, která by jej měla prioritně projednat. Kosovo by mělo nadále usilovat o dodržová</w:t>
      </w:r>
      <w:r>
        <w:rPr>
          <w:rFonts w:ascii="Times New Roman" w:hAnsi="Times New Roman"/>
          <w:noProof/>
          <w:sz w:val="24"/>
        </w:rPr>
        <w:t>ní všech kritérií, zejména v oblasti právního státu a migrace.</w:t>
      </w:r>
    </w:p>
    <w:p w:rsidR="00BB42EA" w:rsidRDefault="00B004C8">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Celkově se Kosovo aktivně účastnilo dialogu s Bělehradem, který zprostředkovává EU. Kosovo musí vyvinout další podstatné úsilí a přispět k vytvoření příznivého prostředí pro uzavření komplexní </w:t>
      </w:r>
      <w:r>
        <w:rPr>
          <w:rFonts w:ascii="Times New Roman" w:hAnsi="Times New Roman"/>
          <w:noProof/>
          <w:sz w:val="24"/>
        </w:rPr>
        <w:t xml:space="preserve">právně závazné dohody se Srbskem. Tato dohoda je nezbytně nutná a má klíčový význam pro to, aby Kosovo a Srbsko mohly pokročit ve svém evropském směřování. Kosovská vláda musí zrušit cla na dovoz ze Srbska a Bosny a Hercegoviny. </w:t>
      </w:r>
    </w:p>
    <w:p w:rsidR="00BB42EA" w:rsidRDefault="00BB42EA">
      <w:pPr>
        <w:spacing w:after="120" w:line="240" w:lineRule="auto"/>
        <w:rPr>
          <w:rFonts w:ascii="Times New Roman" w:hAnsi="Times New Roman" w:cs="Times New Roman"/>
          <w:b/>
          <w:noProof/>
          <w:sz w:val="24"/>
          <w:szCs w:val="24"/>
        </w:rPr>
      </w:pPr>
    </w:p>
    <w:p w:rsidR="00BB42EA" w:rsidRDefault="00B004C8">
      <w:pPr>
        <w:pageBreakBefore/>
        <w:spacing w:after="120" w:line="240" w:lineRule="auto"/>
        <w:rPr>
          <w:rFonts w:ascii="Times New Roman" w:hAnsi="Times New Roman" w:cs="Times New Roman"/>
          <w:b/>
          <w:noProof/>
          <w:sz w:val="24"/>
          <w:szCs w:val="24"/>
        </w:rPr>
      </w:pPr>
      <w:r>
        <w:rPr>
          <w:rFonts w:ascii="Times New Roman" w:hAnsi="Times New Roman"/>
          <w:b/>
          <w:noProof/>
          <w:sz w:val="24"/>
        </w:rPr>
        <w:t xml:space="preserve">IV. PŘÍLOHY </w:t>
      </w:r>
    </w:p>
    <w:p w:rsidR="00BB42EA" w:rsidRDefault="00B004C8">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b/>
          <w:noProof/>
          <w:sz w:val="24"/>
        </w:rPr>
        <w:t>Závěr a dopo</w:t>
      </w:r>
      <w:r>
        <w:rPr>
          <w:rFonts w:ascii="Times New Roman" w:hAnsi="Times New Roman"/>
          <w:b/>
          <w:noProof/>
          <w:sz w:val="24"/>
        </w:rPr>
        <w:t>ručení obsažené ve stanovisku Komise k žádosti Bosny a Hercegoviny o členství v Evropské unii</w:t>
      </w:r>
    </w:p>
    <w:p w:rsidR="00BB42EA" w:rsidRDefault="00B004C8">
      <w:pPr>
        <w:pStyle w:val="ListParagraph"/>
        <w:numPr>
          <w:ilvl w:val="0"/>
          <w:numId w:val="30"/>
        </w:numPr>
        <w:spacing w:after="120" w:line="240" w:lineRule="auto"/>
        <w:contextualSpacing w:val="0"/>
        <w:rPr>
          <w:rFonts w:ascii="Times New Roman" w:hAnsi="Times New Roman" w:cs="Times New Roman"/>
          <w:b/>
          <w:noProof/>
          <w:sz w:val="24"/>
          <w:szCs w:val="24"/>
        </w:rPr>
      </w:pPr>
      <w:r>
        <w:rPr>
          <w:rFonts w:ascii="Times New Roman" w:hAnsi="Times New Roman"/>
          <w:b/>
          <w:noProof/>
          <w:sz w:val="24"/>
        </w:rPr>
        <w:t xml:space="preserve">Shrnutí zjištění zpráv </w:t>
      </w:r>
    </w:p>
    <w:p w:rsidR="00BB42EA" w:rsidRDefault="00B004C8">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b/>
          <w:noProof/>
          <w:sz w:val="24"/>
        </w:rPr>
        <w:t>Provádění strategie pro západní Balkán a Sofijského programu priorit: větší angažovanost EU</w:t>
      </w:r>
    </w:p>
    <w:p w:rsidR="00BB42EA" w:rsidRDefault="00B004C8">
      <w:pPr>
        <w:pStyle w:val="ListParagraph"/>
        <w:numPr>
          <w:ilvl w:val="0"/>
          <w:numId w:val="30"/>
        </w:numPr>
        <w:spacing w:after="120" w:line="240" w:lineRule="auto"/>
        <w:rPr>
          <w:rFonts w:ascii="Times New Roman" w:hAnsi="Times New Roman" w:cs="Times New Roman"/>
          <w:b/>
          <w:noProof/>
          <w:sz w:val="24"/>
          <w:szCs w:val="24"/>
        </w:rPr>
      </w:pPr>
      <w:r>
        <w:rPr>
          <w:rFonts w:ascii="Times New Roman" w:hAnsi="Times New Roman"/>
          <w:b/>
          <w:noProof/>
          <w:sz w:val="24"/>
        </w:rPr>
        <w:t>Statistická příloha</w:t>
      </w:r>
    </w:p>
    <w:p w:rsidR="00BB42EA" w:rsidRDefault="00BB42EA">
      <w:pPr>
        <w:rPr>
          <w:rFonts w:ascii="Times New Roman" w:hAnsi="Times New Roman" w:cs="Times New Roman"/>
          <w:b/>
          <w:noProof/>
          <w:sz w:val="24"/>
          <w:szCs w:val="24"/>
        </w:rPr>
      </w:pPr>
    </w:p>
    <w:p w:rsidR="00BB42EA" w:rsidRDefault="00B004C8">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PŘÍLOHA 1 – Závěr a dopor</w:t>
      </w:r>
      <w:r>
        <w:rPr>
          <w:rFonts w:ascii="Times New Roman" w:hAnsi="Times New Roman"/>
          <w:b/>
          <w:noProof/>
          <w:sz w:val="24"/>
        </w:rPr>
        <w:t>učení obsažené ve stanovisku Komise k žádosti Bosny a Hercegoviny o členství v Evropské unii</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Bosna a Hercegovina zatím jen nedostatečně plní kritéria týkající se institucionální stability, která zaručuje demokracii, právní stát, lidská práva a respektování a ochranu menšin, stanovená Evropskou radou v roce 1993 na zasedání v Kodani. Aby mohla všec</w:t>
      </w:r>
      <w:r>
        <w:rPr>
          <w:rFonts w:ascii="Times New Roman" w:hAnsi="Times New Roman"/>
          <w:noProof/>
          <w:color w:val="000000"/>
          <w:sz w:val="24"/>
        </w:rPr>
        <w:t>hna tato kritéria splnit, musí země vynaložit značné úsilí a uvedenou institucionální stabilitu posílit. Bosna a Hercegovina potřebuje sladit ústavní rámec s evropskými normami a zajistit funkčnost svých institucí tak, aby mohla převzít závazky vyplývající</w:t>
      </w:r>
      <w:r>
        <w:rPr>
          <w:rFonts w:ascii="Times New Roman" w:hAnsi="Times New Roman"/>
          <w:noProof/>
          <w:color w:val="000000"/>
          <w:sz w:val="24"/>
        </w:rPr>
        <w:t xml:space="preserve"> z členství v EU. I když je její decentralizovaná státní struktura s členstvím v EU slučitelná, bude muset Bosna a Hercegovina své instituce reformovat, aby se mohla účinně zapojit do rozhodování na úrovni EU a plně provádět a prosazovat </w:t>
      </w:r>
      <w:r>
        <w:rPr>
          <w:rFonts w:ascii="Times New Roman" w:hAnsi="Times New Roman"/>
          <w:i/>
          <w:noProof/>
          <w:color w:val="000000"/>
          <w:sz w:val="24"/>
        </w:rPr>
        <w:t>acquis</w:t>
      </w:r>
      <w:r>
        <w:rPr>
          <w:rFonts w:ascii="Times New Roman" w:hAnsi="Times New Roman"/>
          <w:noProof/>
          <w:color w:val="000000"/>
          <w:sz w:val="24"/>
        </w:rPr>
        <w:t xml:space="preserve">.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Bosna </w:t>
      </w:r>
      <w:r>
        <w:rPr>
          <w:rFonts w:ascii="Times New Roman" w:hAnsi="Times New Roman"/>
          <w:noProof/>
          <w:color w:val="000000"/>
          <w:sz w:val="24"/>
        </w:rPr>
        <w:t>a Hercegovina potřebuje zlepšit volební systém a fungování soudnictví. Měla by rovněž zlepšit předcházení korupci a organizované trestné činnosti, včetně praní peněz a terorismu, a boj proti nim a zajistit účinné fungování systému správy hranic, migračního</w:t>
      </w:r>
      <w:r>
        <w:rPr>
          <w:rFonts w:ascii="Times New Roman" w:hAnsi="Times New Roman"/>
          <w:noProof/>
          <w:color w:val="000000"/>
          <w:sz w:val="24"/>
        </w:rPr>
        <w:t xml:space="preserve"> a azylového systému. Dále musí posílit ochranu základních práv všech občanů, což zahrnuje vytvoření příznivého prostředí pro občanskou společnost, usmíření a rovněž ochranu a začlenění zranitelných skupin. Též musí dokončit zásadní kroky v reformě veřejné</w:t>
      </w:r>
      <w:r>
        <w:rPr>
          <w:rFonts w:ascii="Times New Roman" w:hAnsi="Times New Roman"/>
          <w:noProof/>
          <w:color w:val="000000"/>
          <w:sz w:val="24"/>
        </w:rPr>
        <w:t xml:space="preserve"> správy.</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Pokud jde o hospodářská kritéria, dosáhla Bosna a Hercegovina určitého stupně makroekonomické stability. Aby se však stala fungujícím tržním hospodářstvím, což je jedno z kritérií stanovených Evropskou radou na zasedání v Kodani v roce 1993, musí </w:t>
      </w:r>
      <w:r>
        <w:rPr>
          <w:rFonts w:ascii="Times New Roman" w:hAnsi="Times New Roman"/>
          <w:noProof/>
          <w:color w:val="000000"/>
          <w:sz w:val="24"/>
        </w:rPr>
        <w:t>se zaměřit zejména na zrychlení rozhodovacích postupů a zlepšení jak podnikatelského prostředí, tak účinnosti a transparentnosti veřejného sektoru, zejména veřejných podniků. Země by měla odstranit překážky bránící řádnému fungování tržních mechanismů, jak</w:t>
      </w:r>
      <w:r>
        <w:rPr>
          <w:rFonts w:ascii="Times New Roman" w:hAnsi="Times New Roman"/>
          <w:noProof/>
          <w:color w:val="000000"/>
          <w:sz w:val="24"/>
        </w:rPr>
        <w:t>o je například slabý právní stát, značná byrokracie, korupce, zdlouhavé a příliš složité administrativní postupy a vysoká roztříštěnost vnitřního trhu. Aby se Bosna a Hercegovina mohla ve střednědobém horizontu vyrovnat s konkurenčním tlakem a tržními sila</w:t>
      </w:r>
      <w:r>
        <w:rPr>
          <w:rFonts w:ascii="Times New Roman" w:hAnsi="Times New Roman"/>
          <w:noProof/>
          <w:color w:val="000000"/>
          <w:sz w:val="24"/>
        </w:rPr>
        <w:t>mi v rámci Unie, musí věnovat zvláštní pozornost nízké kvalitě vzdělávání a nedostatečné orientaci na potřeby trhu práce, kvalitě fyzického kapitálu, jako je dopravní a energetická infrastruktura, jež jsou stále málo rozvinuté, a tomu, že se hospodářská st</w:t>
      </w:r>
      <w:r>
        <w:rPr>
          <w:rFonts w:ascii="Times New Roman" w:hAnsi="Times New Roman"/>
          <w:noProof/>
          <w:color w:val="000000"/>
          <w:sz w:val="24"/>
        </w:rPr>
        <w:t xml:space="preserve">ruktura země přizpůsobuje jen pomalu.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Bosna a Hercegovina musí zlepšit svou bilanci plnění závazků vyplývajících z dohody o stabilizaci a přidružení, zejména s ohledem na parlamentní rozměr dohody a prostřednictvím schválení národního plánu</w:t>
      </w:r>
      <w:r>
        <w:rPr>
          <w:rFonts w:ascii="Times New Roman" w:hAnsi="Times New Roman"/>
          <w:noProof/>
          <w:sz w:val="24"/>
        </w:rPr>
        <w:t xml:space="preserve"> pro přijetí </w:t>
      </w:r>
      <w:r>
        <w:rPr>
          <w:rFonts w:ascii="Times New Roman" w:hAnsi="Times New Roman"/>
          <w:i/>
          <w:noProof/>
          <w:sz w:val="24"/>
        </w:rPr>
        <w:t>ac</w:t>
      </w:r>
      <w:r>
        <w:rPr>
          <w:rFonts w:ascii="Times New Roman" w:hAnsi="Times New Roman"/>
          <w:i/>
          <w:noProof/>
          <w:sz w:val="24"/>
        </w:rPr>
        <w:t xml:space="preserve">quis </w:t>
      </w:r>
      <w:r>
        <w:rPr>
          <w:rFonts w:ascii="Times New Roman" w:hAnsi="Times New Roman"/>
          <w:noProof/>
          <w:sz w:val="24"/>
        </w:rPr>
        <w:t>EU.</w:t>
      </w:r>
      <w:r>
        <w:rPr>
          <w:rFonts w:ascii="Times New Roman" w:hAnsi="Times New Roman"/>
          <w:noProof/>
          <w:color w:val="000000"/>
          <w:sz w:val="24"/>
        </w:rPr>
        <w:t xml:space="preserve">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Pokud jde o celkovou úroveň připravenosti přijmout závazky vyplývající z členství v EU, je Bosna a Hercegovina teprve na počátku a musí výrazně zintenzivnit proces harmonizace právních předpisů s </w:t>
      </w:r>
      <w:r>
        <w:rPr>
          <w:rFonts w:ascii="Times New Roman" w:hAnsi="Times New Roman"/>
          <w:i/>
          <w:noProof/>
          <w:color w:val="000000"/>
          <w:sz w:val="24"/>
        </w:rPr>
        <w:t>acquis</w:t>
      </w:r>
      <w:r>
        <w:rPr>
          <w:rFonts w:ascii="Times New Roman" w:hAnsi="Times New Roman"/>
          <w:noProof/>
          <w:color w:val="000000"/>
          <w:sz w:val="24"/>
        </w:rPr>
        <w:t xml:space="preserve"> EU i provádění a prosazování souvisejících </w:t>
      </w:r>
      <w:r>
        <w:rPr>
          <w:rFonts w:ascii="Times New Roman" w:hAnsi="Times New Roman"/>
          <w:noProof/>
          <w:color w:val="000000"/>
          <w:sz w:val="24"/>
        </w:rPr>
        <w:t>právních předpisů. Je nezbytné zaměřit se na oblasti, jako je volný pohyb zboží, právo usazování a volný pohyb služeb, informační společnost a média, zemědělství a rozvoj venkova, rybolov, dopravní politika, energetika, hospodářská a měnová politika, stati</w:t>
      </w:r>
      <w:r>
        <w:rPr>
          <w:rFonts w:ascii="Times New Roman" w:hAnsi="Times New Roman"/>
          <w:noProof/>
          <w:color w:val="000000"/>
          <w:sz w:val="24"/>
        </w:rPr>
        <w:t xml:space="preserve">stika, sociální politika a zaměstnanost, politika v oblasti podnikání a průmyslu, regionální politika a koordinace strukturálních nástrojů, vzdělávání a kultura, ochrana spotřebitele a zdraví a finanční kontrola.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Přistoupení Bosny a Hercegoviny by mělo na</w:t>
      </w:r>
      <w:r>
        <w:rPr>
          <w:rFonts w:ascii="Times New Roman" w:hAnsi="Times New Roman"/>
          <w:noProof/>
          <w:color w:val="000000"/>
          <w:sz w:val="24"/>
        </w:rPr>
        <w:t xml:space="preserve"> politiku Evropské unie celkově omezený dopad a neovlivnilo by schopnost Unie udržovat a zesilovat svůj vlastní rozvoj. Zároveň by problémy zjištěné v Bosně a Hercegovině v souvislosti s funkčností, zejména vnitřní rozhodovací proces a řada nejasně vymezen</w:t>
      </w:r>
      <w:r>
        <w:rPr>
          <w:rFonts w:ascii="Times New Roman" w:hAnsi="Times New Roman"/>
          <w:noProof/>
          <w:color w:val="000000"/>
          <w:sz w:val="24"/>
        </w:rPr>
        <w:t>ých kompetencí na různých úrovních veřejné správy a jejich překrývání, mohly negativně ovlivnit rozhodovací proces na úrovni EU, zejména v záležitostech vyžadujících jednomyslné rozhodování členských států EU. Aby mohla splnit požadavky na členství v EU a </w:t>
      </w:r>
      <w:r>
        <w:rPr>
          <w:rFonts w:ascii="Times New Roman" w:hAnsi="Times New Roman"/>
          <w:noProof/>
          <w:color w:val="000000"/>
          <w:sz w:val="24"/>
        </w:rPr>
        <w:t xml:space="preserve">převzít související závazky, měla by se Bosna a Hercegovina řešení problematiky funkčnosti věnovat.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Podle názoru Komise by jednání o přistoupení k Evropské unii měla být s Bosnou a Hercegovinou zahájena, jakmile země dosáhne nezbytného stupně souladu s kr</w:t>
      </w:r>
      <w:r>
        <w:rPr>
          <w:rFonts w:ascii="Times New Roman" w:hAnsi="Times New Roman"/>
          <w:noProof/>
          <w:color w:val="000000"/>
          <w:sz w:val="24"/>
        </w:rPr>
        <w:t>itérii pro členství, především s kodaňskými politickými kritérii vyžadujícími institucionální stabilitu, která zaručuje zejména demokracii a právní stát. Bosna a Hercegovina bude muset zásadním způsobem zlepšit svůj legislativní a institucionální rámec, ab</w:t>
      </w:r>
      <w:r>
        <w:rPr>
          <w:rFonts w:ascii="Times New Roman" w:hAnsi="Times New Roman"/>
          <w:noProof/>
          <w:color w:val="000000"/>
          <w:sz w:val="24"/>
        </w:rPr>
        <w:t>y dokázala splnit následující klíčové priority:</w:t>
      </w:r>
    </w:p>
    <w:p w:rsidR="00BB42EA" w:rsidRDefault="00B004C8">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Demokracie/funkčnost</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Zabezpečit, aby volby probíhaly v souladu s evropskými normami, a to tak, že budou prováděna doporučení OBSE/ODIHR a příslušná doporučení Benátské komise, čímž se zajistí transparentnost </w:t>
      </w:r>
      <w:r>
        <w:rPr>
          <w:rFonts w:ascii="Times New Roman" w:hAnsi="Times New Roman"/>
          <w:noProof/>
          <w:sz w:val="24"/>
        </w:rPr>
        <w:t>financování politických stran a konání obecních voleb v Mostaru.</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Zajistit výsledky, pokud jde o fungování mechanismu pro koordinaci záležitostí EU na všech úrovních, a to i prostřednictvím vypracování a přijetí národního programu pro přijetí </w:t>
      </w:r>
      <w:r>
        <w:rPr>
          <w:rFonts w:ascii="Times New Roman" w:hAnsi="Times New Roman"/>
          <w:i/>
          <w:noProof/>
          <w:sz w:val="24"/>
        </w:rPr>
        <w:t>acquis</w:t>
      </w:r>
      <w:r>
        <w:rPr>
          <w:rFonts w:ascii="Times New Roman" w:hAnsi="Times New Roman"/>
          <w:noProof/>
          <w:sz w:val="24"/>
        </w:rPr>
        <w:t xml:space="preserve"> EU.</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Zaj</w:t>
      </w:r>
      <w:r>
        <w:rPr>
          <w:rFonts w:ascii="Times New Roman" w:hAnsi="Times New Roman"/>
          <w:noProof/>
          <w:sz w:val="24"/>
        </w:rPr>
        <w:t>istit řádné fungování Parlamentního výboru pro stabilizaci a přidružení.</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Zásadním způsobem zlepšit institucionální rámec, a to i na ústavní úrovni, s cílem:</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zajistit právní jistotu ohledně rozdělení pravomocí na všech úrovních veřejné správy;</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zavést substi</w:t>
      </w:r>
      <w:r>
        <w:rPr>
          <w:rFonts w:ascii="Times New Roman" w:hAnsi="Times New Roman"/>
          <w:noProof/>
          <w:sz w:val="24"/>
        </w:rPr>
        <w:t>tuční ustanovení, které státu při přistoupení umožní dočasně vykonávat pravomoci jiných úrovní veřejné správy, aby se předešlo porušení právních předpisů EU a dosáhlo jejich nápravy;</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zaručit nezávislost soudnictví, včetně samosprávného orgánu (Vysoké rady </w:t>
      </w:r>
      <w:r>
        <w:rPr>
          <w:rFonts w:ascii="Times New Roman" w:hAnsi="Times New Roman"/>
          <w:noProof/>
          <w:sz w:val="24"/>
        </w:rPr>
        <w:t>pro soudnictví a státní zastupitelství);</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reformovat Ústavní soud, včetně řešení otázky mezinárodních soudců, a zajistit prosazování jeho rozhodnutí;</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zaručit právní jistotu, a to i prostřednictvím zřízení justičního orgánu pověřeného zajištěním jednotného v</w:t>
      </w:r>
      <w:r>
        <w:rPr>
          <w:rFonts w:ascii="Times New Roman" w:hAnsi="Times New Roman"/>
          <w:noProof/>
          <w:sz w:val="24"/>
        </w:rPr>
        <w:t>ýkladu práva v celé Bosně a Hercegovině;</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zajistit rovnost a nediskriminaci občanů, zejména s ohledem na judikaturu ESLP ve věci Sejdić-Finci;</w:t>
      </w:r>
    </w:p>
    <w:p w:rsidR="00BB42EA" w:rsidRDefault="00B004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zajistit, aby všechny správní orgány pověřené prováděním </w:t>
      </w:r>
      <w:r>
        <w:rPr>
          <w:rFonts w:ascii="Times New Roman" w:hAnsi="Times New Roman"/>
          <w:i/>
          <w:noProof/>
          <w:sz w:val="24"/>
        </w:rPr>
        <w:t>acquis</w:t>
      </w:r>
      <w:r>
        <w:rPr>
          <w:rFonts w:ascii="Times New Roman" w:hAnsi="Times New Roman"/>
          <w:noProof/>
          <w:sz w:val="24"/>
        </w:rPr>
        <w:t xml:space="preserve"> ctily výhradně zásadu profesionality, a odstranit </w:t>
      </w:r>
      <w:r>
        <w:rPr>
          <w:rFonts w:ascii="Times New Roman" w:hAnsi="Times New Roman"/>
          <w:noProof/>
          <w:sz w:val="24"/>
        </w:rPr>
        <w:t xml:space="preserve">z jejich rozhodovacího postupu právo veta, v souladu s </w:t>
      </w:r>
      <w:r>
        <w:rPr>
          <w:rFonts w:ascii="Times New Roman" w:hAnsi="Times New Roman"/>
          <w:i/>
          <w:noProof/>
          <w:sz w:val="24"/>
        </w:rPr>
        <w:t>acquis</w:t>
      </w:r>
      <w:r>
        <w:rPr>
          <w:rFonts w:ascii="Times New Roman" w:hAnsi="Times New Roman"/>
          <w:noProof/>
          <w:sz w:val="24"/>
        </w:rPr>
        <w:t xml:space="preserve">. </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Přijmout konkrétní kroky na podporu prostředí, které napomáhá k usmíření, a tím k překonání dědictví války.</w:t>
      </w:r>
    </w:p>
    <w:p w:rsidR="00BB42EA" w:rsidRDefault="00BB42EA">
      <w:pPr>
        <w:spacing w:line="240" w:lineRule="auto"/>
        <w:contextualSpacing/>
        <w:jc w:val="both"/>
        <w:rPr>
          <w:rFonts w:ascii="Times New Roman" w:eastAsia="Times New Roman" w:hAnsi="Times New Roman" w:cs="Times New Roman"/>
          <w:noProof/>
          <w:sz w:val="24"/>
          <w:szCs w:val="24"/>
        </w:rPr>
      </w:pPr>
    </w:p>
    <w:p w:rsidR="00BB42EA" w:rsidRDefault="00B004C8">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Právní stát</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Zlepšit fungování soudnictví přijetím nových právních předpisů o Vysoké</w:t>
      </w:r>
      <w:r>
        <w:rPr>
          <w:rFonts w:ascii="Times New Roman" w:hAnsi="Times New Roman"/>
          <w:noProof/>
          <w:sz w:val="24"/>
        </w:rPr>
        <w:t xml:space="preserve"> radě pro soudnictví a státní zastupitelství, jakož i soudů Bosny a Hercegoviny v souladu s evropskými normami.</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Zlepšit předcházení korupci a organizované trestné činnosti a boj proti ní, včetně praní peněz a terorismu, a to zejména:</w:t>
      </w:r>
    </w:p>
    <w:p w:rsidR="00BB42EA" w:rsidRDefault="00B004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přijetím a prováděním </w:t>
      </w:r>
      <w:r>
        <w:rPr>
          <w:rFonts w:ascii="Times New Roman" w:hAnsi="Times New Roman"/>
          <w:noProof/>
          <w:sz w:val="24"/>
        </w:rPr>
        <w:t>právních předpisů o střetu zájmů a ochraně oznamovatelů;</w:t>
      </w:r>
    </w:p>
    <w:p w:rsidR="00BB42EA" w:rsidRDefault="00B004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zajištěním účinného fungování a koordinace protikorupčních orgánů; </w:t>
      </w:r>
    </w:p>
    <w:p w:rsidR="00BB42EA" w:rsidRDefault="00B004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harmonizací právních předpisů a posílením kapacit v oblasti zadávání veřejných zakázek; </w:t>
      </w:r>
    </w:p>
    <w:p w:rsidR="00BB42EA" w:rsidRDefault="00B004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zajištěním účinné spolupráce mezi donucova</w:t>
      </w:r>
      <w:r>
        <w:rPr>
          <w:rFonts w:ascii="Times New Roman" w:hAnsi="Times New Roman"/>
          <w:noProof/>
          <w:sz w:val="24"/>
        </w:rPr>
        <w:t>cími orgány a se státními zastupitelstvími;</w:t>
      </w:r>
    </w:p>
    <w:p w:rsidR="00BB42EA" w:rsidRDefault="00B004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prokázáním pokroku při dosahování konkrétních výsledků v oblasti proaktivního vyšetřování, potvrzených obvinění, stíhání a pravomocných rozsudků ve věcech organizované trestné činnosti a korupce, a to i na vysoké</w:t>
      </w:r>
      <w:r>
        <w:rPr>
          <w:rFonts w:ascii="Times New Roman" w:hAnsi="Times New Roman"/>
          <w:noProof/>
          <w:sz w:val="24"/>
        </w:rPr>
        <w:t xml:space="preserve"> úrovni;</w:t>
      </w:r>
    </w:p>
    <w:p w:rsidR="00BB42EA" w:rsidRDefault="00B004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odpolitizováním a restrukturalizací veřejných podniků a zajištěním transparentnosti privatizačních procesů.</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Zajistit účinnou koordinaci kapacit pro správu hranic a řízení migrace na všech úrovních a zajistit fungování azylového systému.</w:t>
      </w:r>
    </w:p>
    <w:p w:rsidR="00BB42EA" w:rsidRDefault="00BB42EA">
      <w:pPr>
        <w:spacing w:line="240" w:lineRule="auto"/>
        <w:ind w:left="720"/>
        <w:contextualSpacing/>
        <w:jc w:val="both"/>
        <w:rPr>
          <w:rFonts w:ascii="Times New Roman" w:eastAsia="Times New Roman" w:hAnsi="Times New Roman" w:cs="Times New Roman"/>
          <w:noProof/>
          <w:sz w:val="24"/>
          <w:szCs w:val="24"/>
        </w:rPr>
      </w:pPr>
    </w:p>
    <w:p w:rsidR="00BB42EA" w:rsidRDefault="00B004C8">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Základní </w:t>
      </w:r>
      <w:r>
        <w:rPr>
          <w:rFonts w:ascii="Times New Roman" w:hAnsi="Times New Roman"/>
          <w:i/>
          <w:noProof/>
          <w:sz w:val="24"/>
        </w:rPr>
        <w:t>práva</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Posílit ochranu práv všech občanů, zejména zajištěním provádění právních předpisů o nediskriminaci a rovnosti žen a mužů.</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Zajistit právo na život a zákaz mučení, zejména a) zrušením odkazu na trest smrti v ústavě Republiky srbské a b) stanovením náro</w:t>
      </w:r>
      <w:r>
        <w:rPr>
          <w:rFonts w:ascii="Times New Roman" w:hAnsi="Times New Roman"/>
          <w:noProof/>
          <w:sz w:val="24"/>
        </w:rPr>
        <w:t>dního preventivního mechanismu proti mučení a špatnému zacházení.</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Vytvořit příznivé prostředí pro občanskou společnost, zejména prosazováním evropských norem týkajících se svobody sdružování a svobody shromažďování.</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Zaručit svobodu projevu a sdělovacích pr</w:t>
      </w:r>
      <w:r>
        <w:rPr>
          <w:rFonts w:ascii="Times New Roman" w:hAnsi="Times New Roman"/>
          <w:noProof/>
          <w:sz w:val="24"/>
        </w:rPr>
        <w:t>ostředků a ochranu novinářů, zejména a) zajištěním příslušných navazujících kroků justice v souvislosti s hrozbami a útoky vůči novinářům a pracovníkům sdělovacích prostředků a b) zajištěním finanční udržitelnosti systému veřejnoprávního vysílání.</w:t>
      </w:r>
    </w:p>
    <w:p w:rsidR="00BB42EA" w:rsidRDefault="00B004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Zlepšit </w:t>
      </w:r>
      <w:r>
        <w:rPr>
          <w:rFonts w:ascii="Times New Roman" w:hAnsi="Times New Roman"/>
          <w:noProof/>
          <w:sz w:val="24"/>
        </w:rPr>
        <w:t>ochranu a začlenění zranitelných skupin, zejména osob se zdravotním postižením, dětí, osob LGBTI, příslušníků romské komunity, zadržovaných osob, migrantů a žadatelů o azyl, jakož i vysídlených osob a uprchlíků, v souladu s cílem uzavření přílohy VII Dayto</w:t>
      </w:r>
      <w:r>
        <w:rPr>
          <w:rFonts w:ascii="Times New Roman" w:hAnsi="Times New Roman"/>
          <w:noProof/>
          <w:sz w:val="24"/>
        </w:rPr>
        <w:t>nské mírové dohody.</w:t>
      </w:r>
    </w:p>
    <w:p w:rsidR="00BB42EA" w:rsidRDefault="00BB42EA">
      <w:pPr>
        <w:spacing w:line="240" w:lineRule="auto"/>
        <w:ind w:left="720"/>
        <w:contextualSpacing/>
        <w:jc w:val="both"/>
        <w:rPr>
          <w:rFonts w:ascii="Times New Roman" w:eastAsia="Times New Roman" w:hAnsi="Times New Roman" w:cs="Times New Roman"/>
          <w:noProof/>
          <w:sz w:val="24"/>
          <w:szCs w:val="24"/>
        </w:rPr>
      </w:pPr>
    </w:p>
    <w:p w:rsidR="00BB42EA" w:rsidRDefault="00B004C8">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Reforma veřejné správy</w:t>
      </w:r>
    </w:p>
    <w:p w:rsidR="00BB42EA" w:rsidRDefault="00B004C8">
      <w:pPr>
        <w:widowControl w:val="0"/>
        <w:numPr>
          <w:ilvl w:val="0"/>
          <w:numId w:val="4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Dokončit nezbytné kroky reformy veřejné správy s cílem zlepšit její celkové fungování a zajistit profesionální a odpolitizovanou veřejnou službu a koordinovaný celonárodní přístup k tvorbě politik. </w:t>
      </w:r>
    </w:p>
    <w:p w:rsidR="00BB42EA" w:rsidRDefault="00B004C8">
      <w:pPr>
        <w:widowControl w:val="0"/>
        <w:spacing w:before="24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Komise vybízí</w:t>
      </w:r>
      <w:r>
        <w:rPr>
          <w:rFonts w:ascii="Times New Roman" w:hAnsi="Times New Roman"/>
          <w:noProof/>
          <w:color w:val="000000"/>
          <w:sz w:val="24"/>
        </w:rPr>
        <w:t xml:space="preserve"> Bosnu a Hercegovinu, aby na všech úrovních veřejné správy schválila a provedla opatření socioekonomických reforem v souladu s politickými pokyny programu hospodářských reforem.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Komise Bosnu a Hercegovinu rovněž vybízí, aby se nadále účastnila regionální spolupráce a rozvíjela dvoustranné vztahy se sousedními zeměmi, a to i prostřednictvím uzavírání dohod o hranicích, a usilovala o trvalé usmíření v zemích západního Balkánu.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Komi</w:t>
      </w:r>
      <w:r>
        <w:rPr>
          <w:rFonts w:ascii="Times New Roman" w:hAnsi="Times New Roman"/>
          <w:noProof/>
          <w:color w:val="000000"/>
          <w:sz w:val="24"/>
        </w:rPr>
        <w:t>se doporučuje Radě, aby toto stanovisko a opatření navazující na výše uvedené klíčové priority projednala po sestavení vlád v Bosně a Hercegovině.</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Komise bude sledovat pokrok Bosny a Hercegoviny podle institucionálního rámce dohody o stabilizaci a přidruže</w:t>
      </w:r>
      <w:r>
        <w:rPr>
          <w:rFonts w:ascii="Times New Roman" w:hAnsi="Times New Roman"/>
          <w:noProof/>
          <w:color w:val="000000"/>
          <w:sz w:val="24"/>
        </w:rPr>
        <w:t xml:space="preserve">ní a bude tuto zemi nadále finančně podporovat z nástroje předvstupní pomoci. </w:t>
      </w:r>
    </w:p>
    <w:p w:rsidR="00BB42EA" w:rsidRDefault="00B004C8">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Komise předloží zprávu o Bosně a Hercegovině v rámci balíčku týkajícího se rozšíření pro rok 2020, který přezkoumá provádění výše uvedených klíčových priorit s ohledem na další </w:t>
      </w:r>
      <w:r>
        <w:rPr>
          <w:rFonts w:ascii="Times New Roman" w:hAnsi="Times New Roman"/>
          <w:noProof/>
          <w:color w:val="000000"/>
          <w:sz w:val="24"/>
        </w:rPr>
        <w:t>kroky této země na její cestě do EU.</w:t>
      </w:r>
    </w:p>
    <w:p w:rsidR="00BB42EA" w:rsidRDefault="00BB42EA">
      <w:pPr>
        <w:rPr>
          <w:noProof/>
        </w:rPr>
      </w:pPr>
    </w:p>
    <w:p w:rsidR="00BB42EA" w:rsidRDefault="00BB42EA">
      <w:pPr>
        <w:spacing w:after="120" w:line="240" w:lineRule="auto"/>
        <w:jc w:val="both"/>
        <w:rPr>
          <w:rFonts w:ascii="Times New Roman" w:hAnsi="Times New Roman" w:cs="Times New Roman"/>
          <w:b/>
          <w:noProof/>
          <w:sz w:val="24"/>
          <w:szCs w:val="24"/>
        </w:rPr>
      </w:pPr>
    </w:p>
    <w:p w:rsidR="00BB42EA" w:rsidRDefault="00B004C8">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PŘÍLOHA 2 – Shrnutí zjištění zpráv</w:t>
      </w:r>
    </w:p>
    <w:p w:rsidR="00BB42EA" w:rsidRDefault="00B004C8">
      <w:pPr>
        <w:spacing w:after="120" w:line="240" w:lineRule="auto"/>
        <w:jc w:val="both"/>
        <w:rPr>
          <w:rFonts w:ascii="Times New Roman" w:hAnsi="Times New Roman" w:cs="Times New Roman"/>
          <w:b/>
          <w:noProof/>
          <w:sz w:val="24"/>
          <w:szCs w:val="24"/>
        </w:rPr>
      </w:pPr>
      <w:r>
        <w:rPr>
          <w:rFonts w:ascii="Times New Roman" w:hAnsi="Times New Roman"/>
          <w:b/>
          <w:noProof/>
          <w:sz w:val="24"/>
        </w:rPr>
        <w:t>Turecko</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Výjimečný stav zavedený 15. července 2016 v návaznosti na pokus o státní převrat skončil 18. července 2018, kdy uplynulo jeho poslední prodloužení, turecký parlament však okamžitě nato přijal zákon, jímž byla řada prvků výjimečného stavu zachována na další</w:t>
      </w:r>
      <w:r>
        <w:rPr>
          <w:rFonts w:ascii="Times New Roman" w:hAnsi="Times New Roman"/>
          <w:noProof/>
          <w:color w:val="000000" w:themeColor="text1"/>
          <w:sz w:val="24"/>
        </w:rPr>
        <w:t xml:space="preserve"> tři roky. Tento zákon omezuje některé základní svobody, umožňuje zejména propouštět úředníky veřejné správy (včetně soudců) a prodlužovat zadržení, omezovat svobodu pohybu a veřejného shromažďování a rozšiřuje pravomoci vládou jmenovaných guvernérů v prov</w:t>
      </w:r>
      <w:r>
        <w:rPr>
          <w:rFonts w:ascii="Times New Roman" w:hAnsi="Times New Roman"/>
          <w:noProof/>
          <w:color w:val="000000" w:themeColor="text1"/>
          <w:sz w:val="24"/>
        </w:rPr>
        <w:t xml:space="preserve">inciích.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EU, která pokus o státní převrat bezprostředně a ostře odsoudila, zopakovala svou plnou podporu demokratickým orgánům této země a uznala legitimní potřebu Turecka přijmout rychlá a přiměřená opatření v reakci na takovou závažnou hrozbu. Široký ro</w:t>
      </w:r>
      <w:r>
        <w:rPr>
          <w:rFonts w:ascii="Times New Roman" w:hAnsi="Times New Roman"/>
          <w:noProof/>
          <w:color w:val="000000" w:themeColor="text1"/>
          <w:sz w:val="24"/>
        </w:rPr>
        <w:t>zsah a kolektivní povaha opatření přijatých v rámci výjimečného stavu od pokusu o státní převrat, jako například rozsáhlé propouštění, zatýkání a zadržování, však i nadále vzbuzovaly velmi vážné znepokojení.</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Během výjimečného stavu bylo vydáno 36 dekretů, </w:t>
      </w:r>
      <w:r>
        <w:rPr>
          <w:rFonts w:ascii="Times New Roman" w:hAnsi="Times New Roman"/>
          <w:noProof/>
          <w:color w:val="000000" w:themeColor="text1"/>
          <w:sz w:val="24"/>
        </w:rPr>
        <w:t>které omezují některá občanská a politická práva, jakož i práva na obhajobu, rozšiřují pravomoci policie a pravomoci státních zástupců v oblasti vyšetřování a stíhání, a předpokládají též propuštění více než 152 000 úředníků, včetně akademických pracovníků</w:t>
      </w:r>
      <w:r>
        <w:rPr>
          <w:rFonts w:ascii="Times New Roman" w:hAnsi="Times New Roman"/>
          <w:noProof/>
          <w:color w:val="000000" w:themeColor="text1"/>
          <w:sz w:val="24"/>
        </w:rPr>
        <w:t xml:space="preserve">, učitelů a veřejných činitelů.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Ústavní soud rozhodl, že nemá mandát pro přezkum legality dekretů využívajících zákonné pravomoci vydaných během výjimečného stavu. Parlament jich přezkoumal 32. V květnu 2017 zřídily turecké orgány vyšetřovací komisi pro o</w:t>
      </w:r>
      <w:r>
        <w:rPr>
          <w:rFonts w:ascii="Times New Roman" w:hAnsi="Times New Roman"/>
          <w:noProof/>
          <w:color w:val="000000" w:themeColor="text1"/>
          <w:sz w:val="24"/>
        </w:rPr>
        <w:t xml:space="preserve">patření v rámci výjimečného stavu, jež má za úkol přezkoumat všechny stížnosti jednotlivě.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Do května 2019 bylo podáno 126 600 žádostí. Vyšetřovací komise jich přezkoumala 70 406 a pouze 5 250 z nich vedlo k návratu na původní místo, zatímco 65 156 stížnos</w:t>
      </w:r>
      <w:r>
        <w:rPr>
          <w:rFonts w:ascii="Times New Roman" w:hAnsi="Times New Roman"/>
          <w:noProof/>
          <w:color w:val="000000" w:themeColor="text1"/>
          <w:sz w:val="24"/>
        </w:rPr>
        <w:t>tí bylo zamítnuto. Celkem 55 714 žádostí zatím nebylo projednáno. Míra zpracovávání žádostí vzbuzuje obavy ohledně toho, zda jsou případy posuzovány jednotlivě. Jelikož neprobíhají žádná slyšení, žadatelům obecně chybí procesní záruky a rozhodnutí jsou při</w:t>
      </w:r>
      <w:r>
        <w:rPr>
          <w:rFonts w:ascii="Times New Roman" w:hAnsi="Times New Roman"/>
          <w:noProof/>
          <w:color w:val="000000" w:themeColor="text1"/>
          <w:sz w:val="24"/>
        </w:rPr>
        <w:t xml:space="preserve">jímána na základě písemných dokumentů týkajících se původního propuštění, a toto vše zpochybňuje, do jaké míry je vyšetřovací komise účinným opravným prostředkem.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Ukončením výjimečného stavu stáhlo Turecko své odchylky od provádění Evropské úmluvy o lidsk</w:t>
      </w:r>
      <w:r>
        <w:rPr>
          <w:rFonts w:ascii="Times New Roman" w:hAnsi="Times New Roman"/>
          <w:noProof/>
          <w:color w:val="000000" w:themeColor="text1"/>
          <w:sz w:val="24"/>
        </w:rPr>
        <w:t xml:space="preserve">ých právech a Mezinárodního paktu o občanských a politických právech (ICCPR). Úplný postup monitorování, který v dubnu 2017 znovu zahájilo Parlamentní shromáždění Rady Evropy, zůstává nicméně zachován.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Kromě zřízení vyšetřovací komise pro opatření v rámci</w:t>
      </w:r>
      <w:r>
        <w:rPr>
          <w:rFonts w:ascii="Times New Roman" w:hAnsi="Times New Roman"/>
          <w:noProof/>
          <w:color w:val="000000" w:themeColor="text1"/>
          <w:sz w:val="24"/>
        </w:rPr>
        <w:t xml:space="preserve"> výjimečného stavu se schopnost Turecka zajistit účinný vnitrostátní právní prostředek ve smyslu Evropského soudu pro lidská práva dále zhoršovala. Několik rozhodnutí soudu, která byla pro prominentní obžalované, včetně obránců lidských práv, příznivá, byl</w:t>
      </w:r>
      <w:r>
        <w:rPr>
          <w:rFonts w:ascii="Times New Roman" w:hAnsi="Times New Roman"/>
          <w:noProof/>
          <w:color w:val="000000" w:themeColor="text1"/>
          <w:sz w:val="24"/>
        </w:rPr>
        <w:t xml:space="preserve">o urychleně změněno jiným, nebo dokonce týmž soudem, v některých případech po připomínkách ze strany výkonné moci.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Mnoho obránců lidských práv, aktivistů občanské společnosti, pracovníků médií, členů akademické obce, politiků, lékařů, právníků, soudců a l</w:t>
      </w:r>
      <w:r>
        <w:rPr>
          <w:rFonts w:ascii="Times New Roman" w:hAnsi="Times New Roman"/>
          <w:noProof/>
          <w:color w:val="000000" w:themeColor="text1"/>
          <w:sz w:val="24"/>
        </w:rPr>
        <w:t>eseb, gayů, bisexuálů, transgender a intersexuálních osob (LGBTI) je stále zadržováno – někdy bez obvinění – a je proti nim vedena očerňující kampaň ze strany sdělovacích prostředků a vysoce postavených politiků. Prostor pro organizace občanské společnosti</w:t>
      </w:r>
      <w:r>
        <w:rPr>
          <w:rFonts w:ascii="Times New Roman" w:hAnsi="Times New Roman"/>
          <w:noProof/>
          <w:color w:val="000000" w:themeColor="text1"/>
          <w:sz w:val="24"/>
        </w:rPr>
        <w:t xml:space="preserve"> působící v oblasti základních práv a svobod se dále zmenšil, což je ilustrováno zejména zavedením dalších administrativních překážek. Organizacím zabývajícím se právy, které byly uzavřeny za výjimečného stavu, nebyl v souvislosti s konfiskacemi nabídnut ž</w:t>
      </w:r>
      <w:r>
        <w:rPr>
          <w:rFonts w:ascii="Times New Roman" w:hAnsi="Times New Roman"/>
          <w:noProof/>
          <w:color w:val="000000" w:themeColor="text1"/>
          <w:sz w:val="24"/>
        </w:rPr>
        <w:t>ádný právní opravný prostředek. Od října 2018 jsou organizace občanské společnosti v návaznosti na změnu jednacího řádu parlamentu vyloučeny z legislativního konzultačního procesu v parlamentních výborech. Neexistují inkluzivní mechanismy pro co nejširší k</w:t>
      </w:r>
      <w:r>
        <w:rPr>
          <w:rFonts w:ascii="Times New Roman" w:hAnsi="Times New Roman"/>
          <w:noProof/>
          <w:color w:val="000000" w:themeColor="text1"/>
          <w:sz w:val="24"/>
        </w:rPr>
        <w:t xml:space="preserve">onzultace napříč společností.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Turecko se musí ještě zabývat klíčovými doporučeními Rady Evropy a jejích orgánů. Obvinění z protiprávního jednání musí být stanovena transparentními postupy a na individuálním základě. Trestní odpovědnost jednotlivce lze sta</w:t>
      </w:r>
      <w:r>
        <w:rPr>
          <w:rFonts w:ascii="Times New Roman" w:hAnsi="Times New Roman"/>
          <w:noProof/>
          <w:color w:val="000000" w:themeColor="text1"/>
          <w:sz w:val="24"/>
        </w:rPr>
        <w:t xml:space="preserve">novit pouze tehdy, pokud se bude zcela dodržovat princip oddělení složek moci, plná nezávislost soudnictví a právo každého na spravedlivý proces.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Nový prezidentský systém soustředil moc do rukou výkonné moci a zásadním způsobem omezil legislativní a kontr</w:t>
      </w:r>
      <w:r>
        <w:rPr>
          <w:rFonts w:ascii="Times New Roman" w:hAnsi="Times New Roman"/>
          <w:noProof/>
          <w:color w:val="000000" w:themeColor="text1"/>
          <w:sz w:val="24"/>
        </w:rPr>
        <w:t xml:space="preserve">olní funkce parlamentu. Od července 2018 přijal parlament 17 právních předpisů, včetně kontroverzních změn svého jednacího řádu. Ministři již nepředstupují před poslance parlamentu, kteří mohou pokládat pouze písemné otázky.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Sílící politická polarizace, z</w:t>
      </w:r>
      <w:r>
        <w:rPr>
          <w:rFonts w:ascii="Times New Roman" w:hAnsi="Times New Roman"/>
          <w:noProof/>
          <w:color w:val="000000" w:themeColor="text1"/>
          <w:sz w:val="24"/>
        </w:rPr>
        <w:t>ejména před březnovými komunálními volbami v roce 2019, i nadále brání konstruktivnímu parlamentnímu dialogu. Pokračuje marginalizace opozice, především lidové demokratické strany (HDP), a řada zákonodárců náležejících k HDP je zadržována. Dlouhodobé nedos</w:t>
      </w:r>
      <w:r>
        <w:rPr>
          <w:rFonts w:ascii="Times New Roman" w:hAnsi="Times New Roman"/>
          <w:noProof/>
          <w:color w:val="000000" w:themeColor="text1"/>
          <w:sz w:val="24"/>
        </w:rPr>
        <w:t xml:space="preserve">tatky systému poslanecké imunity dosud nebyly vyřešeny.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Prezidentské a parlamentní volby v červnu 2018 a komunální volby v březnu 2019 se vyznačovaly výraznou účastí. Přestože kandidáti neměli dostatečné podmínky pro rovnou soutěž, měli voliči skutečnou m</w:t>
      </w:r>
      <w:r>
        <w:rPr>
          <w:rFonts w:ascii="Times New Roman" w:hAnsi="Times New Roman"/>
          <w:noProof/>
          <w:color w:val="000000" w:themeColor="text1"/>
          <w:sz w:val="24"/>
        </w:rPr>
        <w:t>ožnost volby. Vládnoucí strana měla významnou výhodu, což se odráželo i v nepřiměřeně velkém zájmu veřejných a soukromých sdělovacích prostředků nakloněných vládě. Po komunálních volbách Nejvyšší volební rada prohlásila, že čtyři zvolení starostové a členo</w:t>
      </w:r>
      <w:r>
        <w:rPr>
          <w:rFonts w:ascii="Times New Roman" w:hAnsi="Times New Roman"/>
          <w:noProof/>
          <w:color w:val="000000" w:themeColor="text1"/>
          <w:sz w:val="24"/>
        </w:rPr>
        <w:t>vé obecních zastupitelstev na jihovýchodě Turecka nejsou způsobilí k výkonu funkce, přestože jejich kandidatury byly před volbami schváleny. Rovněž anulovala výsledky metropolitních primátorských voleb v Istanbulu a nařídila jejich opakování na 23. června.</w:t>
      </w:r>
      <w:r>
        <w:rPr>
          <w:rFonts w:ascii="Times New Roman" w:hAnsi="Times New Roman"/>
          <w:noProof/>
          <w:color w:val="000000" w:themeColor="text1"/>
          <w:sz w:val="24"/>
        </w:rPr>
        <w:t xml:space="preserve"> Tato rozhodnutí Nejvyšší volební rady opakovat volby v Istanbulu a uvést do funkce starostů některých obcí na jihovýchodě země kandidáty, kteří skončili až na druhém místě, vyvolávají vážné znepokojení, pokud jde o dodržování legality a integrity volebníh</w:t>
      </w:r>
      <w:r>
        <w:rPr>
          <w:rFonts w:ascii="Times New Roman" w:hAnsi="Times New Roman"/>
          <w:noProof/>
          <w:color w:val="000000" w:themeColor="text1"/>
          <w:sz w:val="24"/>
        </w:rPr>
        <w:t>o procesu a nezávislost této instituce na politickém tlaku. Jsou v rozporu s hlavním cílem demokratického volebního procesu, jímž je zajistit, aby zvítězila vůle občanů. Proti anulování výsledků metropolitních primátorských voleb v Istanbulu a jejich opako</w:t>
      </w:r>
      <w:r>
        <w:rPr>
          <w:rFonts w:ascii="Times New Roman" w:hAnsi="Times New Roman"/>
          <w:noProof/>
          <w:color w:val="000000" w:themeColor="text1"/>
          <w:sz w:val="24"/>
        </w:rPr>
        <w:t>vání ostře protestovaly opoziční strany.</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Plný vstup prezidentského systému v platnost přetvořil výkonnou moc a státní správu. Prezidentský systém, včetně zrušení postu předsedy vlády a dalších funkcí, například náměstků ministrů, vedl k větší politizaci ve</w:t>
      </w:r>
      <w:r>
        <w:rPr>
          <w:rFonts w:ascii="Times New Roman" w:hAnsi="Times New Roman"/>
          <w:noProof/>
          <w:color w:val="000000" w:themeColor="text1"/>
          <w:sz w:val="24"/>
        </w:rPr>
        <w:t xml:space="preserve">řejné správy. Prezident má nyní pravomoc jmenovat ředitele velké většiny veřejných regulačních orgánů.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Pokračující zatýkání a propouštění místních politiků a jmenování správců, jakož i svévolná povaha těchto jmenování připravily před březnovými komunálním</w:t>
      </w:r>
      <w:r>
        <w:rPr>
          <w:rFonts w:ascii="Times New Roman" w:hAnsi="Times New Roman"/>
          <w:noProof/>
          <w:color w:val="000000" w:themeColor="text1"/>
          <w:sz w:val="24"/>
        </w:rPr>
        <w:t xml:space="preserve">i volbami v roce 2019 voliče o politickou reprezentaci na místní úrovni a vážně hrozilo, že poškodí místní demokracii.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Vláda přepracovala právní rámec upravující vztahy mezi civilní a vojenskou sférou a významně zvýšila moc výkonné složky nad armádou, čím</w:t>
      </w:r>
      <w:r>
        <w:rPr>
          <w:rFonts w:ascii="Times New Roman" w:hAnsi="Times New Roman"/>
          <w:noProof/>
          <w:color w:val="000000" w:themeColor="text1"/>
          <w:sz w:val="24"/>
        </w:rPr>
        <w:t>ž posílila civilní dohled. V rámci ústavních změn byly fakticky zrušeny vysoké vojenské soudy, ale vojsko a zpravodajské služby i nadále nemají dostatečnou odpovědnost vůči parlamentu a bezpečnostní pracovníci stále požívají široké právní ochrany. Parlamen</w:t>
      </w:r>
      <w:r>
        <w:rPr>
          <w:rFonts w:ascii="Times New Roman" w:hAnsi="Times New Roman"/>
          <w:noProof/>
          <w:color w:val="000000" w:themeColor="text1"/>
          <w:sz w:val="24"/>
        </w:rPr>
        <w:t xml:space="preserve">tní komise pro dohled nad prosazováním práva zůstává neefektivní. Právní rámec pro dohled nad vojenskými výdaji se stále nezlepšil.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Situace na jihovýchodě země byla i přes lepší bezpečnostní prostředí stále problematická. Vláda pokračovala v bezpečnostníc</w:t>
      </w:r>
      <w:r>
        <w:rPr>
          <w:rFonts w:ascii="Times New Roman" w:hAnsi="Times New Roman"/>
          <w:noProof/>
          <w:color w:val="000000" w:themeColor="text1"/>
          <w:sz w:val="24"/>
        </w:rPr>
        <w:t>h operacích kvůli opakujícím se násilným aktům ze strany Kurdské strany pracujících (PKK), která zůstává na seznamu EU uvádějícím osoby, skupiny a subjekty zapojené do teroristických činů. Přestože má vláda legitimní právo na boj proti terorismu, je rovněž</w:t>
      </w:r>
      <w:r>
        <w:rPr>
          <w:rFonts w:ascii="Times New Roman" w:hAnsi="Times New Roman"/>
          <w:noProof/>
          <w:color w:val="000000" w:themeColor="text1"/>
          <w:sz w:val="24"/>
        </w:rPr>
        <w:t xml:space="preserve"> odpovědná za to, že se tak děje v souladu se zásadami právního státu, lidskými právy a základními svobodami. Protiteroristická opatření musí být přiměřená. I přes určitou obnovu obdrželo kompenzaci jen několik vnitřně vysídlených osob. Nedošlo k žádnému z</w:t>
      </w:r>
      <w:r>
        <w:rPr>
          <w:rFonts w:ascii="Times New Roman" w:hAnsi="Times New Roman"/>
          <w:noProof/>
          <w:color w:val="000000" w:themeColor="text1"/>
          <w:sz w:val="24"/>
        </w:rPr>
        <w:t xml:space="preserve">natelnému vývoji ohledně obnovení důvěryhodného politického postupu k dosažení mírového a trvalého řešení.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reformy veřejné správy</w:t>
      </w:r>
      <w:r>
        <w:rPr>
          <w:rFonts w:ascii="Times New Roman" w:hAnsi="Times New Roman"/>
          <w:noProof/>
          <w:color w:val="000000" w:themeColor="text1"/>
          <w:sz w:val="24"/>
        </w:rPr>
        <w:t xml:space="preserve"> je připravenost Turecka na mírně pokročilé úrovni a v oblasti řízení veřejné služby a lidských zdrojů došlo k výraz</w:t>
      </w:r>
      <w:r>
        <w:rPr>
          <w:rFonts w:ascii="Times New Roman" w:hAnsi="Times New Roman"/>
          <w:noProof/>
          <w:color w:val="000000" w:themeColor="text1"/>
          <w:sz w:val="24"/>
        </w:rPr>
        <w:t>nému zhoršení situace, což ovlivnilo i vývoj politiky a odpovědnost. Změny systému veřejné služby přinesly ještě větší politizaci správy. Jmenování do funkcí ve vrcholném vedení, jež by se zakládala na zásluhách a na soutěži, jsou stále výjimkou. Závažné p</w:t>
      </w:r>
      <w:r>
        <w:rPr>
          <w:rFonts w:ascii="Times New Roman" w:hAnsi="Times New Roman"/>
          <w:noProof/>
          <w:color w:val="000000" w:themeColor="text1"/>
          <w:sz w:val="24"/>
        </w:rPr>
        <w:t xml:space="preserve">rocedurální nedostatky vyvolávají otazníky ohledně toho, do jaké míry lze pro propuštěné veřejné činitele považovat vyšetřovací komisi pro opatření v rámci výjimečného stavu za účinnou právní ochranu.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Připravenost </w:t>
      </w:r>
      <w:r>
        <w:rPr>
          <w:rFonts w:ascii="Times New Roman" w:hAnsi="Times New Roman"/>
          <w:b/>
          <w:noProof/>
          <w:color w:val="000000" w:themeColor="text1"/>
          <w:sz w:val="24"/>
        </w:rPr>
        <w:t>soudního systému</w:t>
      </w:r>
      <w:r>
        <w:rPr>
          <w:rFonts w:ascii="Times New Roman" w:hAnsi="Times New Roman"/>
          <w:noProof/>
          <w:color w:val="000000" w:themeColor="text1"/>
          <w:sz w:val="24"/>
        </w:rPr>
        <w:t xml:space="preserve"> Turecka je v počáteční f</w:t>
      </w:r>
      <w:r>
        <w:rPr>
          <w:rFonts w:ascii="Times New Roman" w:hAnsi="Times New Roman"/>
          <w:noProof/>
          <w:color w:val="000000" w:themeColor="text1"/>
          <w:sz w:val="24"/>
        </w:rPr>
        <w:t>ázi. Došlo k dalšímu výraznému zhoršení situace a doporučení z předchozích zpráv nebyla přijata, nebo nebyla provedena. Stále trval politický tlak na soudce a státní zástupce a pokračovaly přesuny velkého počtu soudců a státních zástupců proti jejich vůli.</w:t>
      </w:r>
      <w:r>
        <w:rPr>
          <w:rFonts w:ascii="Times New Roman" w:hAnsi="Times New Roman"/>
          <w:noProof/>
          <w:color w:val="000000" w:themeColor="text1"/>
          <w:sz w:val="24"/>
        </w:rPr>
        <w:t xml:space="preserve"> To se neustále negativně odráží na nezávislosti a celkové kvalitě a efektivnosti soudnictví. Znepokojení působí rozsáhlé nábory nových soudců a státních zástupců v rámci současného systému, neboť nebyly přijaty žádné kroky, jež by řešily neexistenci objek</w:t>
      </w:r>
      <w:r>
        <w:rPr>
          <w:rFonts w:ascii="Times New Roman" w:hAnsi="Times New Roman"/>
          <w:noProof/>
          <w:color w:val="000000" w:themeColor="text1"/>
          <w:sz w:val="24"/>
        </w:rPr>
        <w:t>tivních, na zásluhách založených, jednotných a předem stanovených kritérií pro nábor a povyšování. Turecká soudní akademie, jež byla během výjimečného stavu uzavřena, byla prezidentským dekretem znovu zřízena. Odrazující účinek propouštění a nucených přesu</w:t>
      </w:r>
      <w:r>
        <w:rPr>
          <w:rFonts w:ascii="Times New Roman" w:hAnsi="Times New Roman"/>
          <w:noProof/>
          <w:color w:val="000000" w:themeColor="text1"/>
          <w:sz w:val="24"/>
        </w:rPr>
        <w:t xml:space="preserve">nů soudců a státních zástupců je stále patrný a hrozí, že povede k široké autocenzuře. Nebyla přijata žádná opatření k obnovení právních záruk k zajištění nezávislosti soudnictví na výkonné moci ani k posílení nezávislosti Rady soudců a státních zástupců. </w:t>
      </w:r>
      <w:r>
        <w:rPr>
          <w:rFonts w:ascii="Times New Roman" w:hAnsi="Times New Roman"/>
          <w:noProof/>
          <w:color w:val="000000" w:themeColor="text1"/>
          <w:sz w:val="24"/>
        </w:rPr>
        <w:t>V srpnu 2018 byla ohlášena strategie reformy soudnictví na období 2019–2023, zatím však nebyla přijata. Návrh strategie konzultovalo Turecko s Radou Evropy a Komisí.</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korupci</w:t>
      </w:r>
      <w:r>
        <w:rPr>
          <w:rFonts w:ascii="Times New Roman" w:hAnsi="Times New Roman"/>
          <w:noProof/>
          <w:color w:val="000000" w:themeColor="text1"/>
          <w:sz w:val="24"/>
        </w:rPr>
        <w:t xml:space="preserve"> je tato země v počáteční fázi.</w:t>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Došlo ke zhoršení situace </w:t>
      </w:r>
      <w:r>
        <w:rPr>
          <w:rFonts w:ascii="Times New Roman" w:hAnsi="Times New Roman"/>
          <w:noProof/>
          <w:color w:val="000000" w:themeColor="text1"/>
          <w:sz w:val="24"/>
        </w:rPr>
        <w:t>vzhledem k tomu, že zrušené preventivní orgány nenahradil nezávislý orgán v souladu s Úmluvou Organizace spojených národů proti korupci, jíž je Turecko smluvní stranou. Jak právní, tak i institucionální rámec nadále umožňovaly nepřípustný vliv výkonné moci</w:t>
      </w:r>
      <w:r>
        <w:rPr>
          <w:rFonts w:ascii="Times New Roman" w:hAnsi="Times New Roman"/>
          <w:noProof/>
          <w:color w:val="000000" w:themeColor="text1"/>
          <w:sz w:val="24"/>
        </w:rPr>
        <w:t xml:space="preserve"> na vyšetřování a trestní stíhání v případech korupce na vysoké úrovni. Legislativní změny plánované v předchozích protikorupčních strategiích nebyly provedeny. Právní předpisy v oblasti zadávání veřejných zakázek jsou stále neslučitelné 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EU a rozs</w:t>
      </w:r>
      <w:r>
        <w:rPr>
          <w:rFonts w:ascii="Times New Roman" w:hAnsi="Times New Roman"/>
          <w:noProof/>
          <w:color w:val="000000" w:themeColor="text1"/>
          <w:sz w:val="24"/>
        </w:rPr>
        <w:t>ah odchylek od právních předpisů o zadávání veřejných zakázek se ještě zvětšil. Neexistence silné protikorupční strategie a akčního plánu signalizuje chybějící politickou vůli korupci rozhodně potírat. Neexistuje žádný stálý funkčně nezávislý protikorupční</w:t>
      </w:r>
      <w:r>
        <w:rPr>
          <w:rFonts w:ascii="Times New Roman" w:hAnsi="Times New Roman"/>
          <w:noProof/>
          <w:color w:val="000000" w:themeColor="text1"/>
          <w:sz w:val="24"/>
        </w:rPr>
        <w:t xml:space="preserve"> orgán, není zde ani žádné specializované státní zastupitelství, které by vedlo protikorupční vyšetřování, a jen několik specializovaných soudů. Korupce je obecně rozšířená a nadále představuje problém.</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organizované trestné činnosti</w:t>
      </w:r>
      <w:r>
        <w:rPr>
          <w:rFonts w:ascii="Times New Roman" w:hAnsi="Times New Roman"/>
          <w:noProof/>
          <w:color w:val="000000" w:themeColor="text1"/>
          <w:sz w:val="24"/>
        </w:rPr>
        <w:t xml:space="preserve"> je</w:t>
      </w:r>
      <w:r>
        <w:rPr>
          <w:rFonts w:ascii="Times New Roman" w:hAnsi="Times New Roman"/>
          <w:noProof/>
          <w:color w:val="000000" w:themeColor="text1"/>
          <w:sz w:val="24"/>
        </w:rPr>
        <w:t xml:space="preserve"> připravenost Turecka na určité úrovni, ale pokrok je obecně omezený. Země musí zlepšit své právní předpisy týkající se kyberkriminality, konfiskace majetku a ochrany svědků. Ochrana údajů v Turecku stále neodpovídá evropským normám a bude třeba ji revidov</w:t>
      </w:r>
      <w:r>
        <w:rPr>
          <w:rFonts w:ascii="Times New Roman" w:hAnsi="Times New Roman"/>
          <w:noProof/>
          <w:color w:val="000000" w:themeColor="text1"/>
          <w:sz w:val="24"/>
        </w:rPr>
        <w:t xml:space="preserve">at, aby se zajistilo provádění momentálně vyjednávané operativní dohody s Europolem. Turecko by mělo vypracovat a zavést komplexnější a soudržnější právní rámec pro konfiskaci výnosů z trestné činnosti a zlepšit svoji schopnost spravovat zmrazená aktiva.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Turecko dosáhlo dobrého pokroku v oblasti </w:t>
      </w:r>
      <w:r>
        <w:rPr>
          <w:rFonts w:ascii="Times New Roman" w:hAnsi="Times New Roman"/>
          <w:b/>
          <w:noProof/>
          <w:color w:val="000000" w:themeColor="text1"/>
          <w:sz w:val="24"/>
        </w:rPr>
        <w:t>migrační a azylové politiky</w:t>
      </w:r>
      <w:r>
        <w:rPr>
          <w:rFonts w:ascii="Times New Roman" w:hAnsi="Times New Roman"/>
          <w:noProof/>
          <w:color w:val="000000" w:themeColor="text1"/>
          <w:sz w:val="24"/>
        </w:rPr>
        <w:t xml:space="preserve"> a nadále usilovalo o účinné provádění prohlášení EU a Turecka z března 2016. Na klesajícím trendu nelegálního překračování hranic z Turecka na ostrovy v Egejském moři od doby, kdy toto p</w:t>
      </w:r>
      <w:r>
        <w:rPr>
          <w:rFonts w:ascii="Times New Roman" w:hAnsi="Times New Roman"/>
          <w:noProof/>
          <w:color w:val="000000" w:themeColor="text1"/>
          <w:sz w:val="24"/>
        </w:rPr>
        <w:t>rohlášení vstoupilo v platnost, mělo podíl posílené úsilí tureckých donucovacích orgánů. Turecko nepolevovalo v mimořádném úsilí při poskytování rozsáhlé a bezprecedentní humanitární pomoci a podpory více než 3,6 milionu registrovaných uprchlíků ze Sýrie a</w:t>
      </w:r>
      <w:r>
        <w:rPr>
          <w:rFonts w:ascii="Times New Roman" w:hAnsi="Times New Roman"/>
          <w:noProof/>
          <w:color w:val="000000" w:themeColor="text1"/>
          <w:sz w:val="24"/>
        </w:rPr>
        <w:t> přibližně 370 000 registrovaných uprchlíků z dalších zemí, poskytujíc tak útočiště největší komunitě uprchlíků na světě. Turecko zřídilo sedm pracovních skupin k provádění technické práce na zbývajících kritériích dialogu o uvolnění vízového režimu. Nebyl</w:t>
      </w:r>
      <w:r>
        <w:rPr>
          <w:rFonts w:ascii="Times New Roman" w:hAnsi="Times New Roman"/>
          <w:noProof/>
          <w:color w:val="000000" w:themeColor="text1"/>
          <w:sz w:val="24"/>
        </w:rPr>
        <w:t>o však dosaženo žádného pokroku v harmonizaci turecké vízové politiky se společnou vízovou politikou EU.</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Vývoj v oblasti </w:t>
      </w:r>
      <w:r>
        <w:rPr>
          <w:rFonts w:ascii="Times New Roman" w:hAnsi="Times New Roman"/>
          <w:b/>
          <w:noProof/>
          <w:color w:val="000000" w:themeColor="text1"/>
          <w:sz w:val="24"/>
        </w:rPr>
        <w:t>lidských a základních práv</w:t>
      </w:r>
      <w:r>
        <w:rPr>
          <w:rFonts w:ascii="Times New Roman" w:hAnsi="Times New Roman"/>
          <w:noProof/>
          <w:color w:val="000000" w:themeColor="text1"/>
          <w:sz w:val="24"/>
        </w:rPr>
        <w:t xml:space="preserve"> zůstává výrazně negativní.</w:t>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Právní rámec sice obsahuje obecné záruky dodržování lidských a základních práv, </w:t>
      </w:r>
      <w:r>
        <w:rPr>
          <w:rFonts w:ascii="Times New Roman" w:hAnsi="Times New Roman"/>
          <w:noProof/>
          <w:color w:val="000000" w:themeColor="text1"/>
          <w:sz w:val="24"/>
        </w:rPr>
        <w:t>je jej však stále třeba uvést do souladu s Evropskou úmluvou o lidských právech (EÚLP) a judikaturou Evropského soudu pro lidská práva (ESLP). Došlo k závažnému zhoršení v oblasti svobody projevu, shromažďování a sdružování a v oblasti procesních a vlastni</w:t>
      </w:r>
      <w:r>
        <w:rPr>
          <w:rFonts w:ascii="Times New Roman" w:hAnsi="Times New Roman"/>
          <w:noProof/>
          <w:color w:val="000000" w:themeColor="text1"/>
          <w:sz w:val="24"/>
        </w:rPr>
        <w:t>ckých práv. Žádných změn nedoznaly právní předpisy zavedené okamžitě po ukončení výjimečného stavu, které odstranily základní záruky ochraňující aktivisty občanské společnosti, obránce lidských práv, novináře, akademické pracovníky a další osoby před poruš</w:t>
      </w:r>
      <w:r>
        <w:rPr>
          <w:rFonts w:ascii="Times New Roman" w:hAnsi="Times New Roman"/>
          <w:noProof/>
          <w:color w:val="000000" w:themeColor="text1"/>
          <w:sz w:val="24"/>
        </w:rPr>
        <w:t>ováním jejich práv. Prosazování práv brání roztříštěnost a omezená nezávislost veřejných institucí odpovědných za ochranu těchto práv a svobod a rovněž chybějící nezávislé soudnictví. Práva odborových svazů jsou i nadále vystavena silnému tlaku. Nebyly pod</w:t>
      </w:r>
      <w:r>
        <w:rPr>
          <w:rFonts w:ascii="Times New Roman" w:hAnsi="Times New Roman"/>
          <w:noProof/>
          <w:color w:val="000000" w:themeColor="text1"/>
          <w:sz w:val="24"/>
        </w:rPr>
        <w:t>niknuty žádné kroky k vyšetřování, stíhání či potrestání těch, kteří se podíleli na hrubém porušování lidských práv v průběhu výjimečného stavu. Ve společnosti panovala atmosféra zastrašování, neboť výjimečný stav posloužil k omezení prostoru pro nesouhlas</w:t>
      </w:r>
      <w:r>
        <w:rPr>
          <w:rFonts w:ascii="Times New Roman" w:hAnsi="Times New Roman"/>
          <w:noProof/>
          <w:color w:val="000000" w:themeColor="text1"/>
          <w:sz w:val="24"/>
        </w:rPr>
        <w:t>né či alternativní názory. V prosinci 2018 činil počet osob vězněných bez obvinění nebo čekajících ve vězení na výsledek soudního řízení celkem 57 000 – více než 20 % vězňů. Věznice jsou přeplněné a podmínky se zhoršují. Pokračovala silná omezení svobody p</w:t>
      </w:r>
      <w:r>
        <w:rPr>
          <w:rFonts w:ascii="Times New Roman" w:hAnsi="Times New Roman"/>
          <w:noProof/>
          <w:color w:val="000000" w:themeColor="text1"/>
          <w:sz w:val="24"/>
        </w:rPr>
        <w:t xml:space="preserve">rojevu a dramaticky zesílila tendence stíhat za urážky prezidenta spisovatele, uživatele sociálních médií a další členy veřejnosti, dokonce i děti. Nedostatečná transparentnost vlastnictví sdělovacích prostředků i nadále zpochybňuje nezávislost redakčních </w:t>
      </w:r>
      <w:r>
        <w:rPr>
          <w:rFonts w:ascii="Times New Roman" w:hAnsi="Times New Roman"/>
          <w:noProof/>
          <w:color w:val="000000" w:themeColor="text1"/>
          <w:sz w:val="24"/>
        </w:rPr>
        <w:t>článků. Romové</w:t>
      </w:r>
      <w:r>
        <w:rPr>
          <w:rFonts w:ascii="Times New Roman" w:hAnsi="Times New Roman"/>
          <w:noProof/>
          <w:color w:val="000000" w:themeColor="text1"/>
          <w:sz w:val="24"/>
          <w:vertAlign w:val="superscript"/>
        </w:rPr>
        <w:footnoteReference w:id="9"/>
      </w:r>
      <w:r>
        <w:rPr>
          <w:rFonts w:ascii="Times New Roman" w:hAnsi="Times New Roman"/>
          <w:noProof/>
          <w:color w:val="000000" w:themeColor="text1"/>
          <w:sz w:val="24"/>
        </w:rPr>
        <w:t xml:space="preserve"> stále bydlí ve velmi nuzných podmínkách, často postrádají základní veřejné služby a jsou odkázáni na sociální dávky. Projekty obnovy měst se i nadále dotýkají především jejich domovů a k vysídlení nutí celé rodiny. Práva nejzranitelnějších </w:t>
      </w:r>
      <w:r>
        <w:rPr>
          <w:rFonts w:ascii="Times New Roman" w:hAnsi="Times New Roman"/>
          <w:noProof/>
          <w:color w:val="000000" w:themeColor="text1"/>
          <w:sz w:val="24"/>
        </w:rPr>
        <w:t xml:space="preserve">skupin a osob patřících k menšinám je třeba lépe chránit. Genderově podmíněné násilí, diskriminace, nenávistné verbální projevy proti menšinám, trestné činy z nenávisti a porušování lidských práv LGBTI osob budí i nadále vážné znepokojení. </w:t>
      </w:r>
    </w:p>
    <w:p w:rsidR="00BB42EA" w:rsidRDefault="00B004C8">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Turecko uvítalo</w:t>
      </w:r>
      <w:r>
        <w:rPr>
          <w:rFonts w:ascii="Times New Roman" w:hAnsi="Times New Roman"/>
          <w:noProof/>
          <w:color w:val="000000" w:themeColor="text1"/>
          <w:sz w:val="24"/>
        </w:rPr>
        <w:t xml:space="preserve"> obnovené úsilí OSN o konzultace se zúčastněnými stranami ohledně možného obnovení jednání o Kypru. Vzhledem ke krokům a prohlášením Turecka, které zpochybňovalo právo Kyperské republiky na využívání zdrojů uhlovodíků ve výlučné ekonomické zóně Kypru, vzro</w:t>
      </w:r>
      <w:r>
        <w:rPr>
          <w:rFonts w:ascii="Times New Roman" w:hAnsi="Times New Roman"/>
          <w:noProof/>
          <w:color w:val="000000" w:themeColor="text1"/>
          <w:sz w:val="24"/>
        </w:rPr>
        <w:t xml:space="preserve">stlo napětí v regionu ohledně výhledu na průzkum ložisek uhlovodíků u pobřeží Kypru. Napětí dále vyhrotil fakt, že v květnu 2019 Turecko vyslalo do výlučné ekonomické zóny Kyperské republiky vrtnou plošinu v doprovodu vojenských plavidel. </w:t>
      </w:r>
      <w:r>
        <w:rPr>
          <w:rFonts w:ascii="Times New Roman" w:hAnsi="Times New Roman"/>
          <w:noProof/>
          <w:sz w:val="24"/>
        </w:rPr>
        <w:t xml:space="preserve">Komise připomíná </w:t>
      </w:r>
      <w:r>
        <w:rPr>
          <w:rFonts w:ascii="Times New Roman" w:hAnsi="Times New Roman"/>
          <w:noProof/>
          <w:sz w:val="24"/>
        </w:rPr>
        <w:t xml:space="preserve">prohlášení Evropské rady z března 2018, které důrazně odsoudilo pokračující protiprávní jednání Turecka ve východním Středomoří a Egejském moři. </w:t>
      </w:r>
      <w:r>
        <w:rPr>
          <w:rFonts w:ascii="Times New Roman" w:hAnsi="Times New Roman"/>
          <w:noProof/>
          <w:color w:val="000000" w:themeColor="text1"/>
          <w:sz w:val="24"/>
        </w:rPr>
        <w:t>Rovněž připomněla povinnost Turecka dodržovat mezinárodní právo a zachovávat dobré sousedské vztahy a vyzvala t</w:t>
      </w:r>
      <w:r>
        <w:rPr>
          <w:rFonts w:ascii="Times New Roman" w:hAnsi="Times New Roman"/>
          <w:noProof/>
          <w:color w:val="000000" w:themeColor="text1"/>
          <w:sz w:val="24"/>
        </w:rPr>
        <w:t xml:space="preserve">uto zemi, aby respektovala svrchovaná práva Kypru provádět průzkum svých přírodních zdrojů a tyto zdroje využívat v souladu s právem EU a mezinárodním právem. </w:t>
      </w:r>
      <w:r>
        <w:rPr>
          <w:rFonts w:ascii="Times New Roman" w:hAnsi="Times New Roman"/>
          <w:noProof/>
          <w:sz w:val="24"/>
        </w:rPr>
        <w:t>V březnu 2019 vyzvala EU Turecko, aby se zdrželo veškerých takových protiprávních akcí, na něž by</w:t>
      </w:r>
      <w:r>
        <w:rPr>
          <w:rFonts w:ascii="Times New Roman" w:hAnsi="Times New Roman"/>
          <w:noProof/>
          <w:sz w:val="24"/>
        </w:rPr>
        <w:t xml:space="preserve"> musela reagovat patřičným způsobem a v plné solidaritě s Kyprem.</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 opakovaně zdůrazňovala svrchovaná práva členských států EU, mezi něž patří právo uzavírat dvoustranné dohody a provádět průzkum svých přírodních zdrojů a tyto zdroje využívat v souladu 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EU a mezinárodním právem, včetně Úmluvy OSN o mořském právu. Turecko dosud nesplnilo svůj závazek zajistit úplné a nediskriminační provádění dodatkového protokolu k dohodě o přidružení mezi EU a Tureckem a neodstranilo všechny překážky volného pohyb</w:t>
      </w:r>
      <w:r>
        <w:rPr>
          <w:rFonts w:ascii="Times New Roman" w:hAnsi="Times New Roman"/>
          <w:noProof/>
          <w:color w:val="000000" w:themeColor="text1"/>
          <w:sz w:val="24"/>
        </w:rPr>
        <w:t>u zboží, včetně omezení týkajících se přímého dopravního spojení s Kyprem. V narovnávání dvoustranných vztahů s Kyperskou republikou nedošlo k žádnému pokroku.</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Pokračovala operativní spolupráce s Řeckem v otázce migrace. Nicméně napětí panující v Egejském </w:t>
      </w:r>
      <w:r>
        <w:rPr>
          <w:rFonts w:ascii="Times New Roman" w:hAnsi="Times New Roman"/>
          <w:noProof/>
          <w:color w:val="000000" w:themeColor="text1"/>
          <w:sz w:val="24"/>
        </w:rPr>
        <w:t>moři a ve východním Středomoří nebylo příznivé pro dobré sousedské vztahy a podkopávalo regionální stabilitu a bezpečnost. Dvoustranné vztahy s několika jednotlivými členskými státy EU, zejména s Rakouskem, Německem a Nizozemskem, se zlepšily. Nizozemsko a</w:t>
      </w:r>
      <w:r>
        <w:rPr>
          <w:rFonts w:ascii="Times New Roman" w:hAnsi="Times New Roman"/>
          <w:noProof/>
          <w:color w:val="000000" w:themeColor="text1"/>
          <w:sz w:val="24"/>
        </w:rPr>
        <w:t xml:space="preserve"> Turecko své vztahy narovnaly. Turecko opakovaně a s rostoucí intenzitou narušovalo teritoriální vody a vzdušný prostor Řecka a Kypru. Zdrojem dalších vážných obav bylo šestiměsíční zadržování dvou řeckých vojáků, kteří střežili pozemní hranici, ale vztahy</w:t>
      </w:r>
      <w:r>
        <w:rPr>
          <w:rFonts w:ascii="Times New Roman" w:hAnsi="Times New Roman"/>
          <w:noProof/>
          <w:color w:val="000000" w:themeColor="text1"/>
          <w:sz w:val="24"/>
        </w:rPr>
        <w:t xml:space="preserve"> se podstatně zlepšily jejich propuštěním v srpnu roku 2018 a po návštěvě, kterou v únoru v Turecku vykonal řecký předseda vlády.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 této souvislosti vyjádřila EU opět vážné znepokojení a vyzvala Turecko, aby se vyvarovalo jakýchkoli hrozeb či kroků namíře</w:t>
      </w:r>
      <w:r>
        <w:rPr>
          <w:rFonts w:ascii="Times New Roman" w:hAnsi="Times New Roman"/>
          <w:noProof/>
          <w:color w:val="000000" w:themeColor="text1"/>
          <w:sz w:val="24"/>
        </w:rPr>
        <w:t xml:space="preserve">ných proti kterémukoli členskému státu nebo jakýchkoli zdrojů neshod či jednání, jež by nepříznivě ovlivnily dobré sousedské vztahy a mírové urovnávání sporů.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Pokud jde o </w:t>
      </w:r>
      <w:r>
        <w:rPr>
          <w:rFonts w:ascii="Times New Roman" w:hAnsi="Times New Roman"/>
          <w:b/>
          <w:noProof/>
          <w:color w:val="000000" w:themeColor="text1"/>
          <w:sz w:val="24"/>
        </w:rPr>
        <w:t>hospodářská kritéria</w:t>
      </w:r>
      <w:r>
        <w:rPr>
          <w:rFonts w:ascii="Times New Roman" w:hAnsi="Times New Roman"/>
          <w:noProof/>
          <w:color w:val="000000" w:themeColor="text1"/>
          <w:sz w:val="24"/>
        </w:rPr>
        <w:t>, závažný negativní vývoj tureckého hospodářství dále pokračoval</w:t>
      </w:r>
      <w:r>
        <w:rPr>
          <w:rFonts w:ascii="Times New Roman" w:hAnsi="Times New Roman"/>
          <w:noProof/>
          <w:color w:val="000000" w:themeColor="text1"/>
          <w:sz w:val="24"/>
        </w:rPr>
        <w:t>, což prohloubilo obavy ohledně fungování tržního hospodářství země. Prudké zhoršení podmínek vnějšího financování v roce 2018 odhalilo zranitelnost, jež se během let nastřádala. Turecké orgány zareagovaly přijetím řady politických opatření, která negativn</w:t>
      </w:r>
      <w:r>
        <w:rPr>
          <w:rFonts w:ascii="Times New Roman" w:hAnsi="Times New Roman"/>
          <w:noProof/>
          <w:color w:val="000000" w:themeColor="text1"/>
          <w:sz w:val="24"/>
        </w:rPr>
        <w:t>ě ovlivnila fungování trhů, a co je důležitější, prostřednictvím zásahů do tvorby cen a zavádění omezení na volné používání cizí měny. Prohloubily se obavy ohledně nezávislosti klíčových hospodářských institucí. Schodek běžného účtu kulminoval v první polo</w:t>
      </w:r>
      <w:r>
        <w:rPr>
          <w:rFonts w:ascii="Times New Roman" w:hAnsi="Times New Roman"/>
          <w:noProof/>
          <w:color w:val="000000" w:themeColor="text1"/>
          <w:sz w:val="24"/>
        </w:rPr>
        <w:t>vině roku 2018, než v důsledku slábnoucí ekonomiky a pádu liry nastala silná korekce. V návaznosti na měnovou krizi a roky vysokého růstu úvěrů, vysokého růstu peněžní zásoby a nízkých reálných úrokových sazeb vyšplhala inflace vysoko nad horní pásmo cílov</w:t>
      </w:r>
      <w:r>
        <w:rPr>
          <w:rFonts w:ascii="Times New Roman" w:hAnsi="Times New Roman"/>
          <w:noProof/>
          <w:color w:val="000000" w:themeColor="text1"/>
          <w:sz w:val="24"/>
        </w:rPr>
        <w:t>ého intervalu. Žádný pokrok nenastal při zvyšování transparentnosti státní podpory.</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Pokud jde o schopnost vypořádat se s konkurenčními tlaky a tržními silami v rámci EU, dosáhlo Turecko určitého pokroku a jeho připravenost je na dobré úrovni. V obchodě i i</w:t>
      </w:r>
      <w:r>
        <w:rPr>
          <w:rFonts w:ascii="Times New Roman" w:hAnsi="Times New Roman"/>
          <w:noProof/>
          <w:color w:val="000000" w:themeColor="text1"/>
          <w:sz w:val="24"/>
        </w:rPr>
        <w:t xml:space="preserve">nvesticích se Turecko dobře integrovalo na trh EU. Došlo ke zlepšení v odvětví energetiky a také k určitému pokroku v oblasti výdajů na výzkum a vývoj, vzdělávání a fyzický kapitál. Přetrvávají však problémy s kvalitou vzdělávání a rovností žen a mužů.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w:t>
      </w:r>
      <w:r>
        <w:rPr>
          <w:rFonts w:ascii="Times New Roman" w:hAnsi="Times New Roman"/>
          <w:noProof/>
          <w:color w:val="000000" w:themeColor="text1"/>
          <w:sz w:val="24"/>
        </w:rPr>
        <w:t xml:space="preserve">kud jde o </w:t>
      </w:r>
      <w:r>
        <w:rPr>
          <w:rFonts w:ascii="Times New Roman" w:hAnsi="Times New Roman"/>
          <w:b/>
          <w:noProof/>
          <w:color w:val="000000" w:themeColor="text1"/>
          <w:sz w:val="24"/>
        </w:rPr>
        <w:t>schopnost převzít závazky vyplývající z členství</w:t>
      </w:r>
      <w:r>
        <w:rPr>
          <w:rFonts w:ascii="Times New Roman" w:hAnsi="Times New Roman"/>
          <w:noProof/>
          <w:color w:val="000000" w:themeColor="text1"/>
          <w:sz w:val="24"/>
        </w:rPr>
        <w:t xml:space="preserve">, pokračovalo Turecko ve sbližování svých právních předpisů 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i když omezeným tempem. Došlo ke zhoršení řady klíčových aspektů v oblasti volného pohybu kapitálu, zadávání veřejných zakázek, </w:t>
      </w:r>
      <w:r>
        <w:rPr>
          <w:rFonts w:ascii="Times New Roman" w:hAnsi="Times New Roman"/>
          <w:noProof/>
          <w:color w:val="000000" w:themeColor="text1"/>
          <w:sz w:val="24"/>
        </w:rPr>
        <w:t>hospodářské soutěže, informační společnosti, hospodářské a měnové politiky a vnějších vztahů. Turecko dosáhlo pokročilé fáze přípravy v oblasti práva obchodních společností, transevropských sítí a vědy a výzkumu. Jeho připravenost je na dobré úrovni, pokud</w:t>
      </w:r>
      <w:r>
        <w:rPr>
          <w:rFonts w:ascii="Times New Roman" w:hAnsi="Times New Roman"/>
          <w:noProof/>
          <w:color w:val="000000" w:themeColor="text1"/>
          <w:sz w:val="24"/>
        </w:rPr>
        <w:t xml:space="preserve"> jde o volný pohyb zboží, právo duševního vlastnictví, finanční služby, politiku v oblasti podnikání a průmyslu, ochranu spotřebitele a zdraví, celní unii a finanční kontrolu. V oblasti zadávání veřejných zakázek, kde přetrvávají některé významné nedostatk</w:t>
      </w:r>
      <w:r>
        <w:rPr>
          <w:rFonts w:ascii="Times New Roman" w:hAnsi="Times New Roman"/>
          <w:noProof/>
          <w:color w:val="000000" w:themeColor="text1"/>
          <w:sz w:val="24"/>
        </w:rPr>
        <w:t>y při sbližování právních předpisů, je připravenost Turecka na mírně pokročilé úrovni. Také v oblasti volného pohybu kapitálu, statistiky, energetiky, daní, hospodářské a měnové unie, regionální politiky, vzdělávání a kultury, SZBP a dopravní politiky, kde</w:t>
      </w:r>
      <w:r>
        <w:rPr>
          <w:rFonts w:ascii="Times New Roman" w:hAnsi="Times New Roman"/>
          <w:noProof/>
          <w:color w:val="000000" w:themeColor="text1"/>
          <w:sz w:val="24"/>
        </w:rPr>
        <w:t xml:space="preserve"> je plošně třeba další významné úsilí, je Turecko na mírně pokročilé úrovni. Turecko dosáhlo určité míry připravenosti v oblasti hospodářské soutěže, zemědělství, bezpečnosti potravin, veterinární a rostlinolékařské politiky, sociální politiky a zaměstnano</w:t>
      </w:r>
      <w:r>
        <w:rPr>
          <w:rFonts w:ascii="Times New Roman" w:hAnsi="Times New Roman"/>
          <w:noProof/>
          <w:color w:val="000000" w:themeColor="text1"/>
          <w:sz w:val="24"/>
        </w:rPr>
        <w:t>sti, životního prostředí a změny klimatu, kde je stále zapotřebí zavést a provádět ambicióznější a lépe koordinované politiky. Ve všech oblastech je třeba věnovat větší pozornost vymáhání právních předpisů a v mnoha oblastech bude muset nastat další výrazn</w:t>
      </w:r>
      <w:r>
        <w:rPr>
          <w:rFonts w:ascii="Times New Roman" w:hAnsi="Times New Roman"/>
          <w:noProof/>
          <w:color w:val="000000" w:themeColor="text1"/>
          <w:sz w:val="24"/>
        </w:rPr>
        <w:t xml:space="preserve">ý pokrok, aby došlo ke sladění právních předpisů 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EU, posílení nezávislosti regulačních orgánů a vybudování správních kapacit.</w:t>
      </w:r>
    </w:p>
    <w:p w:rsidR="00BB42EA" w:rsidRDefault="00B004C8">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Černá Hora</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politická kritéria</w:t>
      </w:r>
      <w:r>
        <w:rPr>
          <w:rFonts w:ascii="Times New Roman" w:hAnsi="Times New Roman"/>
          <w:noProof/>
          <w:color w:val="000000" w:themeColor="text1"/>
          <w:sz w:val="24"/>
        </w:rPr>
        <w:t xml:space="preserve">, sledované období se stále vyznačovalo nízkou důvěrou ve volební rámec, který </w:t>
      </w:r>
      <w:r>
        <w:rPr>
          <w:rFonts w:ascii="Times New Roman" w:hAnsi="Times New Roman"/>
          <w:noProof/>
          <w:color w:val="000000" w:themeColor="text1"/>
          <w:sz w:val="24"/>
        </w:rPr>
        <w:t>je třeba komplexním a inkluzivním způsobem revidovat. Mimo jiné za tímto účelem byl na</w:t>
      </w:r>
      <w:r>
        <w:rPr>
          <w:rFonts w:ascii="Times New Roman" w:hAnsi="Times New Roman"/>
          <w:noProof/>
          <w:sz w:val="24"/>
        </w:rPr>
        <w:t xml:space="preserve"> podzim roku 2018 zřízen dočasný parlamentní výbor pro reformu volebních a dalších právních předpisů.</w:t>
      </w:r>
      <w:r>
        <w:rPr>
          <w:rFonts w:ascii="Times New Roman" w:hAnsi="Times New Roman"/>
          <w:noProof/>
          <w:color w:val="000000" w:themeColor="text1"/>
          <w:sz w:val="24"/>
        </w:rPr>
        <w:t xml:space="preserve"> Svůj ambiciózní mandát však zatím musí teprve naplnit. Během sledova</w:t>
      </w:r>
      <w:r>
        <w:rPr>
          <w:rFonts w:ascii="Times New Roman" w:hAnsi="Times New Roman"/>
          <w:noProof/>
          <w:color w:val="000000" w:themeColor="text1"/>
          <w:sz w:val="24"/>
        </w:rPr>
        <w:t xml:space="preserve">ného období se konaly volby prezidentské a v jedenácti obcích a jednom městě volby místní. Pořádání místních voleb pokračovalo postupně, což ztěžovalo mezinárodní pozorování jejich průběhu, a vznikl tak dostatek příležitostí pro tvrzení o nesrovnalostech, </w:t>
      </w:r>
      <w:r>
        <w:rPr>
          <w:rFonts w:ascii="Times New Roman" w:hAnsi="Times New Roman"/>
          <w:noProof/>
          <w:color w:val="000000" w:themeColor="text1"/>
          <w:sz w:val="24"/>
        </w:rPr>
        <w:t xml:space="preserve">jež nelze nezávisle posoudit.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Politická scéna zůstává i nadále roztříštěná a polarizovaná a vyznačuje se nedostatkem skutečného politického dialogu. Při obnovování politického dialogu v parlamentu bylo v průběhu roku 2018 dosaženo omezeného pokroku, přiče</w:t>
      </w:r>
      <w:r>
        <w:rPr>
          <w:rFonts w:ascii="Times New Roman" w:hAnsi="Times New Roman"/>
          <w:noProof/>
          <w:color w:val="000000" w:themeColor="text1"/>
          <w:sz w:val="24"/>
        </w:rPr>
        <w:t xml:space="preserve">mž došlo k dočasnému a částečnému návratu většiny opozičních stran do parlamentu a </w:t>
      </w:r>
      <w:r>
        <w:rPr>
          <w:rFonts w:ascii="Times New Roman" w:hAnsi="Times New Roman"/>
          <w:noProof/>
          <w:sz w:val="24"/>
        </w:rPr>
        <w:t>ke zřízení dočasného parlamentního výboru.</w:t>
      </w:r>
      <w:r>
        <w:rPr>
          <w:rFonts w:ascii="Times New Roman" w:hAnsi="Times New Roman"/>
          <w:noProof/>
          <w:color w:val="000000" w:themeColor="text1"/>
          <w:sz w:val="24"/>
        </w:rPr>
        <w:t xml:space="preserve"> Nicméně po zadržení jednoho opozičního poslance, k němuž došlo koncem roku 2018, a po obviněních z korupce a nezákonného financová</w:t>
      </w:r>
      <w:r>
        <w:rPr>
          <w:rFonts w:ascii="Times New Roman" w:hAnsi="Times New Roman"/>
          <w:noProof/>
          <w:color w:val="000000" w:themeColor="text1"/>
          <w:sz w:val="24"/>
        </w:rPr>
        <w:t xml:space="preserve">ní politických stran („obálková aféra“) z počátku roku 2019, začala opozice parlament většinou znovu bojkotovat. Tato obvinění rovněž vyvolala mobilizaci občanů formou pravidelných pouličních protestů, pokusy o mimoparlamentní politický dialog a požadavky </w:t>
      </w:r>
      <w:r>
        <w:rPr>
          <w:rFonts w:ascii="Times New Roman" w:hAnsi="Times New Roman"/>
          <w:noProof/>
          <w:color w:val="000000" w:themeColor="text1"/>
          <w:sz w:val="24"/>
        </w:rPr>
        <w:t xml:space="preserve">opozice na vytvoření technické vlády.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Navrátit politickou debatu do parlamentu je odpovědností všech politických aktérů. K posílení odpovědnosti parlamentu, dohledu nad výkonnou mocí, demokratické kontroly a lepší kvality právních předpisů je zapotřebí ak</w:t>
      </w:r>
      <w:r>
        <w:rPr>
          <w:rFonts w:ascii="Times New Roman" w:hAnsi="Times New Roman"/>
          <w:noProof/>
          <w:color w:val="000000" w:themeColor="text1"/>
          <w:sz w:val="24"/>
        </w:rPr>
        <w:t>tivní a konstruktivní zapojení všech stran. V souvislosti s údajným zneužitím veřejných prostředků pro účely politických stran z roku 2012 dosud nebyla přijata žádná nová politická a justiční opatření. Pokud jde o nedávná obvinění, zahájilo státní zastupit</w:t>
      </w:r>
      <w:r>
        <w:rPr>
          <w:rFonts w:ascii="Times New Roman" w:hAnsi="Times New Roman"/>
          <w:noProof/>
          <w:color w:val="000000" w:themeColor="text1"/>
          <w:sz w:val="24"/>
        </w:rPr>
        <w:t>elství vyšetřování některých obvinění a protikorupční agentura dotčené politické straně udělila pokutu za přijetí protiprávního hotovostního daru. Tato obvinění vyžadují důvěryhodnou, nezávislou a účinnou institucionální reakci.</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Co se týče správy věcí veře</w:t>
      </w:r>
      <w:r>
        <w:rPr>
          <w:rFonts w:ascii="Times New Roman" w:hAnsi="Times New Roman"/>
          <w:noProof/>
          <w:color w:val="000000" w:themeColor="text1"/>
          <w:sz w:val="24"/>
        </w:rPr>
        <w:t>jných, je zapotřebí posílit transparentnost, zapojení zúčastněných stran a schopnost vlády provádět reformy. Nový právní rámec a metodologie v oblasti strategického plánování by měly vést ke kvalitnějšímu strategickému plánování, lepšímu monitorování a pro</w:t>
      </w:r>
      <w:r>
        <w:rPr>
          <w:rFonts w:ascii="Times New Roman" w:hAnsi="Times New Roman"/>
          <w:noProof/>
          <w:color w:val="000000" w:themeColor="text1"/>
          <w:sz w:val="24"/>
        </w:rPr>
        <w:t>vedení. Právní, institucionální a finanční prostředí, v němž fungují organizace občanské společnosti, se obecně zlepšilo. Je však ještě třeba zajistit, aby byly organizace občanské společnosti do procesu tvorby politik v praxi skutečně zapojeny.</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V oblasti </w:t>
      </w:r>
      <w:r>
        <w:rPr>
          <w:rFonts w:ascii="Times New Roman" w:hAnsi="Times New Roman"/>
          <w:noProof/>
          <w:color w:val="000000" w:themeColor="text1"/>
          <w:sz w:val="24"/>
        </w:rPr>
        <w:t>reformy</w:t>
      </w:r>
      <w:r>
        <w:rPr>
          <w:rFonts w:ascii="Times New Roman" w:hAnsi="Times New Roman"/>
          <w:b/>
          <w:noProof/>
          <w:color w:val="000000" w:themeColor="text1"/>
          <w:sz w:val="24"/>
        </w:rPr>
        <w:t xml:space="preserve"> veřejné správy</w:t>
      </w:r>
      <w:r>
        <w:rPr>
          <w:rFonts w:ascii="Times New Roman" w:hAnsi="Times New Roman"/>
          <w:noProof/>
          <w:color w:val="000000" w:themeColor="text1"/>
          <w:sz w:val="24"/>
        </w:rPr>
        <w:t xml:space="preserve"> je připravenost Černé Hory na mírně pokročilé úrovni. Obecně bylo dosaženo určitého pokroku. K dobrému pokroku došlo </w:t>
      </w:r>
      <w:r>
        <w:rPr>
          <w:rFonts w:ascii="Times New Roman" w:hAnsi="Times New Roman"/>
          <w:noProof/>
          <w:sz w:val="24"/>
        </w:rPr>
        <w:t>zejména v souvislosti se střednědobým rámcem plánování politiky, náborem zaměstnanců na základě zásluh a racionaliza</w:t>
      </w:r>
      <w:r>
        <w:rPr>
          <w:rFonts w:ascii="Times New Roman" w:hAnsi="Times New Roman"/>
          <w:noProof/>
          <w:sz w:val="24"/>
        </w:rPr>
        <w:t>cí organizace státní správy.</w:t>
      </w:r>
      <w:r>
        <w:rPr>
          <w:rFonts w:ascii="Times New Roman" w:hAnsi="Times New Roman"/>
          <w:noProof/>
          <w:color w:val="000000" w:themeColor="text1"/>
          <w:sz w:val="24"/>
        </w:rPr>
        <w:t xml:space="preserve"> Stále je nicméně zapotřebí pevná politická vůle k tomu, aby se účinně řešilo odpolitizování veřejné služby, optimalizace státní správy, inkluzivní tvorba politik založená na důkazech, delegování rozhodnutí a manažerská odpovědn</w:t>
      </w:r>
      <w:r>
        <w:rPr>
          <w:rFonts w:ascii="Times New Roman" w:hAnsi="Times New Roman"/>
          <w:noProof/>
          <w:color w:val="000000" w:themeColor="text1"/>
          <w:sz w:val="24"/>
        </w:rPr>
        <w:t>ost.</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soudního systému</w:t>
      </w:r>
      <w:r>
        <w:rPr>
          <w:rFonts w:ascii="Times New Roman" w:hAnsi="Times New Roman"/>
          <w:noProof/>
          <w:color w:val="000000" w:themeColor="text1"/>
          <w:sz w:val="24"/>
        </w:rPr>
        <w:t xml:space="preserve"> je připravenost Černé Hory na mírně pokročilé úrovni a bylo dosaženo určitého pokroku. Legislativní rámec, jehož cílem je zvýšit nezávislost a profesionalitu soudnictví, dosud nebyl plně proveden. Institucionální kapacity by</w:t>
      </w:r>
      <w:r>
        <w:rPr>
          <w:rFonts w:ascii="Times New Roman" w:hAnsi="Times New Roman"/>
          <w:noProof/>
          <w:color w:val="000000" w:themeColor="text1"/>
          <w:sz w:val="24"/>
        </w:rPr>
        <w:t xml:space="preserve">ly posíleny.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korupci</w:t>
      </w:r>
      <w:r>
        <w:rPr>
          <w:rFonts w:ascii="Times New Roman" w:hAnsi="Times New Roman"/>
          <w:noProof/>
          <w:color w:val="000000" w:themeColor="text1"/>
          <w:sz w:val="24"/>
        </w:rPr>
        <w:t xml:space="preserve"> dosáhla Černá Hora určité úrovně připravenosti. Během sledovaného období došlo k určitému omezenému pokroku. Korupce je však v mnoha oblastech stále rozšířená a nadále způsobuje znepokojení. Operační kapacita inst</w:t>
      </w:r>
      <w:r>
        <w:rPr>
          <w:rFonts w:ascii="Times New Roman" w:hAnsi="Times New Roman"/>
          <w:noProof/>
          <w:color w:val="000000" w:themeColor="text1"/>
          <w:sz w:val="24"/>
        </w:rPr>
        <w:t>itucí se zlepšila; všechny instituce by však měly zaujmout aktivnější přístup. Stále se je třeba zabývat otázkami, jež se týkají důvěryhodnosti, nezávislosti a stanovování priorit protikorupční agentury. Zlepšit se musí také finanční vyšetřování a zadržová</w:t>
      </w:r>
      <w:r>
        <w:rPr>
          <w:rFonts w:ascii="Times New Roman" w:hAnsi="Times New Roman"/>
          <w:noProof/>
          <w:color w:val="000000" w:themeColor="text1"/>
          <w:sz w:val="24"/>
        </w:rPr>
        <w:t>ní a konfiskace majetku. Prvotních výsledků, pokud jde o vyšetřování, stíhání a pravomocná odsouzení v případech korupce na vysoké úrovni, již bylo dosaženo, nicméně postupování trestního soudnictví vůči korupci na vysoké úrovni je stále příliš omezené. Da</w:t>
      </w:r>
      <w:r>
        <w:rPr>
          <w:rFonts w:ascii="Times New Roman" w:hAnsi="Times New Roman"/>
          <w:noProof/>
          <w:color w:val="000000" w:themeColor="text1"/>
          <w:sz w:val="24"/>
        </w:rPr>
        <w:t>lší zlepšení bude v tomto ohledu možné jen tehdy, budou-li nezávislé instituce chráněny před nepřípustným ovlivňováním a budou-li motivovány k tomu, aby plně uplatňovaly své pravomoci.</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organizované trestné činnosti</w:t>
      </w:r>
      <w:r>
        <w:rPr>
          <w:rFonts w:ascii="Times New Roman" w:hAnsi="Times New Roman"/>
          <w:noProof/>
          <w:color w:val="000000" w:themeColor="text1"/>
          <w:sz w:val="24"/>
        </w:rPr>
        <w:t xml:space="preserve"> zůstává připravenost</w:t>
      </w:r>
      <w:r>
        <w:rPr>
          <w:rFonts w:ascii="Times New Roman" w:hAnsi="Times New Roman"/>
          <w:noProof/>
          <w:color w:val="000000" w:themeColor="text1"/>
          <w:sz w:val="24"/>
        </w:rPr>
        <w:t xml:space="preserve"> Černé Hory na mírně pokročilé úrovni. Bylo dosaženo určitého pokroku na poli justiční spolupráce a v některých oblastech boje proti organizované trestné činnosti. Jsou znát první výsledky, pokud jde o vyšetřování praní peněz, finanční vyšetřování a dočasn</w:t>
      </w:r>
      <w:r>
        <w:rPr>
          <w:rFonts w:ascii="Times New Roman" w:hAnsi="Times New Roman"/>
          <w:noProof/>
          <w:color w:val="000000" w:themeColor="text1"/>
          <w:sz w:val="24"/>
        </w:rPr>
        <w:t>é zajišťování výnosů z trestné činnosti. Posílená mezinárodní policejní spolupráce nese své ovoce, jak dokládá řada vysoce sledovaných mezinárodních operací, zatčení a záchytů drog. Je však zapotřebí dosáhnout dalších přesvědčivých výsledků, pokud jde o ko</w:t>
      </w:r>
      <w:r>
        <w:rPr>
          <w:rFonts w:ascii="Times New Roman" w:hAnsi="Times New Roman"/>
          <w:noProof/>
          <w:color w:val="000000" w:themeColor="text1"/>
          <w:sz w:val="24"/>
        </w:rPr>
        <w:t xml:space="preserve">mplexnější typy organizované trestné činnosti, kde jsou v sázce zvláštní místní zájmy, včetně v oblasti praní peněz, obchodování s lidmi a pašování tabáku, jakož i v oblasti konfiskace výnosů z trestné činnosti.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V oblasti </w:t>
      </w:r>
      <w:r>
        <w:rPr>
          <w:rFonts w:ascii="Times New Roman" w:hAnsi="Times New Roman"/>
          <w:b/>
          <w:noProof/>
          <w:color w:val="000000" w:themeColor="text1"/>
          <w:sz w:val="24"/>
        </w:rPr>
        <w:t>základních práv</w:t>
      </w:r>
      <w:r>
        <w:rPr>
          <w:rFonts w:ascii="Times New Roman" w:hAnsi="Times New Roman"/>
          <w:noProof/>
          <w:color w:val="000000" w:themeColor="text1"/>
          <w:sz w:val="24"/>
        </w:rPr>
        <w:t xml:space="preserve"> Černá Hora dále s</w:t>
      </w:r>
      <w:r>
        <w:rPr>
          <w:rFonts w:ascii="Times New Roman" w:hAnsi="Times New Roman"/>
          <w:noProof/>
          <w:color w:val="000000" w:themeColor="text1"/>
          <w:sz w:val="24"/>
        </w:rPr>
        <w:t>bližovala své právní předpisy s normami EU. Zlepšila se kapacita úřadu veřejného ochránce práv a národního preventivního mechanismu, k posílení institucionálního rámce a účinné ochrany lidských práv je však ještě třeba vyvinout další úsilí. Černá Hora musí</w:t>
      </w:r>
      <w:r>
        <w:rPr>
          <w:rFonts w:ascii="Times New Roman" w:hAnsi="Times New Roman"/>
          <w:noProof/>
          <w:color w:val="000000" w:themeColor="text1"/>
          <w:sz w:val="24"/>
        </w:rPr>
        <w:t xml:space="preserve"> zajistit zavedení odpovídajících institucionálních mechanismů na ochranu zranitelných skupin před diskriminací. Provádění právních předpisů je i nadále slabé a institucionální kapacity v oblasti lidských práv se musí zvýšit. Romská a egyptská menšina stál</w:t>
      </w:r>
      <w:r>
        <w:rPr>
          <w:rFonts w:ascii="Times New Roman" w:hAnsi="Times New Roman"/>
          <w:noProof/>
          <w:color w:val="000000" w:themeColor="text1"/>
          <w:sz w:val="24"/>
        </w:rPr>
        <w:t xml:space="preserve">e zůstává nejzranitelnější a nejvíce diskriminovanou komunitou. Genderově podmíněné násilí a násilí páchané na dětech stále představuje závažný problém.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svobody projevu</w:t>
      </w:r>
      <w:r>
        <w:rPr>
          <w:rFonts w:ascii="Times New Roman" w:hAnsi="Times New Roman"/>
          <w:noProof/>
          <w:color w:val="000000" w:themeColor="text1"/>
          <w:sz w:val="24"/>
        </w:rPr>
        <w:t xml:space="preserve"> dosáhla Černá Hora určité úrovně připravenosti, avšak ve sledovaném období ž</w:t>
      </w:r>
      <w:r>
        <w:rPr>
          <w:rFonts w:ascii="Times New Roman" w:hAnsi="Times New Roman"/>
          <w:noProof/>
          <w:color w:val="000000" w:themeColor="text1"/>
          <w:sz w:val="24"/>
        </w:rPr>
        <w:t>ádný pokrok nenastal. Pokrok ve vyšetřování případů násilí vůči novinářům byl velmi omezený. Nedávné politické zásahy do činnosti rady veřejnoprávního vysílacího subjektu a Agentury pro elektronická média jsou důvodem k vážným obavám. Mediální scéna zůstáv</w:t>
      </w:r>
      <w:r>
        <w:rPr>
          <w:rFonts w:ascii="Times New Roman" w:hAnsi="Times New Roman"/>
          <w:noProof/>
          <w:color w:val="000000" w:themeColor="text1"/>
          <w:sz w:val="24"/>
        </w:rPr>
        <w:t xml:space="preserve">á vysoce polarizovaná a chápání úlohy svobodných sdělovacích prostředků je nadále problematické. Samoregulační mechanismy zůstávají slabé.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hospodářská kritéria</w:t>
      </w:r>
      <w:r>
        <w:rPr>
          <w:rFonts w:ascii="Times New Roman" w:hAnsi="Times New Roman"/>
          <w:noProof/>
          <w:color w:val="000000" w:themeColor="text1"/>
          <w:sz w:val="24"/>
        </w:rPr>
        <w:t>, dosáhla Černá Hora určitého pokroku a její připravenost v budování fungujícího trž</w:t>
      </w:r>
      <w:r>
        <w:rPr>
          <w:rFonts w:ascii="Times New Roman" w:hAnsi="Times New Roman"/>
          <w:noProof/>
          <w:color w:val="000000" w:themeColor="text1"/>
          <w:sz w:val="24"/>
        </w:rPr>
        <w:t>ního hospodářství je na mírně pokročilé úrovni. Hospodářství dále silným tempem rostlo a výsledky na trhu práce se zlepšovaly, ačkoli míra nezaměstnanosti zůstala vysoká. Navzdory pozitivní dynamice vývozu zůstal schodek běžného účtu poháněný silnou domácí</w:t>
      </w:r>
      <w:r>
        <w:rPr>
          <w:rFonts w:ascii="Times New Roman" w:hAnsi="Times New Roman"/>
          <w:noProof/>
          <w:color w:val="000000" w:themeColor="text1"/>
          <w:sz w:val="24"/>
        </w:rPr>
        <w:t xml:space="preserve"> poptávkou velmi vysoký a pouze částečně jej financoval čistý příliv přímých zahraničních investic. Ukazatele solventnosti a likvidity finančního sektoru se zlepšily, avšak přístupu malých podniků k financím stále brání přísné podmínky poskytování úvěrů. Ú</w:t>
      </w:r>
      <w:r>
        <w:rPr>
          <w:rFonts w:ascii="Times New Roman" w:hAnsi="Times New Roman"/>
          <w:noProof/>
          <w:color w:val="000000" w:themeColor="text1"/>
          <w:sz w:val="24"/>
        </w:rPr>
        <w:t>silí o fiskální konsolidaci pokračovalo i v roce 2018, ale cíl pro rozpočtový schodek se nepodařilo splnit, jelikož veřejný dluh dosáhl nového rekordu, a to částečně z důvodu potřeb financování pro rozsáhlý dálniční projekt financovaný čínskou půjčkou. Roz</w:t>
      </w:r>
      <w:r>
        <w:rPr>
          <w:rFonts w:ascii="Times New Roman" w:hAnsi="Times New Roman"/>
          <w:noProof/>
          <w:color w:val="000000" w:themeColor="text1"/>
          <w:sz w:val="24"/>
        </w:rPr>
        <w:t>voji soukromého sektoru stále bránily nedostatky v podnikatelském prostředí, soudnictví a vysoká míra neformální ekonomiky, což je odrazem nedostatečné implementační kapacity hlavních státních institucí odpovědných za prosazování právního státu a hospodářs</w:t>
      </w:r>
      <w:r>
        <w:rPr>
          <w:rFonts w:ascii="Times New Roman" w:hAnsi="Times New Roman"/>
          <w:noProof/>
          <w:color w:val="000000" w:themeColor="text1"/>
          <w:sz w:val="24"/>
        </w:rPr>
        <w:t xml:space="preserve">ké soutěže.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Pokud jde o schopnost vypořádat se s konkurenčními tlaky a tržními silami v rámci Unie, dosáhla Černá Hora určitého pokroku a její připravenost je na mírně pokročilé úrovni. Rozvoj infrastruktury v řadě oblastí postupně vytváří předpoklady pro</w:t>
      </w:r>
      <w:r>
        <w:rPr>
          <w:rFonts w:ascii="Times New Roman" w:hAnsi="Times New Roman"/>
          <w:noProof/>
          <w:color w:val="000000" w:themeColor="text1"/>
          <w:sz w:val="24"/>
        </w:rPr>
        <w:t xml:space="preserve"> zlepšení hospodářské konkurenceschopnosti. Je však třeba vyvinout další úsilí, aby došlo k posílení rozvoje lidského kapitálu a ke snížení nesouladu mezi výsledky vzdělávání a potřebami trhu práce. Je třeba, aby místní podniky rostly a intenzivněji usilov</w:t>
      </w:r>
      <w:r>
        <w:rPr>
          <w:rFonts w:ascii="Times New Roman" w:hAnsi="Times New Roman"/>
          <w:noProof/>
          <w:color w:val="000000" w:themeColor="text1"/>
          <w:sz w:val="24"/>
        </w:rPr>
        <w:t xml:space="preserve">aly o větší mezinárodní konkurenceschopnost. </w:t>
      </w:r>
    </w:p>
    <w:p w:rsidR="00BB42EA" w:rsidRDefault="00B004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dobré sousedské vztahy a regionální spolupráci</w:t>
      </w:r>
      <w:r>
        <w:rPr>
          <w:rFonts w:ascii="Times New Roman" w:hAnsi="Times New Roman"/>
          <w:noProof/>
          <w:color w:val="000000" w:themeColor="text1"/>
          <w:sz w:val="24"/>
        </w:rPr>
        <w:t>, Černá Hora i nadále konstruktivně usilovala o dvoustranné vztahy s dalšími zeměmi procesu rozšíření a se sousedními členskými státy EU a aktivně se úč</w:t>
      </w:r>
      <w:r>
        <w:rPr>
          <w:rFonts w:ascii="Times New Roman" w:hAnsi="Times New Roman"/>
          <w:noProof/>
          <w:color w:val="000000" w:themeColor="text1"/>
          <w:sz w:val="24"/>
        </w:rPr>
        <w:t xml:space="preserve">astnila regionální spolupráce. </w:t>
      </w:r>
    </w:p>
    <w:p w:rsidR="00BB42EA" w:rsidRDefault="00B004C8">
      <w:pPr>
        <w:spacing w:after="120" w:line="240" w:lineRule="auto"/>
        <w:jc w:val="both"/>
        <w:rPr>
          <w:rFonts w:ascii="Times New Roman" w:eastAsia="Calibri" w:hAnsi="Times New Roman"/>
          <w:noProof/>
          <w:color w:val="000000" w:themeColor="text1"/>
          <w:sz w:val="24"/>
        </w:rPr>
      </w:pPr>
      <w:r>
        <w:rPr>
          <w:rFonts w:ascii="Times New Roman" w:hAnsi="Times New Roman"/>
          <w:noProof/>
          <w:color w:val="000000" w:themeColor="text1"/>
          <w:sz w:val="24"/>
        </w:rPr>
        <w:t>Co se týče </w:t>
      </w:r>
      <w:r>
        <w:rPr>
          <w:rFonts w:ascii="Times New Roman" w:hAnsi="Times New Roman"/>
          <w:b/>
          <w:noProof/>
          <w:color w:val="000000" w:themeColor="text1"/>
          <w:sz w:val="24"/>
        </w:rPr>
        <w:t>schopnosti převzít závazky vyplývající z členství</w:t>
      </w:r>
      <w:r>
        <w:rPr>
          <w:rFonts w:ascii="Times New Roman" w:hAnsi="Times New Roman"/>
          <w:noProof/>
          <w:color w:val="000000" w:themeColor="text1"/>
          <w:sz w:val="24"/>
        </w:rPr>
        <w:t xml:space="preserve">, odvedla Černá Hora ve většině oblastí významnou práci na sblížení právních předpisů a na přípravě k provádění </w:t>
      </w:r>
      <w:r>
        <w:rPr>
          <w:rFonts w:ascii="Times New Roman" w:hAnsi="Times New Roman"/>
          <w:i/>
          <w:noProof/>
          <w:color w:val="000000" w:themeColor="text1"/>
          <w:sz w:val="24"/>
        </w:rPr>
        <w:t>acquis</w:t>
      </w:r>
      <w:r>
        <w:rPr>
          <w:rFonts w:ascii="Times New Roman" w:hAnsi="Times New Roman"/>
          <w:noProof/>
          <w:color w:val="000000" w:themeColor="text1"/>
          <w:sz w:val="24"/>
        </w:rPr>
        <w:t>. V oblastech, jako je právo obchodních společností, právo duševního vlastnictví, energetika a zahraniční, bezpečnostní a obranná politika, dosáhla připravenost této země dobré úrovně. V mnoha kapitolách, jako je například volný pohyb zboží, politika v obl</w:t>
      </w:r>
      <w:r>
        <w:rPr>
          <w:rFonts w:ascii="Times New Roman" w:hAnsi="Times New Roman"/>
          <w:noProof/>
          <w:color w:val="000000" w:themeColor="text1"/>
          <w:sz w:val="24"/>
        </w:rPr>
        <w:t>asti hospodářské soutěže, zemědělství a rozvoj venkova, bezpečnost potravin, veterinární a rostlinolékařská politika, jakož i politika v oblasti podnikání a průmyslu, je připravenost země na mírně pokročilé úrovni. V oblastech, jako je životní prostředí a </w:t>
      </w:r>
      <w:r>
        <w:rPr>
          <w:rFonts w:ascii="Times New Roman" w:hAnsi="Times New Roman"/>
          <w:noProof/>
          <w:color w:val="000000" w:themeColor="text1"/>
          <w:sz w:val="24"/>
        </w:rPr>
        <w:t>změna klimatu a také sociální politika a zaměstnanost, dosáhla Černá Hora určité úrovně připravenosti. Dobrého pokroku bylo dosaženo v oblastech práva usazování a volného pohybu služeb, práva duševního vlastnictví, zemědělství a rozvoje venkova, bezpečnost</w:t>
      </w:r>
      <w:r>
        <w:rPr>
          <w:rFonts w:ascii="Times New Roman" w:hAnsi="Times New Roman"/>
          <w:noProof/>
          <w:color w:val="000000" w:themeColor="text1"/>
          <w:sz w:val="24"/>
        </w:rPr>
        <w:t>i potravin a veterinární a rostlinolékařské politiky. Výhledově by se Černá Hora měla zaměřit zejména na politiku v oblasti hospodářské soutěže, na životní prostředí a změnu klimatu a rovněž na zadávání veřejných zakázek. Posílení správní kapacity pro zaji</w:t>
      </w:r>
      <w:r>
        <w:rPr>
          <w:rFonts w:ascii="Times New Roman" w:hAnsi="Times New Roman"/>
          <w:noProof/>
          <w:color w:val="000000" w:themeColor="text1"/>
          <w:sz w:val="24"/>
        </w:rPr>
        <w:t xml:space="preserve">štění uplatňování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je pro Černou Horu i nadále důležitou výzvou. Černá Hora pokračovala ve sbližování se všemi postoji a prohlášeními společné zahraniční a bezpečnostní politiky EU. </w:t>
      </w:r>
    </w:p>
    <w:p w:rsidR="00BB42EA" w:rsidRDefault="00B004C8">
      <w:pPr>
        <w:spacing w:after="120" w:line="240" w:lineRule="auto"/>
        <w:jc w:val="both"/>
        <w:rPr>
          <w:rFonts w:ascii="Times New Roman" w:eastAsia="Calibri" w:hAnsi="Times New Roman"/>
          <w:bCs/>
          <w:noProof/>
          <w:color w:val="000000" w:themeColor="text1"/>
          <w:sz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migrace</w:t>
      </w:r>
      <w:r>
        <w:rPr>
          <w:rFonts w:ascii="Times New Roman" w:hAnsi="Times New Roman"/>
          <w:noProof/>
          <w:color w:val="000000" w:themeColor="text1"/>
          <w:sz w:val="24"/>
        </w:rPr>
        <w:t xml:space="preserve"> zasáhl Černou Horu prudký nárůst nelegální migrace vzhledem k částečnému příklonu regionálního migračního toku k takzvané „pobřežní trase“ přes Albánii, Černou Horu a Bosnu a Hercegovinu. Orgány Černé Hory zadržely 4 753 nelegálních migrantů (oproti roku </w:t>
      </w:r>
      <w:r>
        <w:rPr>
          <w:rFonts w:ascii="Times New Roman" w:hAnsi="Times New Roman"/>
          <w:noProof/>
          <w:color w:val="000000" w:themeColor="text1"/>
          <w:sz w:val="24"/>
        </w:rPr>
        <w:t>2017 nárůst o 460 %), což vystavilo přijímací a správní kapacity země silnému tlaku. Právní rámec dále posílil díky vstupu důležitého souboru právních předpisů týkajících se migrace a azylu v platnost a za účelem zvýšení přijímacích a provozních kapacit by</w:t>
      </w:r>
      <w:r>
        <w:rPr>
          <w:rFonts w:ascii="Times New Roman" w:hAnsi="Times New Roman"/>
          <w:noProof/>
          <w:color w:val="000000" w:themeColor="text1"/>
          <w:sz w:val="24"/>
        </w:rPr>
        <w:t>la přijata některá opatření. Se sousedními zeměmi byly podepsány důležité dohody o pohraniční spolupráci a byla parafována dohoda s EU o postavení jednotek Evropské pohraniční a pobřežní stráže. V příštím sledovaném období by Černá Hora měla dále posilovat</w:t>
      </w:r>
      <w:r>
        <w:rPr>
          <w:rFonts w:ascii="Times New Roman" w:hAnsi="Times New Roman"/>
          <w:noProof/>
          <w:color w:val="000000" w:themeColor="text1"/>
          <w:sz w:val="24"/>
        </w:rPr>
        <w:t xml:space="preserve"> kapacitu pro zvládání smíšených migračních toků a integraci uprchlíků a pokračovat v navyšování lidských a materiálních zdrojů určených na správu hranic a systém registrace migrantů.</w:t>
      </w:r>
    </w:p>
    <w:p w:rsidR="00BB42EA" w:rsidRDefault="00B004C8">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Srbsko</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Pokud jde o </w:t>
      </w:r>
      <w:r>
        <w:rPr>
          <w:rFonts w:ascii="Times New Roman" w:hAnsi="Times New Roman"/>
          <w:b/>
          <w:noProof/>
          <w:color w:val="000000" w:themeColor="text1"/>
          <w:sz w:val="24"/>
        </w:rPr>
        <w:t>politická kritéria</w:t>
      </w:r>
      <w:r>
        <w:rPr>
          <w:rFonts w:ascii="Times New Roman" w:hAnsi="Times New Roman"/>
          <w:noProof/>
          <w:color w:val="000000" w:themeColor="text1"/>
          <w:sz w:val="24"/>
        </w:rPr>
        <w:t>, je nezbytně nutné vytvořit více p</w:t>
      </w:r>
      <w:r>
        <w:rPr>
          <w:rFonts w:ascii="Times New Roman" w:hAnsi="Times New Roman"/>
          <w:noProof/>
          <w:color w:val="000000" w:themeColor="text1"/>
          <w:sz w:val="24"/>
        </w:rPr>
        <w:t>rostoru pro skutečnou diskusi napříč politickým spektrem, aby mohl být dosažen široký proevropský konsensus, který má pro pokrok této země na její cestě do EU zásadní význam. Počátkem roku 2019 zahájilo několik opozičních stran bojkot parlamentu. Postupy v</w:t>
      </w:r>
      <w:r>
        <w:rPr>
          <w:rFonts w:ascii="Times New Roman" w:hAnsi="Times New Roman"/>
          <w:noProof/>
          <w:color w:val="000000" w:themeColor="text1"/>
          <w:sz w:val="24"/>
        </w:rPr>
        <w:t xml:space="preserve">ládnoucí koalice v parlamentu přinesly zhoršení legislativní debaty a kontroly a podkopaly dohled, který vykonává parlament nad výkonnou mocí.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V prosinci 2018 vypukly v Bělehradě týdenní protivládní protesty v reakci na útok na vůdce opoziční strany. Obec</w:t>
      </w:r>
      <w:r>
        <w:rPr>
          <w:rFonts w:ascii="Times New Roman" w:hAnsi="Times New Roman"/>
          <w:noProof/>
          <w:color w:val="000000" w:themeColor="text1"/>
          <w:sz w:val="24"/>
        </w:rPr>
        <w:t xml:space="preserve">ně pokojné protesty, požadující svobodu sdělovacích prostředků a svobodné a spravedlivé volby, postupem času sílily. Několik opozičních stran oznámilo svůj úmysl parlamentní volby bojkotovat, nebudou-li požadavky na svobodné a spravedlivé volby vyslyšeny. </w:t>
      </w:r>
      <w:r>
        <w:rPr>
          <w:rFonts w:ascii="Times New Roman" w:hAnsi="Times New Roman"/>
          <w:noProof/>
          <w:color w:val="000000" w:themeColor="text1"/>
          <w:sz w:val="24"/>
        </w:rPr>
        <w:t xml:space="preserve">Je zapotřebí, aby se Srbsko přednostně a v plném rozsahu zabývalo všemi doporučeními, jež v souvislosti s volbami uvedli mezinárodní pozorovatelé.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V oblasti reformy </w:t>
      </w:r>
      <w:r>
        <w:rPr>
          <w:rFonts w:ascii="Times New Roman" w:hAnsi="Times New Roman"/>
          <w:b/>
          <w:noProof/>
          <w:color w:val="000000" w:themeColor="text1"/>
          <w:sz w:val="24"/>
        </w:rPr>
        <w:t>veřejné správy</w:t>
      </w:r>
      <w:r>
        <w:rPr>
          <w:rFonts w:ascii="Times New Roman" w:hAnsi="Times New Roman"/>
          <w:noProof/>
          <w:color w:val="000000" w:themeColor="text1"/>
          <w:sz w:val="24"/>
        </w:rPr>
        <w:t xml:space="preserve"> je připravenost Srbska na mírně pokročilé úrovni. Určitého pokroku bylo dos</w:t>
      </w:r>
      <w:r>
        <w:rPr>
          <w:rFonts w:ascii="Times New Roman" w:hAnsi="Times New Roman"/>
          <w:noProof/>
          <w:color w:val="000000" w:themeColor="text1"/>
          <w:sz w:val="24"/>
        </w:rPr>
        <w:t>aženo v oblasti poskytování služeb a přijetím několika nových právních předpisů. Vážné obavy nadále vzbuzuje otázka politického vlivu na jmenování do funkcí ve vrcholném vedení, zejména s ohledem na nadměrný počet výkonných pozic. Zásadní je schopnost Srbs</w:t>
      </w:r>
      <w:r>
        <w:rPr>
          <w:rFonts w:ascii="Times New Roman" w:hAnsi="Times New Roman"/>
          <w:noProof/>
          <w:color w:val="000000" w:themeColor="text1"/>
          <w:sz w:val="24"/>
        </w:rPr>
        <w:t xml:space="preserve">ka přilákat a udržet ve veřejné správě zabývající se unijní tématikou kvalifikované pracovníky. Koordinovaný systém monitorování a podávání zpráv strategie reformy veřejné správy a programu reformy správy veřejných financí je teprve třeba zavést.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Pokud jd</w:t>
      </w:r>
      <w:r>
        <w:rPr>
          <w:rFonts w:ascii="Times New Roman" w:hAnsi="Times New Roman"/>
          <w:noProof/>
          <w:color w:val="000000" w:themeColor="text1"/>
          <w:sz w:val="24"/>
        </w:rPr>
        <w:t>e o</w:t>
      </w:r>
      <w:r>
        <w:rPr>
          <w:rFonts w:ascii="Times New Roman" w:hAnsi="Times New Roman"/>
          <w:b/>
          <w:noProof/>
          <w:color w:val="000000" w:themeColor="text1"/>
          <w:sz w:val="24"/>
        </w:rPr>
        <w:t xml:space="preserve"> soudní systém</w:t>
      </w:r>
      <w:r>
        <w:rPr>
          <w:rFonts w:ascii="Times New Roman" w:hAnsi="Times New Roman"/>
          <w:noProof/>
          <w:color w:val="000000" w:themeColor="text1"/>
          <w:sz w:val="24"/>
        </w:rPr>
        <w:t>, je připravenost Srbska na určité úrovni. Ve sledovaném období bylo dosaženo určitého pokroku. Doporučení z minulého roku byla zohledněna pouze částečně. Určitého pokroku bylo dosaženo při snižování počtu starých případů prosazování práva</w:t>
      </w:r>
      <w:r>
        <w:rPr>
          <w:rFonts w:ascii="Times New Roman" w:hAnsi="Times New Roman"/>
          <w:noProof/>
          <w:color w:val="000000" w:themeColor="text1"/>
          <w:sz w:val="24"/>
        </w:rPr>
        <w:t xml:space="preserve"> a provádění opatření k harmonizaci soudní praxe. Proces ústavní reformy, která má za cíl sladit ústavu s evropskými normami v oblasti soudnictví, pokračuje. V návaznosti na přijetí ústavních změn je třeba revidovat systém jmenování a hodnocení soudců a st</w:t>
      </w:r>
      <w:r>
        <w:rPr>
          <w:rFonts w:ascii="Times New Roman" w:hAnsi="Times New Roman"/>
          <w:noProof/>
          <w:color w:val="000000" w:themeColor="text1"/>
          <w:sz w:val="24"/>
        </w:rPr>
        <w:t xml:space="preserve">átních zástupců, aby tak mohl být nábor a kariérní rozvoj v soudnictví plně založen na zásluhách. Rozsah politického vlivu je v současné době stále znepokojivý.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boj proti</w:t>
      </w:r>
      <w:r>
        <w:rPr>
          <w:rFonts w:ascii="Times New Roman" w:hAnsi="Times New Roman"/>
          <w:noProof/>
          <w:color w:val="000000" w:themeColor="text1"/>
          <w:sz w:val="24"/>
        </w:rPr>
        <w:t xml:space="preserve"> </w:t>
      </w:r>
      <w:r>
        <w:rPr>
          <w:rFonts w:ascii="Times New Roman" w:hAnsi="Times New Roman"/>
          <w:b/>
          <w:noProof/>
          <w:color w:val="000000" w:themeColor="text1"/>
          <w:sz w:val="24"/>
        </w:rPr>
        <w:t>korupci</w:t>
      </w:r>
      <w:r>
        <w:rPr>
          <w:rFonts w:ascii="Times New Roman" w:hAnsi="Times New Roman"/>
          <w:noProof/>
          <w:color w:val="000000" w:themeColor="text1"/>
          <w:sz w:val="24"/>
        </w:rPr>
        <w:t>, je připravenost Srbska na určité úrovni. Pokrok byl omezený. Ne</w:t>
      </w:r>
      <w:r>
        <w:rPr>
          <w:rFonts w:ascii="Times New Roman" w:hAnsi="Times New Roman"/>
          <w:noProof/>
          <w:color w:val="000000" w:themeColor="text1"/>
          <w:sz w:val="24"/>
        </w:rPr>
        <w:t>existuje žádný měřitelný dopad reforem zaměřených na předcházení korupci. Revidovaný zákon o předcházení korupci (známý také jako zákon o protikorupční agentuře) byl přijat v květnu 2019. Pokud jde o potírání korupce, provádění zákona o organizaci a pravom</w:t>
      </w:r>
      <w:r>
        <w:rPr>
          <w:rFonts w:ascii="Times New Roman" w:hAnsi="Times New Roman"/>
          <w:noProof/>
          <w:color w:val="000000" w:themeColor="text1"/>
          <w:sz w:val="24"/>
        </w:rPr>
        <w:t>oci státních úřadů při potlačování organizované trestné činnosti, terorismu a korupce, který vstoupil v platnost v březnu 2018, probíhá, ale na plné posouzení jeho dopadu je zatím příliš brzy. Donucovací a justiční orgány ještě musí dosáhnout věrohodných v</w:t>
      </w:r>
      <w:r>
        <w:rPr>
          <w:rFonts w:ascii="Times New Roman" w:hAnsi="Times New Roman"/>
          <w:noProof/>
          <w:color w:val="000000" w:themeColor="text1"/>
          <w:sz w:val="24"/>
        </w:rPr>
        <w:t xml:space="preserve">ýsledků v oblasti funkčně nezávislých stíhání a vyřešených případů korupce na vysoké úrovni. Korupce je v mnoha oblastech obecně rozšířená a nadále způsobuje znepokojení.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organizované trestné činnosti</w:t>
      </w:r>
      <w:r>
        <w:rPr>
          <w:rFonts w:ascii="Times New Roman" w:hAnsi="Times New Roman"/>
          <w:noProof/>
          <w:color w:val="000000" w:themeColor="text1"/>
          <w:sz w:val="24"/>
        </w:rPr>
        <w:t xml:space="preserve"> je připravenost Srbska na určité </w:t>
      </w:r>
      <w:r>
        <w:rPr>
          <w:rFonts w:ascii="Times New Roman" w:hAnsi="Times New Roman"/>
          <w:noProof/>
          <w:color w:val="000000" w:themeColor="text1"/>
          <w:sz w:val="24"/>
        </w:rPr>
        <w:t>úrovni. Ve sledovaném období</w:t>
      </w:r>
      <w:r>
        <w:rPr>
          <w:rFonts w:ascii="Times New Roman" w:hAnsi="Times New Roman"/>
          <w:b/>
          <w:noProof/>
          <w:color w:val="000000" w:themeColor="text1"/>
          <w:sz w:val="24"/>
        </w:rPr>
        <w:t xml:space="preserve"> </w:t>
      </w:r>
      <w:r>
        <w:rPr>
          <w:rFonts w:ascii="Times New Roman" w:hAnsi="Times New Roman"/>
          <w:noProof/>
          <w:color w:val="000000" w:themeColor="text1"/>
          <w:sz w:val="24"/>
        </w:rPr>
        <w:t>bylo</w:t>
      </w:r>
      <w:r>
        <w:rPr>
          <w:rFonts w:ascii="Times New Roman" w:hAnsi="Times New Roman"/>
          <w:b/>
          <w:noProof/>
          <w:color w:val="000000" w:themeColor="text1"/>
          <w:sz w:val="24"/>
        </w:rPr>
        <w:t xml:space="preserve"> </w:t>
      </w:r>
      <w:r>
        <w:rPr>
          <w:rFonts w:ascii="Times New Roman" w:hAnsi="Times New Roman"/>
          <w:noProof/>
          <w:color w:val="000000" w:themeColor="text1"/>
          <w:sz w:val="24"/>
        </w:rPr>
        <w:t>dosaženo určitého pokroku. Srbsko zahájilo provádění nové hospodářské kapitoly trestního zákoníku a zákona o organizaci a pravomoci státních úřadů při potlačování organizované trestné činnosti, terorismu a korupce a přijal</w:t>
      </w:r>
      <w:r>
        <w:rPr>
          <w:rFonts w:ascii="Times New Roman" w:hAnsi="Times New Roman"/>
          <w:noProof/>
          <w:color w:val="000000" w:themeColor="text1"/>
          <w:sz w:val="24"/>
        </w:rPr>
        <w:t>o strategii boje proti kyberkriminalitě na období 2019–2023. Zároveň nedošlo k žádnému pokroku při plnění doporučení z předchozí zprávy. Srbsko stále musí dosáhnout přesvědčivých výsledků v oblasti účinného vyšetřování, stíhání a pravomocných odsouzení v p</w:t>
      </w:r>
      <w:r>
        <w:rPr>
          <w:rFonts w:ascii="Times New Roman" w:hAnsi="Times New Roman"/>
          <w:noProof/>
          <w:color w:val="000000" w:themeColor="text1"/>
          <w:sz w:val="24"/>
        </w:rPr>
        <w:t>řípadech organizované trestné činnosti, včetně finančních vyšetřování, která by vedla ke zmrazení a konfiskaci majetku pocházejícího z trestné činnosti. Počet odsouzení za organizovanou trestnou činnost (zejména v oblasti boje proti obchodování s lidmi) zů</w:t>
      </w:r>
      <w:r>
        <w:rPr>
          <w:rFonts w:ascii="Times New Roman" w:hAnsi="Times New Roman"/>
          <w:noProof/>
          <w:color w:val="000000" w:themeColor="text1"/>
          <w:sz w:val="24"/>
        </w:rPr>
        <w:t xml:space="preserve">stává nízký.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Legislativní a institucionální rámec pro prosazování </w:t>
      </w:r>
      <w:r>
        <w:rPr>
          <w:rFonts w:ascii="Times New Roman" w:hAnsi="Times New Roman"/>
          <w:b/>
          <w:noProof/>
          <w:color w:val="000000" w:themeColor="text1"/>
          <w:sz w:val="24"/>
        </w:rPr>
        <w:t>základních práv</w:t>
      </w:r>
      <w:r>
        <w:rPr>
          <w:rFonts w:ascii="Times New Roman" w:hAnsi="Times New Roman"/>
          <w:noProof/>
          <w:color w:val="000000" w:themeColor="text1"/>
          <w:sz w:val="24"/>
        </w:rPr>
        <w:t xml:space="preserve"> je obecně zaveden. Byly přijaty změny, které zlepšují legislativní rámec týkající se národnostních menšin. Je třeba zajistit jednotné a účinné provádění právních předpisů a </w:t>
      </w:r>
      <w:r>
        <w:rPr>
          <w:rFonts w:ascii="Times New Roman" w:hAnsi="Times New Roman"/>
          <w:noProof/>
          <w:color w:val="000000" w:themeColor="text1"/>
          <w:sz w:val="24"/>
        </w:rPr>
        <w:t xml:space="preserve">politik. Ačkoli je připravenost Srbska na určité úrovni, nebylo dosaženo žádného pokroku v oblasti </w:t>
      </w:r>
      <w:r>
        <w:rPr>
          <w:rFonts w:ascii="Times New Roman" w:hAnsi="Times New Roman"/>
          <w:b/>
          <w:noProof/>
          <w:color w:val="000000" w:themeColor="text1"/>
          <w:sz w:val="24"/>
        </w:rPr>
        <w:t>svobody projevu</w:t>
      </w:r>
      <w:r>
        <w:rPr>
          <w:rFonts w:ascii="Times New Roman" w:hAnsi="Times New Roman"/>
          <w:noProof/>
          <w:color w:val="000000" w:themeColor="text1"/>
          <w:sz w:val="24"/>
        </w:rPr>
        <w:t>.</w:t>
      </w:r>
      <w:r>
        <w:rPr>
          <w:rFonts w:ascii="Times New Roman" w:hAnsi="Times New Roman"/>
          <w:b/>
          <w:noProof/>
          <w:color w:val="000000" w:themeColor="text1"/>
          <w:sz w:val="24"/>
        </w:rPr>
        <w:t xml:space="preserve"> </w:t>
      </w:r>
      <w:r>
        <w:rPr>
          <w:rFonts w:ascii="Times New Roman" w:hAnsi="Times New Roman"/>
          <w:noProof/>
          <w:color w:val="000000" w:themeColor="text1"/>
          <w:sz w:val="24"/>
        </w:rPr>
        <w:t>Tento nedostatek pokroku nyní</w:t>
      </w:r>
      <w:r>
        <w:rPr>
          <w:rFonts w:ascii="Times New Roman" w:hAnsi="Times New Roman"/>
          <w:b/>
          <w:noProof/>
          <w:color w:val="000000" w:themeColor="text1"/>
          <w:sz w:val="24"/>
        </w:rPr>
        <w:t xml:space="preserve"> </w:t>
      </w:r>
      <w:r>
        <w:rPr>
          <w:rFonts w:ascii="Times New Roman" w:hAnsi="Times New Roman"/>
          <w:noProof/>
          <w:color w:val="000000" w:themeColor="text1"/>
          <w:sz w:val="24"/>
        </w:rPr>
        <w:t>vzbuzuje vážné obavy. Nová mediální strategie byla koncipována transparentním a inkluzivním způsobem; je třeba</w:t>
      </w:r>
      <w:r>
        <w:rPr>
          <w:rFonts w:ascii="Times New Roman" w:hAnsi="Times New Roman"/>
          <w:noProof/>
          <w:color w:val="000000" w:themeColor="text1"/>
          <w:sz w:val="24"/>
        </w:rPr>
        <w:t xml:space="preserve"> ji přijmout a provést. Srbsko musí zintenzivnit opatření na ochranu práv osob, jež čelí diskriminaci, včetně osob LGBTI, osob se zdravotním postižením, osob s HIV/AIDS a dalších zranitelných jedinců. </w:t>
      </w:r>
    </w:p>
    <w:p w:rsidR="00BB42EA" w:rsidRDefault="00B004C8">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hospodářská kritéria</w:t>
      </w:r>
      <w:r>
        <w:rPr>
          <w:rFonts w:ascii="Times New Roman" w:hAnsi="Times New Roman"/>
          <w:noProof/>
          <w:color w:val="000000" w:themeColor="text1"/>
          <w:sz w:val="24"/>
        </w:rPr>
        <w:t>, dosáhlo Srbsko určit</w:t>
      </w:r>
      <w:r>
        <w:rPr>
          <w:rFonts w:ascii="Times New Roman" w:hAnsi="Times New Roman"/>
          <w:noProof/>
          <w:color w:val="000000" w:themeColor="text1"/>
          <w:sz w:val="24"/>
        </w:rPr>
        <w:t xml:space="preserve">ého pokroku a jeho připravenost v budování fungujícího tržního hospodářství je na mírně pokročilé úrovni. Vnější nerovnováhy rostou, ačkoli jejich financování zůstalo zdravé. Cenové tlaky zůstaly slabé a inflace mírná. Velké fiskální korekce z předchozích </w:t>
      </w:r>
      <w:r>
        <w:rPr>
          <w:rFonts w:ascii="Times New Roman" w:hAnsi="Times New Roman"/>
          <w:noProof/>
          <w:color w:val="000000" w:themeColor="text1"/>
          <w:sz w:val="24"/>
        </w:rPr>
        <w:t>let výrazně zlepšily udržitelnost dluhu. Stabilita finančního sektoru byla zachována a výsledky trhu práce se zlepšily, s výjimkou míry ekonomické aktivity mladých lidí, kde došlo k poklesu. Hlavní strukturální reformy veřejné správy, daňového orgánu a stá</w:t>
      </w:r>
      <w:r>
        <w:rPr>
          <w:rFonts w:ascii="Times New Roman" w:hAnsi="Times New Roman"/>
          <w:noProof/>
          <w:color w:val="000000" w:themeColor="text1"/>
          <w:sz w:val="24"/>
        </w:rPr>
        <w:t>tních podniků postupovaly pomalu, čímž se prodlužovala dlouhodobá neefektivnost. Orgány řeší nedostatky rozpočtového rámce a jeho správy pomalým tempem. Stát si udržuje silný vliv na hospodářství a soukromý sektor není dostatečně rozvinutý a jeho rozvoj br</w:t>
      </w:r>
      <w:r>
        <w:rPr>
          <w:rFonts w:ascii="Times New Roman" w:hAnsi="Times New Roman"/>
          <w:noProof/>
          <w:color w:val="000000" w:themeColor="text1"/>
          <w:sz w:val="24"/>
        </w:rPr>
        <w:t>zdí nedostatky v oblasti právního státu a prosazování spravedlivé hospodářské soutěže.</w:t>
      </w:r>
    </w:p>
    <w:p w:rsidR="00BB42EA" w:rsidRDefault="00B004C8">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Pokud jde o schopnost vypořádat se s konkurenčním tlakem a tržními silami v rámci Unie, dosáhlo Srbsko určitého pokroku a jeho připravenost je na mírně pokročilé úrovni.</w:t>
      </w:r>
      <w:r>
        <w:rPr>
          <w:rFonts w:ascii="Times New Roman" w:hAnsi="Times New Roman"/>
          <w:noProof/>
          <w:color w:val="000000" w:themeColor="text1"/>
          <w:sz w:val="24"/>
        </w:rPr>
        <w:t xml:space="preserve"> Struktura hospodářství se dále zlepšila a hospodářská integrace s EU zůstala vysoká. Navzdory určitému pokroku však kvalita, rovnost a relevance vzdělávání a odborné přípravy neodpovídají plně potřebám trhu práce. Investice vzrostly, ale po letech nedosta</w:t>
      </w:r>
      <w:r>
        <w:rPr>
          <w:rFonts w:ascii="Times New Roman" w:hAnsi="Times New Roman"/>
          <w:noProof/>
          <w:color w:val="000000" w:themeColor="text1"/>
          <w:sz w:val="24"/>
        </w:rPr>
        <w:t>tku investic stále nepostačují k řešení nedostatků v infrastruktuře. Ačkoli náklady malých a středních podniků na půjčky v poslední době klesly, potýkají se tyto podniky stále s řadou problémů, včetně nestabilního podnikatelského prostředí a nekalé soutěže</w:t>
      </w:r>
      <w:r>
        <w:rPr>
          <w:rFonts w:ascii="Times New Roman" w:hAnsi="Times New Roman"/>
          <w:noProof/>
          <w:color w:val="000000" w:themeColor="text1"/>
          <w:sz w:val="24"/>
        </w:rPr>
        <w:t>.</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Srbsko celkově i nadále usilovalo o rozvoj dvoustranných vztahů s dalšími zeměmi procesu rozšíření a se sousedními členskými státy EU a aktivně se účastnilo </w:t>
      </w:r>
      <w:r>
        <w:rPr>
          <w:rFonts w:ascii="Times New Roman" w:hAnsi="Times New Roman"/>
          <w:b/>
          <w:noProof/>
          <w:color w:val="000000" w:themeColor="text1"/>
          <w:sz w:val="24"/>
        </w:rPr>
        <w:t>regionální spolupráce</w:t>
      </w:r>
      <w:r>
        <w:rPr>
          <w:rFonts w:ascii="Times New Roman" w:hAnsi="Times New Roman"/>
          <w:noProof/>
          <w:color w:val="000000" w:themeColor="text1"/>
          <w:sz w:val="24"/>
        </w:rPr>
        <w:t xml:space="preserve">. V souvislosti s tím, že se Srbsko stalo sídlem sekretariátu Smlouvy o Dopravním společenství, měla by tato země nyní poskytnout další podporu na zajištění podmínek pro rychlé zahájení jeho provozu.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Pokud jde o </w:t>
      </w:r>
      <w:r>
        <w:rPr>
          <w:rFonts w:ascii="Times New Roman" w:hAnsi="Times New Roman"/>
          <w:b/>
          <w:noProof/>
          <w:color w:val="000000" w:themeColor="text1"/>
          <w:sz w:val="24"/>
        </w:rPr>
        <w:t>normalizaci vztahů s Kosovem</w:t>
      </w:r>
      <w:r>
        <w:rPr>
          <w:rFonts w:ascii="Times New Roman" w:hAnsi="Times New Roman"/>
          <w:noProof/>
          <w:color w:val="000000" w:themeColor="text1"/>
          <w:sz w:val="24"/>
        </w:rPr>
        <w:t>, Srbsko se dál</w:t>
      </w:r>
      <w:r>
        <w:rPr>
          <w:rFonts w:ascii="Times New Roman" w:hAnsi="Times New Roman"/>
          <w:noProof/>
          <w:color w:val="000000" w:themeColor="text1"/>
          <w:sz w:val="24"/>
        </w:rPr>
        <w:t>e podílelo na dialogu a při své reakci na zavedení cel prokázalo zdrženlivost. Je však nezbytné, aby Srbsko vyvinulo značné úsilí, zejména ve svých mezinárodních vztazích, za účelem vytvoření příznivého prostředí pro uzavření právně závazné dohody s Kosove</w:t>
      </w:r>
      <w:r>
        <w:rPr>
          <w:rFonts w:ascii="Times New Roman" w:hAnsi="Times New Roman"/>
          <w:noProof/>
          <w:color w:val="000000" w:themeColor="text1"/>
          <w:sz w:val="24"/>
        </w:rPr>
        <w:t>m. Tato dohoda je nezbytně nutná a má klíčový význam pro to, aby Srbsko a Kosovo mohly pokročit ve svém evropském směřování.</w:t>
      </w:r>
    </w:p>
    <w:p w:rsidR="00BB42EA" w:rsidRDefault="00B004C8">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schopnost převzít závazky vyplývající z členství</w:t>
      </w:r>
      <w:r>
        <w:rPr>
          <w:rFonts w:ascii="Times New Roman" w:hAnsi="Times New Roman"/>
          <w:noProof/>
          <w:color w:val="000000" w:themeColor="text1"/>
          <w:sz w:val="24"/>
        </w:rPr>
        <w:t xml:space="preserve">, pokračovalo Srbsko v úsilí o sbližování svých právních předpisů s </w:t>
      </w:r>
      <w:r>
        <w:rPr>
          <w:rFonts w:ascii="Times New Roman" w:hAnsi="Times New Roman"/>
          <w:i/>
          <w:noProof/>
          <w:color w:val="000000" w:themeColor="text1"/>
          <w:sz w:val="24"/>
        </w:rPr>
        <w:t>acq</w:t>
      </w:r>
      <w:r>
        <w:rPr>
          <w:rFonts w:ascii="Times New Roman" w:hAnsi="Times New Roman"/>
          <w:i/>
          <w:noProof/>
          <w:color w:val="000000" w:themeColor="text1"/>
          <w:sz w:val="24"/>
        </w:rPr>
        <w:t>uis</w:t>
      </w:r>
      <w:r>
        <w:rPr>
          <w:rFonts w:ascii="Times New Roman" w:hAnsi="Times New Roman"/>
          <w:noProof/>
          <w:color w:val="000000" w:themeColor="text1"/>
          <w:sz w:val="24"/>
        </w:rPr>
        <w:t xml:space="preserve"> EU ve všech oblastech. Pro tempo reforem budou mít zásadní význam odpovídající finanční a lidské zdroje a pevné strategické rámce. V některých oblastech, jako je právo obchodních společností, duševní vlastnictví, dopravní politika, věda a výzkum, vzděl</w:t>
      </w:r>
      <w:r>
        <w:rPr>
          <w:rFonts w:ascii="Times New Roman" w:hAnsi="Times New Roman"/>
          <w:noProof/>
          <w:color w:val="000000" w:themeColor="text1"/>
          <w:sz w:val="24"/>
        </w:rPr>
        <w:t xml:space="preserve">ávání, kultura a cla, je připravenost Srbska na dobré úrovni. Srbsko zlepšilo propojení svého investičního plánování s plněním rozpočtu, ale ještě musí zřídit jednotný mechanismus pro určování priorit všech investic, a to bez ohledu na zdroj financování a </w:t>
      </w:r>
      <w:r>
        <w:rPr>
          <w:rFonts w:ascii="Times New Roman" w:hAnsi="Times New Roman"/>
          <w:noProof/>
          <w:color w:val="000000" w:themeColor="text1"/>
          <w:sz w:val="24"/>
        </w:rPr>
        <w:t>v souladu s vládním programem reformy správy veřejných financí. V oblastech, jako je zadávání veřejných zakázek, statistika, vnější vztahy, sociální politika a zaměstnanost, měnová politika a finanční služby, je připravenost Srbska na mírně pokročilé úrovn</w:t>
      </w:r>
      <w:r>
        <w:rPr>
          <w:rFonts w:ascii="Times New Roman" w:hAnsi="Times New Roman"/>
          <w:noProof/>
          <w:color w:val="000000" w:themeColor="text1"/>
          <w:sz w:val="24"/>
        </w:rPr>
        <w:t xml:space="preserve">i. Srbsko i nadále dosahovalo dobrého pokroku v zemědělství a ve sbližování 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EU v oblasti dopravy, zatímco v oblasti energetiky byl zaznamenán omezený pokrok. Odpovídající pozornosti se dosud nedostalo politice v oblasti životního prostředí a změny</w:t>
      </w:r>
      <w:r>
        <w:rPr>
          <w:rFonts w:ascii="Times New Roman" w:hAnsi="Times New Roman"/>
          <w:noProof/>
          <w:color w:val="000000" w:themeColor="text1"/>
          <w:sz w:val="24"/>
        </w:rPr>
        <w:t xml:space="preserve"> klimatu.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Srbsko musí prioritně řešit otázky nesouladu s dohodou o stabilizaci a přidružení, zejména pokud jde o kontrolu státní podpory, fiskální diskriminaci dovážených lihovin a omezení hospodářské soutěže v karetním platebním systému. Srbsko bude muse</w:t>
      </w:r>
      <w:r>
        <w:rPr>
          <w:rFonts w:ascii="Times New Roman" w:hAnsi="Times New Roman"/>
          <w:noProof/>
          <w:color w:val="000000" w:themeColor="text1"/>
          <w:sz w:val="24"/>
        </w:rPr>
        <w:t xml:space="preserve">t v období před přistoupením postupně sbližovat svoji zahraniční a bezpečnostní politiku se společnou zahraniční a bezpečnostní politikou Evropské unie. </w:t>
      </w:r>
    </w:p>
    <w:p w:rsidR="00BB42EA" w:rsidRDefault="00B004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Srbsko i nadále řešilo důsledky </w:t>
      </w:r>
      <w:r>
        <w:rPr>
          <w:rFonts w:ascii="Times New Roman" w:hAnsi="Times New Roman"/>
          <w:b/>
          <w:noProof/>
          <w:color w:val="000000" w:themeColor="text1"/>
          <w:sz w:val="24"/>
        </w:rPr>
        <w:t>smíšených migračních toků</w:t>
      </w:r>
      <w:r>
        <w:rPr>
          <w:rFonts w:ascii="Times New Roman" w:hAnsi="Times New Roman"/>
          <w:noProof/>
          <w:color w:val="000000" w:themeColor="text1"/>
          <w:sz w:val="24"/>
        </w:rPr>
        <w:t xml:space="preserve"> směřujících do EU, které se v průběhu roku 2</w:t>
      </w:r>
      <w:r>
        <w:rPr>
          <w:rFonts w:ascii="Times New Roman" w:hAnsi="Times New Roman"/>
          <w:noProof/>
          <w:color w:val="000000" w:themeColor="text1"/>
          <w:sz w:val="24"/>
        </w:rPr>
        <w:t>018 stabilizovaly. Dosáhlo určitého pokroku při provádění strategie integrované správy hranic. Byla parafována dohoda s EU o postavení jednotek Evropské pohraniční a pobřežní stráže. Byly přijaty strategie a akční plán pro boj s nelegální migrací. Srbsko m</w:t>
      </w:r>
      <w:r>
        <w:rPr>
          <w:rFonts w:ascii="Times New Roman" w:hAnsi="Times New Roman"/>
          <w:noProof/>
          <w:color w:val="000000" w:themeColor="text1"/>
          <w:sz w:val="24"/>
        </w:rPr>
        <w:t>usí dodržovat povinnost zpětného přebírání státních příslušníků třetích zemí podle dohody o zpětném přebírání osob mezi EU a Srbskem. Srbsko by se mělo také zdržet dalšího odchylování se od vízové politiky EU.</w:t>
      </w:r>
    </w:p>
    <w:p w:rsidR="00BB42EA" w:rsidRDefault="00B004C8">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Severní Makedonie</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Pokud jde o </w:t>
      </w:r>
      <w:r>
        <w:rPr>
          <w:rFonts w:ascii="Times New Roman" w:hAnsi="Times New Roman"/>
          <w:b/>
          <w:noProof/>
          <w:sz w:val="24"/>
        </w:rPr>
        <w:t>politická kritér</w:t>
      </w:r>
      <w:r>
        <w:rPr>
          <w:rFonts w:ascii="Times New Roman" w:hAnsi="Times New Roman"/>
          <w:b/>
          <w:noProof/>
          <w:sz w:val="24"/>
        </w:rPr>
        <w:t>ia</w:t>
      </w:r>
      <w:r>
        <w:rPr>
          <w:rFonts w:ascii="Times New Roman" w:hAnsi="Times New Roman"/>
          <w:noProof/>
          <w:sz w:val="24"/>
        </w:rPr>
        <w:t>, pokračovala Severní Makedonie během celého sledovaného období rovnoměrným tempem v provádění reforem EU. Vláda podnikla kroky k obnově systému brzd a protivah a k posílení demokracie a právního státu. Země i nadále procházela zásadními změnami v inkluz</w:t>
      </w:r>
      <w:r>
        <w:rPr>
          <w:rFonts w:ascii="Times New Roman" w:hAnsi="Times New Roman"/>
          <w:noProof/>
          <w:sz w:val="24"/>
        </w:rPr>
        <w:t>ivní a otevřené politické atmosféře. Země dále dosahovala hmatatelných výsledků v klíčových oblastech, které byly vymezeny v závěrech Rady a k nimž patří například soudnictví, boj proti korupci a organizované trestné činnosti, reforma zpravodajských služeb</w:t>
      </w:r>
      <w:r>
        <w:rPr>
          <w:rFonts w:ascii="Times New Roman" w:hAnsi="Times New Roman"/>
          <w:noProof/>
          <w:sz w:val="24"/>
        </w:rPr>
        <w:t xml:space="preserve"> a veřejná správa. Díky úsilí vlády oslovit inkluzivním a transparentním způsobem všechny zúčastněné strany, včetně opozice a občanské společnosti, se v politickém prostředí zlepšila kultura kompromisu. V návaznosti na podpis historické dohody, jíž bylo v </w:t>
      </w:r>
      <w:r>
        <w:rPr>
          <w:rFonts w:ascii="Times New Roman" w:hAnsi="Times New Roman"/>
          <w:noProof/>
          <w:sz w:val="24"/>
        </w:rPr>
        <w:t>červnu 2018 dosaženo s Řeckem (též známa jako „Prespanská dohoda“), bylo v září 2018 uspořádáno poradní referendum, v němž drtivá většina voličů, kteří odevzdali svůj hlas, podpořila členství v EU a NATO tím, že s Prespanskou dohodou projevila souhlas. Pre</w:t>
      </w:r>
      <w:r>
        <w:rPr>
          <w:rFonts w:ascii="Times New Roman" w:hAnsi="Times New Roman"/>
          <w:noProof/>
          <w:sz w:val="24"/>
        </w:rPr>
        <w:t>zidentské volby byly dobře zorganizovány a byly respektovány základní svobody, což občanům umožnilo informovaně se mezi kandidáty rozhodnout. Parlament zlepšil své výsledky jako fórum pro konstruktivní politický dialog a posílil své kontrolní a legislativn</w:t>
      </w:r>
      <w:r>
        <w:rPr>
          <w:rFonts w:ascii="Times New Roman" w:hAnsi="Times New Roman"/>
          <w:noProof/>
          <w:sz w:val="24"/>
        </w:rPr>
        <w:t xml:space="preserve">í funkce, mimo jiné tím, že omezil využívání zrychlených řízení.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Vztahy mezi etniky zůstaly obecně klidné, navzdory určitému občasnému napětí. Vláda pokračovala v úsilí o zvýšení důvěry mezi jednotlivými komunitami. Ochridská rámcová dohoda, která ukončil</w:t>
      </w:r>
      <w:r>
        <w:rPr>
          <w:rFonts w:ascii="Times New Roman" w:hAnsi="Times New Roman"/>
          <w:noProof/>
          <w:sz w:val="24"/>
        </w:rPr>
        <w:t xml:space="preserve">a konflikt z roku 2001 a poskytuje rámec pro zachování multietnického charakteru společnosti, je zmíněna v preambuli ústavy a byla nadále prováděna.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Klima, v němž působí organizace občanské společnosti, se dále zlepšovalo. Občanská společnost i nadále hrá</w:t>
      </w:r>
      <w:r>
        <w:rPr>
          <w:rFonts w:ascii="Times New Roman" w:hAnsi="Times New Roman"/>
          <w:noProof/>
          <w:sz w:val="24"/>
        </w:rPr>
        <w:t>la konstruktivní roli v podpoře demokratických procesů. Byly přijaty strategické dokumenty, které poskytují vodítko pro spolupráci mezi vládou a občanskou společností. Jak státní, tak i nestátní aktéři by měli usilovat o smysluplné konzultace.</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V oblasti re</w:t>
      </w:r>
      <w:r>
        <w:rPr>
          <w:rFonts w:ascii="Times New Roman" w:hAnsi="Times New Roman"/>
          <w:noProof/>
          <w:sz w:val="24"/>
        </w:rPr>
        <w:t>formy zpravodajských služeb dosáhla Severní Makedonie dobrého pokroku. Nová operativní technická agentura je v návaznosti na reformu systému sledování komunikace plně funkční. Země rovněž zahájila reformu svých zpravodajských služeb ve spolupráci s NATO a </w:t>
      </w:r>
      <w:r>
        <w:rPr>
          <w:rFonts w:ascii="Times New Roman" w:hAnsi="Times New Roman"/>
          <w:noProof/>
          <w:sz w:val="24"/>
        </w:rPr>
        <w:t>dalšími partnery. Byl vybrán model a byl přijat právní rámec pro zřízení nové národní bezpečnostní agentury.</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oblasti reformy </w:t>
      </w:r>
      <w:r>
        <w:rPr>
          <w:rFonts w:ascii="Times New Roman" w:hAnsi="Times New Roman"/>
          <w:b/>
          <w:noProof/>
          <w:sz w:val="24"/>
        </w:rPr>
        <w:t>veřejné správy</w:t>
      </w:r>
      <w:r>
        <w:rPr>
          <w:rFonts w:ascii="Times New Roman" w:hAnsi="Times New Roman"/>
          <w:noProof/>
          <w:sz w:val="24"/>
        </w:rPr>
        <w:t xml:space="preserve"> je připravenost Severní Makedonie na mírně pokročilé úrovni. Dobrého pokroku bylo dosaženo zejména v případě prová</w:t>
      </w:r>
      <w:r>
        <w:rPr>
          <w:rFonts w:ascii="Times New Roman" w:hAnsi="Times New Roman"/>
          <w:noProof/>
          <w:sz w:val="24"/>
        </w:rPr>
        <w:t>dění strategického rámce reformy veřejné správy, zlepšení veřejných konzultací a větší transparentnosti tvorby politik a v oblasti rozvoje a koordinace politik. Byla přijata opatření k řešení údajných zpolitizovaných jmenování. K posílení odpovědnosti sprá</w:t>
      </w:r>
      <w:r>
        <w:rPr>
          <w:rFonts w:ascii="Times New Roman" w:hAnsi="Times New Roman"/>
          <w:noProof/>
          <w:sz w:val="24"/>
        </w:rPr>
        <w:t>vy a při předcházení jejímu zpolitizování je však třeba vyvinout další úsilí. Zásadní význam má i nadále dodržování zásad transparentnosti, zásluh a spravedlivého zastoupení.</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Pokud jde o </w:t>
      </w:r>
      <w:r>
        <w:rPr>
          <w:rFonts w:ascii="Times New Roman" w:hAnsi="Times New Roman"/>
          <w:b/>
          <w:noProof/>
          <w:sz w:val="24"/>
        </w:rPr>
        <w:t>soudní systém</w:t>
      </w:r>
      <w:r>
        <w:rPr>
          <w:rFonts w:ascii="Times New Roman" w:hAnsi="Times New Roman"/>
          <w:noProof/>
          <w:sz w:val="24"/>
        </w:rPr>
        <w:t xml:space="preserve">, připravenost země dosáhla určité úrovně / je na mírně </w:t>
      </w:r>
      <w:r>
        <w:rPr>
          <w:rFonts w:ascii="Times New Roman" w:hAnsi="Times New Roman"/>
          <w:noProof/>
          <w:sz w:val="24"/>
        </w:rPr>
        <w:t>pokročilé úrovni a při řešení „naléhavých priorit v oblasti reforem“ a doporučení Benátské komise a skupiny vedoucích odborníků pro systémové otázky právního státu bylo dosaženo značného pokroku. Země prokázala trvalé odhodlání zlepšit soudní systém a prov</w:t>
      </w:r>
      <w:r>
        <w:rPr>
          <w:rFonts w:ascii="Times New Roman" w:hAnsi="Times New Roman"/>
          <w:noProof/>
          <w:sz w:val="24"/>
        </w:rPr>
        <w:t xml:space="preserve">ádění nového právního rámce je pevným základem pro další postup. Byl připraven nový zákon o státním zastupitelství, jehož účelem je začlenit do systému státních zastupitelství zvláštního státního zástupce. U některých případů na vysoké úrovni předložených </w:t>
      </w:r>
      <w:r>
        <w:rPr>
          <w:rFonts w:ascii="Times New Roman" w:hAnsi="Times New Roman"/>
          <w:noProof/>
          <w:sz w:val="24"/>
        </w:rPr>
        <w:t>zvláštním státním zastupitelstvím vydaly soudy rozsudky. Nad rámec právních změn musí všechny justiční orgány prokázat svoji příkladnost a dalším úsilím přispět k obnovení důvěry veřejnosti v soudnictví.</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oblasti </w:t>
      </w:r>
      <w:r>
        <w:rPr>
          <w:rFonts w:ascii="Times New Roman" w:hAnsi="Times New Roman"/>
          <w:b/>
          <w:noProof/>
          <w:sz w:val="24"/>
        </w:rPr>
        <w:t>boje proti korupci</w:t>
      </w:r>
      <w:r>
        <w:rPr>
          <w:rFonts w:ascii="Times New Roman" w:hAnsi="Times New Roman"/>
          <w:noProof/>
          <w:sz w:val="24"/>
        </w:rPr>
        <w:t xml:space="preserve"> je Severní Makedonie na</w:t>
      </w:r>
      <w:r>
        <w:rPr>
          <w:rFonts w:ascii="Times New Roman" w:hAnsi="Times New Roman"/>
          <w:noProof/>
          <w:sz w:val="24"/>
        </w:rPr>
        <w:t xml:space="preserve"> určité úrovni připravenosti. Dobrého pokroku bylo dosaženo při další konsolidaci výsledků v oblasti vyšetřování, stíhání a projednávání případů korupce na vysoké úrovni a prostřednictvím změn legislativního rámce. V tomto ohledu se zlepšil nový právní rám</w:t>
      </w:r>
      <w:r>
        <w:rPr>
          <w:rFonts w:ascii="Times New Roman" w:hAnsi="Times New Roman"/>
          <w:noProof/>
          <w:sz w:val="24"/>
        </w:rPr>
        <w:t>ec pro prevenci korupce a jmenování nových členů státní komise pro předcházení korupci bylo mnohem transparentnější než v předchozích letech. Tato komise podnikla důležité kroky k aktivnímu boji proti korupci, do níž byli zapojeni vysocí státní úředníci na</w:t>
      </w:r>
      <w:r>
        <w:rPr>
          <w:rFonts w:ascii="Times New Roman" w:hAnsi="Times New Roman"/>
          <w:noProof/>
          <w:sz w:val="24"/>
        </w:rPr>
        <w:t>příč celým politickým spektrem.</w:t>
      </w:r>
      <w:r>
        <w:rPr>
          <w:rFonts w:ascii="Times New Roman" w:hAnsi="Times New Roman"/>
          <w:i/>
          <w:noProof/>
          <w:sz w:val="24"/>
        </w:rPr>
        <w:t xml:space="preserve"> </w:t>
      </w:r>
      <w:r>
        <w:rPr>
          <w:rFonts w:ascii="Times New Roman" w:hAnsi="Times New Roman"/>
          <w:noProof/>
          <w:sz w:val="24"/>
        </w:rPr>
        <w:t>Zvláštní státní zástupce potvrdil svou vedoucí úlohu při vyšetřování a stíhání případů korupce na vysoké úrovni. Příslušné orgány musí dále zvýšit své úsilí, aby ukázaly, že boj proti korupci je národní prioritou na všech úr</w:t>
      </w:r>
      <w:r>
        <w:rPr>
          <w:rFonts w:ascii="Times New Roman" w:hAnsi="Times New Roman"/>
          <w:noProof/>
          <w:sz w:val="24"/>
        </w:rPr>
        <w:t>ovních pravomocí. Korupce je však v mnoha oblastech rozšířená a nadále působí znepokojení.</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w:t>
      </w:r>
      <w:r>
        <w:rPr>
          <w:rFonts w:ascii="Times New Roman" w:hAnsi="Times New Roman"/>
          <w:b/>
          <w:noProof/>
          <w:sz w:val="24"/>
        </w:rPr>
        <w:t>boji proti organizované trestné činnosti</w:t>
      </w:r>
      <w:r>
        <w:rPr>
          <w:rFonts w:ascii="Times New Roman" w:hAnsi="Times New Roman"/>
          <w:noProof/>
          <w:sz w:val="24"/>
        </w:rPr>
        <w:t xml:space="preserve"> je země na určité úrovni připravenosti. Legislativní rámec je obecně v souladu s evropskými normami a je třeba pokračovat v úsilí o provádění strategií namířených proti organizované trestné činnosti a v aktivním měření jejich dopadu. Určitého pokroku bylo</w:t>
      </w:r>
      <w:r>
        <w:rPr>
          <w:rFonts w:ascii="Times New Roman" w:hAnsi="Times New Roman"/>
          <w:noProof/>
          <w:sz w:val="24"/>
        </w:rPr>
        <w:t xml:space="preserve"> rovněž dosaženo při plnění loňských doporučení týkajících se zlepšení výsledků, posílení spolupráce v oblasti prosazování práva a zásadního zlepšení operační kapacity pro boj proti obchodování s lidmi. Další pokrok přineslo na operační úrovni zlepšení efe</w:t>
      </w:r>
      <w:r>
        <w:rPr>
          <w:rFonts w:ascii="Times New Roman" w:hAnsi="Times New Roman"/>
          <w:noProof/>
          <w:sz w:val="24"/>
        </w:rPr>
        <w:t>ktivity národního koordinačního centra pro boj proti organizované trestné činnosti a účast na společných operacích s členskými státy EU a sousedními zeměmi.</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Právní rámec pro ochranu </w:t>
      </w:r>
      <w:r>
        <w:rPr>
          <w:rFonts w:ascii="Times New Roman" w:hAnsi="Times New Roman"/>
          <w:b/>
          <w:noProof/>
          <w:sz w:val="24"/>
        </w:rPr>
        <w:t>základních práv</w:t>
      </w:r>
      <w:r>
        <w:rPr>
          <w:rFonts w:ascii="Times New Roman" w:hAnsi="Times New Roman"/>
          <w:noProof/>
          <w:sz w:val="24"/>
        </w:rPr>
        <w:t xml:space="preserve"> je z velké části v souladu s evropskými normami a země dos</w:t>
      </w:r>
      <w:r>
        <w:rPr>
          <w:rFonts w:ascii="Times New Roman" w:hAnsi="Times New Roman"/>
          <w:noProof/>
          <w:sz w:val="24"/>
        </w:rPr>
        <w:t>áhla dobrého pokroku. Změnami trestního zákoníku a přijetím zákona o prevenci diskriminace a ochraně před ní zvýšila ochranu před nenávistně motivovanými trestnými činy a diskriminací. Přijala také ambiciózní strategii deinstitucionalizace a své cíle v obl</w:t>
      </w:r>
      <w:r>
        <w:rPr>
          <w:rFonts w:ascii="Times New Roman" w:hAnsi="Times New Roman"/>
          <w:noProof/>
          <w:sz w:val="24"/>
        </w:rPr>
        <w:t xml:space="preserve">asti boje proti násilí páchanému na ženách převedla do podoby akčního plánu pro provádění Istanbulské úmluvy. Avšak mechanismus externího dohledu nad policií zatím není plně funkční a je zapotřebí, aby země dále rozšířila využívání alternativních sankcí a </w:t>
      </w:r>
      <w:r>
        <w:rPr>
          <w:rFonts w:ascii="Times New Roman" w:hAnsi="Times New Roman"/>
          <w:noProof/>
          <w:sz w:val="24"/>
        </w:rPr>
        <w:t>probace. Země rovněž musí vyvinout další úsilí a důsledně šířit doporučení evropských a mezinárodních orgánů pro lidská práva a těmito doporučeními se zabývat, zejména pokud jde o zacházení se zadržovanými osobami, ženami a osobami se zdravotním postižením</w:t>
      </w:r>
      <w:r>
        <w:rPr>
          <w:rFonts w:ascii="Times New Roman" w:hAnsi="Times New Roman"/>
          <w:noProof/>
          <w:sz w:val="24"/>
        </w:rPr>
        <w:t xml:space="preserve">. V oblasti </w:t>
      </w:r>
      <w:r>
        <w:rPr>
          <w:rFonts w:ascii="Times New Roman" w:hAnsi="Times New Roman"/>
          <w:b/>
          <w:noProof/>
          <w:sz w:val="24"/>
        </w:rPr>
        <w:t>svobody projevu</w:t>
      </w:r>
      <w:r>
        <w:rPr>
          <w:rFonts w:ascii="Times New Roman" w:hAnsi="Times New Roman"/>
          <w:noProof/>
          <w:sz w:val="24"/>
        </w:rPr>
        <w:t xml:space="preserve"> dosáhla připravenost země určité úrovně / je na mírně pokročilé úrovni a v minulém roce byl zaznamenán dobrý pokrok. Klima v oblasti svobody sdělovacích prostředků a svobody projevu se dále zlepšovalo. Zásadní je, aby veřejní či</w:t>
      </w:r>
      <w:r>
        <w:rPr>
          <w:rFonts w:ascii="Times New Roman" w:hAnsi="Times New Roman"/>
          <w:noProof/>
          <w:sz w:val="24"/>
        </w:rPr>
        <w:t>nitelé a politické elity prokázali vysokou toleranci vůči kritice, a podpořili tím svobodu projevu. Země musí trvale usilovat o zlepšení nezávislosti a profesních standardů veřejnoprávního vysílání a jeho finanční udržitelnosti. Byly přijaty změny zákona o</w:t>
      </w:r>
      <w:r>
        <w:rPr>
          <w:rFonts w:ascii="Times New Roman" w:hAnsi="Times New Roman"/>
          <w:noProof/>
          <w:sz w:val="24"/>
        </w:rPr>
        <w:t> audio a audiovizuálních mediálních službách a jejich provádění bude vyžadovat velké politické úsilí o zajištění profesionality, dodržování zásad transparentnosti, jmenování do funkcí na základě zásluh a spravedlivého zastoupení.</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Pokud jde o </w:t>
      </w:r>
      <w:r>
        <w:rPr>
          <w:rFonts w:ascii="Times New Roman" w:hAnsi="Times New Roman"/>
          <w:b/>
          <w:noProof/>
          <w:sz w:val="24"/>
        </w:rPr>
        <w:t>regionální spo</w:t>
      </w:r>
      <w:r>
        <w:rPr>
          <w:rFonts w:ascii="Times New Roman" w:hAnsi="Times New Roman"/>
          <w:b/>
          <w:noProof/>
          <w:sz w:val="24"/>
        </w:rPr>
        <w:t>lupráci</w:t>
      </w:r>
      <w:r>
        <w:rPr>
          <w:rFonts w:ascii="Times New Roman" w:hAnsi="Times New Roman"/>
          <w:noProof/>
          <w:sz w:val="24"/>
        </w:rPr>
        <w:t xml:space="preserve">, země si udržela dobré vztahy s ostatními zeměmi procesu rozšíření a aktivně se účastnila regionálních iniciativ. Byly učiněny historické kroky ke zlepšení dobrých sousedských vztahů, mimo jiné prostřednictvím vstupu Prespanské dohody v platnost a </w:t>
      </w:r>
      <w:r>
        <w:rPr>
          <w:rFonts w:ascii="Times New Roman" w:hAnsi="Times New Roman"/>
          <w:noProof/>
          <w:sz w:val="24"/>
        </w:rPr>
        <w:t xml:space="preserve">jejího provádění, což ukončilo jeden z nejstarších sporů v regionu. Komise se těší na pokračující provádění dvoustranné dohody s Bulharskem.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Pokud jde o </w:t>
      </w:r>
      <w:r>
        <w:rPr>
          <w:rFonts w:ascii="Times New Roman" w:hAnsi="Times New Roman"/>
          <w:b/>
          <w:noProof/>
          <w:sz w:val="24"/>
        </w:rPr>
        <w:t>hospodářská kritéria</w:t>
      </w:r>
      <w:r>
        <w:rPr>
          <w:rFonts w:ascii="Times New Roman" w:hAnsi="Times New Roman"/>
          <w:noProof/>
          <w:sz w:val="24"/>
        </w:rPr>
        <w:t>, dosáhla Severní Makedonie určitého pokroku a její připravenost v budování funguj</w:t>
      </w:r>
      <w:r>
        <w:rPr>
          <w:rFonts w:ascii="Times New Roman" w:hAnsi="Times New Roman"/>
          <w:noProof/>
          <w:sz w:val="24"/>
        </w:rPr>
        <w:t>ícího tržního hospodářství je na dobré úrovni. Po roce stagnace se obnovil hospodářský růst, ačkoli investice zůstaly utlumené. Vláda přijala opatření ke zlepšení transparentnosti a správy veřejných financí. Přijala reformy zdanění příjmů a důchodového sys</w:t>
      </w:r>
      <w:r>
        <w:rPr>
          <w:rFonts w:ascii="Times New Roman" w:hAnsi="Times New Roman"/>
          <w:noProof/>
          <w:sz w:val="24"/>
        </w:rPr>
        <w:t>tému. Skladba výdajů se však zhoršila a k tomu, aby se veřejné finance vydaly udržitelnou cestou, je zapotřebí ambicióznější fiskální konsolidace. Fungování trhu práce oslabují přetrvávající strukturální problémy. V podnikatelském prostředí stále působí pr</w:t>
      </w:r>
      <w:r>
        <w:rPr>
          <w:rFonts w:ascii="Times New Roman" w:hAnsi="Times New Roman"/>
          <w:noProof/>
          <w:sz w:val="24"/>
        </w:rPr>
        <w:t xml:space="preserve">oblémy vymáhání smluvních závazků a rozsáhlá neformální ekonomika. </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Pokud jde o schopnost vypořádat se s konkurenčními tlaky a tržními silami v rámci EU, dosáhla Severní Makedonie určitého pokroku a její připravenost je na mírně pokročilé úrovni. Integrace</w:t>
      </w:r>
      <w:r>
        <w:rPr>
          <w:rFonts w:ascii="Times New Roman" w:hAnsi="Times New Roman"/>
          <w:noProof/>
          <w:sz w:val="24"/>
        </w:rPr>
        <w:t xml:space="preserve"> s EU v oblasti obchodu a investic se dále prohloubila. Došlo k další diverzifikaci vývozu a výrobní produkce směrem k výrobkům vyšší hodnoty. Nicméně nedostatek kvalifikovaných pracovníků a nedostatečné sladění dovedností s požadavky společností, odrážejí</w:t>
      </w:r>
      <w:r>
        <w:rPr>
          <w:rFonts w:ascii="Times New Roman" w:hAnsi="Times New Roman"/>
          <w:noProof/>
          <w:sz w:val="24"/>
        </w:rPr>
        <w:t>cí nedostatky ve vzdělávacích osnovách, oslabují produktivitu práce a konkurenceschopnost hospodářství. Významné investiční mezery ve veřejné infrastruktuře přetrvávají.</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Pokud jde o schopnost </w:t>
      </w:r>
      <w:r>
        <w:rPr>
          <w:rFonts w:ascii="Times New Roman" w:hAnsi="Times New Roman"/>
          <w:b/>
          <w:noProof/>
          <w:sz w:val="24"/>
        </w:rPr>
        <w:t>převzít závazky vyplývající z členství</w:t>
      </w:r>
      <w:r>
        <w:rPr>
          <w:rFonts w:ascii="Times New Roman" w:hAnsi="Times New Roman"/>
          <w:noProof/>
          <w:sz w:val="24"/>
        </w:rPr>
        <w:t xml:space="preserve">, je připravenost země na </w:t>
      </w:r>
      <w:r>
        <w:rPr>
          <w:rFonts w:ascii="Times New Roman" w:hAnsi="Times New Roman"/>
          <w:noProof/>
          <w:sz w:val="24"/>
        </w:rPr>
        <w:t>mírně pokročilé úrovni ve většině oblastí, včetně hospodářské soutěže, zadávání veřejných zakázek, dopravy a energetiky. Země vykazuje dobrou úroveň připravenosti v oblastech, jako je právo obchodních společností, celní unie, transevropské sítě a věda a vý</w:t>
      </w:r>
      <w:r>
        <w:rPr>
          <w:rFonts w:ascii="Times New Roman" w:hAnsi="Times New Roman"/>
          <w:noProof/>
          <w:sz w:val="24"/>
        </w:rPr>
        <w:t>zkum. Je třeba vyvinout další úsilí ve všech oblastech, zejména v těch několika, kde je připravenost země v počáteční fázi, jak tomu je například v otázce volného pohybu pracovníků a finančních a rozpočtových ustanovení. Je třeba rovněž klást větší důraz n</w:t>
      </w:r>
      <w:r>
        <w:rPr>
          <w:rFonts w:ascii="Times New Roman" w:hAnsi="Times New Roman"/>
          <w:noProof/>
          <w:sz w:val="24"/>
        </w:rPr>
        <w:t>a správní kapacitu a účinné provádění. Země ve stále větší míře plnila prohlášení EU a rozhodnutí Rady v oblasti společné zahraniční a bezpečnostní politiky.</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Severní Makedonie dále hraje aktivní a konstruktivní úlohu při řízení </w:t>
      </w:r>
      <w:r>
        <w:rPr>
          <w:rFonts w:ascii="Times New Roman" w:hAnsi="Times New Roman"/>
          <w:b/>
          <w:noProof/>
          <w:sz w:val="24"/>
        </w:rPr>
        <w:t>smíšených migračních toků</w:t>
      </w:r>
      <w:r>
        <w:rPr>
          <w:rFonts w:ascii="Times New Roman" w:hAnsi="Times New Roman"/>
          <w:noProof/>
          <w:sz w:val="24"/>
        </w:rPr>
        <w:t>. Ú</w:t>
      </w:r>
      <w:r>
        <w:rPr>
          <w:rFonts w:ascii="Times New Roman" w:hAnsi="Times New Roman"/>
          <w:noProof/>
          <w:sz w:val="24"/>
        </w:rPr>
        <w:t>činně spolupracuje s členskými státy EU a sousedními zeměmi. I nadále se vynakládalo značné úsilí na zajištění základních životních podmínek a služeb pro všechny migranty, kteří v zemi pobývají. Stále panuje nejistota ohledně rozsahu a struktury migračních</w:t>
      </w:r>
      <w:r>
        <w:rPr>
          <w:rFonts w:ascii="Times New Roman" w:hAnsi="Times New Roman"/>
          <w:noProof/>
          <w:sz w:val="24"/>
        </w:rPr>
        <w:t xml:space="preserve"> toků. Nejednotná registrace migrantů zadržených při nelegálním pohybu brání pravidelnému a odpovídajícímu profilování zohledňujícímu ochranu zranitelných osob a také předávání případů vnitrostátním ochranným mechanismům. Na jižní hranici byla zajištěna úč</w:t>
      </w:r>
      <w:r>
        <w:rPr>
          <w:rFonts w:ascii="Times New Roman" w:hAnsi="Times New Roman"/>
          <w:noProof/>
          <w:sz w:val="24"/>
        </w:rPr>
        <w:t xml:space="preserve">inná kontrola, mimo jiné tím, že na tuto hranici byli nasazeni vyslaní příslušníci z členských států EU. </w:t>
      </w:r>
      <w:r>
        <w:rPr>
          <w:rFonts w:ascii="Times New Roman" w:hAnsi="Times New Roman"/>
          <w:noProof/>
          <w:color w:val="000000" w:themeColor="text1"/>
          <w:sz w:val="24"/>
        </w:rPr>
        <w:t>Byla parafována dohoda s EU o postavení jednotek Evropské pohraniční a pobřežní stráže.</w:t>
      </w:r>
      <w:r>
        <w:rPr>
          <w:rFonts w:ascii="Times New Roman" w:hAnsi="Times New Roman"/>
          <w:noProof/>
          <w:sz w:val="24"/>
        </w:rPr>
        <w:t xml:space="preserve"> Dále je však třeba řešit problém častého převaděčství na severn</w:t>
      </w:r>
      <w:r>
        <w:rPr>
          <w:rFonts w:ascii="Times New Roman" w:hAnsi="Times New Roman"/>
          <w:noProof/>
          <w:sz w:val="24"/>
        </w:rPr>
        <w:t xml:space="preserve">í hranici. Vzhledem ke své zeměpisné poloze je tato země i nadále vystavena značnému tlaku. </w:t>
      </w:r>
    </w:p>
    <w:p w:rsidR="00BB42EA" w:rsidRDefault="00B004C8">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Albánie</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Pokud jde o </w:t>
      </w:r>
      <w:r>
        <w:rPr>
          <w:rFonts w:ascii="Times New Roman" w:hAnsi="Times New Roman"/>
          <w:b/>
          <w:noProof/>
          <w:color w:val="000000" w:themeColor="text1"/>
          <w:sz w:val="24"/>
        </w:rPr>
        <w:t>politická kritéria</w:t>
      </w:r>
      <w:r>
        <w:rPr>
          <w:rFonts w:ascii="Times New Roman" w:hAnsi="Times New Roman"/>
          <w:noProof/>
          <w:color w:val="000000" w:themeColor="text1"/>
          <w:sz w:val="24"/>
        </w:rPr>
        <w:t xml:space="preserve">, Albánie ve sledovaném období dále pokračovala ve svém programu reforem EU. V politické sféře přetrvávala silná polarizace. </w:t>
      </w:r>
      <w:r>
        <w:rPr>
          <w:rFonts w:ascii="Times New Roman" w:hAnsi="Times New Roman"/>
          <w:noProof/>
          <w:color w:val="000000" w:themeColor="text1"/>
          <w:sz w:val="24"/>
        </w:rPr>
        <w:t>Parlamentní činnost byla poznamenána dlouhodobým bojkotem opozičních stran, které se pak také v únoru 2019 společně vzdaly svých parlamentních mandátů. Více než polovinu mandátů, jichž se poslanci vzdali, nyní ústřední volební komise nově přidělila, a usná</w:t>
      </w:r>
      <w:r>
        <w:rPr>
          <w:rFonts w:ascii="Times New Roman" w:hAnsi="Times New Roman"/>
          <w:noProof/>
          <w:color w:val="000000" w:themeColor="text1"/>
          <w:sz w:val="24"/>
        </w:rPr>
        <w:t>šeníschopnost je tak pro plné fungování parlamentu zachována. Hlavní opoziční strany se rozhodly nezaregistrovat se pro místní volby, jejichž konání je plánováno na 30. června 2019. Odstoupení hlavních opozičních stran mělo negativní dopad na úsilí o dvous</w:t>
      </w:r>
      <w:r>
        <w:rPr>
          <w:rFonts w:ascii="Times New Roman" w:hAnsi="Times New Roman"/>
          <w:noProof/>
          <w:color w:val="000000" w:themeColor="text1"/>
          <w:sz w:val="24"/>
        </w:rPr>
        <w:t>trannou volební reformu, a to navzdory většinovému úsilí o další pokrok. Opoziční strany by se měly znovu konstruktivně zapojit do demokratických institucí.</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oblasti reformy </w:t>
      </w:r>
      <w:r>
        <w:rPr>
          <w:rFonts w:ascii="Times New Roman" w:hAnsi="Times New Roman"/>
          <w:b/>
          <w:noProof/>
          <w:color w:val="000000" w:themeColor="text1"/>
          <w:sz w:val="24"/>
        </w:rPr>
        <w:t>veřejné správy</w:t>
      </w:r>
      <w:r>
        <w:rPr>
          <w:rFonts w:ascii="Times New Roman" w:hAnsi="Times New Roman"/>
          <w:noProof/>
          <w:color w:val="000000" w:themeColor="text1"/>
          <w:sz w:val="24"/>
        </w:rPr>
        <w:t xml:space="preserve"> je připravenost Albánie na mírně pokročilé úrovni. V několika souv</w:t>
      </w:r>
      <w:r>
        <w:rPr>
          <w:rFonts w:ascii="Times New Roman" w:hAnsi="Times New Roman"/>
          <w:noProof/>
          <w:color w:val="000000" w:themeColor="text1"/>
          <w:sz w:val="24"/>
        </w:rPr>
        <w:t>isejících oblastech pokračovalo úsilí, které vedlo k určitému pokroku v oblasti účinnosti a transparentnosti veřejných služeb, zlepšení regulačního rámce pro hodnocení dopadu politik, transparentnějším postupům náboru a celkovému posílení schopnosti správy</w:t>
      </w:r>
      <w:r>
        <w:rPr>
          <w:rFonts w:ascii="Times New Roman" w:hAnsi="Times New Roman"/>
          <w:noProof/>
          <w:color w:val="000000" w:themeColor="text1"/>
          <w:sz w:val="24"/>
        </w:rPr>
        <w:t xml:space="preserve"> provádět postupy veřejné služby založené na zásluhách. Tyto úspěchy by měly být dále konsolidovány, aby bylo dosaženo účinnější, odpolitizované a profesionálnější veřejné správy.</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soudní systém</w:t>
      </w:r>
      <w:r>
        <w:rPr>
          <w:rFonts w:ascii="Times New Roman" w:hAnsi="Times New Roman"/>
          <w:noProof/>
          <w:color w:val="000000" w:themeColor="text1"/>
          <w:sz w:val="24"/>
        </w:rPr>
        <w:t>, je připravenost Albánie na určité úrovni. Pokračo</w:t>
      </w:r>
      <w:r>
        <w:rPr>
          <w:rFonts w:ascii="Times New Roman" w:hAnsi="Times New Roman"/>
          <w:noProof/>
          <w:color w:val="000000" w:themeColor="text1"/>
          <w:sz w:val="24"/>
        </w:rPr>
        <w:t>valo důsledné provádění komplexní a důkladné reformy soudnictví, což celkově vedlo k dobrému pokroku. Byly zřízeny nové orgány pro samosprávu soudnictví, Vysoká rada pro soudnictví, Vysoká rada pro státní zastupitelství a Rada pro jmenování soudců, což pře</w:t>
      </w:r>
      <w:r>
        <w:rPr>
          <w:rFonts w:ascii="Times New Roman" w:hAnsi="Times New Roman"/>
          <w:noProof/>
          <w:color w:val="000000" w:themeColor="text1"/>
          <w:sz w:val="24"/>
        </w:rPr>
        <w:t>dstavuje klíčový krok k posílení nezávislosti a odpovědnosti soudnictví. Dočasné nové hodnocení (prověřovací proces) všech soudců a státních zástupců plynule pokračovalo a přineslo konkrétní výsledky. Dohled nad celým procesem i nadále zajišťovala mezináro</w:t>
      </w:r>
      <w:r>
        <w:rPr>
          <w:rFonts w:ascii="Times New Roman" w:hAnsi="Times New Roman"/>
          <w:noProof/>
          <w:color w:val="000000" w:themeColor="text1"/>
          <w:sz w:val="24"/>
        </w:rPr>
        <w:t xml:space="preserve">dní monitorovací operace pod záštitou Evropské komise. Zpracováno bylo přes 140 spisů; 88 případů skončilo propuštěním/odstoupením soudců či státních zástupců z funkce a 53 potvrzením ve funkci. Většina propuštění se týkala otázek souvisejících s majetkem </w:t>
      </w:r>
      <w:r>
        <w:rPr>
          <w:rFonts w:ascii="Times New Roman" w:hAnsi="Times New Roman"/>
          <w:noProof/>
          <w:color w:val="000000" w:themeColor="text1"/>
          <w:sz w:val="24"/>
        </w:rPr>
        <w:t>bez prokázaného původu. Tyto konkrétní a věrohodné výsledky tento sektor výrazně posílily a upevnily nezávislost, nestrannost, profesionalitu a odpovědnost soudnictví.</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korupci</w:t>
      </w:r>
      <w:r>
        <w:rPr>
          <w:rFonts w:ascii="Times New Roman" w:hAnsi="Times New Roman"/>
          <w:noProof/>
          <w:color w:val="000000" w:themeColor="text1"/>
          <w:sz w:val="24"/>
        </w:rPr>
        <w:t xml:space="preserve"> dosáhla Albánie určité úrovně připravenosti. Dobrého pokrok</w:t>
      </w:r>
      <w:r>
        <w:rPr>
          <w:rFonts w:ascii="Times New Roman" w:hAnsi="Times New Roman"/>
          <w:noProof/>
          <w:color w:val="000000" w:themeColor="text1"/>
          <w:sz w:val="24"/>
        </w:rPr>
        <w:t>u bylo dosaženo zejména přijetím nového akčního plánu na období 2018–2020 pro provádění meziodvětvové strategie proti korupci, změn zákona o přiznání a auditu majetku, zákona o zadávání veřejných zakázek, jakož i přijetím kodexu chování poslanců parlamentu</w:t>
      </w:r>
      <w:r>
        <w:rPr>
          <w:rFonts w:ascii="Times New Roman" w:hAnsi="Times New Roman"/>
          <w:noProof/>
          <w:color w:val="000000" w:themeColor="text1"/>
          <w:sz w:val="24"/>
        </w:rPr>
        <w:t>. Zřízením pracovní skupiny pro boj proti korupci se zvýšila proaktivita správních vyšetřování. Dále se zlepšoval přímý přístup státních zástupců a policie do databází. Dobrý pokrok pokračoval posílením výsledků v oblasti vyšetřování, stíhání a projednáván</w:t>
      </w:r>
      <w:r>
        <w:rPr>
          <w:rFonts w:ascii="Times New Roman" w:hAnsi="Times New Roman"/>
          <w:noProof/>
          <w:color w:val="000000" w:themeColor="text1"/>
          <w:sz w:val="24"/>
        </w:rPr>
        <w:t>í případů korupce na vysoké úrovni. Ke konkrétním výsledkům boje proti korupci se řadí prověřovací proces, který vedl k odvolání několika vysoce postavených soudců, a to i na úrovni ústavního soudu a vrchního soudu. Díky vzniku Vysoké rady pro státní zastu</w:t>
      </w:r>
      <w:r>
        <w:rPr>
          <w:rFonts w:ascii="Times New Roman" w:hAnsi="Times New Roman"/>
          <w:noProof/>
          <w:color w:val="000000" w:themeColor="text1"/>
          <w:sz w:val="24"/>
        </w:rPr>
        <w:t>pitelství bylo možné zahájit zřizování specializovaných protikorupčních orgánů (Zvláštního útvaru pro boj proti korupci a organizované trestné činnosti, Státního úřadu pro vyšetřování). Jakmile bude prověřování kandidátů dokončeno, začnou tyto orgány fungo</w:t>
      </w:r>
      <w:r>
        <w:rPr>
          <w:rFonts w:ascii="Times New Roman" w:hAnsi="Times New Roman"/>
          <w:noProof/>
          <w:color w:val="000000" w:themeColor="text1"/>
          <w:sz w:val="24"/>
        </w:rPr>
        <w:t xml:space="preserve">vat, což posílí celkovou schopnost korupci vyšetřovat a stíhat. Korupce je však v mnoha oblastech obecně rozšířená a nadále působí znepokojení.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oblasti </w:t>
      </w:r>
      <w:r>
        <w:rPr>
          <w:rFonts w:ascii="Times New Roman" w:hAnsi="Times New Roman"/>
          <w:b/>
          <w:noProof/>
          <w:color w:val="000000" w:themeColor="text1"/>
          <w:sz w:val="24"/>
        </w:rPr>
        <w:t>boje proti organizované trestné činnosti</w:t>
      </w:r>
      <w:r>
        <w:rPr>
          <w:rFonts w:ascii="Times New Roman" w:hAnsi="Times New Roman"/>
          <w:noProof/>
          <w:color w:val="000000" w:themeColor="text1"/>
          <w:sz w:val="24"/>
        </w:rPr>
        <w:t xml:space="preserve"> je připravenost Albánie na určité úrovni. Policejní operace </w:t>
      </w:r>
      <w:r>
        <w:rPr>
          <w:rFonts w:ascii="Times New Roman" w:hAnsi="Times New Roman"/>
          <w:noProof/>
          <w:color w:val="000000" w:themeColor="text1"/>
          <w:sz w:val="24"/>
        </w:rPr>
        <w:t>za účelem rozbíjení zločinných spolčení posílily. Několik policejních operací vedlo k hromadným zatčením a padla řada důležitých obvinění a odsouzení. Tyto operace přinesly zatčení a stíhání známých vůdců organizovaných zločineckých skupin.</w:t>
      </w:r>
      <w:r>
        <w:rPr>
          <w:rFonts w:ascii="Times New Roman" w:hAnsi="Times New Roman"/>
          <w:b/>
          <w:noProof/>
          <w:color w:val="000000" w:themeColor="text1"/>
          <w:sz w:val="24"/>
        </w:rPr>
        <w:t xml:space="preserve"> </w:t>
      </w:r>
      <w:r>
        <w:rPr>
          <w:rFonts w:ascii="Times New Roman" w:hAnsi="Times New Roman"/>
          <w:noProof/>
          <w:color w:val="000000" w:themeColor="text1"/>
          <w:sz w:val="24"/>
        </w:rPr>
        <w:t>Zintenzivnila s</w:t>
      </w:r>
      <w:r>
        <w:rPr>
          <w:rFonts w:ascii="Times New Roman" w:hAnsi="Times New Roman"/>
          <w:noProof/>
          <w:color w:val="000000" w:themeColor="text1"/>
          <w:sz w:val="24"/>
        </w:rPr>
        <w:t>e rovněž mezinárodní policejní spolupráce, zejména s členskými státy EU, což vedlo k řadě úspěšných rozsáhlých operací donucovacích orgánů. V posledních letech Albánie vytrvale prokazovala pevné odhodlání potírat produkci konopí a obchod s ním. Albánie pov</w:t>
      </w:r>
      <w:r>
        <w:rPr>
          <w:rFonts w:ascii="Times New Roman" w:hAnsi="Times New Roman"/>
          <w:noProof/>
          <w:color w:val="000000" w:themeColor="text1"/>
          <w:sz w:val="24"/>
        </w:rPr>
        <w:t xml:space="preserve">olila, aby jeden členský stát EU prováděl intruzivní monitorování (letecké průzkumy prováděné italskou finanční policií </w:t>
      </w:r>
      <w:r>
        <w:rPr>
          <w:rFonts w:ascii="Times New Roman" w:hAnsi="Times New Roman"/>
          <w:i/>
          <w:noProof/>
          <w:color w:val="000000" w:themeColor="text1"/>
          <w:sz w:val="24"/>
        </w:rPr>
        <w:t>Guardia di Finanza</w:t>
      </w:r>
      <w:r>
        <w:rPr>
          <w:rFonts w:ascii="Times New Roman" w:hAnsi="Times New Roman"/>
          <w:noProof/>
          <w:color w:val="000000" w:themeColor="text1"/>
          <w:sz w:val="24"/>
        </w:rPr>
        <w:t xml:space="preserve"> spolufinancované EU). </w:t>
      </w:r>
      <w:r>
        <w:rPr>
          <w:rFonts w:ascii="Times New Roman" w:hAnsi="Times New Roman"/>
          <w:noProof/>
          <w:color w:val="000000"/>
          <w:sz w:val="24"/>
        </w:rPr>
        <w:t>Dohled ze vzduchu v posledních dvou pěstitelských sezónách</w:t>
      </w:r>
      <w:r>
        <w:rPr>
          <w:rFonts w:ascii="Times New Roman" w:hAnsi="Times New Roman"/>
          <w:noProof/>
          <w:color w:val="000000" w:themeColor="text1"/>
          <w:sz w:val="24"/>
        </w:rPr>
        <w:t xml:space="preserve"> potvrdil, že se v Albánii konopí téměř vůbec nepěstovalo. Tyto kroky představují hmatatelný pokrok při plnění loňských doporučení týkajících se zlepšování výsledků. V úsilí je třeba pokračovat, zejména potíráním praní peněz a konfiskacemi majetku pocházej</w:t>
      </w:r>
      <w:r>
        <w:rPr>
          <w:rFonts w:ascii="Times New Roman" w:hAnsi="Times New Roman"/>
          <w:noProof/>
          <w:color w:val="000000" w:themeColor="text1"/>
          <w:sz w:val="24"/>
        </w:rPr>
        <w:t xml:space="preserve">ícího z trestné činnosti a dalšího majetku bez prokázaného původu. </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Pokud jde o </w:t>
      </w:r>
      <w:r>
        <w:rPr>
          <w:rFonts w:ascii="Times New Roman" w:hAnsi="Times New Roman"/>
          <w:b/>
          <w:noProof/>
          <w:color w:val="000000" w:themeColor="text1"/>
          <w:sz w:val="24"/>
        </w:rPr>
        <w:t>základní práva</w:t>
      </w:r>
      <w:r>
        <w:rPr>
          <w:rFonts w:ascii="Times New Roman" w:hAnsi="Times New Roman"/>
          <w:noProof/>
          <w:color w:val="000000" w:themeColor="text1"/>
          <w:sz w:val="24"/>
        </w:rPr>
        <w:t>, Albánie obecně dodržuje mezinárodní nástroje pro lidská práva a vytvořila svůj právní rámec v souladu s evropskými normami. V průběhu sledovaného období Albánie</w:t>
      </w:r>
      <w:r>
        <w:rPr>
          <w:rFonts w:ascii="Times New Roman" w:hAnsi="Times New Roman"/>
          <w:noProof/>
          <w:color w:val="000000" w:themeColor="text1"/>
          <w:sz w:val="24"/>
        </w:rPr>
        <w:t xml:space="preserve"> usilovala o splnění závazků vyplývajících z mezinárodních právních nástrojů. Celkové provádění těchto nástrojů je však ještě třeba posílit. Došlo ke zlepšení právního rámce v oblastech práv dítěte a domácího násilí. Parlament v květnu 2018 schválil nový z</w:t>
      </w:r>
      <w:r>
        <w:rPr>
          <w:rFonts w:ascii="Times New Roman" w:hAnsi="Times New Roman"/>
          <w:noProof/>
          <w:color w:val="000000" w:themeColor="text1"/>
          <w:sz w:val="24"/>
        </w:rPr>
        <w:t>ákon o sociálním bydlení, který má posílit ochranu práva nejzranitelnějších členů romské a egyptské</w:t>
      </w:r>
      <w:r>
        <w:rPr>
          <w:rStyle w:val="FootnoteReference"/>
          <w:rFonts w:ascii="Times New Roman" w:hAnsi="Times New Roman"/>
          <w:noProof/>
          <w:color w:val="000000" w:themeColor="text1"/>
          <w:sz w:val="24"/>
        </w:rPr>
        <w:footnoteReference w:id="10"/>
      </w:r>
      <w:r>
        <w:rPr>
          <w:rFonts w:ascii="Times New Roman" w:hAnsi="Times New Roman"/>
          <w:noProof/>
          <w:color w:val="000000" w:themeColor="text1"/>
          <w:sz w:val="24"/>
        </w:rPr>
        <w:t xml:space="preserve"> komunity na bydlení. Další úsilí je zapotřebí v souvislosti s upevňováním vlastnických práv. Pokud jde o </w:t>
      </w:r>
      <w:r>
        <w:rPr>
          <w:rFonts w:ascii="Times New Roman" w:hAnsi="Times New Roman"/>
          <w:b/>
          <w:noProof/>
          <w:color w:val="000000" w:themeColor="text1"/>
          <w:sz w:val="24"/>
        </w:rPr>
        <w:t>svobodu projevu</w:t>
      </w:r>
      <w:r>
        <w:rPr>
          <w:rFonts w:ascii="Times New Roman" w:hAnsi="Times New Roman"/>
          <w:noProof/>
          <w:color w:val="000000" w:themeColor="text1"/>
          <w:sz w:val="24"/>
        </w:rPr>
        <w:t>, je celkové legislativní prostředí</w:t>
      </w:r>
      <w:r>
        <w:rPr>
          <w:rFonts w:ascii="Times New Roman" w:hAnsi="Times New Roman"/>
          <w:noProof/>
          <w:color w:val="000000" w:themeColor="text1"/>
          <w:sz w:val="24"/>
        </w:rPr>
        <w:t xml:space="preserve"> pro uplatňování svobody projevu příznivé, provádění však vyžaduje další úsilí.</w:t>
      </w:r>
    </w:p>
    <w:p w:rsidR="00BB42EA" w:rsidRDefault="00B004C8">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hospodářská kritéria</w:t>
      </w:r>
      <w:r>
        <w:rPr>
          <w:rFonts w:ascii="Times New Roman" w:hAnsi="Times New Roman"/>
          <w:noProof/>
          <w:color w:val="000000" w:themeColor="text1"/>
          <w:sz w:val="24"/>
        </w:rPr>
        <w:t>, dosáhla Albánie určitého pokroku a její připravenost v budování fungujícího tržního hospodářství je na mírně pokročilé úrovni. Hospodářský růs</w:t>
      </w:r>
      <w:r>
        <w:rPr>
          <w:rFonts w:ascii="Times New Roman" w:hAnsi="Times New Roman"/>
          <w:noProof/>
          <w:color w:val="000000" w:themeColor="text1"/>
          <w:sz w:val="24"/>
        </w:rPr>
        <w:t>t se dále zvyšoval a nezaměstnanost klesla, ačkoliv stále zůstává vysoká. Vývoz silně rostl a schodek běžného účtu se snížil. Pokračoval další pokles vysokého poměru veřejného dluhu k HDP, ale tempo fiskální konsolidace zůstalo pomalé. Banky dále snižovaly</w:t>
      </w:r>
      <w:r>
        <w:rPr>
          <w:rFonts w:ascii="Times New Roman" w:hAnsi="Times New Roman"/>
          <w:noProof/>
          <w:color w:val="000000" w:themeColor="text1"/>
          <w:sz w:val="24"/>
        </w:rPr>
        <w:t xml:space="preserve"> počet úvěrů se selháním a používání cizí měny. Bankovní sektor zůstal stabilní, růst podnikatelských úvěrů se však nezvýšil. Byla přijata opatření za účelem rozvoje finančního trhu. Podnikatelské prostředí se zlepšilo pouze v některých ohledech. Očekává s</w:t>
      </w:r>
      <w:r>
        <w:rPr>
          <w:rFonts w:ascii="Times New Roman" w:hAnsi="Times New Roman"/>
          <w:noProof/>
          <w:color w:val="000000" w:themeColor="text1"/>
          <w:sz w:val="24"/>
        </w:rPr>
        <w:t>e, že pokrok v provádění komplexní reformy soudnictví přispěje k posílení podnikatelského prostředí a přilákání investic. Určitého pokroku bylo dosaženo při zvyšování účasti na trhu práce a kvality a účinnosti institucí a služeb trhu práce, ale míra zaměst</w:t>
      </w:r>
      <w:r>
        <w:rPr>
          <w:rFonts w:ascii="Times New Roman" w:hAnsi="Times New Roman"/>
          <w:noProof/>
          <w:color w:val="000000" w:themeColor="text1"/>
          <w:sz w:val="24"/>
        </w:rPr>
        <w:t>nanosti i účast na trhu práce zůstaly nízké a významným poskytovatelem pracovních příležitostí je stále neformální ekonomika.</w:t>
      </w:r>
    </w:p>
    <w:p w:rsidR="00BB42EA" w:rsidRDefault="00B004C8">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Pokud jde o schopnost vypořádat se s konkurenčními tlaky a tržními silami v rámci Unie, dosáhla Albánie určitého pokroku a její př</w:t>
      </w:r>
      <w:r>
        <w:rPr>
          <w:rFonts w:ascii="Times New Roman" w:hAnsi="Times New Roman"/>
          <w:noProof/>
          <w:color w:val="000000" w:themeColor="text1"/>
          <w:sz w:val="24"/>
        </w:rPr>
        <w:t>ipravenost je na určité úrovni. Albánie učinila určitý pokrok v oblasti rozvoje energetické, dopravní a digitální infrastruktury, ale nedostatek výrobního know-how, nízké úrovně vzdělání a omezený přenos technologií snižují konkurenceschopnost země a brání</w:t>
      </w:r>
      <w:r>
        <w:rPr>
          <w:rFonts w:ascii="Times New Roman" w:hAnsi="Times New Roman"/>
          <w:noProof/>
          <w:color w:val="000000" w:themeColor="text1"/>
          <w:sz w:val="24"/>
        </w:rPr>
        <w:t xml:space="preserve"> jejímu začlenění do mezinárodních hodnotových řetězců. Vývoz a regionální integrace nedosahují potenciálu. Snahy o zlepšení vzdělávání a odborné přípravy přinášejí určité výsledky, ale v reformách je třeba pokračovat, především za účelem lepšího řešení si</w:t>
      </w:r>
      <w:r>
        <w:rPr>
          <w:rFonts w:ascii="Times New Roman" w:hAnsi="Times New Roman"/>
          <w:noProof/>
          <w:color w:val="000000" w:themeColor="text1"/>
          <w:sz w:val="24"/>
        </w:rPr>
        <w:t>tuace venkovských oblastí a zranitelných skupin. Kapacita Albánie pro výzkum, vývoj a inovace zůstala velmi nízká.</w:t>
      </w:r>
    </w:p>
    <w:p w:rsidR="00BB42EA" w:rsidRDefault="00B004C8">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dobré sousedské vztahy a regionální spolupráci</w:t>
      </w:r>
      <w:r>
        <w:rPr>
          <w:rFonts w:ascii="Times New Roman" w:hAnsi="Times New Roman"/>
          <w:noProof/>
          <w:color w:val="000000" w:themeColor="text1"/>
          <w:sz w:val="24"/>
        </w:rPr>
        <w:t>, Albánie se i nadále aktivně účastnila regionální spolupráce a udržovala dobré sou</w:t>
      </w:r>
      <w:r>
        <w:rPr>
          <w:rFonts w:ascii="Times New Roman" w:hAnsi="Times New Roman"/>
          <w:noProof/>
          <w:color w:val="000000" w:themeColor="text1"/>
          <w:sz w:val="24"/>
        </w:rPr>
        <w:t>sedské vztahy. Podnikla významné kroky k vyřešení dvoustranných sporů s Řeckem.</w:t>
      </w:r>
    </w:p>
    <w:p w:rsidR="00BB42EA" w:rsidRDefault="00B004C8">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řadě oblastí Albánie pokračovala ve sbližování svých právních předpisů s požadavky EU, a zvýšila tak svou </w:t>
      </w:r>
      <w:r>
        <w:rPr>
          <w:rFonts w:ascii="Times New Roman" w:hAnsi="Times New Roman"/>
          <w:b/>
          <w:noProof/>
          <w:color w:val="000000" w:themeColor="text1"/>
          <w:sz w:val="24"/>
        </w:rPr>
        <w:t>schopnost převzít závazky vyplývající z členství</w:t>
      </w:r>
      <w:r>
        <w:rPr>
          <w:rFonts w:ascii="Times New Roman" w:hAnsi="Times New Roman"/>
          <w:noProof/>
          <w:color w:val="000000" w:themeColor="text1"/>
          <w:sz w:val="24"/>
        </w:rPr>
        <w:t xml:space="preserve">. Připravenost země </w:t>
      </w:r>
      <w:r>
        <w:rPr>
          <w:rFonts w:ascii="Times New Roman" w:hAnsi="Times New Roman"/>
          <w:noProof/>
          <w:color w:val="000000" w:themeColor="text1"/>
          <w:sz w:val="24"/>
        </w:rPr>
        <w:t>je v mnoha oblastech na mírně pokročilé úrovni, například v případě finanční kontroly, vzdělávání a kultury a statistiky, nebo dosáhla určité úrovně, mimo jiné v oblastech zadávání veřejných zakázek a transevropských sítí. Bude třeba, aby Albánie pokračova</w:t>
      </w:r>
      <w:r>
        <w:rPr>
          <w:rFonts w:ascii="Times New Roman" w:hAnsi="Times New Roman"/>
          <w:noProof/>
          <w:color w:val="000000" w:themeColor="text1"/>
          <w:sz w:val="24"/>
        </w:rPr>
        <w:t xml:space="preserve">la v úsilí, pokud jde o celkovou připravenost přijmout a provádět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EU. Pro dosažení fungujícího systému vnitřní kontroly ve veřejném sektoru zůstává klíčové přijetí komplexní politiky v oblasti vnitřní finanční kontroly ve veřejné správě a koordinace</w:t>
      </w:r>
      <w:r>
        <w:rPr>
          <w:rFonts w:ascii="Times New Roman" w:hAnsi="Times New Roman"/>
          <w:noProof/>
          <w:color w:val="000000" w:themeColor="text1"/>
          <w:sz w:val="24"/>
        </w:rPr>
        <w:t xml:space="preserve"> jejího provádění s probíhající reformou veřejné správy a správy veřejných financí. Albánie by měla pokračovat v práci na rozvoji dopravních a energetických sítí a na souvisejících reformních opatřeních v oblasti propojení, a to rovněž s cílem zlepšit prop</w:t>
      </w:r>
      <w:r>
        <w:rPr>
          <w:rFonts w:ascii="Times New Roman" w:hAnsi="Times New Roman"/>
          <w:noProof/>
          <w:color w:val="000000" w:themeColor="text1"/>
          <w:sz w:val="24"/>
        </w:rPr>
        <w:t xml:space="preserve">ojení v rámci regionu. </w:t>
      </w:r>
    </w:p>
    <w:p w:rsidR="00BB42EA" w:rsidRDefault="00B004C8">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Je třeba posílit správní kapacitu a profesní standardy subjektů pověřených prováděním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a zaručit nezávislost regulačních subjektů. Zásadní význam má i nadále zvyšování transparentnosti a odpovědnosti, zejména zajištění účinnéh</w:t>
      </w:r>
      <w:r>
        <w:rPr>
          <w:rFonts w:ascii="Times New Roman" w:hAnsi="Times New Roman"/>
          <w:noProof/>
          <w:color w:val="000000" w:themeColor="text1"/>
          <w:sz w:val="24"/>
        </w:rPr>
        <w:t>o, efektivního a transparentního fungování systému zadávání veřejných zakázek a správy veřejných financí. Albánie pokračovala v plném sbližování se všemi postoji a prohlášeními společné zahraniční a bezpečnostní politiky EU.</w:t>
      </w:r>
    </w:p>
    <w:p w:rsidR="00BB42EA" w:rsidRDefault="00B004C8">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Pokud jde o </w:t>
      </w:r>
      <w:r>
        <w:rPr>
          <w:rFonts w:ascii="Times New Roman" w:hAnsi="Times New Roman"/>
          <w:b/>
          <w:noProof/>
          <w:color w:val="000000" w:themeColor="text1"/>
          <w:sz w:val="24"/>
        </w:rPr>
        <w:t>migraci</w:t>
      </w:r>
      <w:r>
        <w:rPr>
          <w:rFonts w:ascii="Times New Roman" w:hAnsi="Times New Roman"/>
          <w:noProof/>
          <w:color w:val="000000" w:themeColor="text1"/>
          <w:sz w:val="24"/>
        </w:rPr>
        <w:t>, určitého p</w:t>
      </w:r>
      <w:r>
        <w:rPr>
          <w:rFonts w:ascii="Times New Roman" w:hAnsi="Times New Roman"/>
          <w:noProof/>
          <w:color w:val="000000" w:themeColor="text1"/>
          <w:sz w:val="24"/>
        </w:rPr>
        <w:t>okroku bylo dosaženo při zlepšování institucionální kapacity v oblasti správy hranic a azylu.</w:t>
      </w:r>
      <w:r>
        <w:rPr>
          <w:rFonts w:ascii="Times New Roman" w:hAnsi="Times New Roman"/>
          <w:b/>
          <w:noProof/>
          <w:color w:val="000000" w:themeColor="text1"/>
          <w:sz w:val="24"/>
        </w:rPr>
        <w:t xml:space="preserve"> </w:t>
      </w:r>
      <w:r>
        <w:rPr>
          <w:rFonts w:ascii="Times New Roman" w:hAnsi="Times New Roman"/>
          <w:noProof/>
          <w:color w:val="000000" w:themeColor="text1"/>
          <w:sz w:val="24"/>
        </w:rPr>
        <w:t>V říjnu 2018 podepsala Albánie dohodu s EU o postavení jednotek Evropské pohraniční a pobřežní stráže.</w:t>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Dále byla posílena přijímací kapacita pro řešení smíšených </w:t>
      </w:r>
      <w:r>
        <w:rPr>
          <w:rFonts w:ascii="Times New Roman" w:hAnsi="Times New Roman"/>
          <w:noProof/>
          <w:color w:val="000000" w:themeColor="text1"/>
          <w:sz w:val="24"/>
        </w:rPr>
        <w:t xml:space="preserve">migračních toků. Ačkoli počet nepodložených žádostí o azyl, jež v EU podali státní příslušníci Albánie, klesl, zůstává stále vysoký a vyžaduje pokračující a nepřetržité úsilí, stejně jako řešení fenoménu nezletilých osob bez doprovodu. </w:t>
      </w:r>
    </w:p>
    <w:p w:rsidR="00BB42EA" w:rsidRDefault="00B004C8">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Kosovo</w:t>
      </w:r>
    </w:p>
    <w:p w:rsidR="00BB42EA" w:rsidRDefault="00B004C8">
      <w:pPr>
        <w:autoSpaceDE w:val="0"/>
        <w:autoSpaceDN w:val="0"/>
        <w:adjustRightInd w:val="0"/>
        <w:spacing w:after="120" w:line="240" w:lineRule="auto"/>
        <w:jc w:val="both"/>
        <w:rPr>
          <w:rFonts w:ascii="Times New Roman" w:eastAsia="Times New Roman" w:hAnsi="Times New Roman" w:cs="Times New Roman"/>
          <w:bCs/>
          <w:noProof/>
          <w:sz w:val="24"/>
          <w:szCs w:val="24"/>
        </w:rPr>
      </w:pPr>
      <w:r>
        <w:rPr>
          <w:rFonts w:ascii="Times New Roman" w:hAnsi="Times New Roman"/>
          <w:noProof/>
          <w:color w:val="000000" w:themeColor="text1"/>
          <w:sz w:val="24"/>
        </w:rPr>
        <w:t xml:space="preserve">Pokud jde o </w:t>
      </w:r>
      <w:r>
        <w:rPr>
          <w:rFonts w:ascii="Times New Roman" w:hAnsi="Times New Roman"/>
          <w:b/>
          <w:noProof/>
          <w:sz w:val="24"/>
        </w:rPr>
        <w:t>politická kritéria</w:t>
      </w:r>
      <w:r>
        <w:rPr>
          <w:rFonts w:ascii="Times New Roman" w:hAnsi="Times New Roman"/>
          <w:noProof/>
          <w:color w:val="000000" w:themeColor="text1"/>
          <w:sz w:val="24"/>
        </w:rPr>
        <w:t>, Kosovo pokročilo při provádění určitých klíčových reforem souvisejících s EU, zejména pokud jde o zlepšení</w:t>
      </w:r>
      <w:r>
        <w:rPr>
          <w:rFonts w:ascii="Times New Roman" w:hAnsi="Times New Roman"/>
          <w:noProof/>
          <w:sz w:val="24"/>
        </w:rPr>
        <w:t xml:space="preserve"> právního rámce v oblasti právního státu a veřejné správy. Řada opatření a rozhodnutí </w:t>
      </w:r>
      <w:r>
        <w:rPr>
          <w:rFonts w:ascii="Times New Roman" w:hAnsi="Times New Roman"/>
          <w:i/>
          <w:noProof/>
          <w:sz w:val="24"/>
        </w:rPr>
        <w:t>ad hoc</w:t>
      </w:r>
      <w:r>
        <w:rPr>
          <w:rFonts w:ascii="Times New Roman" w:hAnsi="Times New Roman"/>
          <w:noProof/>
          <w:sz w:val="24"/>
        </w:rPr>
        <w:t xml:space="preserve"> však nebyla v souladu s cíli reforem </w:t>
      </w:r>
      <w:r>
        <w:rPr>
          <w:rFonts w:ascii="Times New Roman" w:hAnsi="Times New Roman"/>
          <w:noProof/>
          <w:sz w:val="24"/>
        </w:rPr>
        <w:t>stanovenými vládou. Důvěryhodnost a účinnost vlády i nadále ovlivňovala její nadměrná velikost, včetně dalšího zvýšení počtu náměstků ministrů.</w:t>
      </w:r>
    </w:p>
    <w:p w:rsidR="00BB42EA" w:rsidRDefault="00B004C8">
      <w:pPr>
        <w:autoSpaceDE w:val="0"/>
        <w:autoSpaceDN w:val="0"/>
        <w:adjustRightInd w:val="0"/>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Národní shromáždění bylo v některých pro Kosovo klíčových strategických záležitostech schopné dosáhnout většiny,</w:t>
      </w:r>
      <w:r>
        <w:rPr>
          <w:rFonts w:ascii="Times New Roman" w:hAnsi="Times New Roman"/>
          <w:noProof/>
          <w:sz w:val="24"/>
        </w:rPr>
        <w:t xml:space="preserve"> jak prokázala ratifikace dohody o hranicích s Černou Horou a přijetí důležitých legislativních reforem souvisejících s EU. Shromáždění však nadále působilo ve vysoce polarizovaném politickém kontextu a v jeho celkovém fungování stále přetrvávaly nedostatk</w:t>
      </w:r>
      <w:r>
        <w:rPr>
          <w:rFonts w:ascii="Times New Roman" w:hAnsi="Times New Roman"/>
          <w:noProof/>
          <w:sz w:val="24"/>
        </w:rPr>
        <w:t>y, což se projevovalo konkrétně tím, že často nebylo dosaženo usnášeníschopnosti. To vedlo ke zpožděním v legislativní činnosti.</w:t>
      </w:r>
    </w:p>
    <w:p w:rsidR="00BB42EA" w:rsidRDefault="00B004C8">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Bylo dosaženo omezeného pokroku při řešení zjištění a doporučení volební pozorovatelské mise EU týkajících se parlamentních a komunálních voleb v roce 2017. </w:t>
      </w:r>
    </w:p>
    <w:p w:rsidR="00BB42EA" w:rsidRDefault="00B004C8">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Situace na severu Kosova zůstává zvláště problematická.</w:t>
      </w:r>
    </w:p>
    <w:p w:rsidR="00BB42EA" w:rsidRDefault="00B004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oblasti </w:t>
      </w:r>
      <w:r>
        <w:rPr>
          <w:rFonts w:ascii="Times New Roman" w:hAnsi="Times New Roman"/>
          <w:b/>
          <w:noProof/>
          <w:sz w:val="24"/>
        </w:rPr>
        <w:t>reformy veřejné správy</w:t>
      </w:r>
      <w:r>
        <w:rPr>
          <w:rFonts w:ascii="Times New Roman" w:hAnsi="Times New Roman"/>
          <w:noProof/>
          <w:sz w:val="24"/>
        </w:rPr>
        <w:t xml:space="preserve"> je připra</w:t>
      </w:r>
      <w:r>
        <w:rPr>
          <w:rFonts w:ascii="Times New Roman" w:hAnsi="Times New Roman"/>
          <w:noProof/>
          <w:sz w:val="24"/>
        </w:rPr>
        <w:t>venost země na určité úrovni. Ve sledovaném období bylo obecně dosaženo určitého pokroku, je však třeba intenzivně usilovat o to, aby se zamezilo politickému ovlivňování náboru vysoce postavených úředníků. Dobrý pokrok byl učiněn, pokud jde o přijetí balíč</w:t>
      </w:r>
      <w:r>
        <w:rPr>
          <w:rFonts w:ascii="Times New Roman" w:hAnsi="Times New Roman"/>
          <w:noProof/>
          <w:sz w:val="24"/>
        </w:rPr>
        <w:t>ku zákonů o fungování a organizaci veřejné správy, veřejných činitelích a platech. K dalším úspěchům patří přijetí pokynů pro strategické plánování a zahájení provádění akčního plánu racionalizace agentur. Revidovaný právní rámec je důležitým krokem k vytv</w:t>
      </w:r>
      <w:r>
        <w:rPr>
          <w:rFonts w:ascii="Times New Roman" w:hAnsi="Times New Roman"/>
          <w:noProof/>
          <w:sz w:val="24"/>
        </w:rPr>
        <w:t xml:space="preserve">oření moderní a profesionální veřejné služby a zlepšení odpovědnosti. Přestože zákon o platech zavádí transparentnější a rovnoprávnější systém platů veřejných činitelů, jeho střednědobý rozpočtový dopad vzbuzuje obavy. </w:t>
      </w:r>
    </w:p>
    <w:p w:rsidR="00BB42EA" w:rsidRDefault="00B004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Připravenost </w:t>
      </w:r>
      <w:r>
        <w:rPr>
          <w:rFonts w:ascii="Times New Roman" w:hAnsi="Times New Roman"/>
          <w:b/>
          <w:noProof/>
          <w:sz w:val="24"/>
        </w:rPr>
        <w:t>soudního systému</w:t>
      </w:r>
      <w:r>
        <w:rPr>
          <w:rFonts w:ascii="Times New Roman" w:hAnsi="Times New Roman"/>
          <w:noProof/>
          <w:sz w:val="24"/>
        </w:rPr>
        <w:t xml:space="preserve"> Kosova</w:t>
      </w:r>
      <w:r>
        <w:rPr>
          <w:rFonts w:ascii="Times New Roman" w:hAnsi="Times New Roman"/>
          <w:noProof/>
          <w:sz w:val="24"/>
        </w:rPr>
        <w:t xml:space="preserve"> je v počáteční fázi. Určitého pokroku bylo dosaženo přijetím zákona o disciplinární odpovědnosti soudců a státních zástupců a zákona o mediaci a pokročilo zavádění elektronického systému správy případů. V roce 2018 vzrostl počet justičních zaměstnanců, a </w:t>
      </w:r>
      <w:r>
        <w:rPr>
          <w:rFonts w:ascii="Times New Roman" w:hAnsi="Times New Roman"/>
          <w:noProof/>
          <w:sz w:val="24"/>
        </w:rPr>
        <w:t>to jak ve státních zastupitelstvích, včetně zvláštního státního zastupitelství, tak i na soudech. Ačkoli začlenění soudců, státních zástupců a jejich podpůrného personálu z řad kosovských Srbů do kosovského justičního systému bylo formálně dokončeno v roce</w:t>
      </w:r>
      <w:r>
        <w:rPr>
          <w:rFonts w:ascii="Times New Roman" w:hAnsi="Times New Roman"/>
          <w:noProof/>
          <w:sz w:val="24"/>
        </w:rPr>
        <w:t xml:space="preserve"> 2017, je k zajištění plné funkčnosti, zejména s ohledem na odvolací soud, potřeba další úsilí. Soudnictví je stále zranitelné vůči nepatřičnému politickému vlivu. Výkon spravedlnosti zůstává pomalý a neúčinný a instituce právního státu vyžadují trvalé úsi</w:t>
      </w:r>
      <w:r>
        <w:rPr>
          <w:rFonts w:ascii="Times New Roman" w:hAnsi="Times New Roman"/>
          <w:noProof/>
          <w:sz w:val="24"/>
        </w:rPr>
        <w:t xml:space="preserve">lí o vybudování kapacit. </w:t>
      </w:r>
    </w:p>
    <w:p w:rsidR="00BB42EA" w:rsidRDefault="00B004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oblasti </w:t>
      </w:r>
      <w:r>
        <w:rPr>
          <w:rFonts w:ascii="Times New Roman" w:hAnsi="Times New Roman"/>
          <w:b/>
          <w:noProof/>
          <w:sz w:val="24"/>
        </w:rPr>
        <w:t>boje proti korupci</w:t>
      </w:r>
      <w:r>
        <w:rPr>
          <w:rFonts w:ascii="Times New Roman" w:hAnsi="Times New Roman"/>
          <w:noProof/>
          <w:sz w:val="24"/>
        </w:rPr>
        <w:t xml:space="preserve"> je Kosovo v počáteční fázi / na určité úrovni připravenosti. Kosovo dosáhlo určitého pokroku prostřednictvím významných legislativních reforem v oblasti právního státu a vyšetřování a stíhání případů n</w:t>
      </w:r>
      <w:r>
        <w:rPr>
          <w:rFonts w:ascii="Times New Roman" w:hAnsi="Times New Roman"/>
          <w:noProof/>
          <w:sz w:val="24"/>
        </w:rPr>
        <w:t xml:space="preserve">a vysoké úrovni. Pokroku bylo dosaženo rovněž v předběžné konfiskaci majetku, avšak míra pravomocných konfiskací zůstává nízká. Korupce je rozšířená a nadále představuje problém. </w:t>
      </w:r>
    </w:p>
    <w:p w:rsidR="00BB42EA" w:rsidRDefault="00B004C8">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Připravenost Kosova v oblasti </w:t>
      </w:r>
      <w:r>
        <w:rPr>
          <w:rFonts w:ascii="Times New Roman" w:hAnsi="Times New Roman"/>
          <w:b/>
          <w:noProof/>
          <w:sz w:val="24"/>
        </w:rPr>
        <w:t>boje proti organizované trestné činnosti</w:t>
      </w:r>
      <w:r>
        <w:rPr>
          <w:rFonts w:ascii="Times New Roman" w:hAnsi="Times New Roman"/>
          <w:noProof/>
          <w:sz w:val="24"/>
        </w:rPr>
        <w:t xml:space="preserve"> je v </w:t>
      </w:r>
      <w:r>
        <w:rPr>
          <w:rFonts w:ascii="Times New Roman" w:hAnsi="Times New Roman"/>
          <w:noProof/>
          <w:sz w:val="24"/>
        </w:rPr>
        <w:t>počáteční fázi. Určitého pokroku bylo dosaženo konkrétně prostřednictvím významných legislativních reforem v oblasti právního státu, vyšetřování a stíhání případů na vysoké úrovni a předběžného zmrazení majetku. U pravomocných konfiskací majetku však byl p</w:t>
      </w:r>
      <w:r>
        <w:rPr>
          <w:rFonts w:ascii="Times New Roman" w:hAnsi="Times New Roman"/>
          <w:noProof/>
          <w:sz w:val="24"/>
        </w:rPr>
        <w:t>okrok malý a stále je málo finančních vyšetřování a pravomocných odsouzení. Je zapotřebí přijmout přísná opatření, která zajistí, aby nedocházelo k žádnému politickému zasahování do operační činnosti donucovacích orgánů a stíhání. Pokud jde o organizovanou</w:t>
      </w:r>
      <w:r>
        <w:rPr>
          <w:rFonts w:ascii="Times New Roman" w:hAnsi="Times New Roman"/>
          <w:noProof/>
          <w:sz w:val="24"/>
        </w:rPr>
        <w:t xml:space="preserve"> trestnou činnost, působí situace na severu Kosova donucovacím orgánům i nadále problémy. </w:t>
      </w:r>
    </w:p>
    <w:p w:rsidR="00BB42EA" w:rsidRDefault="00B004C8">
      <w:pPr>
        <w:autoSpaceDE w:val="0"/>
        <w:autoSpaceDN w:val="0"/>
        <w:adjustRightInd w:val="0"/>
        <w:spacing w:after="120" w:line="240" w:lineRule="auto"/>
        <w:jc w:val="both"/>
        <w:rPr>
          <w:rFonts w:ascii="Times New Roman" w:hAnsi="Times New Roman" w:cs="Times New Roman"/>
          <w:b/>
          <w:noProof/>
          <w:sz w:val="24"/>
          <w:szCs w:val="24"/>
        </w:rPr>
      </w:pPr>
      <w:r>
        <w:rPr>
          <w:rFonts w:ascii="Times New Roman" w:hAnsi="Times New Roman"/>
          <w:noProof/>
          <w:sz w:val="24"/>
        </w:rPr>
        <w:t>Pokroku bylo dosaženo v boji proti terorismu, zejména s ohledem na vytvoření lepších podmínek pro rehabilitaci a opětovné začlenění zahraničních teroristických bojov</w:t>
      </w:r>
      <w:r>
        <w:rPr>
          <w:rFonts w:ascii="Times New Roman" w:hAnsi="Times New Roman"/>
          <w:noProof/>
          <w:sz w:val="24"/>
        </w:rPr>
        <w:t xml:space="preserve">níků a jejich rodin. Kosovské orgány musí účinněji bojovat proti praní peněz a příslušný zákon by měl být uveden do souladu s </w:t>
      </w:r>
      <w:r>
        <w:rPr>
          <w:rFonts w:ascii="Times New Roman" w:hAnsi="Times New Roman"/>
          <w:i/>
          <w:noProof/>
          <w:sz w:val="24"/>
        </w:rPr>
        <w:t>acquis</w:t>
      </w:r>
      <w:r>
        <w:rPr>
          <w:rFonts w:ascii="Times New Roman" w:hAnsi="Times New Roman"/>
          <w:noProof/>
          <w:sz w:val="24"/>
        </w:rPr>
        <w:t xml:space="preserve"> EU a mezinárodními normami.</w:t>
      </w:r>
    </w:p>
    <w:p w:rsidR="00BB42EA" w:rsidRDefault="00B004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Právní rámec obecně zajišťuje ochranu lidských a </w:t>
      </w:r>
      <w:r>
        <w:rPr>
          <w:rFonts w:ascii="Times New Roman" w:hAnsi="Times New Roman"/>
          <w:b/>
          <w:noProof/>
          <w:sz w:val="24"/>
        </w:rPr>
        <w:t>základních práv</w:t>
      </w:r>
      <w:r>
        <w:rPr>
          <w:rFonts w:ascii="Times New Roman" w:hAnsi="Times New Roman"/>
          <w:noProof/>
          <w:sz w:val="24"/>
        </w:rPr>
        <w:t xml:space="preserve"> v souladu s evropskými normami</w:t>
      </w:r>
      <w:r>
        <w:rPr>
          <w:rFonts w:ascii="Times New Roman" w:hAnsi="Times New Roman"/>
          <w:noProof/>
          <w:sz w:val="24"/>
        </w:rPr>
        <w:t>. Provádění právních předpisů a strategií v oblasti lidských práv je však často oslabováno nedostatkem finančních a jiných zdrojů, zejména na místní úrovni, špatnou hierarchizací politických priorit a nedostatečnou koordinací. Stávající mechanismy pro koor</w:t>
      </w:r>
      <w:r>
        <w:rPr>
          <w:rFonts w:ascii="Times New Roman" w:hAnsi="Times New Roman"/>
          <w:noProof/>
          <w:sz w:val="24"/>
        </w:rPr>
        <w:t>dinaci a provádění lidských práv jsou neúčinné. Přetrvává velká závislost na zahraničních dárcích. Je třeba vynaložit více úsilí na účinné zaručení práv příslušníků menšin, včetně Romů a Aškalů, a vysídlených osob, na zajištění rovnosti žen a mužů v praxi,</w:t>
      </w:r>
      <w:r>
        <w:rPr>
          <w:rFonts w:ascii="Times New Roman" w:hAnsi="Times New Roman"/>
          <w:noProof/>
          <w:sz w:val="24"/>
        </w:rPr>
        <w:t xml:space="preserve"> na zřízení integrovaného systému ochrany dětí a na lepší ochranu kulturního dědictví. V oblasti </w:t>
      </w:r>
      <w:r>
        <w:rPr>
          <w:rFonts w:ascii="Times New Roman" w:hAnsi="Times New Roman"/>
          <w:b/>
          <w:noProof/>
          <w:sz w:val="24"/>
        </w:rPr>
        <w:t>svobody projevu</w:t>
      </w:r>
      <w:r>
        <w:rPr>
          <w:rFonts w:ascii="Times New Roman" w:hAnsi="Times New Roman"/>
          <w:noProof/>
          <w:sz w:val="24"/>
        </w:rPr>
        <w:t>, která je zakotvena v ústavě, je připravenost Kosova na určité úrovni. Kosovo těží z pluralitního a živého mediálního prostředí. Instituce práv</w:t>
      </w:r>
      <w:r>
        <w:rPr>
          <w:rFonts w:ascii="Times New Roman" w:hAnsi="Times New Roman"/>
          <w:noProof/>
          <w:sz w:val="24"/>
        </w:rPr>
        <w:t>ního státu se ve stále větší míře zabývají hrozbami a útoky namířenými proti novinářům a počet incidentů klesá. Stále je ještě třeba schválit udržitelné řešení pro financování veřejnoprávního vysílání. Vysílání je i nadále zranitelné vůči politickému tlaku</w:t>
      </w:r>
      <w:r>
        <w:rPr>
          <w:rFonts w:ascii="Times New Roman" w:hAnsi="Times New Roman"/>
          <w:noProof/>
          <w:sz w:val="24"/>
        </w:rPr>
        <w:t xml:space="preserve"> a vlivu.</w:t>
      </w:r>
    </w:p>
    <w:p w:rsidR="00BB42EA" w:rsidRDefault="00B004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Pokud jde o </w:t>
      </w:r>
      <w:r>
        <w:rPr>
          <w:rFonts w:ascii="Times New Roman" w:hAnsi="Times New Roman"/>
          <w:b/>
          <w:noProof/>
          <w:sz w:val="24"/>
        </w:rPr>
        <w:t>ekonomická kritéria</w:t>
      </w:r>
      <w:r>
        <w:rPr>
          <w:rFonts w:ascii="Times New Roman" w:hAnsi="Times New Roman"/>
          <w:noProof/>
          <w:color w:val="000000" w:themeColor="text1"/>
          <w:sz w:val="24"/>
        </w:rPr>
        <w:t>,</w:t>
      </w:r>
      <w:r>
        <w:rPr>
          <w:rFonts w:ascii="Times New Roman" w:hAnsi="Times New Roman"/>
          <w:noProof/>
          <w:sz w:val="24"/>
        </w:rPr>
        <w:t xml:space="preserve"> Kosovo se nachází v počáteční fázi a dosáhlo určitého pokroku při budování fungujícího tržního hospodářství. Hospodářský růst byl silný, ale velmi problematická situace na trhu práce zůstává stále znepokojivá. Vlá</w:t>
      </w:r>
      <w:r>
        <w:rPr>
          <w:rFonts w:ascii="Times New Roman" w:hAnsi="Times New Roman"/>
          <w:noProof/>
          <w:sz w:val="24"/>
        </w:rPr>
        <w:t>da dodržovala fiskální pravidla, ale tlaky na výdaje související se sociálními dávkami pro specifické skupiny obyvatelstva a mzdami zaměstnanců veřejného sektoru ohrožují veřejné finance a omezují rozvoj soukromého sektoru. Podnikatelské prostředí se poněk</w:t>
      </w:r>
      <w:r>
        <w:rPr>
          <w:rFonts w:ascii="Times New Roman" w:hAnsi="Times New Roman"/>
          <w:noProof/>
          <w:sz w:val="24"/>
        </w:rPr>
        <w:t>ud zlepšilo, přetrvávají však dlouhodobé problémy, včetně rozšířené neformální ekonomiky, pomalého a neefektivního soudnictví, vysokého výskytu korupce a obecně slabých institucí právního státu. Hospodářská diverzifikace pokračovala pomalu navzdory silnému</w:t>
      </w:r>
      <w:r>
        <w:rPr>
          <w:rFonts w:ascii="Times New Roman" w:hAnsi="Times New Roman"/>
          <w:noProof/>
          <w:sz w:val="24"/>
        </w:rPr>
        <w:t xml:space="preserve"> růstu vývozu služeb.</w:t>
      </w:r>
    </w:p>
    <w:p w:rsidR="00BB42EA" w:rsidRDefault="00B004C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Pokud jde o schopnost vypořádat se konkurenčním tlakem a tržními silami v EU, nachází se Kosovo v počáteční fázi a dosáhlo určitého pokroku. Kosovo učinilo určitý pokrok při zlepšování silnic, avšak železniční a energetická infrastruktura má velké nedostat</w:t>
      </w:r>
      <w:r>
        <w:rPr>
          <w:rFonts w:ascii="Times New Roman" w:hAnsi="Times New Roman"/>
          <w:noProof/>
          <w:sz w:val="24"/>
        </w:rPr>
        <w:t>ky. Malého pokroku bylo dosaženo v oblasti zajištění stabilních dodávek energie a ztráty v odvětví elektřiny zůstávají velmi vysoké. Pokud jde o digitalizaci hospodářství, dosáhlo Kosovo určitého pokroku. Při zvyšování kvality vzdělávání a řešení nedostatk</w:t>
      </w:r>
      <w:r>
        <w:rPr>
          <w:rFonts w:ascii="Times New Roman" w:hAnsi="Times New Roman"/>
          <w:noProof/>
          <w:sz w:val="24"/>
        </w:rPr>
        <w:t xml:space="preserve">u kvalifikovaných pracovníků na trhu práce byl pokrok malý. Strukturální změny probíhají jen pomalu a hospodářství zůstává silně závislé na odvětví domácího obchodu. Růst vývozu je poháněn především vývozem služeb pro diasporu a nedostatečná diverzifikace </w:t>
      </w:r>
      <w:r>
        <w:rPr>
          <w:rFonts w:ascii="Times New Roman" w:hAnsi="Times New Roman"/>
          <w:noProof/>
          <w:sz w:val="24"/>
        </w:rPr>
        <w:t xml:space="preserve">výrobků brzdí růst vývozu zboží. </w:t>
      </w:r>
    </w:p>
    <w:p w:rsidR="00BB42EA" w:rsidRDefault="00B004C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Pokud jde o </w:t>
      </w:r>
      <w:r>
        <w:rPr>
          <w:rFonts w:ascii="Times New Roman" w:hAnsi="Times New Roman"/>
          <w:b/>
          <w:noProof/>
          <w:sz w:val="24"/>
        </w:rPr>
        <w:t>dobré sousedské vztahy a</w:t>
      </w:r>
      <w:r>
        <w:rPr>
          <w:rFonts w:ascii="Times New Roman" w:hAnsi="Times New Roman"/>
          <w:noProof/>
          <w:sz w:val="24"/>
        </w:rPr>
        <w:t> </w:t>
      </w:r>
      <w:r>
        <w:rPr>
          <w:rFonts w:ascii="Times New Roman" w:hAnsi="Times New Roman"/>
          <w:b/>
          <w:noProof/>
          <w:sz w:val="24"/>
        </w:rPr>
        <w:t>regionální spolupráci</w:t>
      </w:r>
      <w:r>
        <w:rPr>
          <w:rFonts w:ascii="Times New Roman" w:hAnsi="Times New Roman"/>
          <w:noProof/>
          <w:sz w:val="24"/>
        </w:rPr>
        <w:t>, Kosovo se i nadále účastnilo většiny regionálních fór. Rozhodnutí Kosova uvalit na dovoz ze Srbska a z Bosny a Hercegoviny 100% cla však podkopalo úsilí o regioná</w:t>
      </w:r>
      <w:r>
        <w:rPr>
          <w:rFonts w:ascii="Times New Roman" w:hAnsi="Times New Roman"/>
          <w:noProof/>
          <w:sz w:val="24"/>
        </w:rPr>
        <w:t>lní spolupráci.</w:t>
      </w:r>
    </w:p>
    <w:p w:rsidR="00BB42EA" w:rsidRDefault="00B004C8">
      <w:pPr>
        <w:spacing w:after="12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Pokud jde o </w:t>
      </w:r>
      <w:r>
        <w:rPr>
          <w:rFonts w:ascii="Times New Roman" w:hAnsi="Times New Roman"/>
          <w:b/>
          <w:noProof/>
          <w:sz w:val="24"/>
        </w:rPr>
        <w:t>narovnání vztahů se Srbskem</w:t>
      </w:r>
      <w:r>
        <w:rPr>
          <w:rFonts w:ascii="Times New Roman" w:hAnsi="Times New Roman"/>
          <w:noProof/>
          <w:color w:val="000000" w:themeColor="text1"/>
          <w:sz w:val="24"/>
        </w:rPr>
        <w:t xml:space="preserve">, </w:t>
      </w:r>
      <w:r>
        <w:rPr>
          <w:rFonts w:ascii="Times New Roman" w:hAnsi="Times New Roman"/>
          <w:noProof/>
          <w:sz w:val="24"/>
        </w:rPr>
        <w:t>zůstalo Kosovo zapojeno do dialogu. Je však třeba, aby vláda Kosova cla na dovoz ze Srbska a z Bosny a Hercegoviny odvolala. Je nezbytné, aby Kosovo vyvinulo další značné úsilí za účelem vytvoření př</w:t>
      </w:r>
      <w:r>
        <w:rPr>
          <w:rFonts w:ascii="Times New Roman" w:hAnsi="Times New Roman"/>
          <w:noProof/>
          <w:sz w:val="24"/>
        </w:rPr>
        <w:t>íznivého prostředí pro uzavření právně závazné dohody se Srbskem. Tato dohoda je nezbytně nutná a má klíčový význam pro to, aby Kosovo a Srbsko mohly pokročit ve svém evropském směřování.</w:t>
      </w:r>
    </w:p>
    <w:p w:rsidR="00BB42EA" w:rsidRDefault="00B004C8">
      <w:pPr>
        <w:autoSpaceDE w:val="0"/>
        <w:autoSpaceDN w:val="0"/>
        <w:adjustRightInd w:val="0"/>
        <w:spacing w:after="120" w:line="240" w:lineRule="auto"/>
        <w:jc w:val="both"/>
        <w:rPr>
          <w:rFonts w:ascii="Times New Roman" w:hAnsi="Times New Roman" w:cs="Times New Roman"/>
          <w:noProof/>
          <w:sz w:val="24"/>
          <w:szCs w:val="24"/>
          <w:highlight w:val="lightGray"/>
        </w:rPr>
      </w:pPr>
      <w:r>
        <w:rPr>
          <w:rFonts w:ascii="Times New Roman" w:hAnsi="Times New Roman"/>
          <w:noProof/>
          <w:sz w:val="24"/>
        </w:rPr>
        <w:t xml:space="preserve">Pokud jde o sbližování s </w:t>
      </w:r>
      <w:r>
        <w:rPr>
          <w:rFonts w:ascii="Times New Roman" w:hAnsi="Times New Roman"/>
          <w:b/>
          <w:noProof/>
          <w:sz w:val="24"/>
        </w:rPr>
        <w:t>evropskými normami</w:t>
      </w:r>
      <w:r>
        <w:rPr>
          <w:rFonts w:ascii="Times New Roman" w:hAnsi="Times New Roman"/>
          <w:noProof/>
          <w:sz w:val="24"/>
        </w:rPr>
        <w:t xml:space="preserve">, je připravenost Kosova </w:t>
      </w:r>
      <w:r>
        <w:rPr>
          <w:rFonts w:ascii="Times New Roman" w:hAnsi="Times New Roman"/>
          <w:noProof/>
          <w:sz w:val="24"/>
        </w:rPr>
        <w:t>na určité úrovni. V některých oblastech pokračovalo sbližování právních předpisů, ale provádění je nedostatečné. Určitého pokroku bylo dosaženo v oblasti volného pohybu zboží, služeb a kapitálu, jakož i v oblasti finančních služeb, zadávání veřejných zakáz</w:t>
      </w:r>
      <w:r>
        <w:rPr>
          <w:rFonts w:ascii="Times New Roman" w:hAnsi="Times New Roman"/>
          <w:noProof/>
          <w:sz w:val="24"/>
        </w:rPr>
        <w:t>ek a hospodářské soutěže. V oblasti statistiky a finanční kontroly byl pokrok dobrý. V oblasti daní a cel bylo dosaženo určitého pokroku při vybírání daňových příjmů, omezování šedé ekonomiky nebo prosazování celních opatření na ochranu práv duševního vlas</w:t>
      </w:r>
      <w:r>
        <w:rPr>
          <w:rFonts w:ascii="Times New Roman" w:hAnsi="Times New Roman"/>
          <w:noProof/>
          <w:sz w:val="24"/>
        </w:rPr>
        <w:t>tnictví, ale Kosovo by mělo intenzívněji bojovat proti neformální ekonomice a daňovým únikům. Určitého pokroku bylo dosaženo při řešení environmentálních otázek, provádění však zaostává. Odvětví energetiky stále čelí vážným problémům, a to navzdory určitém</w:t>
      </w:r>
      <w:r>
        <w:rPr>
          <w:rFonts w:ascii="Times New Roman" w:hAnsi="Times New Roman"/>
          <w:noProof/>
          <w:sz w:val="24"/>
        </w:rPr>
        <w:t xml:space="preserve">u pokroku, především pokud jde o energetickou účinnost. Celkově musí Kosovo zlepšit svou správní kapacitu a koordinaci napříč všemi odvětvími, aby bylo zajištěno účinné provádění </w:t>
      </w:r>
      <w:r>
        <w:rPr>
          <w:rFonts w:ascii="Times New Roman" w:hAnsi="Times New Roman"/>
          <w:i/>
          <w:noProof/>
          <w:sz w:val="24"/>
        </w:rPr>
        <w:t>acquis</w:t>
      </w:r>
      <w:r>
        <w:rPr>
          <w:rFonts w:ascii="Times New Roman" w:hAnsi="Times New Roman"/>
          <w:noProof/>
          <w:sz w:val="24"/>
        </w:rPr>
        <w:t xml:space="preserve">. </w:t>
      </w:r>
    </w:p>
    <w:p w:rsidR="00BB42EA" w:rsidRDefault="00B004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Orgány učinily pokrok v řízení legální i nelegální </w:t>
      </w:r>
      <w:r>
        <w:rPr>
          <w:rFonts w:ascii="Times New Roman" w:hAnsi="Times New Roman"/>
          <w:b/>
          <w:noProof/>
          <w:sz w:val="24"/>
        </w:rPr>
        <w:t>migrace</w:t>
      </w:r>
      <w:r>
        <w:rPr>
          <w:rFonts w:ascii="Times New Roman" w:hAnsi="Times New Roman"/>
          <w:noProof/>
          <w:sz w:val="24"/>
        </w:rPr>
        <w:t>. Na tomto</w:t>
      </w:r>
      <w:r>
        <w:rPr>
          <w:rFonts w:ascii="Times New Roman" w:hAnsi="Times New Roman"/>
          <w:noProof/>
          <w:sz w:val="24"/>
        </w:rPr>
        <w:t xml:space="preserve"> úsilí by se mělo dále stavět. Kosovo musí v této souvislosti zavést mechanismus pro navracení nelegálních migrantů v souladu s normami a postupy EU. </w:t>
      </w:r>
    </w:p>
    <w:p w:rsidR="00BB42EA" w:rsidRDefault="00B004C8">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PŘÍLOHA 3 – Provádění strategie pro západní Balkán a Sofijského programu priorit: větší angažovanost EU</w:t>
      </w:r>
    </w:p>
    <w:p w:rsidR="00BB42EA" w:rsidRDefault="00B004C8">
      <w:pPr>
        <w:pStyle w:val="Default"/>
        <w:spacing w:after="120"/>
        <w:jc w:val="both"/>
        <w:rPr>
          <w:rFonts w:ascii="Times New Roman" w:eastAsia="Calibri" w:hAnsi="Times New Roman"/>
          <w:noProof/>
        </w:rPr>
      </w:pPr>
      <w:r>
        <w:rPr>
          <w:rFonts w:ascii="Times New Roman" w:hAnsi="Times New Roman"/>
          <w:noProof/>
        </w:rPr>
        <w:t>S</w:t>
      </w:r>
      <w:r>
        <w:rPr>
          <w:rFonts w:ascii="Times New Roman" w:hAnsi="Times New Roman"/>
          <w:noProof/>
        </w:rPr>
        <w:t>trategie pro západní Balkán, přijatá dne 6. února 2018, byla pro vztahy mezi EU a západním Balkánem novým impulzem. Strategie se zaměřuje na oblasti, které vyžadují další reformy a úsilí ze strany partnerů ze západního Balkánu, a na posílenou podporu EU pr</w:t>
      </w:r>
      <w:r>
        <w:rPr>
          <w:rFonts w:ascii="Times New Roman" w:hAnsi="Times New Roman"/>
          <w:noProof/>
        </w:rPr>
        <w:t>o tento region. Tato podpora zahrnuje 57 specifických závazků seskupených do šesti stěžejních iniciativ. Značnou část těchto akcí následně potvrdily členské státy EU a partneři ze západního Balkánu prostřednictvím Sofijského programu priorit, který byl při</w:t>
      </w:r>
      <w:r>
        <w:rPr>
          <w:rFonts w:ascii="Times New Roman" w:hAnsi="Times New Roman"/>
          <w:noProof/>
        </w:rPr>
        <w:t xml:space="preserve">jat na summitu v Sofii dne 17. května 2018. </w:t>
      </w:r>
    </w:p>
    <w:p w:rsidR="00BB42EA" w:rsidRDefault="00B004C8">
      <w:pPr>
        <w:pStyle w:val="Default"/>
        <w:spacing w:after="120"/>
        <w:jc w:val="both"/>
        <w:rPr>
          <w:rFonts w:ascii="Times New Roman" w:eastAsia="Calibri" w:hAnsi="Times New Roman"/>
          <w:noProof/>
        </w:rPr>
      </w:pPr>
      <w:r>
        <w:rPr>
          <w:rFonts w:ascii="Times New Roman" w:hAnsi="Times New Roman"/>
          <w:noProof/>
        </w:rPr>
        <w:t>Od přijetí strategie se Komise zaměřuje na plnění svých závazků prostřednictvím větší politické angažovanosti, posilování operativních vazeb mezi zeměmi západního Balkánu a EU a jejími agenturami, poskytování ši</w:t>
      </w:r>
      <w:r>
        <w:rPr>
          <w:rFonts w:ascii="Times New Roman" w:hAnsi="Times New Roman"/>
          <w:noProof/>
        </w:rPr>
        <w:t xml:space="preserve">ršího přístupu k financování a technické pomoci a také nového zaměření finanční pomoci EU v rámci nástroje předvstupní pomoci (NPP); jen v roce 2018 činil roční příděl pro země západního Balkánu více než 1,1 miliardy EUR. </w:t>
      </w:r>
    </w:p>
    <w:p w:rsidR="00BB42EA" w:rsidRDefault="00B004C8">
      <w:pPr>
        <w:pStyle w:val="Default"/>
        <w:spacing w:after="240"/>
        <w:jc w:val="both"/>
        <w:rPr>
          <w:rFonts w:ascii="Times New Roman" w:eastAsia="Calibri" w:hAnsi="Times New Roman"/>
          <w:noProof/>
        </w:rPr>
      </w:pPr>
      <w:r>
        <w:rPr>
          <w:rFonts w:ascii="Times New Roman" w:hAnsi="Times New Roman"/>
          <w:noProof/>
        </w:rPr>
        <w:t>V prvním roce provádění strategie</w:t>
      </w:r>
      <w:r>
        <w:rPr>
          <w:rFonts w:ascii="Times New Roman" w:hAnsi="Times New Roman"/>
          <w:noProof/>
        </w:rPr>
        <w:t xml:space="preserve"> bylo dosaženo pokroku ve všech šesti stěžejních iniciativách. Regionu se dostalo značné politické pozornosti. V květnu 2018 proběhl v Sofii první summit EU a zemí západního Balkánu od soluňského summitu v roce 2003. Region navštívili předseda Evropské rad</w:t>
      </w:r>
      <w:r>
        <w:rPr>
          <w:rFonts w:ascii="Times New Roman" w:hAnsi="Times New Roman"/>
          <w:noProof/>
        </w:rPr>
        <w:t xml:space="preserve">y a předseda Evropské komise a uskutečnila se též řada zasedání ministrů a schůzek na vysoké úrovni. Cílem všech těchto akcí bylo dát dohromady politickou vůli pro nový impuls reformním procesům a pro posílenou regionální spolupráci. </w:t>
      </w:r>
    </w:p>
    <w:p w:rsidR="00BB42EA" w:rsidRDefault="00B004C8">
      <w:pPr>
        <w:pStyle w:val="Default"/>
        <w:spacing w:after="120"/>
        <w:jc w:val="both"/>
        <w:rPr>
          <w:rFonts w:ascii="Times New Roman" w:eastAsia="Calibri" w:hAnsi="Times New Roman"/>
          <w:noProof/>
        </w:rPr>
      </w:pPr>
      <w:r>
        <w:rPr>
          <w:rFonts w:ascii="Times New Roman" w:hAnsi="Times New Roman"/>
          <w:b/>
          <w:noProof/>
        </w:rPr>
        <w:t>Stěžejní iniciativa 1</w:t>
      </w:r>
      <w:r>
        <w:rPr>
          <w:rFonts w:ascii="Times New Roman" w:hAnsi="Times New Roman"/>
          <w:b/>
          <w:noProof/>
        </w:rPr>
        <w:t xml:space="preserve"> – Posílení podpory právního státu</w:t>
      </w:r>
      <w:r>
        <w:rPr>
          <w:rFonts w:ascii="Times New Roman" w:hAnsi="Times New Roman"/>
          <w:noProof/>
        </w:rPr>
        <w:t xml:space="preserve"> se zaměřuje na tři priority: lepší monitorování reforem soudnictví, zaměřenější technická pomoc v oblasti prosazování práva a posilování podpory poskytované občanské společnosti, aktivismu zasazujícímu se o demokracii a n</w:t>
      </w:r>
      <w:r>
        <w:rPr>
          <w:rFonts w:ascii="Times New Roman" w:hAnsi="Times New Roman"/>
          <w:noProof/>
        </w:rPr>
        <w:t>ezávislým sdělovacím prostředkům. Pro pokrok v této oblasti, zejména pak pro posílení spolupráce s agenturami EU působícími v oblasti spravedlnosti a vnitřních věcí a pro vytvoření odpovídajících ukazatelů pro soudní systémy, mělo klíčový význam fórum mini</w:t>
      </w:r>
      <w:r>
        <w:rPr>
          <w:rFonts w:ascii="Times New Roman" w:hAnsi="Times New Roman"/>
          <w:noProof/>
        </w:rPr>
        <w:t xml:space="preserve">strů spravedlnosti a vnitra zemí EU a západního Balkánu, které se uskutečnilo v říjnu 2018 v Tiraně.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Pokud jde o monitorování reforem soudnictví, Komise posunula svoji koncepci směrem k misím zaměřeným na konkrétní otázky a probíhajícím souběžně ve všech </w:t>
      </w:r>
      <w:r>
        <w:rPr>
          <w:rFonts w:ascii="Times New Roman" w:hAnsi="Times New Roman"/>
          <w:noProof/>
        </w:rPr>
        <w:t>šesti partnerských administrativách, při nichž se vyšší úředníci EU zabývající se prosazováním práva setkávají se svými protějšky (vzájemná hodnocení („</w:t>
      </w:r>
      <w:r>
        <w:rPr>
          <w:rFonts w:ascii="Times New Roman" w:hAnsi="Times New Roman"/>
          <w:i/>
          <w:noProof/>
        </w:rPr>
        <w:t>peer review</w:t>
      </w:r>
      <w:r>
        <w:rPr>
          <w:rFonts w:ascii="Times New Roman" w:hAnsi="Times New Roman"/>
          <w:noProof/>
        </w:rPr>
        <w:t>“)). V roce 2018 byla dokončena série hodnocení zaměřená na vymáhání rozsudků v občanskoprávních a obchodních věcech, další série zaměřená na zadávání veřejných zakázek je v plném proudu a na rok 2019 se plánuje ještě jedna série týkající se organizované t</w:t>
      </w:r>
      <w:r>
        <w:rPr>
          <w:rFonts w:ascii="Times New Roman" w:hAnsi="Times New Roman"/>
          <w:noProof/>
        </w:rPr>
        <w:t>restné činnosti. Komise také vyvíjí nové způsoby sběru harmonizovanějších dat ze soudních systémů partnerů. Zásadním výstupem bude v tomto ohledu regionální projekt s Organizací pro bezpečnost a spolupráci v Evropě (OBSE) věnovaný monitorování soudních říz</w:t>
      </w:r>
      <w:r>
        <w:rPr>
          <w:rFonts w:ascii="Times New Roman" w:hAnsi="Times New Roman"/>
          <w:noProof/>
        </w:rPr>
        <w:t>ení v oblasti korupce a organizované trestné činnosti. Se Světovou bankou byla uzavřena smlouva na provedení řady regionálních průzkumů v oblasti spravedlnosti a Komise Rady Evropy pro efektivitu justice (CEPEJ) poskytne pomoc při sběru harmonizovaných dat</w:t>
      </w:r>
      <w:r>
        <w:rPr>
          <w:rFonts w:ascii="Times New Roman" w:hAnsi="Times New Roman"/>
          <w:noProof/>
        </w:rPr>
        <w:t xml:space="preserve"> z tohoto regionu. </w:t>
      </w:r>
    </w:p>
    <w:p w:rsidR="00BB42EA" w:rsidRDefault="00B004C8">
      <w:pPr>
        <w:pStyle w:val="Default"/>
        <w:spacing w:after="120"/>
        <w:jc w:val="both"/>
        <w:rPr>
          <w:rFonts w:ascii="Times New Roman" w:eastAsia="Calibri" w:hAnsi="Times New Roman"/>
          <w:noProof/>
        </w:rPr>
      </w:pPr>
      <w:r>
        <w:rPr>
          <w:rFonts w:ascii="Times New Roman" w:hAnsi="Times New Roman"/>
          <w:noProof/>
        </w:rPr>
        <w:t>Komise se rovněž podílela na technické pomoci více přizpůsobené na míru, konkrétně na poradních misích zaměřených na reformy soudnictví a boj proti organizované trestné činnosti a korupci. Dvě takové mise právě probíhají v Černé Hoře a </w:t>
      </w:r>
      <w:r>
        <w:rPr>
          <w:rFonts w:ascii="Times New Roman" w:hAnsi="Times New Roman"/>
          <w:noProof/>
        </w:rPr>
        <w:t>v Albánii, další dvě by měly být podle plánu zahájeny v roce 2019 v Kosovu a v Bosně a Hercegovině a další se očekává v Severní Makedonii a případně v Srbsku.</w:t>
      </w:r>
    </w:p>
    <w:p w:rsidR="00BB42EA" w:rsidRDefault="00B004C8">
      <w:pPr>
        <w:pStyle w:val="Default"/>
        <w:spacing w:after="240"/>
        <w:jc w:val="both"/>
        <w:rPr>
          <w:rFonts w:ascii="Times New Roman" w:eastAsia="Calibri" w:hAnsi="Times New Roman"/>
          <w:noProof/>
        </w:rPr>
      </w:pPr>
      <w:r>
        <w:rPr>
          <w:rFonts w:ascii="Times New Roman" w:hAnsi="Times New Roman"/>
          <w:noProof/>
        </w:rPr>
        <w:t>Komise také úzce spolupracuje s Evropskou nadací pro demokracii na podpoře nezávislých mediálních</w:t>
      </w:r>
      <w:r>
        <w:rPr>
          <w:rFonts w:ascii="Times New Roman" w:hAnsi="Times New Roman"/>
          <w:noProof/>
        </w:rPr>
        <w:t xml:space="preserve"> platforem, občanské společnosti a aktivistů bojujících za demokracii. Prostřednictvím další podpory ze strany EU ve výši 6 milionů EUR mohl fond v roce 2018 rozšířit své operace na západní Balkán a financováno bylo v této oblasti 14 nových grantů.</w:t>
      </w:r>
    </w:p>
    <w:p w:rsidR="00BB42EA" w:rsidRDefault="00B004C8">
      <w:pPr>
        <w:pStyle w:val="Default"/>
        <w:spacing w:after="120"/>
        <w:jc w:val="both"/>
        <w:rPr>
          <w:rFonts w:ascii="Times New Roman" w:eastAsia="Calibri" w:hAnsi="Times New Roman"/>
          <w:noProof/>
        </w:rPr>
      </w:pPr>
      <w:r>
        <w:rPr>
          <w:rFonts w:ascii="Times New Roman" w:hAnsi="Times New Roman"/>
          <w:b/>
          <w:noProof/>
        </w:rPr>
        <w:t>Stěžejn</w:t>
      </w:r>
      <w:r>
        <w:rPr>
          <w:rFonts w:ascii="Times New Roman" w:hAnsi="Times New Roman"/>
          <w:b/>
          <w:noProof/>
        </w:rPr>
        <w:t>í iniciativa 2 – Posílení spolupráce v oblasti bezpečnosti a migrace</w:t>
      </w:r>
      <w:r>
        <w:rPr>
          <w:rFonts w:ascii="Times New Roman" w:hAnsi="Times New Roman"/>
          <w:noProof/>
        </w:rPr>
        <w:t xml:space="preserve"> se týká spolupráce s tímto regionem za účelem řešení společných bezpečnostních hrozeb, včetně terorismu, násilného extremismu, radikalizace, organizované trestné činnosti, obchodování s l</w:t>
      </w:r>
      <w:r>
        <w:rPr>
          <w:rFonts w:ascii="Times New Roman" w:hAnsi="Times New Roman"/>
          <w:noProof/>
        </w:rPr>
        <w:t>idmi a palnými zbraněmi a hybridních hrozeb, jakož i budování kapacity partnerů řešit problémy související s migrací a bezpečností. Tento typ činností byl podpořen na ministerských zasedáních, která se konala v Londýně v červenci a v Tiraně v říjnu roku 20</w:t>
      </w:r>
      <w:r>
        <w:rPr>
          <w:rFonts w:ascii="Times New Roman" w:hAnsi="Times New Roman"/>
          <w:noProof/>
        </w:rPr>
        <w:t>18 a která měla zásadní význam pro navázání užší spolupráce v oblasti bezpečnosti a zásob zbraní a při plánování společných protiteroristických opatření.</w:t>
      </w:r>
    </w:p>
    <w:p w:rsidR="00BB42EA" w:rsidRDefault="00B004C8">
      <w:pPr>
        <w:pStyle w:val="Default"/>
        <w:spacing w:after="120"/>
        <w:jc w:val="both"/>
        <w:rPr>
          <w:rFonts w:ascii="Times New Roman" w:eastAsia="Calibri" w:hAnsi="Times New Roman"/>
          <w:noProof/>
        </w:rPr>
      </w:pPr>
      <w:r>
        <w:rPr>
          <w:rFonts w:ascii="Times New Roman" w:hAnsi="Times New Roman"/>
          <w:noProof/>
        </w:rPr>
        <w:t>Na fóru ministrů spravedlnosti a vnitra zemí EU a západního Balkánu v Tiraně se Komise a šest partnerů</w:t>
      </w:r>
      <w:r>
        <w:rPr>
          <w:rFonts w:ascii="Times New Roman" w:hAnsi="Times New Roman"/>
          <w:noProof/>
        </w:rPr>
        <w:t xml:space="preserve"> ze západního Balkánu dohodli na společném akčním plánu pro boj proti terorismu. Komise nyní napomáhá přípravě akčních plánů pro jednotlivé země v souladu s regionálními prioritami. Komise také založila regionální síť národních koordinátorů pro předcházení</w:t>
      </w:r>
      <w:r>
        <w:rPr>
          <w:rFonts w:ascii="Times New Roman" w:hAnsi="Times New Roman"/>
          <w:noProof/>
        </w:rPr>
        <w:t xml:space="preserve"> násilnému extremismu, která uspořádala dvě zasedání v roce 2018 a jedno v březnu 2019.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Komise finalizuje přezkum svého akčního plánu proti nedovolenému obchodování s palnými zbraněmi na období 2015–2019 mezi EU a jihovýchodní Evropou. EU vyčlenila zvláštní finanční prostředky z rozpočtové položky SZBP na podporu provádění regionálního plánu </w:t>
      </w:r>
      <w:r>
        <w:rPr>
          <w:rFonts w:ascii="Times New Roman" w:hAnsi="Times New Roman"/>
          <w:noProof/>
        </w:rPr>
        <w:t xml:space="preserve">týkajícího se ručních palných a lehkých zbraní, který byl v červenci 2018 přijat na londýnském zasedání ministrů vnitra. </w:t>
      </w:r>
    </w:p>
    <w:p w:rsidR="00BB42EA" w:rsidRDefault="00B004C8">
      <w:pPr>
        <w:pStyle w:val="Default"/>
        <w:spacing w:after="120"/>
        <w:jc w:val="both"/>
        <w:rPr>
          <w:rFonts w:ascii="Times New Roman" w:eastAsia="Calibri" w:hAnsi="Times New Roman"/>
          <w:noProof/>
        </w:rPr>
      </w:pPr>
      <w:r>
        <w:rPr>
          <w:rFonts w:ascii="Times New Roman" w:hAnsi="Times New Roman"/>
          <w:noProof/>
        </w:rPr>
        <w:t>EU oslovila partnery ze západního Balkánu, aby je zapojila do politického cyklu EU pro boj proti závažné a organizované trestné činnos</w:t>
      </w:r>
      <w:r>
        <w:rPr>
          <w:rFonts w:ascii="Times New Roman" w:hAnsi="Times New Roman"/>
          <w:noProof/>
        </w:rPr>
        <w:t>ti a do přípravy a provádění příslušných ročních akčních plánů. ESVČ zase zvýšila četnost setkání se zeměmi západního Balkánu zaměřených na dialog v oblasti společné zahraniční a bezpečnostní politiky, aby podpořila další sladění regionu se společnými post</w:t>
      </w:r>
      <w:r>
        <w:rPr>
          <w:rFonts w:ascii="Times New Roman" w:hAnsi="Times New Roman"/>
          <w:noProof/>
        </w:rPr>
        <w:t>oji EU. ESVČ oslovila všechny partnery ze západního Balkánu a nabídla jim, aby se zúčastnili průzkumů týkajících se hybridních rizik, aby bylo možné posoudit jejich zranitelná místa a lépe nasměrovat pomoc EU. Tento průzkum byl zatím zahájen u čtyř partner</w:t>
      </w:r>
      <w:r>
        <w:rPr>
          <w:rFonts w:ascii="Times New Roman" w:hAnsi="Times New Roman"/>
          <w:noProof/>
        </w:rPr>
        <w:t xml:space="preserve">ů. </w:t>
      </w:r>
    </w:p>
    <w:p w:rsidR="00BB42EA" w:rsidRDefault="00B004C8">
      <w:pPr>
        <w:pStyle w:val="Default"/>
        <w:spacing w:after="120"/>
        <w:jc w:val="both"/>
        <w:rPr>
          <w:rFonts w:ascii="Times New Roman" w:eastAsia="Calibri" w:hAnsi="Times New Roman"/>
          <w:noProof/>
        </w:rPr>
      </w:pPr>
      <w:r>
        <w:rPr>
          <w:rFonts w:ascii="Times New Roman" w:hAnsi="Times New Roman"/>
          <w:noProof/>
        </w:rPr>
        <w:t>V souvislosti s migrací Komise ve spolupráci s příslušnými agenturami EU a mezinárodními organizacemi pokračuje v ambiciózních projektech v oblasti řízení migrace, budování kapacity partnerů pro řízení smíšených migračních toků, zavádění azylových říze</w:t>
      </w:r>
      <w:r>
        <w:rPr>
          <w:rFonts w:ascii="Times New Roman" w:hAnsi="Times New Roman"/>
          <w:noProof/>
        </w:rPr>
        <w:t xml:space="preserve">ní, mechanismů navracení a výměny informací. Komise také podnikla kroky za účelem zlepšení koordinace práce styčných úředníků pro otázky migrace vyslaných do regionu a ke zdokonalení výměny operativních informací. </w:t>
      </w:r>
    </w:p>
    <w:p w:rsidR="00BB42EA" w:rsidRDefault="00B004C8">
      <w:pPr>
        <w:pStyle w:val="Default"/>
        <w:spacing w:after="120"/>
        <w:jc w:val="both"/>
        <w:rPr>
          <w:rFonts w:ascii="Times New Roman" w:eastAsia="Calibri" w:hAnsi="Times New Roman"/>
          <w:noProof/>
        </w:rPr>
      </w:pPr>
      <w:r>
        <w:rPr>
          <w:rFonts w:ascii="Times New Roman" w:hAnsi="Times New Roman"/>
          <w:noProof/>
        </w:rPr>
        <w:t>Aby bylo dosaženo lepší součinnosti v obl</w:t>
      </w:r>
      <w:r>
        <w:rPr>
          <w:rFonts w:ascii="Times New Roman" w:hAnsi="Times New Roman"/>
          <w:noProof/>
        </w:rPr>
        <w:t>asti bezpečnosti a migrace, Komise napomáhá většímu zapojení agentur působících v oblasti spravedlnosti a vnitřních věcí na západním Balkánu. Součástí toho byl podpis pracovního ujednání mezi Evropským monitorovacím centrem pro drogy a drogovou závislost (</w:t>
      </w:r>
      <w:r>
        <w:rPr>
          <w:rFonts w:ascii="Times New Roman" w:hAnsi="Times New Roman"/>
          <w:noProof/>
        </w:rPr>
        <w:t>EMCDDA), podpis dohody o spolupráci mezi Eurojustem a Albánií (navazující na ty, které již byly uzavřeny s Černou Horou a Severní Makedonií) a završení jednání o dohodách o postavení jednotek Evropské pohraniční a pobřežní stráže s pěti zeměmi regionu, jež</w:t>
      </w:r>
      <w:r>
        <w:rPr>
          <w:rFonts w:ascii="Times New Roman" w:hAnsi="Times New Roman"/>
          <w:noProof/>
        </w:rPr>
        <w:t xml:space="preserve"> mají společnou hranici s EU. Dohoda s Albánií již vstoupila v platnost a byli nasazeni první příslušníci pohraniční stráže. Aby zlepšila koordinaci zapojení svých agentur působících v této oblasti, zřídila Komise pracovní skupinu agentur EU působících v o</w:t>
      </w:r>
      <w:r>
        <w:rPr>
          <w:rFonts w:ascii="Times New Roman" w:hAnsi="Times New Roman"/>
          <w:noProof/>
        </w:rPr>
        <w:t>blasti spravedlnosti a vnitřních věcí na podporu činnosti v zemích západního Balkánu.</w:t>
      </w:r>
    </w:p>
    <w:p w:rsidR="00BB42EA" w:rsidRDefault="00B004C8">
      <w:pPr>
        <w:pStyle w:val="Default"/>
        <w:spacing w:after="240"/>
        <w:jc w:val="both"/>
        <w:rPr>
          <w:rFonts w:ascii="Times New Roman" w:eastAsia="Calibri" w:hAnsi="Times New Roman"/>
          <w:noProof/>
        </w:rPr>
      </w:pPr>
      <w:r>
        <w:rPr>
          <w:rFonts w:ascii="Times New Roman" w:hAnsi="Times New Roman"/>
          <w:noProof/>
        </w:rPr>
        <w:t>V roce 2018 bylo na opatření týkající se právního státu, bezpečnosti a migrace vyčleněno celkem více než 145 milionů EUR.</w:t>
      </w:r>
    </w:p>
    <w:p w:rsidR="00BB42EA" w:rsidRDefault="00B004C8">
      <w:pPr>
        <w:pStyle w:val="Default"/>
        <w:spacing w:before="120" w:after="120"/>
        <w:jc w:val="both"/>
        <w:rPr>
          <w:rFonts w:ascii="Times New Roman" w:eastAsia="Calibri" w:hAnsi="Times New Roman"/>
          <w:noProof/>
        </w:rPr>
      </w:pPr>
      <w:r>
        <w:rPr>
          <w:rFonts w:ascii="Times New Roman" w:hAnsi="Times New Roman"/>
          <w:b/>
          <w:noProof/>
        </w:rPr>
        <w:t>Stěžejní iniciativa 3 – Podpora sociálně-ekonomi</w:t>
      </w:r>
      <w:r>
        <w:rPr>
          <w:rFonts w:ascii="Times New Roman" w:hAnsi="Times New Roman"/>
          <w:b/>
          <w:noProof/>
        </w:rPr>
        <w:t>ckého rozvoje</w:t>
      </w:r>
      <w:r>
        <w:rPr>
          <w:rFonts w:ascii="Times New Roman" w:hAnsi="Times New Roman"/>
          <w:noProof/>
        </w:rPr>
        <w:t xml:space="preserve"> se zaměřuje na napomáhání pokroku při implementaci regionálního hospodářského prostoru, adaptaci stávajících investičních rámců za účelem podpory investic v regionu, strategičtější využívání programů hospodářských reforem a na podporu reforem</w:t>
      </w:r>
      <w:r>
        <w:rPr>
          <w:rFonts w:ascii="Times New Roman" w:hAnsi="Times New Roman"/>
          <w:noProof/>
        </w:rPr>
        <w:t xml:space="preserve"> vzdělávání a sociálních reforem. Zasedání ministrů hospodářství ve Vídni z července a zasedání ministrů školství v Bruselu z června 2018 byla pro tuto stěžejní iniciativu významnými katalyzátory pokroku, především pokud jde o implementaci regionálního hos</w:t>
      </w:r>
      <w:r>
        <w:rPr>
          <w:rFonts w:ascii="Times New Roman" w:hAnsi="Times New Roman"/>
          <w:noProof/>
        </w:rPr>
        <w:t>podářského prostoru a řady iniciativ v oblasti odborné přípravy, mobility studentů a uznávání kvalifikací. V roce 2019 EU také zahajuje systematické schůzky s ministry zaměstnanosti ze zemí západního Balkánu.</w:t>
      </w:r>
    </w:p>
    <w:p w:rsidR="00BB42EA" w:rsidRDefault="00B004C8">
      <w:pPr>
        <w:pStyle w:val="Default"/>
        <w:spacing w:after="120"/>
        <w:jc w:val="both"/>
        <w:rPr>
          <w:rFonts w:ascii="Times New Roman" w:eastAsia="Calibri" w:hAnsi="Times New Roman"/>
          <w:noProof/>
        </w:rPr>
      </w:pPr>
      <w:r>
        <w:rPr>
          <w:rFonts w:ascii="Times New Roman" w:hAnsi="Times New Roman"/>
          <w:noProof/>
        </w:rPr>
        <w:t>Komise, společně s Radou pro regionální spolupr</w:t>
      </w:r>
      <w:r>
        <w:rPr>
          <w:rFonts w:ascii="Times New Roman" w:hAnsi="Times New Roman"/>
          <w:noProof/>
        </w:rPr>
        <w:t xml:space="preserve">áci, nadále napomáhala provádění víceletého akčního plánu regionálního hospodářského prostoru (REA MAP). K milníkům v této oblasti patřil vstup v platnost dodatkového protokolu č. 5 ke Středoevropské dohodě o volném obchodu (CEFTA) týkajícího se usnadnění </w:t>
      </w:r>
      <w:r>
        <w:rPr>
          <w:rFonts w:ascii="Times New Roman" w:hAnsi="Times New Roman"/>
          <w:noProof/>
        </w:rPr>
        <w:t>obchodu v dubnu 2018, potvrzení regionální investiční reformní agendy (RIRA) a zavedení regionálního programu pro diverzifikaci a integraci finančních trhů. Jednání o liberalizaci obchodu se službami byla završena a zahájena byla jednání o mobilitě odborní</w:t>
      </w:r>
      <w:r>
        <w:rPr>
          <w:rFonts w:ascii="Times New Roman" w:hAnsi="Times New Roman"/>
          <w:noProof/>
        </w:rPr>
        <w:t>ků v regionu.</w:t>
      </w:r>
    </w:p>
    <w:p w:rsidR="00BB42EA" w:rsidRDefault="00B004C8">
      <w:pPr>
        <w:pStyle w:val="Default"/>
        <w:spacing w:after="120"/>
        <w:jc w:val="both"/>
        <w:rPr>
          <w:rFonts w:ascii="Times New Roman" w:eastAsia="Calibri" w:hAnsi="Times New Roman"/>
          <w:noProof/>
        </w:rPr>
      </w:pPr>
      <w:r>
        <w:rPr>
          <w:rFonts w:ascii="Times New Roman" w:hAnsi="Times New Roman"/>
          <w:noProof/>
        </w:rPr>
        <w:t>Expanze investičního fondu pro západní Balkán (WBIF) je v plném proudu, jak ze strategického, tak i finančního hlediska. V roce 2018 byl dokončen přezkum v polovině období, který měl za cíl o této expanzi informovat, a v prosinci 2018 se stal</w:t>
      </w:r>
      <w:r>
        <w:rPr>
          <w:rFonts w:ascii="Times New Roman" w:hAnsi="Times New Roman"/>
          <w:noProof/>
        </w:rPr>
        <w:t>a zúčastněnou mezinárodní finanční institucí podílející se na WBIF Agence francaise de developpement (AFD) a v dubnu 2019 Skupina Světové banky. Zřizování záruky pro západní Balkán, jejímž cílem je zapojit soukromé investice v regionu, pokračuje; předběžné</w:t>
      </w:r>
      <w:r>
        <w:rPr>
          <w:rFonts w:ascii="Times New Roman" w:hAnsi="Times New Roman"/>
          <w:noProof/>
        </w:rPr>
        <w:t xml:space="preserve"> posouzení bylo dokončeno v roce 2018 a dialog s mezinárodními finančními institucemi byl zahájen. </w:t>
      </w:r>
    </w:p>
    <w:p w:rsidR="00BB42EA" w:rsidRDefault="00B004C8">
      <w:pPr>
        <w:pStyle w:val="Default"/>
        <w:spacing w:after="120"/>
        <w:jc w:val="both"/>
        <w:rPr>
          <w:rFonts w:ascii="Times New Roman" w:eastAsia="Calibri" w:hAnsi="Times New Roman"/>
          <w:noProof/>
        </w:rPr>
      </w:pPr>
      <w:r>
        <w:rPr>
          <w:rFonts w:ascii="Times New Roman" w:hAnsi="Times New Roman"/>
          <w:noProof/>
        </w:rPr>
        <w:t>Komise také začala poskytovat vyšší podporu na rozvoj soukromého sektoru s důrazem na začínající podniky a přístup mladých podnikatelů k finančním prostředk</w:t>
      </w:r>
      <w:r>
        <w:rPr>
          <w:rFonts w:ascii="Times New Roman" w:hAnsi="Times New Roman"/>
          <w:noProof/>
        </w:rPr>
        <w:t>ům. Za účelem posílení podnikatelských kapacit mladých lidí a vytváření pracovních příležitostí byl zřízen nový regionální systém záruk pro mladé lidi s rozpočtem 10 milionů EUR. Mohl by poskytnout finanční prostředky ve výši až 80 milionů EUR. V Srbsku Ko</w:t>
      </w:r>
      <w:r>
        <w:rPr>
          <w:rFonts w:ascii="Times New Roman" w:hAnsi="Times New Roman"/>
          <w:noProof/>
        </w:rPr>
        <w:t>mise zavedla podobný program záruk s rozpočtem 20 milionů EUR, od něhož se očekává, že mobilizuje až 180 milionů EUR formou nových půjček pro srbské začínající podniky a inovativní společnosti. Komise rovněž přijímá opatření k tomu, aby se na západní Balká</w:t>
      </w:r>
      <w:r>
        <w:rPr>
          <w:rFonts w:ascii="Times New Roman" w:hAnsi="Times New Roman"/>
          <w:noProof/>
        </w:rPr>
        <w:t>n rozšířila i podpora, kterou poskytuje na rozvoj strategií pro inteligentní specializaci a která je v současnosti dostupná pouze členským státům.</w:t>
      </w:r>
    </w:p>
    <w:p w:rsidR="00BB42EA" w:rsidRDefault="00B004C8">
      <w:pPr>
        <w:pStyle w:val="Default"/>
        <w:spacing w:after="120"/>
        <w:jc w:val="both"/>
        <w:rPr>
          <w:rFonts w:ascii="Times New Roman" w:eastAsia="Calibri" w:hAnsi="Times New Roman"/>
          <w:noProof/>
        </w:rPr>
      </w:pPr>
      <w:r>
        <w:rPr>
          <w:rFonts w:ascii="Times New Roman" w:hAnsi="Times New Roman"/>
          <w:noProof/>
        </w:rPr>
        <w:t>EU učinila kroky pro zvýšení strategického využívání programů hospodářských reforem (ERP) partnerů sladěním p</w:t>
      </w:r>
      <w:r>
        <w:rPr>
          <w:rFonts w:ascii="Times New Roman" w:hAnsi="Times New Roman"/>
          <w:noProof/>
        </w:rPr>
        <w:t xml:space="preserve">řípravy těchto programů s evropským semestrem. Monitorování reforem v oblasti zaměstnanosti a sociálních reforem bylo posíleno prostřednictvím programu hospodářských reforem, ale také pořádáním výročního ministerského zasedání mezi EU a západním Balkánem, </w:t>
      </w:r>
      <w:r>
        <w:rPr>
          <w:rFonts w:ascii="Times New Roman" w:hAnsi="Times New Roman"/>
          <w:noProof/>
        </w:rPr>
        <w:t>které proběhne v červnu 2019. Finanční podpora, kterou EU poskytuje na zaměstnanost, vzdělávání, sociální začlenění a zdraví, se zvýšila díky řadě nových dvoustranných programů pomoci, jakož i díky programu mobility pro region v oblasti odborného vzděláván</w:t>
      </w:r>
      <w:r>
        <w:rPr>
          <w:rFonts w:ascii="Times New Roman" w:hAnsi="Times New Roman"/>
          <w:noProof/>
        </w:rPr>
        <w:t>í a přípravy. EU postupně navyšuje svoji podporu v rámci programu Erasmus+ s cílem tuto podporu do roku 2020 zdvojnásobit.</w:t>
      </w:r>
    </w:p>
    <w:p w:rsidR="00BB42EA" w:rsidRDefault="00B004C8">
      <w:pPr>
        <w:pStyle w:val="Default"/>
        <w:spacing w:after="240"/>
        <w:jc w:val="both"/>
        <w:rPr>
          <w:rFonts w:ascii="Times New Roman" w:eastAsia="Calibri" w:hAnsi="Times New Roman"/>
          <w:noProof/>
        </w:rPr>
      </w:pPr>
      <w:r>
        <w:rPr>
          <w:rFonts w:ascii="Times New Roman" w:hAnsi="Times New Roman"/>
          <w:noProof/>
        </w:rPr>
        <w:t>Celkové prostředky z nástroje předvstupní pomoci vyčleněné v roce 2018 na akce týkající se konkurenceschopnosti, růstu a vzdělávání č</w:t>
      </w:r>
      <w:r>
        <w:rPr>
          <w:rFonts w:ascii="Times New Roman" w:hAnsi="Times New Roman"/>
          <w:noProof/>
        </w:rPr>
        <w:t>inily více než 260 milionů EUR.</w:t>
      </w:r>
    </w:p>
    <w:p w:rsidR="00BB42EA" w:rsidRDefault="00B004C8">
      <w:pPr>
        <w:pStyle w:val="Default"/>
        <w:spacing w:after="120"/>
        <w:jc w:val="both"/>
        <w:rPr>
          <w:rFonts w:ascii="Times New Roman" w:eastAsia="Calibri" w:hAnsi="Times New Roman"/>
          <w:noProof/>
        </w:rPr>
      </w:pPr>
      <w:r>
        <w:rPr>
          <w:rFonts w:ascii="Times New Roman" w:hAnsi="Times New Roman"/>
          <w:b/>
          <w:noProof/>
        </w:rPr>
        <w:t>Stěžejní iniciativa 4 – Zlepšení konektivity</w:t>
      </w:r>
      <w:r>
        <w:rPr>
          <w:rFonts w:ascii="Times New Roman" w:hAnsi="Times New Roman"/>
          <w:noProof/>
        </w:rPr>
        <w:t xml:space="preserve"> se zaměřuje na rozvoj dopravních a energetických spojení v regionu s cílem usnadnit obchod a podpořit hospodářský růst. V rámci této stěžejní iniciativy se předpokládá plánování a</w:t>
      </w:r>
      <w:r>
        <w:rPr>
          <w:rFonts w:ascii="Times New Roman" w:hAnsi="Times New Roman"/>
          <w:noProof/>
        </w:rPr>
        <w:t xml:space="preserve"> investice do infrastruktury a také vytváření vhodného právního prostředí pro regionální integraci trhů.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Zasedání ministrů dopravy, která se konala v Lublani v dubnu a v Bruselu v prosinci 2018, měla zásadní význam pro přijetí řady prohlášení o reformách </w:t>
      </w:r>
      <w:r>
        <w:rPr>
          <w:rFonts w:ascii="Times New Roman" w:hAnsi="Times New Roman"/>
          <w:noProof/>
        </w:rPr>
        <w:t>v oblasti dopravy, zatímco na zasedání ministrů pro energetiku a životní prostředí v Podgorici bylo přijato průlomové prohlášení o transformaci energetiky.</w:t>
      </w:r>
    </w:p>
    <w:p w:rsidR="00BB42EA" w:rsidRDefault="00B004C8">
      <w:pPr>
        <w:pStyle w:val="Default"/>
        <w:spacing w:after="120"/>
        <w:jc w:val="both"/>
        <w:rPr>
          <w:rFonts w:ascii="Times New Roman" w:eastAsia="Calibri" w:hAnsi="Times New Roman"/>
          <w:noProof/>
        </w:rPr>
      </w:pPr>
      <w:r>
        <w:rPr>
          <w:rFonts w:ascii="Times New Roman" w:hAnsi="Times New Roman"/>
          <w:noProof/>
        </w:rPr>
        <w:t>V oblasti energetiky Komise podporuje rozšíření energetické unie EU na západní Balkán a vytvoření je</w:t>
      </w:r>
      <w:r>
        <w:rPr>
          <w:rFonts w:ascii="Times New Roman" w:hAnsi="Times New Roman"/>
          <w:noProof/>
        </w:rPr>
        <w:t xml:space="preserve">dnotného regulačního prostoru podle Smlouvy o Energetickém společenství. Další pokrok v této oblasti bude vyžadovat pokrok v příslušné části dialogu mezi Bělehradem a Prištinou. </w:t>
      </w:r>
    </w:p>
    <w:p w:rsidR="00BB42EA" w:rsidRDefault="00B004C8">
      <w:pPr>
        <w:pStyle w:val="Default"/>
        <w:spacing w:after="120"/>
        <w:jc w:val="both"/>
        <w:rPr>
          <w:rFonts w:ascii="Times New Roman" w:eastAsia="Calibri" w:hAnsi="Times New Roman"/>
          <w:noProof/>
        </w:rPr>
      </w:pPr>
      <w:r>
        <w:rPr>
          <w:rFonts w:ascii="Times New Roman" w:hAnsi="Times New Roman"/>
          <w:noProof/>
        </w:rPr>
        <w:t>Jedním z velkých úspěchů bylo podepsání společného prohlášení ministrů energe</w:t>
      </w:r>
      <w:r>
        <w:rPr>
          <w:rFonts w:ascii="Times New Roman" w:hAnsi="Times New Roman"/>
          <w:noProof/>
        </w:rPr>
        <w:t>tiky a životního prostředí zemí západního Balkánu o přechodu na čistou energii na jejich zasedání v únoru 2019 v Podgorici. Komise vyčlenila 30 milionů EUR formou grantů na energetickou účinnost, a to vedle 50 milionů EUR, které jsou již k dispozici v rámc</w:t>
      </w:r>
      <w:r>
        <w:rPr>
          <w:rFonts w:ascii="Times New Roman" w:hAnsi="Times New Roman"/>
          <w:noProof/>
        </w:rPr>
        <w:t>i regionálního nástroje pro energetickou účinnost (REEF). V roce 2018 Komise podpořila podpis dohody o propojovacím plynovodu mezi Bulharskem a Srbskem, který bude částečně financován z NPP a Evropského fondu pro regionální rozvoj. V oblasti dopravy Komise</w:t>
      </w:r>
      <w:r>
        <w:rPr>
          <w:rFonts w:ascii="Times New Roman" w:hAnsi="Times New Roman"/>
          <w:noProof/>
        </w:rPr>
        <w:t xml:space="preserve"> nadále podporovala provádění Smlouvy o Dopravním společenství a provoz jeho sekretariátu. Především byly zřízeny orgány společenství (regionální řídící výbor a Rada ministrů), se Srbskem byla podepsána dohoda o sídle a počátkem roku 2019 byl jmenován úřad</w:t>
      </w:r>
      <w:r>
        <w:rPr>
          <w:rFonts w:ascii="Times New Roman" w:hAnsi="Times New Roman"/>
          <w:noProof/>
        </w:rPr>
        <w:t xml:space="preserve">ující ředitel. </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Komise napomohla vzniku ministerského prohlášení, jehož cílem je odstranit překážky na hranicích prostřednictvím integrovaných silničních a železničních hraničních přechodů. Toto prohlášení se zakládá na studii financované EU, která určila </w:t>
      </w:r>
      <w:r>
        <w:rPr>
          <w:rFonts w:ascii="Times New Roman" w:hAnsi="Times New Roman"/>
          <w:noProof/>
        </w:rPr>
        <w:t xml:space="preserve">32 prioritních hraničních přechodů v regionu, jichž by se mohla integrace týkat. Nyní jsou s ohledem na jednotlivé přechody podepisovány dvoustranné dohody mezi dotčenými zeměmi. </w:t>
      </w:r>
    </w:p>
    <w:p w:rsidR="00BB42EA" w:rsidRDefault="00B004C8">
      <w:pPr>
        <w:pStyle w:val="Default"/>
        <w:spacing w:after="120"/>
        <w:jc w:val="both"/>
        <w:rPr>
          <w:rFonts w:ascii="Times New Roman" w:eastAsia="Calibri" w:hAnsi="Times New Roman"/>
          <w:noProof/>
        </w:rPr>
      </w:pPr>
      <w:r>
        <w:rPr>
          <w:rFonts w:ascii="Times New Roman" w:hAnsi="Times New Roman"/>
          <w:noProof/>
        </w:rPr>
        <w:t>V návaznosti na přijetí příslušných ministerských prohlášení na zasedání min</w:t>
      </w:r>
      <w:r>
        <w:rPr>
          <w:rFonts w:ascii="Times New Roman" w:hAnsi="Times New Roman"/>
          <w:noProof/>
        </w:rPr>
        <w:t>istrů TEN-T v Lublani a na summitu v Sofii Komise rovněž napomáhá při přípravě nové regionální železniční strategie a akčního plánu pro bezpečnost silničního provozu, jehož cílem je zejména snížit počet úmrtí na silnicích odstraněním kritických bodů. V roc</w:t>
      </w:r>
      <w:r>
        <w:rPr>
          <w:rFonts w:ascii="Times New Roman" w:hAnsi="Times New Roman"/>
          <w:noProof/>
        </w:rPr>
        <w:t xml:space="preserve">e 2018 Komise financovala 24 inspekcí těchto kritických bodů, které provedli odborníci ze společnosti Connecta. </w:t>
      </w:r>
    </w:p>
    <w:p w:rsidR="00BB42EA" w:rsidRDefault="00B004C8">
      <w:pPr>
        <w:pStyle w:val="Default"/>
        <w:spacing w:after="240"/>
        <w:jc w:val="both"/>
        <w:rPr>
          <w:rFonts w:ascii="Times New Roman" w:eastAsia="Calibri" w:hAnsi="Times New Roman"/>
          <w:noProof/>
        </w:rPr>
      </w:pPr>
      <w:r>
        <w:rPr>
          <w:rFonts w:ascii="Times New Roman" w:hAnsi="Times New Roman"/>
          <w:noProof/>
        </w:rPr>
        <w:t>Pokud jde o investice do infrastruktury, v roce 2018 agendu v oblasti propojení i nadále podporoval investiční rámec pro západní Balkán. Na sum</w:t>
      </w:r>
      <w:r>
        <w:rPr>
          <w:rFonts w:ascii="Times New Roman" w:hAnsi="Times New Roman"/>
          <w:noProof/>
        </w:rPr>
        <w:t>mitu v Sofii oznámila Komise granty na jedenáct nových projektů v oblasti dopravy, přičemž celková hodnota grantů EU činila 192,7 milionu EUR. Od vzniku investičního rámce pro západní Balkán (WBIF) poskytla Komise prostřednictvím tohoto nástroje formou gra</w:t>
      </w:r>
      <w:r>
        <w:rPr>
          <w:rFonts w:ascii="Times New Roman" w:hAnsi="Times New Roman"/>
          <w:noProof/>
        </w:rPr>
        <w:t xml:space="preserve">ntů podporu ve výši 700 milionů EUR na 31 prioritních projektů a tato podpora následovně mobilizovala vnější investice přesahující 2,4 miliardy EUR. </w:t>
      </w:r>
    </w:p>
    <w:p w:rsidR="00BB42EA" w:rsidRDefault="00B004C8">
      <w:pPr>
        <w:pStyle w:val="Default"/>
        <w:spacing w:after="120"/>
        <w:jc w:val="both"/>
        <w:rPr>
          <w:rFonts w:ascii="Times New Roman" w:eastAsia="Calibri" w:hAnsi="Times New Roman"/>
          <w:noProof/>
        </w:rPr>
      </w:pPr>
      <w:r>
        <w:rPr>
          <w:rFonts w:ascii="Times New Roman" w:hAnsi="Times New Roman"/>
          <w:b/>
          <w:noProof/>
        </w:rPr>
        <w:t>Stěžejní iniciativa 5 – Digitální agenda</w:t>
      </w:r>
      <w:r>
        <w:rPr>
          <w:rFonts w:ascii="Times New Roman" w:hAnsi="Times New Roman"/>
          <w:noProof/>
        </w:rPr>
        <w:t xml:space="preserve"> </w:t>
      </w:r>
      <w:r>
        <w:rPr>
          <w:rFonts w:ascii="Times New Roman" w:hAnsi="Times New Roman"/>
          <w:b/>
          <w:noProof/>
        </w:rPr>
        <w:t>pro země západního Balkánu</w:t>
      </w:r>
      <w:r>
        <w:rPr>
          <w:rFonts w:ascii="Times New Roman" w:hAnsi="Times New Roman"/>
          <w:noProof/>
        </w:rPr>
        <w:t xml:space="preserve"> se zaměřuje na budování digitální ekon</w:t>
      </w:r>
      <w:r>
        <w:rPr>
          <w:rFonts w:ascii="Times New Roman" w:hAnsi="Times New Roman"/>
          <w:noProof/>
        </w:rPr>
        <w:t>omiky a společnosti v tomto regionu. Tato agenda založená na pracovním dokumentu útvarů Komise, který stanoví klíčové iniciativy, byla zahájena v červnu 2018 na výročním shromáždění EU k Digitální agendě. Komise rovněž zahájila dialogy v oblasti informační</w:t>
      </w:r>
      <w:r>
        <w:rPr>
          <w:rFonts w:ascii="Times New Roman" w:hAnsi="Times New Roman"/>
          <w:noProof/>
        </w:rPr>
        <w:t>ch a komunikačních technologií (IKT) s partnery ze západního Balkánu a komisařka pro digitální ekonomiku a společnost navštívila většinu hlavních měst regionu.</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Komise také intenzivně podporovala jednání o nové regionální dohodě o roamingu, což na západním </w:t>
      </w:r>
      <w:r>
        <w:rPr>
          <w:rFonts w:ascii="Times New Roman" w:hAnsi="Times New Roman"/>
          <w:noProof/>
        </w:rPr>
        <w:t xml:space="preserve">Balkánu přinese zrušení poplatků za roaming v rámci regionu. Tato dohoda byla přijata na zasedání ministrů pro digitální oblast v dubnu 2019 a v platnost vstoupí v červenci 2019. </w:t>
      </w:r>
    </w:p>
    <w:p w:rsidR="00BB42EA" w:rsidRDefault="00B004C8">
      <w:pPr>
        <w:pStyle w:val="Default"/>
        <w:spacing w:after="120"/>
        <w:jc w:val="both"/>
        <w:rPr>
          <w:rFonts w:ascii="Times New Roman" w:eastAsia="Calibri" w:hAnsi="Times New Roman"/>
          <w:noProof/>
        </w:rPr>
      </w:pPr>
      <w:r>
        <w:rPr>
          <w:rFonts w:ascii="Times New Roman" w:hAnsi="Times New Roman"/>
          <w:noProof/>
        </w:rPr>
        <w:t>Komise v rámci WBIF vyčlenila 30 milionů EUR na technickou pomoc při příprav</w:t>
      </w:r>
      <w:r>
        <w:rPr>
          <w:rFonts w:ascii="Times New Roman" w:hAnsi="Times New Roman"/>
          <w:noProof/>
        </w:rPr>
        <w:t xml:space="preserve">ě na investice do širokopásmového připojení a dalších 8 milionů EUR na regionální iniciativu budující kybernetickou bezpečnost. </w:t>
      </w:r>
    </w:p>
    <w:p w:rsidR="00BB42EA" w:rsidRDefault="00B004C8">
      <w:pPr>
        <w:pStyle w:val="Default"/>
        <w:spacing w:after="120"/>
        <w:jc w:val="both"/>
        <w:rPr>
          <w:rFonts w:ascii="Times New Roman" w:eastAsia="Calibri" w:hAnsi="Times New Roman"/>
          <w:noProof/>
        </w:rPr>
      </w:pPr>
      <w:r>
        <w:rPr>
          <w:rFonts w:ascii="Times New Roman" w:hAnsi="Times New Roman"/>
          <w:noProof/>
        </w:rPr>
        <w:t>EU rovněž usiluje o to, aby byl partnerům ze západního Balkánu otevřen přístup k různým evropským fórům a skupinám. Konkrétně b</w:t>
      </w:r>
      <w:r>
        <w:rPr>
          <w:rFonts w:ascii="Times New Roman" w:hAnsi="Times New Roman"/>
          <w:noProof/>
        </w:rPr>
        <w:t xml:space="preserve">yli tito partneři zapojeni jako pozorovatelé do skupiny evropských regulačních orgánů pro audiovizuální mediální služby (ERGA) a do pracovní skupiny na vysoké úrovni pro jednotný digitální trh. Rovněž byli přizváni jako pozorovatelé do Sdružení evropských </w:t>
      </w:r>
      <w:r>
        <w:rPr>
          <w:rFonts w:ascii="Times New Roman" w:hAnsi="Times New Roman"/>
          <w:noProof/>
        </w:rPr>
        <w:t>regulačních orgánů v oblasti elektronických komunikací (BEREC).</w:t>
      </w:r>
    </w:p>
    <w:p w:rsidR="00BB42EA" w:rsidRDefault="00B004C8">
      <w:pPr>
        <w:pStyle w:val="Default"/>
        <w:spacing w:after="120"/>
        <w:jc w:val="both"/>
        <w:rPr>
          <w:rFonts w:ascii="Times New Roman" w:eastAsia="Calibri" w:hAnsi="Times New Roman"/>
          <w:noProof/>
        </w:rPr>
      </w:pPr>
      <w:r>
        <w:rPr>
          <w:rFonts w:ascii="Times New Roman" w:hAnsi="Times New Roman"/>
          <w:noProof/>
        </w:rPr>
        <w:t xml:space="preserve">A v neposlední řadě Komise tyto partnery zapojuje do různých iniciativ Společenství v oblasti digitálních dovedností, elektronické veřejné správy a elektronického zdravotnictví. K nim se řadí </w:t>
      </w:r>
      <w:r>
        <w:rPr>
          <w:rFonts w:ascii="Times New Roman" w:hAnsi="Times New Roman"/>
          <w:noProof/>
        </w:rPr>
        <w:t>síť poradenských kanceláří pro širokopásmové připojení, program stáží v oblasti digitálních příležitostí, ambasadoři Evropského týdne programování, program ISA</w:t>
      </w:r>
      <w:r>
        <w:rPr>
          <w:rFonts w:ascii="Times New Roman" w:hAnsi="Times New Roman"/>
          <w:noProof/>
          <w:vertAlign w:val="superscript"/>
        </w:rPr>
        <w:t>2</w:t>
      </w:r>
      <w:r>
        <w:rPr>
          <w:rFonts w:ascii="Times New Roman" w:hAnsi="Times New Roman"/>
          <w:noProof/>
        </w:rPr>
        <w:t>, síť pro elektronické zdravotnictví, Evropská aliance pro umělou inteligenci a fórum a středisk</w:t>
      </w:r>
      <w:r>
        <w:rPr>
          <w:rFonts w:ascii="Times New Roman" w:hAnsi="Times New Roman"/>
          <w:noProof/>
        </w:rPr>
        <w:t xml:space="preserve">o EU pro sledování technologie blockchain. </w:t>
      </w:r>
    </w:p>
    <w:p w:rsidR="00BB42EA" w:rsidRDefault="00B004C8">
      <w:pPr>
        <w:pStyle w:val="Default"/>
        <w:jc w:val="both"/>
        <w:rPr>
          <w:rFonts w:ascii="Times New Roman" w:eastAsia="Calibri" w:hAnsi="Times New Roman"/>
          <w:noProof/>
        </w:rPr>
      </w:pPr>
      <w:r>
        <w:rPr>
          <w:rFonts w:ascii="Times New Roman" w:hAnsi="Times New Roman"/>
          <w:noProof/>
        </w:rPr>
        <w:t xml:space="preserve">Celkové prostředky z nástroje předvstupní pomoci vyčleněné v roce 2018 na akce týkající se propojení v dopravě, energetice a digitálním odvětví činily 450 milionů EUR. </w:t>
      </w:r>
    </w:p>
    <w:p w:rsidR="00BB42EA" w:rsidRDefault="00B004C8">
      <w:pPr>
        <w:pStyle w:val="Default"/>
        <w:spacing w:before="120"/>
        <w:jc w:val="both"/>
        <w:rPr>
          <w:rFonts w:ascii="Times New Roman" w:eastAsia="Calibri" w:hAnsi="Times New Roman"/>
          <w:noProof/>
        </w:rPr>
      </w:pPr>
      <w:r>
        <w:rPr>
          <w:rFonts w:ascii="Times New Roman" w:hAnsi="Times New Roman"/>
          <w:b/>
          <w:noProof/>
        </w:rPr>
        <w:t>Stěžejní iniciativa 6 – Podpora usmíření a </w:t>
      </w:r>
      <w:r>
        <w:rPr>
          <w:rFonts w:ascii="Times New Roman" w:hAnsi="Times New Roman"/>
          <w:b/>
          <w:noProof/>
        </w:rPr>
        <w:t>dobrých sousedských vztahů</w:t>
      </w:r>
      <w:r>
        <w:rPr>
          <w:rFonts w:ascii="Times New Roman" w:hAnsi="Times New Roman"/>
          <w:noProof/>
        </w:rPr>
        <w:t xml:space="preserve"> se zaměřuje na posilování udržitelného a trvalého míru v tomto regionu činností v těchto třech oblastech: vypořádání se s dědictvím minulosti, znovuobnovení mezilidských kontaktů mezi komunitami a posilování spolupráce v oblastec</w:t>
      </w:r>
      <w:r>
        <w:rPr>
          <w:rFonts w:ascii="Times New Roman" w:hAnsi="Times New Roman"/>
          <w:noProof/>
        </w:rPr>
        <w:t xml:space="preserve">h společného zájmu. O těchto otázkách se systematicky hovoří na zasedáních ministrů zahraničních věcí zemí západního Balkánu a také v rámci řady zasedání na vysoké úrovni věnovaných bilaterálním otázkám, která v roce 2018 zahájilo rakouské předsednictví. </w:t>
      </w:r>
    </w:p>
    <w:p w:rsidR="00BB42EA" w:rsidRDefault="00B004C8">
      <w:pPr>
        <w:pStyle w:val="Default"/>
        <w:spacing w:after="120"/>
        <w:jc w:val="both"/>
        <w:rPr>
          <w:rFonts w:ascii="Times New Roman" w:eastAsia="Calibri" w:hAnsi="Times New Roman"/>
          <w:noProof/>
        </w:rPr>
      </w:pPr>
      <w:r>
        <w:rPr>
          <w:rFonts w:ascii="Times New Roman" w:hAnsi="Times New Roman"/>
          <w:noProof/>
        </w:rPr>
        <w:t>Komise nadále podporuje Mezinárodní reziduální mechanismus pro trestní tribunály a specializované senáty pro Kosovo. Komise společně s Mezinárodní komisí pro pohřešované osoby a Mezinárodním výborem Červeného kříže podporuje úsilí o vyřešení zbývajících př</w:t>
      </w:r>
      <w:r>
        <w:rPr>
          <w:rFonts w:ascii="Times New Roman" w:hAnsi="Times New Roman"/>
          <w:noProof/>
        </w:rPr>
        <w:t xml:space="preserve">ípadů pohřešovaných osob a o řešení potřeb jejich rodin. Komise též posílila svoji podporu pro zřízení regionální komise pravdy. </w:t>
      </w:r>
    </w:p>
    <w:p w:rsidR="00BB42EA" w:rsidRDefault="00B004C8">
      <w:pPr>
        <w:pStyle w:val="Default"/>
        <w:spacing w:after="120"/>
        <w:jc w:val="both"/>
        <w:rPr>
          <w:rFonts w:ascii="Times New Roman" w:eastAsia="Calibri" w:hAnsi="Times New Roman"/>
          <w:noProof/>
        </w:rPr>
      </w:pPr>
      <w:r>
        <w:rPr>
          <w:rFonts w:ascii="Times New Roman" w:hAnsi="Times New Roman"/>
          <w:noProof/>
        </w:rPr>
        <w:t>EU poskytuje finanční pomoc Regionální kanceláři pro spolupráci mládeže jakožto důležitému prostředku pro zvýšení mobility a s</w:t>
      </w:r>
      <w:r>
        <w:rPr>
          <w:rFonts w:ascii="Times New Roman" w:hAnsi="Times New Roman"/>
          <w:noProof/>
        </w:rPr>
        <w:t>polupráce mezi mladými lidmi. Byla zřízena „laboratoř pro mladé lidi ze západního Balkánu“, jejímž cílem je posílit účast mladých lidí na tvorbě politik. V rámci programu Kreativní Evropa byla navýšena podpora poskytovaná na spolupráci mezi kulturními a kr</w:t>
      </w:r>
      <w:r>
        <w:rPr>
          <w:rFonts w:ascii="Times New Roman" w:hAnsi="Times New Roman"/>
          <w:noProof/>
        </w:rPr>
        <w:t xml:space="preserve">eativními odvětvími. </w:t>
      </w:r>
    </w:p>
    <w:p w:rsidR="00BB42EA" w:rsidRDefault="00B004C8">
      <w:pPr>
        <w:pStyle w:val="Default"/>
        <w:spacing w:after="120"/>
        <w:jc w:val="both"/>
        <w:rPr>
          <w:rFonts w:ascii="Times New Roman" w:eastAsia="Calibri" w:hAnsi="Times New Roman"/>
          <w:noProof/>
        </w:rPr>
      </w:pPr>
      <w:r>
        <w:rPr>
          <w:rFonts w:ascii="Times New Roman" w:hAnsi="Times New Roman"/>
          <w:noProof/>
        </w:rPr>
        <w:t>Vedle řady akcí pro více zemí na podporu regionální spolupráce umožňuje program přeshraniční spolupráce konkrétní společné komunitní projekty týkající se otázek, jako je hospodaření s přírodními zdroji, cestovní ruch a kultura. Celkov</w:t>
      </w:r>
      <w:r>
        <w:rPr>
          <w:rFonts w:ascii="Times New Roman" w:hAnsi="Times New Roman"/>
          <w:noProof/>
        </w:rPr>
        <w:t xml:space="preserve">á podpora EU poskytovaná institucionálním a socioekonomickým reformám přispívá k obnově důvěry občanů a komunit, a tím k posílení prostředí příznivého pro usmíření. </w:t>
      </w:r>
    </w:p>
    <w:p w:rsidR="00BB42EA" w:rsidRDefault="00B004C8">
      <w:pPr>
        <w:pStyle w:val="Default"/>
        <w:spacing w:after="240"/>
        <w:jc w:val="both"/>
        <w:rPr>
          <w:rFonts w:ascii="Times New Roman" w:eastAsia="Calibri" w:hAnsi="Times New Roman"/>
          <w:noProof/>
        </w:rPr>
      </w:pPr>
      <w:r>
        <w:rPr>
          <w:rFonts w:ascii="Times New Roman" w:hAnsi="Times New Roman"/>
          <w:noProof/>
        </w:rPr>
        <w:t xml:space="preserve">Celkové prostředky z nástroje předvstupní pomoci vyčleněné v roce 2018 na podporu dobrých </w:t>
      </w:r>
      <w:r>
        <w:rPr>
          <w:rFonts w:ascii="Times New Roman" w:hAnsi="Times New Roman"/>
          <w:noProof/>
        </w:rPr>
        <w:t>sousedských vztahů a na usmíření se blížily částce 80 milionů EUR.</w:t>
      </w:r>
    </w:p>
    <w:p w:rsidR="00BB42EA" w:rsidRDefault="00B004C8">
      <w:pPr>
        <w:pStyle w:val="Default"/>
        <w:spacing w:after="120"/>
        <w:jc w:val="both"/>
        <w:rPr>
          <w:rFonts w:ascii="Times New Roman" w:hAnsi="Times New Roman"/>
          <w:b/>
          <w:noProof/>
        </w:rPr>
      </w:pPr>
      <w:r>
        <w:rPr>
          <w:rFonts w:ascii="Times New Roman" w:hAnsi="Times New Roman"/>
          <w:noProof/>
        </w:rPr>
        <w:t xml:space="preserve">Komise bude i v nadcházejících letech rozvíjet výše uvedené úspěchy v těchto šesti stěžejních iniciativách, aby se podařilo zcela splnit závazky přijaté v rámci strategie pro západní </w:t>
      </w:r>
      <w:r>
        <w:rPr>
          <w:rFonts w:ascii="Times New Roman" w:hAnsi="Times New Roman"/>
          <w:noProof/>
        </w:rPr>
        <w:t xml:space="preserve">Balkán. Partnery a členské státy budeme i nadále zapojovat a informovat prostřednictvím politického dialogu, pravidelného hodnocení situace a cílených pracovních schůzek. Pokračující angažovanost a konstruktivní regionální spolupráce partnerů ze západního </w:t>
      </w:r>
      <w:r>
        <w:rPr>
          <w:rFonts w:ascii="Times New Roman" w:hAnsi="Times New Roman"/>
          <w:noProof/>
        </w:rPr>
        <w:t>Balkánu budou mít klíčový význam pro splnění ambiciózních cílů strategie a jejího akčního plánu.</w:t>
      </w:r>
    </w:p>
    <w:p w:rsidR="00BB42EA" w:rsidRDefault="00BB42EA">
      <w:pPr>
        <w:pStyle w:val="Default"/>
        <w:spacing w:before="120" w:after="120"/>
        <w:jc w:val="both"/>
        <w:rPr>
          <w:rFonts w:ascii="Times New Roman" w:eastAsia="Calibri" w:hAnsi="Times New Roman"/>
          <w:noProof/>
        </w:rPr>
      </w:pPr>
    </w:p>
    <w:p w:rsidR="00BB42EA" w:rsidRDefault="00BB42EA">
      <w:pPr>
        <w:pStyle w:val="Default"/>
        <w:spacing w:after="120"/>
        <w:jc w:val="both"/>
        <w:rPr>
          <w:rFonts w:ascii="Times New Roman" w:hAnsi="Times New Roman"/>
          <w:b/>
          <w:noProof/>
        </w:rPr>
        <w:sectPr w:rsidR="00BB42E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rsidR="00BB42EA" w:rsidRDefault="00B004C8">
      <w:pPr>
        <w:pStyle w:val="Default"/>
        <w:spacing w:after="120"/>
        <w:jc w:val="both"/>
        <w:rPr>
          <w:rFonts w:ascii="Times New Roman" w:hAnsi="Times New Roman"/>
          <w:b/>
          <w:noProof/>
        </w:rPr>
      </w:pPr>
      <w:r>
        <w:rPr>
          <w:rFonts w:ascii="Times New Roman" w:hAnsi="Times New Roman"/>
          <w:b/>
          <w:noProof/>
        </w:rPr>
        <w:t>PŘÍLOHA 4 – Hlavní statistické údaje</w:t>
      </w:r>
    </w:p>
    <w:tbl>
      <w:tblPr>
        <w:tblW w:w="15840" w:type="dxa"/>
        <w:tblInd w:w="-492" w:type="dxa"/>
        <w:tblLayout w:type="fixed"/>
        <w:tblLook w:val="0000" w:firstRow="0" w:lastRow="0" w:firstColumn="0" w:lastColumn="0" w:noHBand="0" w:noVBand="0"/>
      </w:tblPr>
      <w:tblGrid>
        <w:gridCol w:w="33"/>
        <w:gridCol w:w="2367"/>
        <w:gridCol w:w="720"/>
        <w:gridCol w:w="600"/>
        <w:gridCol w:w="840"/>
        <w:gridCol w:w="840"/>
        <w:gridCol w:w="750"/>
        <w:gridCol w:w="839"/>
        <w:gridCol w:w="811"/>
        <w:gridCol w:w="839"/>
        <w:gridCol w:w="750"/>
        <w:gridCol w:w="811"/>
        <w:gridCol w:w="839"/>
        <w:gridCol w:w="839"/>
        <w:gridCol w:w="722"/>
        <w:gridCol w:w="616"/>
        <w:gridCol w:w="104"/>
        <w:gridCol w:w="746"/>
        <w:gridCol w:w="94"/>
        <w:gridCol w:w="757"/>
        <w:gridCol w:w="83"/>
        <w:gridCol w:w="768"/>
        <w:gridCol w:w="72"/>
      </w:tblGrid>
      <w:tr w:rsidR="00BB42EA">
        <w:trPr>
          <w:gridBefore w:val="1"/>
          <w:gridAfter w:val="1"/>
          <w:wBefore w:w="33" w:type="dxa"/>
          <w:wAfter w:w="72" w:type="dxa"/>
          <w:trHeight w:val="216"/>
        </w:trPr>
        <w:tc>
          <w:tcPr>
            <w:tcW w:w="13183" w:type="dxa"/>
            <w:gridSpan w:val="15"/>
            <w:tcBorders>
              <w:top w:val="nil"/>
              <w:left w:val="nil"/>
              <w:bottom w:val="nil"/>
              <w:right w:val="nil"/>
            </w:tcBorders>
          </w:tcPr>
          <w:p w:rsidR="00BB42EA" w:rsidRDefault="00B004C8">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STATISTICKÉ ÚDAJE (k 29. 4. 2019)</w:t>
            </w:r>
          </w:p>
          <w:p w:rsidR="00BB42EA" w:rsidRDefault="00BB42EA">
            <w:pPr>
              <w:autoSpaceDE w:val="0"/>
              <w:autoSpaceDN w:val="0"/>
              <w:adjustRightInd w:val="0"/>
              <w:spacing w:after="0"/>
              <w:jc w:val="right"/>
              <w:rPr>
                <w:rFonts w:ascii="Arial" w:hAnsi="Arial" w:cs="Arial"/>
                <w:noProof/>
                <w:color w:val="000000"/>
                <w:sz w:val="16"/>
                <w:szCs w:val="16"/>
              </w:rPr>
            </w:pPr>
          </w:p>
          <w:p w:rsidR="00BB42EA" w:rsidRDefault="00BB42EA">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blPrEx>
          <w:tblLook w:val="04A0" w:firstRow="1" w:lastRow="0" w:firstColumn="1" w:lastColumn="0" w:noHBand="0" w:noVBand="1"/>
        </w:tblPrEx>
        <w:trPr>
          <w:trHeight w:val="225"/>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b/>
                <w:noProof/>
                <w:color w:val="000000"/>
                <w:sz w:val="16"/>
              </w:rPr>
              <w:t>Demografie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noProof/>
                <w:sz w:val="16"/>
              </w:rPr>
              <w:t> </w:t>
            </w:r>
            <w:r>
              <w:rPr>
                <w:rFonts w:ascii="Arial" w:hAnsi="Arial"/>
                <w:noProof/>
                <w:color w:val="000000"/>
                <w:sz w:val="16"/>
              </w:rPr>
              <w:t>Pozn.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Černá Hora</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Severní Makedonie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Albánie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Srbsko</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Turecko</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Bosna a</w:t>
            </w:r>
            <w:r>
              <w:rPr>
                <w:rFonts w:ascii="Arial" w:hAnsi="Arial" w:cs="Arial"/>
                <w:noProof/>
                <w:sz w:val="16"/>
                <w:szCs w:val="16"/>
              </w:rPr>
              <w:br/>
            </w:r>
            <w:r>
              <w:rPr>
                <w:rFonts w:ascii="Arial" w:hAnsi="Arial"/>
                <w:noProof/>
                <w:sz w:val="16"/>
              </w:rPr>
              <w:t>Hercegovina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Kosovo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EU-28</w:t>
            </w:r>
          </w:p>
        </w:tc>
      </w:tr>
      <w:tr w:rsidR="00BB42EA">
        <w:tblPrEx>
          <w:tblLook w:val="04A0" w:firstRow="1" w:lastRow="0" w:firstColumn="1" w:lastColumn="0" w:noHBand="0" w:noVBand="1"/>
        </w:tblPrEx>
        <w:trPr>
          <w:trHeight w:val="225"/>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BB42EA" w:rsidRDefault="00BB42EA">
            <w:pPr>
              <w:spacing w:after="0"/>
              <w:rPr>
                <w:rFonts w:ascii="Arial" w:hAnsi="Arial" w:cs="Arial"/>
                <w:noProof/>
                <w:sz w:val="16"/>
                <w:szCs w:val="16"/>
              </w:rPr>
            </w:pPr>
          </w:p>
        </w:tc>
        <w:tc>
          <w:tcPr>
            <w:tcW w:w="720" w:type="dxa"/>
            <w:vMerge/>
            <w:tcBorders>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Populace celkem (v tisících)</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2071,3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2 073,7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2 875,6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2 876,6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7 076,4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7 040,3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78 741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79 815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3 516,0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3 509,7</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1 785,5</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510 182p</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511 373bp</w:t>
            </w:r>
          </w:p>
        </w:tc>
      </w:tr>
      <w:tr w:rsidR="00BB42EA">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Podíl</w:t>
            </w:r>
            <w:r>
              <w:rPr>
                <w:rFonts w:ascii="Arial" w:hAnsi="Arial"/>
                <w:noProof/>
                <w:color w:val="000000"/>
                <w:sz w:val="16"/>
              </w:rPr>
              <w:t xml:space="preserve"> skupiny 15–64 let v celkové populaci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 </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65,0b</w:t>
            </w:r>
          </w:p>
        </w:tc>
      </w:tr>
      <w:tr w:rsidR="00BB42EA">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Hrubá</w:t>
            </w:r>
            <w:r>
              <w:rPr>
                <w:rFonts w:ascii="Arial" w:hAnsi="Arial"/>
                <w:noProof/>
                <w:color w:val="000000"/>
                <w:sz w:val="16"/>
              </w:rPr>
              <w:t xml:space="preserve"> míra přirozeného pohybu populace (na 1 000 obyvatel)</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8,4p</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0,0p</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–0,4bp</w:t>
            </w:r>
          </w:p>
        </w:tc>
      </w:tr>
      <w:tr w:rsidR="00BB42EA">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Naděj</w:t>
            </w:r>
            <w:r>
              <w:rPr>
                <w:rFonts w:ascii="Arial" w:hAnsi="Arial"/>
                <w:noProof/>
                <w:color w:val="000000"/>
                <w:sz w:val="16"/>
              </w:rPr>
              <w:t xml:space="preserve">e dožití při narození, muži (v letech)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75,9p</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78,2</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78,3b</w:t>
            </w:r>
          </w:p>
        </w:tc>
      </w:tr>
      <w:tr w:rsidR="00BB42EA">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Naděje dožití při narození, ženy (v letech)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81,6p</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83,6</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83,5b</w:t>
            </w:r>
          </w:p>
        </w:tc>
      </w:tr>
      <w:tr w:rsidR="00BB42EA">
        <w:tblPrEx>
          <w:tblLook w:val="04A0" w:firstRow="1" w:lastRow="0" w:firstColumn="1" w:lastColumn="0" w:noHBand="0" w:noVBand="1"/>
        </w:tblPrEx>
        <w:trPr>
          <w:trHeight w:val="225"/>
        </w:trPr>
        <w:tc>
          <w:tcPr>
            <w:tcW w:w="2400" w:type="dxa"/>
            <w:gridSpan w:val="2"/>
            <w:tcBorders>
              <w:top w:val="nil"/>
              <w:left w:val="nil"/>
              <w:bottom w:val="single" w:sz="4" w:space="0" w:color="auto"/>
              <w:right w:val="nil"/>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nil"/>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b/>
                <w:noProof/>
                <w:color w:val="000000"/>
                <w:sz w:val="16"/>
              </w:rPr>
              <w:t>Trh práce</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Pozn.</w:t>
            </w:r>
          </w:p>
        </w:tc>
        <w:tc>
          <w:tcPr>
            <w:tcW w:w="60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Míra ekonomické aktivity osob ve věku 20–64 let: podíl ekonomicky aktivní populace ve věku 20–64 let (v %)</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73,3e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58,8</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58,4</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49,0</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77,6</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r>
      <w:tr w:rsidR="00BB42EA">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Míra ekonomické aktivity mužů ve věku 20–64 let:</w:t>
            </w:r>
            <w:r>
              <w:rPr>
                <w:rFonts w:ascii="Arial" w:hAnsi="Arial"/>
                <w:noProof/>
                <w:color w:val="000000"/>
                <w:sz w:val="16"/>
              </w:rPr>
              <w:t xml:space="preserve"> podíl ekonomicky aktivních mužů ve věku 20–64 let (v %)</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75,1</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84,1</w:t>
            </w:r>
          </w:p>
        </w:tc>
      </w:tr>
      <w:tr w:rsidR="00BB42EA">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Míra </w:t>
            </w:r>
            <w:r>
              <w:rPr>
                <w:rFonts w:ascii="Arial" w:hAnsi="Arial"/>
                <w:noProof/>
                <w:color w:val="000000"/>
                <w:sz w:val="16"/>
              </w:rPr>
              <w:t>ekonomické aktivity žen ve věku 20–64 let: podíl ekonomicky aktivních žen ve věku 20–64 let (v %)</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45,6</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r>
      <w:tr w:rsidR="00BB42EA">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Míra </w:t>
            </w:r>
            <w:r>
              <w:rPr>
                <w:rFonts w:ascii="Arial" w:hAnsi="Arial"/>
                <w:noProof/>
                <w:color w:val="000000"/>
                <w:sz w:val="16"/>
              </w:rPr>
              <w:t>zaměstnanosti, skupina 20–64 let (v % populace)</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722"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b/>
                <w:bCs/>
                <w:noProof/>
                <w:color w:val="000000"/>
                <w:sz w:val="16"/>
                <w:szCs w:val="16"/>
              </w:rPr>
            </w:pPr>
          </w:p>
        </w:tc>
      </w:tr>
      <w:tr w:rsidR="00BB42EA">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Celkem</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71,1</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r>
      <w:tr w:rsidR="00BB42EA">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Muži</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69,4e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58,1</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54,0</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76,9</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r>
      <w:tr w:rsidR="00BB42EA">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Ženy</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35,1</w:t>
            </w:r>
          </w:p>
        </w:tc>
        <w:tc>
          <w:tcPr>
            <w:tcW w:w="72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66,5</w:t>
            </w:r>
          </w:p>
        </w:tc>
      </w:tr>
    </w:tbl>
    <w:p w:rsidR="00BB42EA" w:rsidRDefault="00BB42EA">
      <w:pPr>
        <w:spacing w:after="0"/>
        <w:rPr>
          <w:noProof/>
        </w:rPr>
      </w:pPr>
    </w:p>
    <w:p w:rsidR="00BB42EA" w:rsidRDefault="00BB42EA">
      <w:pPr>
        <w:spacing w:after="0"/>
        <w:rPr>
          <w:noProof/>
        </w:rPr>
      </w:pPr>
    </w:p>
    <w:tbl>
      <w:tblPr>
        <w:tblW w:w="15840" w:type="dxa"/>
        <w:tblInd w:w="-492" w:type="dxa"/>
        <w:tblLayout w:type="fixed"/>
        <w:tblLook w:val="04A0" w:firstRow="1" w:lastRow="0" w:firstColumn="1" w:lastColumn="0" w:noHBand="0" w:noVBand="1"/>
      </w:tblPr>
      <w:tblGrid>
        <w:gridCol w:w="2400"/>
        <w:gridCol w:w="720"/>
        <w:gridCol w:w="600"/>
        <w:gridCol w:w="840"/>
        <w:gridCol w:w="840"/>
        <w:gridCol w:w="750"/>
        <w:gridCol w:w="839"/>
        <w:gridCol w:w="811"/>
        <w:gridCol w:w="839"/>
        <w:gridCol w:w="750"/>
        <w:gridCol w:w="811"/>
        <w:gridCol w:w="839"/>
        <w:gridCol w:w="839"/>
        <w:gridCol w:w="722"/>
        <w:gridCol w:w="720"/>
        <w:gridCol w:w="840"/>
        <w:gridCol w:w="840"/>
        <w:gridCol w:w="840"/>
      </w:tblGrid>
      <w:tr w:rsidR="00BB42EA">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b/>
                <w:noProof/>
                <w:color w:val="000000"/>
                <w:sz w:val="16"/>
              </w:rPr>
              <w:t>Trh</w:t>
            </w:r>
            <w:r>
              <w:rPr>
                <w:rFonts w:ascii="Arial" w:hAnsi="Arial"/>
                <w:b/>
                <w:noProof/>
                <w:color w:val="000000"/>
                <w:sz w:val="16"/>
              </w:rPr>
              <w:t xml:space="preserve"> práce, pokračování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noProof/>
                <w:sz w:val="16"/>
              </w:rPr>
              <w:t> </w:t>
            </w:r>
            <w:r>
              <w:rPr>
                <w:rFonts w:ascii="Arial" w:hAnsi="Arial"/>
                <w:noProof/>
                <w:color w:val="000000"/>
                <w:sz w:val="16"/>
              </w:rPr>
              <w:t>Pozn.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Černá Hora</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Severní Makedonie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Albánie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Srbsko</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Turecko</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Bosna a</w:t>
            </w:r>
            <w:r>
              <w:rPr>
                <w:rFonts w:ascii="Arial" w:hAnsi="Arial" w:cs="Arial"/>
                <w:noProof/>
                <w:sz w:val="16"/>
                <w:szCs w:val="16"/>
              </w:rPr>
              <w:br/>
            </w:r>
            <w:r>
              <w:rPr>
                <w:rFonts w:ascii="Arial" w:hAnsi="Arial"/>
                <w:noProof/>
                <w:sz w:val="16"/>
              </w:rPr>
              <w:t>Hercegovina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EU-28</w:t>
            </w:r>
          </w:p>
        </w:tc>
      </w:tr>
      <w:tr w:rsidR="00BB42EA">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B42EA" w:rsidRDefault="00BB42EA">
            <w:pPr>
              <w:spacing w:after="0"/>
              <w:rPr>
                <w:rFonts w:ascii="Arial" w:hAnsi="Arial" w:cs="Arial"/>
                <w:noProof/>
                <w:sz w:val="16"/>
                <w:szCs w:val="16"/>
              </w:rPr>
            </w:pPr>
          </w:p>
        </w:tc>
        <w:tc>
          <w:tcPr>
            <w:tcW w:w="720" w:type="dxa"/>
            <w:vMerge/>
            <w:tcBorders>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Osoby ve věku 15–24 let, které nejsou zaměstnané ani se neúčastní vzdělávání nebo odborné přípravy, v % populace v této věkové skupině</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26,9e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26,4</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24,3</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Osoby</w:t>
            </w:r>
            <w:r>
              <w:rPr>
                <w:rFonts w:ascii="Arial" w:hAnsi="Arial"/>
                <w:noProof/>
                <w:color w:val="000000"/>
                <w:sz w:val="16"/>
              </w:rPr>
              <w:t xml:space="preserve"> ve věku 15–29 let, které nejsou zaměstnané ani se neúčastní vzdělávání nebo odborné přípravy, v % populace v této věkové skupině</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28,8</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Zaměs</w:t>
            </w:r>
            <w:r>
              <w:rPr>
                <w:rFonts w:ascii="Arial" w:hAnsi="Arial"/>
                <w:noProof/>
                <w:color w:val="000000"/>
                <w:sz w:val="16"/>
              </w:rPr>
              <w:t>tnanost podle hlavních odvětví</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22"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2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Zemědělství, lesnictví a rybolov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38,2e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Průmysl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22,2</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Stave</w:t>
            </w:r>
            <w:r>
              <w:rPr>
                <w:rFonts w:ascii="Arial" w:hAnsi="Arial"/>
                <w:noProof/>
                <w:color w:val="000000"/>
                <w:sz w:val="16"/>
              </w:rPr>
              <w:t>bnictví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Služb</w:t>
            </w:r>
            <w:r>
              <w:rPr>
                <w:rFonts w:ascii="Arial" w:hAnsi="Arial"/>
                <w:noProof/>
                <w:color w:val="000000"/>
                <w:sz w:val="16"/>
              </w:rPr>
              <w:t>y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42,4e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Osoby</w:t>
            </w:r>
            <w:r>
              <w:rPr>
                <w:rFonts w:ascii="Arial" w:hAnsi="Arial"/>
                <w:noProof/>
                <w:color w:val="000000"/>
                <w:sz w:val="16"/>
              </w:rPr>
              <w:t xml:space="preserve"> zaměstnané ve veřejném sektoru jako podíl celkové zaměstnanosti, osoby ve věku 20–64 let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16,4e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Osoby</w:t>
            </w:r>
            <w:r>
              <w:rPr>
                <w:rFonts w:ascii="Arial" w:hAnsi="Arial"/>
                <w:noProof/>
                <w:color w:val="000000"/>
                <w:sz w:val="16"/>
              </w:rPr>
              <w:t xml:space="preserve"> zaměstnané v soukromém sektoru jako podíl celkové zaměstnanosti, osoby ve věku 20–64 let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83,6e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81,6</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Míra nezaměstnanosti (v % pracovní síly)</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22"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72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Celkem</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15,2e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13,7e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25,5</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30,3</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Muži</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15,9e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Ženy</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30,2</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23,3</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Mladí</w:t>
            </w:r>
            <w:r>
              <w:rPr>
                <w:rFonts w:ascii="Arial" w:hAnsi="Arial"/>
                <w:noProof/>
                <w:color w:val="000000"/>
                <w:sz w:val="16"/>
              </w:rPr>
              <w:t xml:space="preserve"> lidé ve věku 15–24 let</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36,5e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31,9e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31,9</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45,8</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Dlouhodobá (&gt;12 měsíců)</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Průmě</w:t>
            </w:r>
            <w:r>
              <w:rPr>
                <w:rFonts w:ascii="Arial" w:hAnsi="Arial"/>
                <w:noProof/>
                <w:color w:val="000000"/>
                <w:sz w:val="16"/>
              </w:rPr>
              <w:t>rná nominální měsíční mzda a výplata (v EUR)</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3)</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544</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435</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bl>
    <w:p w:rsidR="00BB42EA" w:rsidRDefault="00B004C8">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720"/>
        <w:gridCol w:w="600"/>
        <w:gridCol w:w="840"/>
        <w:gridCol w:w="840"/>
        <w:gridCol w:w="750"/>
        <w:gridCol w:w="839"/>
        <w:gridCol w:w="811"/>
        <w:gridCol w:w="839"/>
        <w:gridCol w:w="750"/>
        <w:gridCol w:w="811"/>
        <w:gridCol w:w="839"/>
        <w:gridCol w:w="839"/>
        <w:gridCol w:w="722"/>
        <w:gridCol w:w="720"/>
        <w:gridCol w:w="840"/>
        <w:gridCol w:w="840"/>
        <w:gridCol w:w="840"/>
      </w:tblGrid>
      <w:tr w:rsidR="00BB42EA">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b/>
                <w:noProof/>
                <w:color w:val="000000"/>
                <w:sz w:val="16"/>
              </w:rPr>
              <w:t>Vzd</w:t>
            </w:r>
            <w:r>
              <w:rPr>
                <w:rFonts w:ascii="Arial" w:hAnsi="Arial"/>
                <w:b/>
                <w:noProof/>
                <w:color w:val="000000"/>
                <w:sz w:val="16"/>
              </w:rPr>
              <w:t>ělávání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noProof/>
                <w:sz w:val="16"/>
              </w:rPr>
              <w:t> </w:t>
            </w:r>
            <w:r>
              <w:rPr>
                <w:rFonts w:ascii="Arial" w:hAnsi="Arial"/>
                <w:noProof/>
                <w:color w:val="000000"/>
                <w:sz w:val="16"/>
              </w:rPr>
              <w:t>Pozn.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Černá Hora</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Severní Makedonie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Albánie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Srbsko</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Turecko</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Bosna a</w:t>
            </w:r>
            <w:r>
              <w:rPr>
                <w:rFonts w:ascii="Arial" w:hAnsi="Arial" w:cs="Arial"/>
                <w:noProof/>
                <w:sz w:val="16"/>
                <w:szCs w:val="16"/>
              </w:rPr>
              <w:br/>
            </w:r>
            <w:r>
              <w:rPr>
                <w:rFonts w:ascii="Arial" w:hAnsi="Arial"/>
                <w:noProof/>
                <w:sz w:val="16"/>
              </w:rPr>
              <w:t>Hercegovina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EU-28</w:t>
            </w:r>
          </w:p>
        </w:tc>
      </w:tr>
      <w:tr w:rsidR="00BB42EA">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B42EA" w:rsidRDefault="00BB42EA">
            <w:pPr>
              <w:spacing w:after="0"/>
              <w:rPr>
                <w:rFonts w:ascii="Arial" w:hAnsi="Arial" w:cs="Arial"/>
                <w:noProof/>
                <w:sz w:val="16"/>
                <w:szCs w:val="16"/>
              </w:rPr>
            </w:pPr>
          </w:p>
        </w:tc>
        <w:tc>
          <w:tcPr>
            <w:tcW w:w="720" w:type="dxa"/>
            <w:vMerge/>
            <w:tcBorders>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11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Osoby předčasně opouštějící vzdělávací systém: procento populace ve věku 18–24 let s nejvýše nižším sekundárním vzděláním, které se neúčastní dalšího vzdělávání nebo odborné přípravy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10,6</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Veřejné výdaje na vzdělávání v poměru k HDP (%)</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20–24 let s nejvýše nižším sekundárním vzděláním, celkem</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5,8u</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6,1u</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20–24 let s nejvýše nižším sekundárním vzděláním, muži</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5,5u</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6,1u</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20–24 let s nejvýše nižším sekundárním vzděláním, ženy</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6,3u</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6,2u</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14,1</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20–24 let s vyšším sekundárním vzděláním nebo postsekundárním vzděláním nižším než terciární, celkem</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86,6</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65,1</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20–24 let s vyšším sekundárním vzděláním nebo postsekundárním vzděláním nižším než terciární, muži</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89,4</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65,8</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20–24 let s vyšším sekundárním vzděláním nebo postsekundárním vzděláním nižším než terciární, ženy</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30–34 let s terciárním vzděláním, celkem</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23,5e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23,8</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39,8</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30–34 let s terciárním vzděláním, muži</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21,1e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25,4</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16,6u</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34,8</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Proce</w:t>
            </w:r>
            <w:r>
              <w:rPr>
                <w:rFonts w:ascii="Arial" w:hAnsi="Arial"/>
                <w:noProof/>
                <w:color w:val="000000"/>
                <w:sz w:val="16"/>
              </w:rPr>
              <w:t>nto populace ve věku 30–34 let s terciárním vzděláním, ženy</w:t>
            </w:r>
          </w:p>
        </w:tc>
        <w:tc>
          <w:tcPr>
            <w:tcW w:w="720" w:type="dxa"/>
            <w:tcBorders>
              <w:top w:val="nil"/>
              <w:left w:val="nil"/>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23,9e</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26,0e</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29,4</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28,4</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44,8</w:t>
            </w:r>
          </w:p>
        </w:tc>
      </w:tr>
    </w:tbl>
    <w:p w:rsidR="00BB42EA" w:rsidRDefault="00B004C8">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720"/>
        <w:gridCol w:w="600"/>
        <w:gridCol w:w="840"/>
        <w:gridCol w:w="840"/>
        <w:gridCol w:w="750"/>
        <w:gridCol w:w="839"/>
        <w:gridCol w:w="811"/>
        <w:gridCol w:w="839"/>
        <w:gridCol w:w="750"/>
        <w:gridCol w:w="811"/>
        <w:gridCol w:w="839"/>
        <w:gridCol w:w="839"/>
        <w:gridCol w:w="722"/>
        <w:gridCol w:w="720"/>
        <w:gridCol w:w="840"/>
        <w:gridCol w:w="840"/>
        <w:gridCol w:w="840"/>
      </w:tblGrid>
      <w:tr w:rsidR="00BB42EA">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b/>
                <w:noProof/>
                <w:color w:val="000000"/>
                <w:sz w:val="16"/>
              </w:rPr>
              <w:t>Národní účty</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noProof/>
                <w:sz w:val="16"/>
              </w:rPr>
              <w:t> </w:t>
            </w:r>
            <w:r>
              <w:rPr>
                <w:rFonts w:ascii="Arial" w:hAnsi="Arial"/>
                <w:noProof/>
                <w:color w:val="000000"/>
                <w:sz w:val="16"/>
              </w:rPr>
              <w:t>Pozn.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Černá Hora</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Severní Makedonie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Albánie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Srbsko</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Turecko</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Bosna a</w:t>
            </w:r>
            <w:r>
              <w:rPr>
                <w:rFonts w:ascii="Arial" w:hAnsi="Arial" w:cs="Arial"/>
                <w:noProof/>
                <w:sz w:val="16"/>
                <w:szCs w:val="16"/>
              </w:rPr>
              <w:br/>
            </w:r>
            <w:r>
              <w:rPr>
                <w:rFonts w:ascii="Arial" w:hAnsi="Arial"/>
                <w:noProof/>
                <w:sz w:val="16"/>
              </w:rPr>
              <w:t>Hercegovina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EU-28</w:t>
            </w:r>
          </w:p>
        </w:tc>
      </w:tr>
      <w:tr w:rsidR="00BB42EA">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B42EA" w:rsidRDefault="00BB42EA">
            <w:pPr>
              <w:spacing w:after="0"/>
              <w:rPr>
                <w:rFonts w:ascii="Arial" w:hAnsi="Arial" w:cs="Arial"/>
                <w:noProof/>
                <w:sz w:val="16"/>
                <w:szCs w:val="16"/>
              </w:rPr>
            </w:pPr>
          </w:p>
        </w:tc>
        <w:tc>
          <w:tcPr>
            <w:tcW w:w="720" w:type="dxa"/>
            <w:vMerge/>
            <w:tcBorders>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Hrubý domácí produkt</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V běžných cenách (v miliardách EUR)</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9,7p</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753,9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14 958,3</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15 382,6</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Na hlavu (v EUR)</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6 400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6 900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4 700e</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4 800p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3 700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4 000p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5 200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5 600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9 800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9 400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4 400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4 700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3 600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29 300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30 000</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Ve st</w:t>
            </w:r>
            <w:r>
              <w:rPr>
                <w:rFonts w:ascii="Arial" w:hAnsi="Arial"/>
                <w:noProof/>
                <w:color w:val="000000"/>
                <w:sz w:val="16"/>
              </w:rPr>
              <w:t>andardech kupní síly (PPS) na hlavu</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13 000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13 700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10 800e</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10 800p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8 600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9 100p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11 400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11 600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19 200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19 900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9 000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9 500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29 300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30 000</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Ve standardech kupní síly (PPS) na hlavu v poměru k průměru EU (EU-28 = 100)</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37e</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Reá</w:t>
            </w:r>
            <w:r>
              <w:rPr>
                <w:rFonts w:ascii="Arial" w:hAnsi="Arial"/>
                <w:noProof/>
                <w:color w:val="000000"/>
                <w:sz w:val="16"/>
              </w:rPr>
              <w:t>lná roční míra změny (objem) ve srovnání s předchozím rokem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r>
      <w:tr w:rsidR="00BB42EA">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Hrubá</w:t>
            </w:r>
            <w:r>
              <w:rPr>
                <w:rFonts w:ascii="Arial" w:hAnsi="Arial"/>
                <w:noProof/>
                <w:color w:val="000000"/>
                <w:sz w:val="16"/>
              </w:rPr>
              <w:t xml:space="preserve"> přidaná hodnota podle hlavních odvětví</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Zemědělství, lesnictví a rybolov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9,1p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Průmysl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20,6p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19,7</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Stave</w:t>
            </w:r>
            <w:r>
              <w:rPr>
                <w:rFonts w:ascii="Arial" w:hAnsi="Arial"/>
                <w:noProof/>
                <w:color w:val="000000"/>
                <w:sz w:val="16"/>
              </w:rPr>
              <w:t>bnictví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Služb</w:t>
            </w:r>
            <w:r>
              <w:rPr>
                <w:rFonts w:ascii="Arial" w:hAnsi="Arial"/>
                <w:noProof/>
                <w:color w:val="000000"/>
                <w:sz w:val="16"/>
              </w:rPr>
              <w:t>y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73,2</w:t>
            </w:r>
          </w:p>
        </w:tc>
      </w:tr>
      <w:tr w:rsidR="00BB42EA">
        <w:trPr>
          <w:trHeight w:val="225"/>
        </w:trPr>
        <w:tc>
          <w:tcPr>
            <w:tcW w:w="24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center"/>
              <w:rPr>
                <w:rFonts w:ascii="Arial" w:hAnsi="Arial" w:cs="Arial"/>
                <w:noProof/>
                <w:color w:val="000000"/>
                <w:sz w:val="16"/>
                <w:szCs w:val="16"/>
              </w:rPr>
            </w:pPr>
          </w:p>
        </w:tc>
      </w:tr>
      <w:tr w:rsidR="00BB42EA">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b/>
                <w:noProof/>
                <w:color w:val="000000"/>
                <w:sz w:val="16"/>
              </w:rPr>
              <w:t>Platební bilance</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22"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jc w:val="center"/>
              <w:rPr>
                <w:rFonts w:ascii="Arial" w:hAnsi="Arial" w:cs="Arial"/>
                <w:noProof/>
                <w:color w:val="000000"/>
                <w:sz w:val="16"/>
                <w:szCs w:val="16"/>
              </w:rPr>
            </w:pPr>
          </w:p>
        </w:tc>
      </w:tr>
      <w:tr w:rsidR="00BB42EA">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Čisté (vnitřní – vnější) přímé zahraniční investice (v milionech EUR)</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371,6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484,3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936,5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993,8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1 899,2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2 418,1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9 211,3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7 277,2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256,8</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330,1</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30 664,7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–72 791,5</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Čisté (vnitřní – vnější) přímé zahraniční investice (v % </w:t>
            </w:r>
            <w:r>
              <w:rPr>
                <w:rFonts w:ascii="Arial" w:hAnsi="Arial"/>
                <w:noProof/>
                <w:color w:val="000000"/>
                <w:sz w:val="16"/>
              </w:rPr>
              <w:t>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8,7p</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–0,5</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Čisté (vnitřní – vnější) přímé zahraniční investice v poměru k EU-28 (v milionech EUR)</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1 304,4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1 756,7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3 166,7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1 786,0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214,9</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Čisté</w:t>
            </w:r>
            <w:r>
              <w:rPr>
                <w:rFonts w:ascii="Arial" w:hAnsi="Arial"/>
                <w:noProof/>
                <w:color w:val="000000"/>
                <w:sz w:val="16"/>
              </w:rPr>
              <w:t xml:space="preserve"> (vnitřní – vnější) přímé zahraniční investice v poměru k EU-28 (v %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Remit</w:t>
            </w:r>
            <w:r>
              <w:rPr>
                <w:rFonts w:ascii="Arial" w:hAnsi="Arial"/>
                <w:noProof/>
                <w:color w:val="000000"/>
                <w:sz w:val="16"/>
              </w:rPr>
              <w:t>ence jako %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5,7p</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r>
    </w:tbl>
    <w:p w:rsidR="00BB42EA" w:rsidRDefault="00B004C8">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720"/>
        <w:gridCol w:w="600"/>
        <w:gridCol w:w="840"/>
        <w:gridCol w:w="840"/>
        <w:gridCol w:w="750"/>
        <w:gridCol w:w="839"/>
        <w:gridCol w:w="811"/>
        <w:gridCol w:w="839"/>
        <w:gridCol w:w="750"/>
        <w:gridCol w:w="811"/>
        <w:gridCol w:w="839"/>
        <w:gridCol w:w="839"/>
        <w:gridCol w:w="722"/>
        <w:gridCol w:w="720"/>
        <w:gridCol w:w="840"/>
        <w:gridCol w:w="840"/>
        <w:gridCol w:w="840"/>
      </w:tblGrid>
      <w:tr w:rsidR="00BB42EA">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b/>
                <w:noProof/>
                <w:sz w:val="16"/>
              </w:rPr>
              <w:t>Zah</w:t>
            </w:r>
            <w:r>
              <w:rPr>
                <w:rFonts w:ascii="Arial" w:hAnsi="Arial"/>
                <w:b/>
                <w:noProof/>
                <w:sz w:val="16"/>
              </w:rPr>
              <w:t>raniční obchod se zbožím</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noProof/>
                <w:sz w:val="16"/>
              </w:rPr>
              <w:t> </w:t>
            </w:r>
            <w:r>
              <w:rPr>
                <w:rFonts w:ascii="Arial" w:hAnsi="Arial"/>
                <w:noProof/>
                <w:color w:val="000000"/>
                <w:sz w:val="16"/>
              </w:rPr>
              <w:t>Pozn.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Černá Hora</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Severní Makedonie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Albánie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Srbsko</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Turecko</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Bosna a</w:t>
            </w:r>
            <w:r>
              <w:rPr>
                <w:rFonts w:ascii="Arial" w:hAnsi="Arial" w:cs="Arial"/>
                <w:noProof/>
                <w:sz w:val="16"/>
                <w:szCs w:val="16"/>
              </w:rPr>
              <w:br/>
            </w:r>
            <w:r>
              <w:rPr>
                <w:rFonts w:ascii="Arial" w:hAnsi="Arial"/>
                <w:noProof/>
                <w:sz w:val="16"/>
              </w:rPr>
              <w:t>Hercegovina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EU-28</w:t>
            </w:r>
          </w:p>
        </w:tc>
      </w:tr>
      <w:tr w:rsidR="00BB42EA">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B42EA" w:rsidRDefault="00BB42EA">
            <w:pPr>
              <w:spacing w:after="0"/>
              <w:rPr>
                <w:rFonts w:ascii="Arial" w:hAnsi="Arial" w:cs="Arial"/>
                <w:noProof/>
                <w:sz w:val="16"/>
                <w:szCs w:val="16"/>
              </w:rPr>
            </w:pPr>
          </w:p>
        </w:tc>
        <w:tc>
          <w:tcPr>
            <w:tcW w:w="720" w:type="dxa"/>
            <w:vMerge/>
            <w:tcBorders>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Podíl vývozu do zemí EU-28 na hodnotě celkového vývozu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71,2</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nil"/>
              <w:left w:val="single" w:sz="4" w:space="0" w:color="auto"/>
              <w:bottom w:val="nil"/>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Podíl</w:t>
            </w:r>
            <w:r>
              <w:rPr>
                <w:rFonts w:ascii="Arial" w:hAnsi="Arial"/>
                <w:noProof/>
                <w:color w:val="000000"/>
                <w:sz w:val="16"/>
              </w:rPr>
              <w:t xml:space="preserve"> dovozu ze zemí EU-28 na hodnotě celkového dovozu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Obcho</w:t>
            </w:r>
            <w:r>
              <w:rPr>
                <w:rFonts w:ascii="Arial" w:hAnsi="Arial"/>
                <w:noProof/>
                <w:color w:val="000000"/>
                <w:sz w:val="16"/>
              </w:rPr>
              <w:t>dní bilance (v milionech EUR)</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–1 736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–1 932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–1 818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–2 399</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–2 622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–3 194</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–50 676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–67 771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–3 448</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–3 646</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37 238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21 099</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Mezinárodní obchod se zbožím a službami v poměru k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Dovoz (v %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52,5</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40,4</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42,0</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Vývoz (v %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55,4p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35,4</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45,7</w:t>
            </w:r>
          </w:p>
        </w:tc>
      </w:tr>
      <w:tr w:rsidR="00BB42EA">
        <w:trPr>
          <w:trHeight w:val="225"/>
        </w:trPr>
        <w:tc>
          <w:tcPr>
            <w:tcW w:w="24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b/>
                <w:noProof/>
                <w:color w:val="000000"/>
                <w:sz w:val="16"/>
              </w:rPr>
              <w:t>Veřejné finance</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Pozn.</w:t>
            </w:r>
          </w:p>
        </w:tc>
        <w:tc>
          <w:tcPr>
            <w:tcW w:w="60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Přebytek (+) / deficit (–) veřejných financí (v %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tcBorders>
              <w:top w:val="single" w:sz="4" w:space="0" w:color="auto"/>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Veřejné zadlužení (v %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68,8</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36,1</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14,6e</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16,6e</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81,7</w:t>
            </w:r>
          </w:p>
        </w:tc>
      </w:tr>
      <w:tr w:rsidR="00BB42EA">
        <w:trPr>
          <w:trHeight w:val="225"/>
        </w:trPr>
        <w:tc>
          <w:tcPr>
            <w:tcW w:w="24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b/>
                <w:noProof/>
                <w:sz w:val="16"/>
              </w:rPr>
              <w:t>Finanční ukazatele</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Pozn.</w:t>
            </w:r>
          </w:p>
        </w:tc>
        <w:tc>
          <w:tcPr>
            <w:tcW w:w="60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Roční změna spotřebitelských cen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4)</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Soukromý dluh, konsolidovaný, v poměru k HDP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5)</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85,1</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141,9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140,3</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Celko</w:t>
            </w:r>
            <w:r>
              <w:rPr>
                <w:rFonts w:ascii="Arial" w:hAnsi="Arial"/>
                <w:noProof/>
                <w:color w:val="000000"/>
                <w:sz w:val="16"/>
              </w:rPr>
              <w:t>vé vnější zadlužení v poměru k HDP (v %)</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73,6p</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73,4p</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Celko</w:t>
            </w:r>
            <w:r>
              <w:rPr>
                <w:rFonts w:ascii="Arial" w:hAnsi="Arial"/>
                <w:noProof/>
                <w:color w:val="000000"/>
                <w:sz w:val="16"/>
              </w:rPr>
              <w:t>vé zadlužení v cizí měně v poměru k HDP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6)</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Úroko</w:t>
            </w:r>
            <w:r>
              <w:rPr>
                <w:rFonts w:ascii="Arial" w:hAnsi="Arial"/>
                <w:noProof/>
                <w:color w:val="000000"/>
                <w:sz w:val="16"/>
              </w:rPr>
              <w:t xml:space="preserve">vá sazba úvěrů (ročních) </w:t>
            </w:r>
            <w:r>
              <w:rPr>
                <w:rFonts w:ascii="Arial" w:hAnsi="Arial"/>
                <w:i/>
                <w:noProof/>
                <w:color w:val="000000"/>
                <w:sz w:val="16"/>
              </w:rPr>
              <w:t>per annum</w:t>
            </w:r>
            <w:r>
              <w:rPr>
                <w:rFonts w:ascii="Arial" w:hAnsi="Arial"/>
                <w:noProof/>
                <w:color w:val="000000"/>
                <w:sz w:val="16"/>
              </w:rPr>
              <w:t xml:space="preserve">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7)</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5,98</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15,79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4,97</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3,88</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Úroko</w:t>
            </w:r>
            <w:r>
              <w:rPr>
                <w:rFonts w:ascii="Arial" w:hAnsi="Arial"/>
                <w:noProof/>
                <w:color w:val="000000"/>
                <w:sz w:val="16"/>
              </w:rPr>
              <w:t xml:space="preserve">vá sazba z vkladů (ročních) </w:t>
            </w:r>
            <w:r>
              <w:rPr>
                <w:rFonts w:ascii="Arial" w:hAnsi="Arial"/>
                <w:i/>
                <w:noProof/>
                <w:color w:val="000000"/>
                <w:sz w:val="16"/>
              </w:rPr>
              <w:t>per annum</w:t>
            </w:r>
            <w:r>
              <w:rPr>
                <w:rFonts w:ascii="Arial" w:hAnsi="Arial"/>
                <w:noProof/>
                <w:color w:val="000000"/>
                <w:sz w:val="16"/>
              </w:rPr>
              <w:t xml:space="preserve"> (v %)</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8)</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0,69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0,06</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Hodnota rezervních aktiv (včetně zlata) (v milionech EUR)</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897,7</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2 613,4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2 336,3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2 945,0</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2 995,9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10 204,6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9 961,6</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95 863,2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95 361,6</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4 873,2</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5 397,5</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683,4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Mezinárodní rezervy – vyjádřeno v měsících dovozu</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bl>
    <w:p w:rsidR="00BB42EA" w:rsidRDefault="00BB42EA">
      <w:pPr>
        <w:spacing w:after="0"/>
        <w:rPr>
          <w:noProof/>
          <w:sz w:val="18"/>
        </w:rPr>
      </w:pPr>
    </w:p>
    <w:tbl>
      <w:tblPr>
        <w:tblW w:w="15840" w:type="dxa"/>
        <w:tblInd w:w="-492" w:type="dxa"/>
        <w:tblLayout w:type="fixed"/>
        <w:tblLook w:val="04A0" w:firstRow="1" w:lastRow="0" w:firstColumn="1" w:lastColumn="0" w:noHBand="0" w:noVBand="1"/>
      </w:tblPr>
      <w:tblGrid>
        <w:gridCol w:w="2400"/>
        <w:gridCol w:w="720"/>
        <w:gridCol w:w="600"/>
        <w:gridCol w:w="840"/>
        <w:gridCol w:w="840"/>
        <w:gridCol w:w="750"/>
        <w:gridCol w:w="839"/>
        <w:gridCol w:w="811"/>
        <w:gridCol w:w="839"/>
        <w:gridCol w:w="750"/>
        <w:gridCol w:w="811"/>
        <w:gridCol w:w="839"/>
        <w:gridCol w:w="839"/>
        <w:gridCol w:w="722"/>
        <w:gridCol w:w="720"/>
        <w:gridCol w:w="840"/>
        <w:gridCol w:w="840"/>
        <w:gridCol w:w="840"/>
      </w:tblGrid>
      <w:tr w:rsidR="00BB42EA">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b/>
                <w:noProof/>
                <w:sz w:val="16"/>
              </w:rPr>
              <w:t>Podnikání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2EA" w:rsidRDefault="00B004C8">
            <w:pPr>
              <w:spacing w:after="0"/>
              <w:rPr>
                <w:rFonts w:ascii="Arial" w:hAnsi="Arial" w:cs="Arial"/>
                <w:noProof/>
                <w:sz w:val="16"/>
                <w:szCs w:val="16"/>
              </w:rPr>
            </w:pPr>
            <w:r>
              <w:rPr>
                <w:rFonts w:ascii="Arial" w:hAnsi="Arial"/>
                <w:noProof/>
                <w:sz w:val="16"/>
              </w:rPr>
              <w:t> </w:t>
            </w:r>
            <w:r>
              <w:rPr>
                <w:rFonts w:ascii="Arial" w:hAnsi="Arial"/>
                <w:noProof/>
                <w:color w:val="000000"/>
                <w:sz w:val="16"/>
              </w:rPr>
              <w:t>Pozn.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Černá Hora</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Severní Makedonie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Albánie</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Srbsko</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Turecko</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Bosna a</w:t>
            </w:r>
            <w:r>
              <w:rPr>
                <w:rFonts w:ascii="Arial" w:hAnsi="Arial" w:cs="Arial"/>
                <w:noProof/>
                <w:sz w:val="16"/>
                <w:szCs w:val="16"/>
              </w:rPr>
              <w:br/>
            </w:r>
            <w:r>
              <w:rPr>
                <w:rFonts w:ascii="Arial" w:hAnsi="Arial"/>
                <w:noProof/>
                <w:sz w:val="16"/>
              </w:rPr>
              <w:t>Hercegovina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B42EA" w:rsidRDefault="00B004C8">
            <w:pPr>
              <w:spacing w:after="0"/>
              <w:jc w:val="center"/>
              <w:rPr>
                <w:rFonts w:ascii="Arial" w:hAnsi="Arial" w:cs="Arial"/>
                <w:noProof/>
                <w:sz w:val="16"/>
                <w:szCs w:val="16"/>
              </w:rPr>
            </w:pPr>
            <w:r>
              <w:rPr>
                <w:rFonts w:ascii="Arial" w:hAnsi="Arial"/>
                <w:noProof/>
                <w:sz w:val="16"/>
              </w:rPr>
              <w:t>EU-28</w:t>
            </w:r>
          </w:p>
        </w:tc>
      </w:tr>
      <w:tr w:rsidR="00BB42EA">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B42EA" w:rsidRDefault="00BB42EA">
            <w:pPr>
              <w:spacing w:after="0"/>
              <w:rPr>
                <w:rFonts w:ascii="Arial" w:hAnsi="Arial" w:cs="Arial"/>
                <w:noProof/>
                <w:sz w:val="16"/>
                <w:szCs w:val="16"/>
              </w:rPr>
            </w:pPr>
          </w:p>
        </w:tc>
        <w:tc>
          <w:tcPr>
            <w:tcW w:w="720" w:type="dxa"/>
            <w:vMerge/>
            <w:tcBorders>
              <w:left w:val="single" w:sz="4" w:space="0" w:color="auto"/>
              <w:bottom w:val="single" w:sz="4" w:space="0" w:color="auto"/>
              <w:right w:val="single" w:sz="4" w:space="0" w:color="auto"/>
            </w:tcBorders>
            <w:shd w:val="clear" w:color="auto" w:fill="auto"/>
            <w:noWrap/>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Index průmyslové výroby (2010 = 100)</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84,4s</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81,8s</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122,0</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143,8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111,7</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115,8</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115,5</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105,6</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109,1s</w:t>
            </w:r>
          </w:p>
        </w:tc>
      </w:tr>
      <w:tr w:rsidR="00BB42EA">
        <w:trPr>
          <w:trHeight w:val="225"/>
        </w:trPr>
        <w:tc>
          <w:tcPr>
            <w:tcW w:w="2400" w:type="dxa"/>
            <w:tcBorders>
              <w:top w:val="nil"/>
              <w:left w:val="nil"/>
              <w:bottom w:val="single" w:sz="4" w:space="0" w:color="auto"/>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b/>
                <w:noProof/>
                <w:sz w:val="16"/>
              </w:rPr>
              <w:t>Infrastruktura</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Pozn.</w:t>
            </w:r>
          </w:p>
        </w:tc>
        <w:tc>
          <w:tcPr>
            <w:tcW w:w="60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Hustota železniční sítě (tratě v provozu na tisíc km²)</w:t>
            </w:r>
          </w:p>
        </w:tc>
        <w:tc>
          <w:tcPr>
            <w:tcW w:w="720" w:type="dxa"/>
            <w:tcBorders>
              <w:top w:val="nil"/>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9)</w:t>
            </w: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48,5</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13,3</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Délka dálnic (v kilometrech)</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2542</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2657</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BB42EA">
        <w:trPr>
          <w:trHeight w:val="225"/>
        </w:trPr>
        <w:tc>
          <w:tcPr>
            <w:tcW w:w="2400" w:type="dxa"/>
            <w:tcBorders>
              <w:top w:val="nil"/>
              <w:left w:val="nil"/>
              <w:bottom w:val="single" w:sz="4" w:space="0" w:color="auto"/>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b/>
                <w:noProof/>
                <w:sz w:val="16"/>
              </w:rPr>
              <w:t>Energetika</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Pozn.</w:t>
            </w:r>
          </w:p>
        </w:tc>
        <w:tc>
          <w:tcPr>
            <w:tcW w:w="60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BB42EA">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Čistý dovoz energie v poměru k HDP</w:t>
            </w:r>
          </w:p>
        </w:tc>
        <w:tc>
          <w:tcPr>
            <w:tcW w:w="720" w:type="dxa"/>
            <w:tcBorders>
              <w:top w:val="nil"/>
              <w:left w:val="nil"/>
              <w:bottom w:val="single" w:sz="4" w:space="0" w:color="auto"/>
              <w:right w:val="single" w:sz="4" w:space="0" w:color="auto"/>
            </w:tcBorders>
            <w:shd w:val="clear" w:color="auto" w:fill="auto"/>
            <w:hideMark/>
          </w:tcPr>
          <w:p w:rsidR="00BB42EA" w:rsidRDefault="00BB42EA">
            <w:pPr>
              <w:autoSpaceDE w:val="0"/>
              <w:autoSpaceDN w:val="0"/>
              <w:adjustRightInd w:val="0"/>
              <w:spacing w:after="0"/>
              <w:rPr>
                <w:rFonts w:ascii="Arial" w:hAnsi="Arial" w:cs="Arial"/>
                <w:noProof/>
                <w:color w:val="000000"/>
                <w:sz w:val="16"/>
                <w:szCs w:val="16"/>
              </w:rPr>
            </w:pPr>
          </w:p>
        </w:tc>
        <w:tc>
          <w:tcPr>
            <w:tcW w:w="60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75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11"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39"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22"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40" w:type="dxa"/>
            <w:tcBorders>
              <w:top w:val="nil"/>
              <w:left w:val="nil"/>
              <w:bottom w:val="single" w:sz="4" w:space="0" w:color="auto"/>
              <w:right w:val="single" w:sz="4" w:space="0" w:color="auto"/>
            </w:tcBorders>
            <w:shd w:val="clear" w:color="auto" w:fill="auto"/>
            <w:noWrap/>
            <w:hideMark/>
          </w:tcPr>
          <w:p w:rsidR="00BB42EA" w:rsidRDefault="00B004C8">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r>
    </w:tbl>
    <w:p w:rsidR="00BB42EA" w:rsidRDefault="00BB42EA">
      <w:pPr>
        <w:spacing w:after="0"/>
        <w:rPr>
          <w:rFonts w:ascii="Arial" w:hAnsi="Arial" w:cs="Arial"/>
          <w:noProof/>
          <w:sz w:val="16"/>
          <w:szCs w:val="16"/>
        </w:rPr>
      </w:pPr>
    </w:p>
    <w:p w:rsidR="00BB42EA" w:rsidRDefault="00BB42EA">
      <w:pPr>
        <w:spacing w:after="0"/>
        <w:rPr>
          <w:rFonts w:ascii="Arial" w:hAnsi="Arial" w:cs="Arial"/>
          <w:noProof/>
          <w:sz w:val="16"/>
          <w:szCs w:val="16"/>
        </w:rPr>
        <w:sectPr w:rsidR="00BB42EA">
          <w:headerReference w:type="even" r:id="rId21"/>
          <w:headerReference w:type="default" r:id="rId22"/>
          <w:footerReference w:type="even" r:id="rId23"/>
          <w:footerReference w:type="default" r:id="rId24"/>
          <w:headerReference w:type="first" r:id="rId25"/>
          <w:footerReference w:type="first" r:id="rId26"/>
          <w:pgSz w:w="16839" w:h="11907" w:orient="landscape"/>
          <w:pgMar w:top="1134" w:right="1134" w:bottom="851" w:left="1134" w:header="709" w:footer="709" w:gutter="0"/>
          <w:cols w:space="708"/>
          <w:docGrid w:linePitch="360"/>
        </w:sectPr>
      </w:pPr>
    </w:p>
    <w:p w:rsidR="00BB42EA" w:rsidRDefault="00BB42EA">
      <w:pPr>
        <w:spacing w:after="0"/>
        <w:rPr>
          <w:rFonts w:ascii="Arial" w:hAnsi="Arial" w:cs="Arial"/>
          <w:noProof/>
          <w:sz w:val="16"/>
          <w:szCs w:val="16"/>
        </w:rPr>
      </w:pPr>
    </w:p>
    <w:tbl>
      <w:tblPr>
        <w:tblW w:w="14772" w:type="dxa"/>
        <w:tblInd w:w="78" w:type="dxa"/>
        <w:tblLayout w:type="fixed"/>
        <w:tblLook w:val="0000" w:firstRow="0" w:lastRow="0" w:firstColumn="0" w:lastColumn="0" w:noHBand="0" w:noVBand="0"/>
      </w:tblPr>
      <w:tblGrid>
        <w:gridCol w:w="14772"/>
      </w:tblGrid>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 není k dispozici</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b = přerušení řady</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e = odhadovaná hodnota</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 = prozatímní</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s = odhad/výpočet Eurostatu</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u = nízká spolehlivost</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 nepoužije se</w:t>
            </w:r>
          </w:p>
        </w:tc>
      </w:tr>
      <w:tr w:rsidR="00BB42EA">
        <w:trPr>
          <w:trHeight w:val="91"/>
        </w:trPr>
        <w:tc>
          <w:tcPr>
            <w:tcW w:w="14772"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 = Tímto označením nejsou dotčeny postoje k otázce statusu a označení je v souladu s rezolucí Rady bezpečnosti OSN 1244 a se stanoviskem Mezinárodního soudního dvora k vyhlášení </w:t>
            </w:r>
            <w:r>
              <w:rPr>
                <w:rFonts w:ascii="Arial" w:hAnsi="Arial"/>
                <w:noProof/>
                <w:color w:val="000000"/>
                <w:sz w:val="16"/>
              </w:rPr>
              <w:t>nezávislosti Kosova.</w:t>
            </w: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 Údaje o schodku veřejných financí a o veřejném dluhu zemí procesu rozšíření jsou zveřejněny tak, jak byly uvedeny, a bez záruky jejich kvality a dodržování pravidel ESA.</w:t>
            </w:r>
          </w:p>
        </w:tc>
      </w:tr>
      <w:tr w:rsidR="00BB42EA">
        <w:trPr>
          <w:trHeight w:val="91"/>
        </w:trPr>
        <w:tc>
          <w:tcPr>
            <w:tcW w:w="14772"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91"/>
        </w:trPr>
        <w:tc>
          <w:tcPr>
            <w:tcW w:w="14772"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Poznámky pod čarou:</w:t>
            </w:r>
          </w:p>
        </w:tc>
      </w:tr>
    </w:tbl>
    <w:p w:rsidR="00BB42EA" w:rsidRDefault="00BB42EA">
      <w:pPr>
        <w:spacing w:after="0"/>
        <w:rPr>
          <w:rFonts w:ascii="Arial" w:hAnsi="Arial" w:cs="Arial"/>
          <w:noProof/>
          <w:sz w:val="16"/>
          <w:szCs w:val="16"/>
        </w:rPr>
      </w:pPr>
    </w:p>
    <w:tbl>
      <w:tblPr>
        <w:tblW w:w="0" w:type="auto"/>
        <w:tblInd w:w="78" w:type="dxa"/>
        <w:tblLayout w:type="fixed"/>
        <w:tblLook w:val="0000" w:firstRow="0" w:lastRow="0" w:firstColumn="0" w:lastColumn="0" w:noHBand="0" w:noVBand="0"/>
      </w:tblPr>
      <w:tblGrid>
        <w:gridCol w:w="456"/>
        <w:gridCol w:w="6237"/>
        <w:gridCol w:w="850"/>
        <w:gridCol w:w="284"/>
        <w:gridCol w:w="283"/>
        <w:gridCol w:w="284"/>
        <w:gridCol w:w="283"/>
        <w:gridCol w:w="284"/>
        <w:gridCol w:w="283"/>
        <w:gridCol w:w="284"/>
        <w:gridCol w:w="567"/>
        <w:gridCol w:w="283"/>
        <w:gridCol w:w="2693"/>
      </w:tblGrid>
      <w:tr w:rsidR="00BB42EA">
        <w:trPr>
          <w:trHeight w:val="91"/>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615" w:type="dxa"/>
            <w:gridSpan w:val="12"/>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Turecko: nezaměstnanost na zákl</w:t>
            </w:r>
            <w:r>
              <w:rPr>
                <w:rFonts w:ascii="Arial" w:hAnsi="Arial"/>
                <w:noProof/>
                <w:color w:val="000000"/>
                <w:sz w:val="16"/>
              </w:rPr>
              <w:t>adě kritéria 4 týdnů a s použitím metod pouze aktivního hledání zaměstnání.</w:t>
            </w:r>
          </w:p>
        </w:tc>
      </w:tr>
      <w:tr w:rsidR="00BB42EA">
        <w:trPr>
          <w:trHeight w:val="91"/>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615" w:type="dxa"/>
            <w:gridSpan w:val="12"/>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Bosna a Hercegovina: veřejný sektor zahrnuje sekce O, P a Q NACE Rev. 2, zatímco soukromý sektor zahrnuje ostatní sekce NACE. Černá Hora: kromě nevládních organizací; údaje se </w:t>
            </w:r>
            <w:r>
              <w:rPr>
                <w:rFonts w:ascii="Arial" w:hAnsi="Arial"/>
                <w:noProof/>
                <w:color w:val="000000"/>
                <w:sz w:val="16"/>
              </w:rPr>
              <w:t>vztahují k počtu zaměstnanců (v soukromém nebo veřejném sektoru) jako podílu z celkového počtu zaměstnaných osob.</w:t>
            </w:r>
          </w:p>
        </w:tc>
      </w:tr>
      <w:tr w:rsidR="00BB42EA">
        <w:trPr>
          <w:trHeight w:val="182"/>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615" w:type="dxa"/>
            <w:gridSpan w:val="12"/>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Albánie: veřejný sektor. Bosna a Hercegovina: čisté příjmy. Srbsko: mzdy a výplaty zaměstnanců právnických osob a podniků nezapsaných v </w:t>
            </w:r>
            <w:r>
              <w:rPr>
                <w:rFonts w:ascii="Arial" w:hAnsi="Arial"/>
                <w:noProof/>
                <w:color w:val="000000"/>
                <w:sz w:val="16"/>
              </w:rPr>
              <w:t>obchodním rejstříku.</w:t>
            </w:r>
          </w:p>
        </w:tc>
      </w:tr>
      <w:tr w:rsidR="00BB42EA">
        <w:trPr>
          <w:trHeight w:val="91"/>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9639" w:type="dxa"/>
            <w:gridSpan w:val="10"/>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Harmonizovaný index spotřebitelských cen kromě Bosny a Hercegoviny.</w:t>
            </w:r>
          </w:p>
        </w:tc>
        <w:tc>
          <w:tcPr>
            <w:tcW w:w="28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69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91"/>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8788" w:type="dxa"/>
            <w:gridSpan w:val="8"/>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Bosna a Hercegovina: údaje za měnové finanční instituce.</w:t>
            </w:r>
          </w:p>
        </w:tc>
        <w:tc>
          <w:tcPr>
            <w:tcW w:w="284"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567"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69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91"/>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6237" w:type="dxa"/>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Albánie: vnější zadlužení (včetně přímých zahraničních investic).</w:t>
            </w:r>
          </w:p>
        </w:tc>
        <w:tc>
          <w:tcPr>
            <w:tcW w:w="850"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567"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c>
          <w:tcPr>
            <w:tcW w:w="2693" w:type="dxa"/>
            <w:tcBorders>
              <w:top w:val="nil"/>
              <w:left w:val="nil"/>
              <w:bottom w:val="nil"/>
              <w:right w:val="nil"/>
            </w:tcBorders>
          </w:tcPr>
          <w:p w:rsidR="00BB42EA" w:rsidRDefault="00BB42EA">
            <w:pPr>
              <w:autoSpaceDE w:val="0"/>
              <w:autoSpaceDN w:val="0"/>
              <w:adjustRightInd w:val="0"/>
              <w:spacing w:after="0"/>
              <w:jc w:val="right"/>
              <w:rPr>
                <w:rFonts w:ascii="Arial" w:hAnsi="Arial" w:cs="Arial"/>
                <w:noProof/>
                <w:color w:val="000000"/>
                <w:sz w:val="16"/>
                <w:szCs w:val="16"/>
              </w:rPr>
            </w:pPr>
          </w:p>
        </w:tc>
      </w:tr>
      <w:tr w:rsidR="00BB42EA">
        <w:trPr>
          <w:trHeight w:val="91"/>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615" w:type="dxa"/>
            <w:gridSpan w:val="12"/>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Albánie: </w:t>
            </w:r>
            <w:r>
              <w:rPr>
                <w:rFonts w:ascii="Arial" w:hAnsi="Arial"/>
                <w:noProof/>
                <w:color w:val="000000"/>
                <w:sz w:val="16"/>
              </w:rPr>
              <w:t>vážená průměrná úroková sazba uvalená na nové úvěry na 12 měsíců v příslušném měsíci s 12měsíční splatností. Černá Hora: skutečná vážená průměrná úroková sazba, nesplacené částky, roční. Severní Makedonie: konec roku (31. prosinec). Bosna a Hercegovina: sa</w:t>
            </w:r>
            <w:r>
              <w:rPr>
                <w:rFonts w:ascii="Arial" w:hAnsi="Arial"/>
                <w:noProof/>
                <w:color w:val="000000"/>
                <w:sz w:val="16"/>
              </w:rPr>
              <w:t>zby krátkodobých úvěrů nefinančním společnostem v národní měně (vážený průměr).</w:t>
            </w:r>
          </w:p>
        </w:tc>
      </w:tr>
      <w:tr w:rsidR="00BB42EA">
        <w:trPr>
          <w:trHeight w:val="182"/>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12615" w:type="dxa"/>
            <w:gridSpan w:val="12"/>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Albánie: úroková sazba z vkladů představuje průměrnou váženou sazbu za nově přijaté vklady za příslušný měsíc s 12měsíční splatností. Černá Hora: skutečná vážená průměrná </w:t>
            </w:r>
            <w:r>
              <w:rPr>
                <w:rFonts w:ascii="Arial" w:hAnsi="Arial"/>
                <w:noProof/>
                <w:color w:val="000000"/>
                <w:sz w:val="16"/>
              </w:rPr>
              <w:t>úroková sazba, nesplacené částky, roční. Severní Makedonie: konec roku (31. prosinec). Turecko: jednodenní vkladová facilita. Bosna a Hercegovina: sazby vkladů na požádání domácností v národní měně (vážený průměr).</w:t>
            </w:r>
          </w:p>
        </w:tc>
      </w:tr>
      <w:tr w:rsidR="00BB42EA">
        <w:trPr>
          <w:trHeight w:val="274"/>
        </w:trPr>
        <w:tc>
          <w:tcPr>
            <w:tcW w:w="456" w:type="dxa"/>
            <w:tcBorders>
              <w:top w:val="nil"/>
              <w:left w:val="nil"/>
              <w:bottom w:val="nil"/>
              <w:right w:val="nil"/>
            </w:tcBorders>
          </w:tcPr>
          <w:p w:rsidR="00BB42EA" w:rsidRDefault="00B004C8">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9)</w:t>
            </w:r>
          </w:p>
        </w:tc>
        <w:tc>
          <w:tcPr>
            <w:tcW w:w="12615" w:type="dxa"/>
            <w:gridSpan w:val="12"/>
            <w:tcBorders>
              <w:top w:val="nil"/>
              <w:left w:val="nil"/>
              <w:bottom w:val="nil"/>
              <w:right w:val="nil"/>
            </w:tcBorders>
          </w:tcPr>
          <w:p w:rsidR="00BB42EA" w:rsidRDefault="00B004C8">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Srbsko: založeno na celkové rozloze, </w:t>
            </w:r>
            <w:r>
              <w:rPr>
                <w:rFonts w:ascii="Arial" w:hAnsi="Arial"/>
                <w:noProof/>
                <w:color w:val="000000"/>
                <w:sz w:val="16"/>
              </w:rPr>
              <w:t>nikoli na ploše půdy.</w:t>
            </w:r>
          </w:p>
        </w:tc>
      </w:tr>
    </w:tbl>
    <w:p w:rsidR="00BB42EA" w:rsidRDefault="00BB42EA">
      <w:pPr>
        <w:spacing w:after="0"/>
        <w:rPr>
          <w:rFonts w:ascii="Arial" w:hAnsi="Arial" w:cs="Arial"/>
          <w:noProof/>
          <w:sz w:val="16"/>
          <w:szCs w:val="16"/>
        </w:rPr>
      </w:pPr>
    </w:p>
    <w:p w:rsidR="00BB42EA" w:rsidRDefault="00BB42EA">
      <w:pPr>
        <w:pStyle w:val="Default"/>
        <w:spacing w:after="120"/>
        <w:jc w:val="both"/>
        <w:rPr>
          <w:rFonts w:ascii="Times New Roman" w:hAnsi="Times New Roman"/>
          <w:b/>
          <w:noProof/>
        </w:rPr>
      </w:pPr>
    </w:p>
    <w:p w:rsidR="00BB42EA" w:rsidRDefault="00BB42EA">
      <w:pPr>
        <w:spacing w:after="120" w:line="240" w:lineRule="auto"/>
        <w:jc w:val="both"/>
        <w:rPr>
          <w:rFonts w:ascii="Times New Roman" w:hAnsi="Times New Roman" w:cs="Times New Roman"/>
          <w:noProof/>
          <w:sz w:val="24"/>
          <w:szCs w:val="24"/>
        </w:rPr>
      </w:pPr>
    </w:p>
    <w:sectPr w:rsidR="00BB42EA">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EA" w:rsidRDefault="00B004C8">
      <w:pPr>
        <w:spacing w:after="0" w:line="240" w:lineRule="auto"/>
      </w:pPr>
      <w:r>
        <w:separator/>
      </w:r>
    </w:p>
  </w:endnote>
  <w:endnote w:type="continuationSeparator" w:id="0">
    <w:p w:rsidR="00BB42EA" w:rsidRDefault="00B0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004C8">
    <w:pPr>
      <w:pStyle w:val="Footer"/>
    </w:pPr>
    <w:r>
      <w:tab/>
    </w:r>
    <w:r>
      <w:fldChar w:fldCharType="begin"/>
    </w:r>
    <w:r>
      <w:instrText xml:space="preserve"> PAGE   \* MERGEFORMAT </w:instrText>
    </w:r>
    <w:r>
      <w:fldChar w:fldCharType="separate"/>
    </w:r>
    <w:r>
      <w:rPr>
        <w:noProof/>
      </w:rPr>
      <w:t>52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004C8">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81846"/>
      <w:docPartObj>
        <w:docPartGallery w:val="Page Numbers (Bottom of Page)"/>
        <w:docPartUnique/>
      </w:docPartObj>
    </w:sdtPr>
    <w:sdtEndPr>
      <w:rPr>
        <w:rFonts w:ascii="Times New Roman" w:hAnsi="Times New Roman" w:cs="Times New Roman"/>
        <w:noProof/>
        <w:sz w:val="20"/>
        <w:szCs w:val="20"/>
      </w:rPr>
    </w:sdtEndPr>
    <w:sdtContent>
      <w:p w:rsidR="00BB42EA" w:rsidRDefault="00B004C8">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p w:rsidR="00BB42EA" w:rsidRDefault="00BB42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004C8">
    <w:pPr>
      <w:pStyle w:val="Footer"/>
    </w:pPr>
    <w:r>
      <w:tab/>
    </w:r>
    <w:r>
      <w:fldChar w:fldCharType="begin"/>
    </w:r>
    <w:r>
      <w:instrText xml:space="preserve"> PAGE   \* MERGEFORMAT </w:instrText>
    </w:r>
    <w:r>
      <w:fldChar w:fldCharType="separate"/>
    </w:r>
    <w:r>
      <w:rPr>
        <w:noProof/>
      </w:rP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EA" w:rsidRDefault="00B004C8">
      <w:pPr>
        <w:spacing w:after="0" w:line="240" w:lineRule="auto"/>
      </w:pPr>
      <w:r>
        <w:separator/>
      </w:r>
    </w:p>
  </w:footnote>
  <w:footnote w:type="continuationSeparator" w:id="0">
    <w:p w:rsidR="00BB42EA" w:rsidRDefault="00B004C8">
      <w:pPr>
        <w:spacing w:after="0" w:line="240" w:lineRule="auto"/>
      </w:pPr>
      <w:r>
        <w:continuationSeparator/>
      </w:r>
    </w:p>
  </w:footnote>
  <w:footnote w:id="1">
    <w:p w:rsidR="00BB42EA" w:rsidRDefault="00B004C8">
      <w:pPr>
        <w:pStyle w:val="FootnoteText"/>
      </w:pPr>
      <w:r>
        <w:rPr>
          <w:rStyle w:val="FootnoteReference"/>
        </w:rPr>
        <w:footnoteRef/>
      </w:r>
      <w:r>
        <w:t xml:space="preserve"> </w:t>
      </w:r>
      <w:hyperlink r:id="rId1">
        <w:r>
          <w:rPr>
            <w:rStyle w:val="Hyperlink"/>
            <w:rFonts w:ascii="Times New Roman" w:hAnsi="Times New Roman"/>
            <w:noProof/>
          </w:rPr>
          <w:t>COM(2018) 450 final.</w:t>
        </w:r>
      </w:hyperlink>
    </w:p>
  </w:footnote>
  <w:footnote w:id="2">
    <w:p w:rsidR="00BB42EA" w:rsidRDefault="00B004C8">
      <w:pPr>
        <w:pStyle w:val="FootnoteText"/>
      </w:pPr>
      <w:r>
        <w:rPr>
          <w:rStyle w:val="FootnoteReference"/>
        </w:rPr>
        <w:footnoteRef/>
      </w:r>
      <w:r>
        <w:t xml:space="preserve"> </w:t>
      </w:r>
      <w:r>
        <w:rPr>
          <w:rFonts w:ascii="Times New Roman" w:hAnsi="Times New Roman"/>
          <w:noProof/>
        </w:rPr>
        <w:t xml:space="preserve">Přesvědčivá perspektiva rozšíření pro západní Balkán a větší </w:t>
      </w:r>
      <w:r>
        <w:rPr>
          <w:rFonts w:ascii="Times New Roman" w:hAnsi="Times New Roman"/>
          <w:noProof/>
        </w:rPr>
        <w:t>angažovanost Unie v tomto regionu,</w:t>
      </w:r>
      <w:r>
        <w:rPr>
          <w:rFonts w:ascii="Times New Roman" w:hAnsi="Times New Roman"/>
          <w:i/>
          <w:noProof/>
          <w:sz w:val="24"/>
        </w:rPr>
        <w:t xml:space="preserve"> </w:t>
      </w:r>
      <w:hyperlink r:id="rId2">
        <w:r>
          <w:rPr>
            <w:rStyle w:val="Hyperlink"/>
            <w:rFonts w:ascii="Times New Roman" w:hAnsi="Times New Roman"/>
          </w:rPr>
          <w:t>COM(2018) 65 final</w:t>
        </w:r>
      </w:hyperlink>
      <w:r>
        <w:t>.</w:t>
      </w:r>
    </w:p>
  </w:footnote>
  <w:footnote w:id="3">
    <w:p w:rsidR="00BB42EA" w:rsidRDefault="00B004C8">
      <w:pPr>
        <w:pStyle w:val="FootnoteText"/>
        <w:rPr>
          <w:rFonts w:ascii="Times New Roman" w:hAnsi="Times New Roman"/>
        </w:rPr>
      </w:pPr>
      <w:r>
        <w:rPr>
          <w:rStyle w:val="FootnoteReference"/>
        </w:rPr>
        <w:footnoteRef/>
      </w:r>
      <w:r>
        <w:t xml:space="preserve"> </w:t>
      </w:r>
      <w:hyperlink r:id="rId3">
        <w:r>
          <w:rPr>
            <w:rStyle w:val="Hyperlink"/>
            <w:rFonts w:ascii="Times New Roman" w:hAnsi="Times New Roman"/>
          </w:rPr>
          <w:t>https://www.consilium.europa.eu/media/34776/sofia-declaration_en.pdf</w:t>
        </w:r>
      </w:hyperlink>
    </w:p>
  </w:footnote>
  <w:footnote w:id="4">
    <w:p w:rsidR="00BB42EA" w:rsidRDefault="00B004C8">
      <w:pPr>
        <w:pStyle w:val="FootnoteText"/>
        <w:jc w:val="both"/>
        <w:rPr>
          <w:rFonts w:ascii="Times New Roman" w:hAnsi="Times New Roman"/>
        </w:rPr>
      </w:pPr>
      <w:r>
        <w:rPr>
          <w:rStyle w:val="FootnoteReference"/>
        </w:rPr>
        <w:t>*</w:t>
      </w:r>
      <w:r>
        <w:rPr>
          <w:rFonts w:ascii="Times New Roman" w:hAnsi="Times New Roman"/>
        </w:rPr>
        <w:t xml:space="preserve"> Tímto označením nejsou dotčeny postoje k otázce statusu a označení je v souladu s rezolucí Rady bezpečnosti OSN 1244/1999 a se stanoviskem Mezinárod</w:t>
      </w:r>
      <w:r>
        <w:rPr>
          <w:rFonts w:ascii="Times New Roman" w:hAnsi="Times New Roman"/>
        </w:rPr>
        <w:t>ního soudního dvora k vyhlášení nezávislosti Kosova.</w:t>
      </w:r>
    </w:p>
  </w:footnote>
  <w:footnote w:id="5">
    <w:p w:rsidR="00BB42EA" w:rsidRDefault="00B004C8">
      <w:pPr>
        <w:pStyle w:val="FootnoteText"/>
        <w:rPr>
          <w:rFonts w:ascii="Times New Roman" w:hAnsi="Times New Roman"/>
        </w:rPr>
      </w:pPr>
      <w:r>
        <w:rPr>
          <w:rStyle w:val="FootnoteReference"/>
        </w:rPr>
        <w:footnoteRef/>
      </w:r>
      <w:r>
        <w:t xml:space="preserve"> </w:t>
      </w:r>
      <w:hyperlink r:id="rId4">
        <w:r>
          <w:rPr>
            <w:rStyle w:val="Hyperlink"/>
            <w:rFonts w:ascii="Times New Roman" w:hAnsi="Times New Roman"/>
          </w:rPr>
          <w:t>https://www.consilium.europa.eu/cs/press/press-releases/2016/03/18/eu-turkey-statement/</w:t>
        </w:r>
      </w:hyperlink>
    </w:p>
  </w:footnote>
  <w:footnote w:id="6">
    <w:p w:rsidR="00BB42EA" w:rsidRDefault="00B004C8">
      <w:pPr>
        <w:spacing w:line="240" w:lineRule="auto"/>
        <w:jc w:val="both"/>
      </w:pPr>
      <w:r>
        <w:rPr>
          <w:rStyle w:val="FootnoteReference"/>
        </w:rPr>
        <w:footnoteRef/>
      </w:r>
      <w:r>
        <w:rPr>
          <w:vertAlign w:val="superscript"/>
        </w:rPr>
        <w:t xml:space="preserve"> </w:t>
      </w:r>
      <w:hyperlink r:id="rId5">
        <w:r>
          <w:rPr>
            <w:rStyle w:val="Hyperlink"/>
            <w:rFonts w:ascii="Times New Roman" w:hAnsi="Times New Roman"/>
            <w:sz w:val="20"/>
          </w:rPr>
          <w:t>Rozhodnutí Komise C(2015) 9500</w:t>
        </w:r>
      </w:hyperlink>
      <w:r>
        <w:rPr>
          <w:rFonts w:ascii="Times New Roman" w:hAnsi="Times New Roman"/>
          <w:sz w:val="20"/>
        </w:rPr>
        <w:t xml:space="preserve"> ze dne 24. listopadu 2015 o koordinaci činností Unie a členských států prostřednictvím koordinačního mechanismu – uprchlické</w:t>
      </w:r>
      <w:r>
        <w:rPr>
          <w:rFonts w:ascii="Times New Roman" w:hAnsi="Times New Roman"/>
          <w:sz w:val="20"/>
        </w:rPr>
        <w:t>ho nástroje pro Turecko, ve znění rozhodnutí Komise C(2016) 855 ze dne 10. února 2016.</w:t>
      </w:r>
      <w:r>
        <w:t xml:space="preserve"> </w:t>
      </w:r>
    </w:p>
  </w:footnote>
  <w:footnote w:id="7">
    <w:p w:rsidR="00BB42EA" w:rsidRDefault="00B004C8">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Návrh nařízení Evropského parlamentu a Rady, kterým se zřizuje nástroj předvstupní pomoci (NPP III), </w:t>
      </w:r>
      <w:hyperlink r:id="rId6">
        <w:r>
          <w:rPr>
            <w:rStyle w:val="Hyperlink"/>
            <w:rFonts w:ascii="Times New Roman" w:hAnsi="Times New Roman"/>
          </w:rPr>
          <w:t>COM(2018) 465 final</w:t>
        </w:r>
      </w:hyperlink>
      <w:r>
        <w:t>.</w:t>
      </w:r>
    </w:p>
    <w:p w:rsidR="00BB42EA" w:rsidRDefault="00B004C8">
      <w:pPr>
        <w:pStyle w:val="FootnoteText"/>
        <w:jc w:val="both"/>
        <w:rPr>
          <w:rFonts w:ascii="Times New Roman" w:hAnsi="Times New Roman"/>
        </w:rPr>
      </w:pPr>
      <w:r>
        <w:rPr>
          <w:rFonts w:ascii="Times New Roman" w:hAnsi="Times New Roman"/>
        </w:rPr>
        <w:t xml:space="preserve"> </w:t>
      </w:r>
    </w:p>
    <w:p w:rsidR="00BB42EA" w:rsidRDefault="00BB42EA">
      <w:pPr>
        <w:pStyle w:val="FootnoteText"/>
        <w:jc w:val="both"/>
      </w:pPr>
    </w:p>
  </w:footnote>
  <w:footnote w:id="8">
    <w:p w:rsidR="00BB42EA" w:rsidRDefault="00B004C8">
      <w:pPr>
        <w:jc w:val="both"/>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Ze zmíněného důvodu a v souladu se svým plánem na vybudování jednotnější, silnější a demokratičtější Unie a na základě stávajících Smluv předložila Komise řadu iniciativ zaměřených na zlepšení </w:t>
      </w:r>
      <w:r>
        <w:rPr>
          <w:rFonts w:ascii="Times New Roman" w:hAnsi="Times New Roman"/>
          <w:sz w:val="20"/>
        </w:rPr>
        <w:t>demokratického, institucionálního a politického rámce pro Unii v roce 2025.</w:t>
      </w:r>
    </w:p>
    <w:p w:rsidR="00BB42EA" w:rsidRDefault="00BB42EA">
      <w:pPr>
        <w:pStyle w:val="FootnoteText"/>
      </w:pPr>
    </w:p>
  </w:footnote>
  <w:footnote w:id="9">
    <w:p w:rsidR="00BB42EA" w:rsidRDefault="00B004C8">
      <w:pPr>
        <w:pStyle w:val="FootnoteText"/>
        <w:jc w:val="both"/>
        <w:rPr>
          <w:rFonts w:ascii="Times New Roman" w:hAnsi="Times New Roman"/>
        </w:rPr>
      </w:pPr>
      <w:r>
        <w:rPr>
          <w:rStyle w:val="FootnoteReference"/>
        </w:rPr>
        <w:footnoteRef/>
      </w:r>
      <w:r>
        <w:rPr>
          <w:rFonts w:ascii="Times New Roman" w:hAnsi="Times New Roman"/>
        </w:rPr>
        <w:t xml:space="preserve"> Zastřešující pojem „Romové“ se zde v souladu s terminologií evropských orgánů používá k označení několika různých skupin, aniž by těmto skupinám byla odpírána jejich specifika.</w:t>
      </w:r>
    </w:p>
  </w:footnote>
  <w:footnote w:id="10">
    <w:p w:rsidR="00BB42EA" w:rsidRDefault="00B004C8">
      <w:pPr>
        <w:pStyle w:val="FootnoteText"/>
        <w:jc w:val="both"/>
      </w:pPr>
      <w:r>
        <w:rPr>
          <w:rStyle w:val="FootnoteReference"/>
        </w:rPr>
        <w:footnoteRef/>
      </w:r>
      <w:r>
        <w:t xml:space="preserve"> </w:t>
      </w:r>
      <w:r>
        <w:rPr>
          <w:rFonts w:ascii="Times New Roman" w:hAnsi="Times New Roman"/>
        </w:rPr>
        <w:t>Zastřešující pojem „Romové“ se zde v souladu s terminologií evropských orgánů používá k označení několika různých skupin, aniž by těmto skupinám byla odpírána jejich specifika.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004C8">
    <w:pPr>
      <w:pStyle w:val="Header"/>
      <w:tabs>
        <w:tab w:val="left" w:pos="6343"/>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EA" w:rsidRDefault="00BB4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5D04FC"/>
    <w:multiLevelType w:val="hybridMultilevel"/>
    <w:tmpl w:val="B89E2E2E"/>
    <w:lvl w:ilvl="0" w:tplc="08090001">
      <w:start w:val="1"/>
      <w:numFmt w:val="bullet"/>
      <w:lvlText w:val=""/>
      <w:lvlJc w:val="left"/>
      <w:pPr>
        <w:ind w:left="632"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072" w:hanging="360"/>
      </w:pPr>
      <w:rPr>
        <w:rFonts w:ascii="Wingdings" w:hAnsi="Wingdings" w:hint="default"/>
      </w:rPr>
    </w:lvl>
    <w:lvl w:ilvl="3" w:tplc="08090001">
      <w:start w:val="1"/>
      <w:numFmt w:val="bullet"/>
      <w:lvlText w:val=""/>
      <w:lvlJc w:val="left"/>
      <w:pPr>
        <w:ind w:left="2792" w:hanging="360"/>
      </w:pPr>
      <w:rPr>
        <w:rFonts w:ascii="Symbol" w:hAnsi="Symbol" w:hint="default"/>
      </w:rPr>
    </w:lvl>
    <w:lvl w:ilvl="4" w:tplc="08090003">
      <w:start w:val="1"/>
      <w:numFmt w:val="bullet"/>
      <w:lvlText w:val="o"/>
      <w:lvlJc w:val="left"/>
      <w:pPr>
        <w:ind w:left="3512" w:hanging="360"/>
      </w:pPr>
      <w:rPr>
        <w:rFonts w:ascii="Courier New" w:hAnsi="Courier New" w:cs="Courier New" w:hint="default"/>
      </w:rPr>
    </w:lvl>
    <w:lvl w:ilvl="5" w:tplc="08090005">
      <w:start w:val="1"/>
      <w:numFmt w:val="bullet"/>
      <w:lvlText w:val=""/>
      <w:lvlJc w:val="left"/>
      <w:pPr>
        <w:ind w:left="4232" w:hanging="360"/>
      </w:pPr>
      <w:rPr>
        <w:rFonts w:ascii="Wingdings" w:hAnsi="Wingdings" w:hint="default"/>
      </w:rPr>
    </w:lvl>
    <w:lvl w:ilvl="6" w:tplc="08090001">
      <w:start w:val="1"/>
      <w:numFmt w:val="bullet"/>
      <w:lvlText w:val=""/>
      <w:lvlJc w:val="left"/>
      <w:pPr>
        <w:ind w:left="4952" w:hanging="360"/>
      </w:pPr>
      <w:rPr>
        <w:rFonts w:ascii="Symbol" w:hAnsi="Symbol" w:hint="default"/>
      </w:rPr>
    </w:lvl>
    <w:lvl w:ilvl="7" w:tplc="08090003">
      <w:start w:val="1"/>
      <w:numFmt w:val="bullet"/>
      <w:lvlText w:val="o"/>
      <w:lvlJc w:val="left"/>
      <w:pPr>
        <w:ind w:left="5672" w:hanging="360"/>
      </w:pPr>
      <w:rPr>
        <w:rFonts w:ascii="Courier New" w:hAnsi="Courier New" w:cs="Courier New" w:hint="default"/>
      </w:rPr>
    </w:lvl>
    <w:lvl w:ilvl="8" w:tplc="08090005">
      <w:start w:val="1"/>
      <w:numFmt w:val="bullet"/>
      <w:lvlText w:val=""/>
      <w:lvlJc w:val="left"/>
      <w:pPr>
        <w:ind w:left="6392" w:hanging="360"/>
      </w:pPr>
      <w:rPr>
        <w:rFonts w:ascii="Wingdings" w:hAnsi="Wingdings" w:hint="default"/>
      </w:rPr>
    </w:lvl>
  </w:abstractNum>
  <w:abstractNum w:abstractNumId="9" w15:restartNumberingAfterBreak="0">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C2069"/>
    <w:multiLevelType w:val="hybridMultilevel"/>
    <w:tmpl w:val="360E27D0"/>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330800CA"/>
    <w:multiLevelType w:val="hybridMultilevel"/>
    <w:tmpl w:val="9CFE5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15:restartNumberingAfterBreak="0">
    <w:nsid w:val="3BA736C9"/>
    <w:multiLevelType w:val="singleLevel"/>
    <w:tmpl w:val="080C000F"/>
    <w:lvl w:ilvl="0">
      <w:start w:val="1"/>
      <w:numFmt w:val="decimal"/>
      <w:lvlText w:val="%1."/>
      <w:lvlJc w:val="left"/>
      <w:pPr>
        <w:ind w:left="720" w:hanging="360"/>
      </w:pPr>
    </w:lvl>
  </w:abstractNum>
  <w:abstractNum w:abstractNumId="17"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8"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9"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8"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4"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15:restartNumberingAfterBreak="0">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36" w15:restartNumberingAfterBreak="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0" w15:restartNumberingAfterBreak="0">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6"/>
  </w:num>
  <w:num w:numId="2">
    <w:abstractNumId w:val="15"/>
  </w:num>
  <w:num w:numId="3">
    <w:abstractNumId w:val="33"/>
  </w:num>
  <w:num w:numId="4">
    <w:abstractNumId w:val="17"/>
  </w:num>
  <w:num w:numId="5">
    <w:abstractNumId w:val="26"/>
  </w:num>
  <w:num w:numId="6">
    <w:abstractNumId w:val="37"/>
  </w:num>
  <w:num w:numId="7">
    <w:abstractNumId w:val="38"/>
  </w:num>
  <w:num w:numId="8">
    <w:abstractNumId w:val="41"/>
  </w:num>
  <w:num w:numId="9">
    <w:abstractNumId w:val="25"/>
  </w:num>
  <w:num w:numId="10">
    <w:abstractNumId w:val="13"/>
  </w:num>
  <w:num w:numId="11">
    <w:abstractNumId w:val="32"/>
  </w:num>
  <w:num w:numId="12">
    <w:abstractNumId w:val="30"/>
  </w:num>
  <w:num w:numId="13">
    <w:abstractNumId w:val="21"/>
  </w:num>
  <w:num w:numId="14">
    <w:abstractNumId w:val="35"/>
  </w:num>
  <w:num w:numId="15">
    <w:abstractNumId w:val="36"/>
  </w:num>
  <w:num w:numId="16">
    <w:abstractNumId w:val="18"/>
  </w:num>
  <w:num w:numId="17">
    <w:abstractNumId w:val="34"/>
  </w:num>
  <w:num w:numId="18">
    <w:abstractNumId w:val="27"/>
  </w:num>
  <w:num w:numId="19">
    <w:abstractNumId w:val="39"/>
  </w:num>
  <w:num w:numId="20">
    <w:abstractNumId w:val="42"/>
  </w:num>
  <w:num w:numId="21">
    <w:abstractNumId w:val="31"/>
  </w:num>
  <w:num w:numId="22">
    <w:abstractNumId w:val="40"/>
  </w:num>
  <w:num w:numId="23">
    <w:abstractNumId w:val="11"/>
  </w:num>
  <w:num w:numId="24">
    <w:abstractNumId w:val="6"/>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8"/>
  </w:num>
  <w:num w:numId="32">
    <w:abstractNumId w:val="7"/>
  </w:num>
  <w:num w:numId="33">
    <w:abstractNumId w:val="20"/>
  </w:num>
  <w:num w:numId="34">
    <w:abstractNumId w:val="5"/>
  </w:num>
  <w:num w:numId="35">
    <w:abstractNumId w:val="23"/>
  </w:num>
  <w:num w:numId="36">
    <w:abstractNumId w:val="22"/>
  </w:num>
  <w:num w:numId="37">
    <w:abstractNumId w:val="29"/>
  </w:num>
  <w:num w:numId="38">
    <w:abstractNumId w:val="9"/>
  </w:num>
  <w:num w:numId="39">
    <w:abstractNumId w:val="24"/>
  </w:num>
  <w:num w:numId="40">
    <w:abstractNumId w:val="10"/>
  </w:num>
  <w:num w:numId="41">
    <w:abstractNumId w:val="19"/>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53922DA-177F-49AC-AF6C-5BD50E52E06E"/>
    <w:docVar w:name="LW_COVERPAGE_TYPE" w:val="1"/>
    <w:docVar w:name="LW_CROSSREFERENCE" w:val="{SWD(2019) 215 final} - {SWD(2019) 216 final} - {SWD(2019) 217 final} - {SWD(2019) 218 final} - {SWD(2019) 219 final} - {SWD(2019) 220 final}"/>
    <w:docVar w:name="LW_DocType" w:val="NORMAL"/>
    <w:docVar w:name="LW_EMISSION" w:val="29.5.2019"/>
    <w:docVar w:name="LW_EMISSION_ISODATE" w:val="2019-05-29"/>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d\u283?lení o politice roz\u353?í\u345?ení EU pro rok 2019"/>
    <w:docVar w:name="LW_TYPE.DOC.CP" w:val="SD\u282?LENÍ KOMISE EVROPSKÉMU PARLAMENTU, RAD\u282?, EVROPSKÉMU HOSPODÁ\u344?SKÉMU A SOCIÁLNÍMU VÝBORU A VÝBORU REGION\u366?"/>
    <w:docVar w:name="LW_TYPE.DOC.CP.USERTEXT" w:val="&lt;EMPTY&gt;"/>
  </w:docVars>
  <w:rsids>
    <w:rsidRoot w:val="00BB42EA"/>
    <w:rsid w:val="00B004C8"/>
    <w:rsid w:val="00BB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F9F565B-C719-4CAC-9D56-3B96B6A6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7"/>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7"/>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qForma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ind w:left="0" w:firstLine="0"/>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1"/>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3"/>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4"/>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5"/>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2"/>
      </w:numPr>
    </w:pPr>
  </w:style>
  <w:style w:type="paragraph" w:customStyle="1" w:styleId="ListNumberLevel2">
    <w:name w:val="List Number (Level 2)"/>
    <w:basedOn w:val="Normal"/>
    <w:pPr>
      <w:numPr>
        <w:ilvl w:val="1"/>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2"/>
      </w:numPr>
    </w:pPr>
  </w:style>
  <w:style w:type="paragraph" w:customStyle="1" w:styleId="ListNumber2Level2">
    <w:name w:val="List Number 2 (Level 2)"/>
    <w:basedOn w:val="Text2"/>
    <w:pPr>
      <w:numPr>
        <w:ilvl w:val="1"/>
        <w:numId w:val="23"/>
      </w:numPr>
    </w:pPr>
  </w:style>
  <w:style w:type="paragraph" w:customStyle="1" w:styleId="ListNumber3Level2">
    <w:name w:val="List Number 3 (Level 2)"/>
    <w:basedOn w:val="Text3"/>
    <w:pPr>
      <w:numPr>
        <w:ilvl w:val="1"/>
        <w:numId w:val="24"/>
      </w:numPr>
    </w:pPr>
  </w:style>
  <w:style w:type="paragraph" w:customStyle="1" w:styleId="ListNumber4Level2">
    <w:name w:val="List Number 4 (Level 2)"/>
    <w:basedOn w:val="Text4"/>
    <w:pPr>
      <w:numPr>
        <w:ilvl w:val="1"/>
        <w:numId w:val="25"/>
      </w:numPr>
    </w:pPr>
  </w:style>
  <w:style w:type="paragraph" w:customStyle="1" w:styleId="ListNumberLevel3">
    <w:name w:val="List Number (Level 3)"/>
    <w:basedOn w:val="Normal"/>
    <w:pPr>
      <w:numPr>
        <w:ilvl w:val="2"/>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2"/>
      </w:numPr>
    </w:pPr>
  </w:style>
  <w:style w:type="paragraph" w:customStyle="1" w:styleId="ListNumber2Level3">
    <w:name w:val="List Number 2 (Level 3)"/>
    <w:basedOn w:val="Text2"/>
    <w:pPr>
      <w:numPr>
        <w:ilvl w:val="2"/>
        <w:numId w:val="23"/>
      </w:numPr>
    </w:pPr>
  </w:style>
  <w:style w:type="paragraph" w:customStyle="1" w:styleId="ListNumber3Level3">
    <w:name w:val="List Number 3 (Level 3)"/>
    <w:basedOn w:val="Text3"/>
    <w:pPr>
      <w:numPr>
        <w:ilvl w:val="2"/>
        <w:numId w:val="24"/>
      </w:numPr>
    </w:pPr>
  </w:style>
  <w:style w:type="paragraph" w:customStyle="1" w:styleId="ListNumber4Level3">
    <w:name w:val="List Number 4 (Level 3)"/>
    <w:basedOn w:val="Text4"/>
    <w:pPr>
      <w:numPr>
        <w:ilvl w:val="2"/>
        <w:numId w:val="25"/>
      </w:numPr>
    </w:pPr>
  </w:style>
  <w:style w:type="paragraph" w:customStyle="1" w:styleId="ListNumberLevel4">
    <w:name w:val="List Number (Level 4)"/>
    <w:basedOn w:val="Normal"/>
    <w:pPr>
      <w:numPr>
        <w:ilvl w:val="3"/>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2"/>
      </w:numPr>
    </w:pPr>
  </w:style>
  <w:style w:type="paragraph" w:customStyle="1" w:styleId="ListNumber2Level4">
    <w:name w:val="List Number 2 (Level 4)"/>
    <w:basedOn w:val="Text2"/>
    <w:pPr>
      <w:numPr>
        <w:ilvl w:val="3"/>
        <w:numId w:val="23"/>
      </w:numPr>
    </w:pPr>
  </w:style>
  <w:style w:type="paragraph" w:customStyle="1" w:styleId="ListNumber3Level4">
    <w:name w:val="List Number 3 (Level 4)"/>
    <w:basedOn w:val="Text3"/>
    <w:pPr>
      <w:numPr>
        <w:ilvl w:val="3"/>
        <w:numId w:val="24"/>
      </w:numPr>
    </w:pPr>
  </w:style>
  <w:style w:type="paragraph" w:customStyle="1" w:styleId="ListNumber4Level4">
    <w:name w:val="List Number 4 (Level 4)"/>
    <w:basedOn w:val="Text4"/>
    <w:pPr>
      <w:numPr>
        <w:ilvl w:val="3"/>
        <w:numId w:val="25"/>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27"/>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28"/>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29"/>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cs-CZ"/>
    </w:rPr>
  </w:style>
  <w:style w:type="character" w:customStyle="1" w:styleId="DefaultChar">
    <w:name w:val="Default Char"/>
    <w:link w:val="Default"/>
    <w:locked/>
    <w:rPr>
      <w:rFonts w:ascii="Symbol" w:hAnsi="Symbol" w:cs="Times New Roman"/>
      <w:color w:val="000000"/>
      <w:sz w:val="24"/>
      <w:szCs w:val="24"/>
      <w:lang w:eastAsia="cs-CZ"/>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 w:type="character" w:customStyle="1" w:styleId="Standaardalinea-lettertype">
    <w:name w:val="Standaardalinea-lettertype"/>
  </w:style>
  <w:style w:type="paragraph" w:customStyle="1" w:styleId="Kosovo">
    <w:name w:val="Kosovo"/>
    <w:basedOn w:val="Default"/>
    <w:pPr>
      <w:spacing w:after="120"/>
      <w:jc w:val="both"/>
    </w:pPr>
    <w:rPr>
      <w:rFonts w:ascii="Times New Roman" w:eastAsia="Calibri" w:hAnsi="Times New Roman"/>
      <w:bCs/>
      <w:noProo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style>
  <w:style w:type="paragraph" w:customStyle="1" w:styleId="Raluca">
    <w:name w:val="Raluca"/>
    <w:basedOn w:val="Normal"/>
    <w:pPr>
      <w:spacing w:after="120" w:line="240" w:lineRule="auto"/>
      <w:jc w:val="both"/>
    </w:pPr>
    <w:rPr>
      <w:rFonts w:ascii="Times New Roman" w:hAnsi="Times New Roman" w:cs="Times New Roman"/>
      <w:noProof/>
      <w:sz w:val="24"/>
      <w:szCs w:val="24"/>
    </w:rPr>
  </w:style>
  <w:style w:type="character" w:customStyle="1" w:styleId="ilfuvd">
    <w:name w:val="ilfuvd"/>
    <w:basedOn w:val="DefaultParagraphFont"/>
  </w:style>
  <w:style w:type="paragraph" w:styleId="NoSpacing">
    <w:name w:val="No Spacing"/>
    <w:uiPriority w:val="1"/>
    <w:qFormat/>
    <w:pPr>
      <w:spacing w:after="0" w:line="240" w:lineRule="auto"/>
    </w:pPr>
    <w:rPr>
      <w:rFonts w:ascii="Calibri" w:eastAsia="Calibri" w:hAnsi="Calibri" w:cs="Times New Roman"/>
      <w:noProof/>
    </w:rPr>
  </w:style>
  <w:style w:type="paragraph" w:customStyle="1" w:styleId="kowalski">
    <w:name w:val="kowalski"/>
    <w:basedOn w:val="ListParagraph"/>
    <w:pPr>
      <w:tabs>
        <w:tab w:val="num" w:pos="360"/>
      </w:tabs>
      <w:spacing w:after="120" w:line="240" w:lineRule="auto"/>
      <w:ind w:left="357" w:hanging="357"/>
      <w:contextualSpacing w:val="0"/>
      <w:jc w:val="both"/>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4776/sofia-declaration_en.pdf" TargetMode="External"/><Relationship Id="rId2" Type="http://schemas.openxmlformats.org/officeDocument/2006/relationships/hyperlink" Target="https://ec.europa.eu/commission/sites/beta-political/files/communication-credible-enlargement-perspective-western-balkans_en.pdf" TargetMode="External"/><Relationship Id="rId1" Type="http://schemas.openxmlformats.org/officeDocument/2006/relationships/hyperlink" Target="https://eur-lex.europa.eu/legal-content/CS/TXT/HTML/?uri=CELEX:52018DC0450&amp;from=CS" TargetMode="External"/><Relationship Id="rId6" Type="http://schemas.openxmlformats.org/officeDocument/2006/relationships/hyperlink" Target="https://eur-lex.europa.eu/legal-content/CS/TXT/HTML/?uri=CELEX:52018PC0465&amp;from=CS" TargetMode="External"/><Relationship Id="rId5" Type="http://schemas.openxmlformats.org/officeDocument/2006/relationships/hyperlink" Target="https://eur-lex.europa.eu/legal-content/CS/TXT/HTML/?uri=CELEX:32015D1208(02)&amp;from=CS" TargetMode="External"/><Relationship Id="rId4" Type="http://schemas.openxmlformats.org/officeDocument/2006/relationships/hyperlink" Target="https://www.consilium.europa.eu/cs/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4CDA-A8BC-4C4D-AE37-086927C8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21858</Words>
  <Characters>148419</Characters>
  <Application>Microsoft Office Word</Application>
  <DocSecurity>0</DocSecurity>
  <Lines>3905</Lines>
  <Paragraphs>1979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25</cp:revision>
  <cp:lastPrinted>2019-05-28T11:47:00Z</cp:lastPrinted>
  <dcterms:created xsi:type="dcterms:W3CDTF">2019-05-28T13:52:00Z</dcterms:created>
  <dcterms:modified xsi:type="dcterms:W3CDTF">2019-06-13T08:54:00Z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