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FAD" w:rsidRDefault="00E3669E">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60347ECF-DA2C-446F-B036-7B30E6DC837F" style="width:451pt;height:347.75pt">
            <v:imagedata r:id="rId8" o:title=""/>
          </v:shape>
        </w:pict>
      </w:r>
    </w:p>
    <w:bookmarkEnd w:id="0"/>
    <w:p w:rsidR="00D96FAD" w:rsidRDefault="00D96FAD">
      <w:pPr>
        <w:rPr>
          <w:noProof/>
        </w:rPr>
        <w:sectPr w:rsidR="00D96FAD">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rsidR="00D96FAD" w:rsidRDefault="00E3669E">
      <w:pPr>
        <w:spacing w:after="120" w:line="240" w:lineRule="auto"/>
        <w:jc w:val="both"/>
        <w:rPr>
          <w:rFonts w:ascii="Times New Roman" w:hAnsi="Times New Roman" w:cs="Times New Roman"/>
          <w:b/>
          <w:bCs/>
          <w:noProof/>
          <w:sz w:val="24"/>
          <w:szCs w:val="24"/>
        </w:rPr>
      </w:pPr>
      <w:r>
        <w:rPr>
          <w:rFonts w:ascii="Times New Roman" w:hAnsi="Times New Roman"/>
          <w:b/>
          <w:noProof/>
          <w:sz w:val="24"/>
        </w:rPr>
        <w:lastRenderedPageBreak/>
        <w:t xml:space="preserve">I. </w:t>
      </w:r>
      <w:r>
        <w:rPr>
          <w:noProof/>
        </w:rPr>
        <w:tab/>
      </w:r>
      <w:r>
        <w:rPr>
          <w:rFonts w:ascii="Times New Roman" w:hAnsi="Times New Roman"/>
          <w:b/>
          <w:noProof/>
          <w:sz w:val="24"/>
        </w:rPr>
        <w:t>INTRODUCCIÓN</w:t>
      </w:r>
    </w:p>
    <w:p w:rsidR="00D96FAD" w:rsidRDefault="00E3669E">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En noviembre de 2015, la Comisión Europea estableció una </w:t>
      </w:r>
      <w:r>
        <w:rPr>
          <w:rFonts w:ascii="Times New Roman" w:hAnsi="Times New Roman"/>
          <w:b/>
          <w:noProof/>
          <w:sz w:val="24"/>
        </w:rPr>
        <w:t>estrategia a medio plazo para la política de ampliación de la UE</w:t>
      </w:r>
      <w:r>
        <w:rPr>
          <w:rStyle w:val="FootnoteReference"/>
          <w:rFonts w:ascii="Times New Roman" w:hAnsi="Times New Roman"/>
          <w:b/>
          <w:noProof/>
          <w:sz w:val="24"/>
        </w:rPr>
        <w:footnoteReference w:id="1"/>
      </w:r>
      <w:r>
        <w:rPr>
          <w:rFonts w:ascii="Times New Roman" w:hAnsi="Times New Roman"/>
          <w:noProof/>
          <w:sz w:val="24"/>
        </w:rPr>
        <w:t xml:space="preserve"> que abarcara el mandato de la actual Comisión. La presente Comunicación hace un balance de los progresos realizados, hasta finales de febrero de 2019, en la aplicación de la política de ampliación. Además de presentar los avances, se examinan los importan</w:t>
      </w:r>
      <w:r>
        <w:rPr>
          <w:rFonts w:ascii="Times New Roman" w:hAnsi="Times New Roman"/>
          <w:noProof/>
          <w:sz w:val="24"/>
        </w:rPr>
        <w:t xml:space="preserve">tes desafíos a los que se enfrentan los países aspirantes a ser Estados miembros. </w:t>
      </w:r>
    </w:p>
    <w:p w:rsidR="00D96FAD" w:rsidRDefault="00E3669E">
      <w:pPr>
        <w:spacing w:after="120" w:line="240" w:lineRule="auto"/>
        <w:jc w:val="both"/>
        <w:rPr>
          <w:rFonts w:ascii="Times New Roman" w:eastAsia="Calibri" w:hAnsi="Times New Roman" w:cs="Times New Roman"/>
          <w:b/>
          <w:noProof/>
          <w:sz w:val="24"/>
          <w:szCs w:val="24"/>
        </w:rPr>
      </w:pPr>
      <w:r>
        <w:rPr>
          <w:rFonts w:ascii="Times New Roman" w:hAnsi="Times New Roman"/>
          <w:b/>
          <w:noProof/>
          <w:sz w:val="24"/>
        </w:rPr>
        <w:t>Balcanes Occidentales</w:t>
      </w:r>
    </w:p>
    <w:p w:rsidR="00D96FAD" w:rsidRDefault="00E3669E">
      <w:pPr>
        <w:spacing w:after="120" w:line="240" w:lineRule="auto"/>
        <w:jc w:val="both"/>
        <w:rPr>
          <w:rFonts w:ascii="Times New Roman" w:hAnsi="Times New Roman" w:cs="Times New Roman"/>
          <w:bCs/>
          <w:noProof/>
          <w:sz w:val="24"/>
          <w:szCs w:val="24"/>
        </w:rPr>
      </w:pPr>
      <w:r>
        <w:rPr>
          <w:rFonts w:ascii="Times New Roman" w:hAnsi="Times New Roman"/>
          <w:noProof/>
          <w:sz w:val="24"/>
        </w:rPr>
        <w:t xml:space="preserve">La </w:t>
      </w:r>
      <w:r>
        <w:rPr>
          <w:rFonts w:ascii="Times New Roman" w:hAnsi="Times New Roman"/>
          <w:b/>
          <w:noProof/>
          <w:sz w:val="24"/>
        </w:rPr>
        <w:t>Estrategia de los Balcanes Occidentales</w:t>
      </w:r>
      <w:r>
        <w:rPr>
          <w:rStyle w:val="FootnoteReference"/>
          <w:noProof/>
        </w:rPr>
        <w:footnoteReference w:id="2"/>
      </w:r>
      <w:r>
        <w:rPr>
          <w:rFonts w:ascii="Times New Roman" w:hAnsi="Times New Roman"/>
          <w:noProof/>
          <w:sz w:val="24"/>
        </w:rPr>
        <w:t>, presentada por la Comisión Europea en febrero de 2018, constituyó un fuerte impulso para la región en su t</w:t>
      </w:r>
      <w:r>
        <w:rPr>
          <w:rFonts w:ascii="Times New Roman" w:hAnsi="Times New Roman"/>
          <w:noProof/>
          <w:sz w:val="24"/>
        </w:rPr>
        <w:t>rayectoria europea. La estrategia confirmaba nuevamente el futuro de los Balcanes Occidentales como parte integrante de la UE y reiteraba que su posible adhesión a la Unión Europea, supeditada al cumplimiento de criterios firmes y previamente fijados, redu</w:t>
      </w:r>
      <w:r>
        <w:rPr>
          <w:rFonts w:ascii="Times New Roman" w:hAnsi="Times New Roman"/>
          <w:noProof/>
          <w:sz w:val="24"/>
        </w:rPr>
        <w:t>ndaría en el propio interés político, económico y de seguridad de la Unión. Por otra parte, se corroboraban los importantes avances que ha hecho la región no solo en cuanto a reformas, sino también para superar las secuelas de la guerra y los conflictos. A</w:t>
      </w:r>
      <w:r>
        <w:rPr>
          <w:rFonts w:ascii="Times New Roman" w:hAnsi="Times New Roman"/>
          <w:noProof/>
          <w:sz w:val="24"/>
        </w:rPr>
        <w:t>hora bien, a fin de que los países interesados cumplan todas las condiciones de adhesión, y, en particular, con miras a la consolidación de sus democracias, se requieren reformas más profundas, exhaustivas y convincentes en ámbitos cruciales, entre los que</w:t>
      </w:r>
      <w:r>
        <w:rPr>
          <w:rFonts w:ascii="Times New Roman" w:hAnsi="Times New Roman"/>
          <w:noProof/>
          <w:sz w:val="24"/>
        </w:rPr>
        <w:t xml:space="preserve"> destacan el Estado de Derecho —incluida la lucha contra la corrupción y la delincuencia organizada—, las reformas económicas y la competitividad, la cooperación regional y la reconciliación. La Comisión pedía que se intensificara ostensiblemente la asiste</w:t>
      </w:r>
      <w:r>
        <w:rPr>
          <w:rFonts w:ascii="Times New Roman" w:hAnsi="Times New Roman"/>
          <w:noProof/>
          <w:sz w:val="24"/>
        </w:rPr>
        <w:t>ncia política, técnica y financiera de la UE a la región, especialmente a través de las seis iniciativas emblemáticas de la Estrategia, que cuentan con el respaldo de 11 700 millones EUR de ayuda a la preadhesión para el período 2014-2020. A fin de mejorar</w:t>
      </w:r>
      <w:r>
        <w:rPr>
          <w:rFonts w:ascii="Times New Roman" w:hAnsi="Times New Roman"/>
          <w:noProof/>
          <w:sz w:val="24"/>
        </w:rPr>
        <w:t xml:space="preserve"> la estructura de incentivos en este ámbito, la Comisión también señalaba que, con la voluntad política necesaria, la materialización de reformas reales y sostenidas, y soluciones definitivas a los conflictos con sus vecinos, los países que actualmente lle</w:t>
      </w:r>
      <w:r>
        <w:rPr>
          <w:rFonts w:ascii="Times New Roman" w:hAnsi="Times New Roman"/>
          <w:noProof/>
          <w:sz w:val="24"/>
        </w:rPr>
        <w:t xml:space="preserve">van la delantera en las negociaciones de adhesión podrían estar listos para la adhesión en 2025. </w:t>
      </w:r>
    </w:p>
    <w:p w:rsidR="00D96FAD" w:rsidRDefault="00E3669E">
      <w:pPr>
        <w:spacing w:after="120" w:line="240" w:lineRule="auto"/>
        <w:jc w:val="both"/>
        <w:rPr>
          <w:rFonts w:ascii="Times New Roman" w:hAnsi="Times New Roman" w:cs="Times New Roman"/>
          <w:bCs/>
          <w:noProof/>
          <w:sz w:val="24"/>
          <w:szCs w:val="24"/>
        </w:rPr>
      </w:pPr>
      <w:r>
        <w:rPr>
          <w:rFonts w:ascii="Times New Roman" w:hAnsi="Times New Roman"/>
          <w:noProof/>
          <w:sz w:val="24"/>
        </w:rPr>
        <w:t xml:space="preserve">En la </w:t>
      </w:r>
      <w:r>
        <w:rPr>
          <w:rFonts w:ascii="Times New Roman" w:hAnsi="Times New Roman"/>
          <w:b/>
          <w:noProof/>
          <w:sz w:val="24"/>
        </w:rPr>
        <w:t>Cumbre UE-Balcanes Occidentales</w:t>
      </w:r>
      <w:r>
        <w:rPr>
          <w:rFonts w:ascii="Times New Roman" w:hAnsi="Times New Roman"/>
          <w:noProof/>
          <w:sz w:val="24"/>
        </w:rPr>
        <w:t>, celebrada en Sofía en mayo de 2018, los dirigentes de la UE reafirmaron su apoyo inequívoco a la perspectiva europea de</w:t>
      </w:r>
      <w:r>
        <w:rPr>
          <w:rFonts w:ascii="Times New Roman" w:hAnsi="Times New Roman"/>
          <w:noProof/>
          <w:sz w:val="24"/>
        </w:rPr>
        <w:t xml:space="preserve"> los Balcanes Occidentales, y los socios de los Balcanes Occidentales volvieron a manifestar su adhesión a esta perspectiva europea como firme opción estratégica. Los dirigentes de la UE aprobaron la Declaración de Sofía y el Programa de Prioridades de Sof</w:t>
      </w:r>
      <w:r>
        <w:rPr>
          <w:rFonts w:ascii="Times New Roman" w:hAnsi="Times New Roman"/>
          <w:noProof/>
          <w:sz w:val="24"/>
        </w:rPr>
        <w:t>ía</w:t>
      </w:r>
      <w:r>
        <w:rPr>
          <w:rStyle w:val="FootnoteReference"/>
          <w:noProof/>
        </w:rPr>
        <w:footnoteReference w:id="3"/>
      </w:r>
      <w:r>
        <w:rPr>
          <w:rFonts w:ascii="Times New Roman" w:hAnsi="Times New Roman"/>
          <w:noProof/>
          <w:sz w:val="24"/>
        </w:rPr>
        <w:t>, en los que se recogen nuevas medidas destinadas a reforzar la cooperación con la región en ámbitos clave como la seguridad, el Estado de Derecho y la migración.</w:t>
      </w:r>
    </w:p>
    <w:p w:rsidR="00D96FAD" w:rsidRDefault="00E3669E">
      <w:pPr>
        <w:spacing w:after="120" w:line="240" w:lineRule="auto"/>
        <w:jc w:val="both"/>
        <w:rPr>
          <w:rFonts w:ascii="Times New Roman" w:hAnsi="Times New Roman" w:cs="Times New Roman"/>
          <w:noProof/>
          <w:color w:val="000000"/>
          <w:sz w:val="24"/>
          <w:szCs w:val="24"/>
        </w:rPr>
      </w:pPr>
      <w:r>
        <w:rPr>
          <w:rFonts w:ascii="Times New Roman" w:hAnsi="Times New Roman"/>
          <w:noProof/>
          <w:sz w:val="24"/>
        </w:rPr>
        <w:t xml:space="preserve">Los dirigentes de la UE también dieron </w:t>
      </w:r>
      <w:r>
        <w:rPr>
          <w:rFonts w:ascii="Times New Roman" w:hAnsi="Times New Roman"/>
          <w:b/>
          <w:noProof/>
          <w:sz w:val="24"/>
        </w:rPr>
        <w:t>señales claras</w:t>
      </w:r>
      <w:r>
        <w:rPr>
          <w:rFonts w:ascii="Times New Roman" w:hAnsi="Times New Roman"/>
          <w:noProof/>
          <w:sz w:val="24"/>
        </w:rPr>
        <w:t xml:space="preserve"> a los distintos países de los Balcan</w:t>
      </w:r>
      <w:r>
        <w:rPr>
          <w:rFonts w:ascii="Times New Roman" w:hAnsi="Times New Roman"/>
          <w:noProof/>
          <w:sz w:val="24"/>
        </w:rPr>
        <w:t xml:space="preserve">es Occidentales el año pasado. En respuesta a las recomendaciones formuladas por la Comisión en 2018 sobre la apertura de las negociaciones de adhesión con la República de Macedonia del Norte y con la República de Albania, el Consejo acordó en junio </w:t>
      </w:r>
      <w:r>
        <w:rPr>
          <w:rFonts w:ascii="Times New Roman" w:hAnsi="Times New Roman"/>
          <w:noProof/>
          <w:color w:val="000000"/>
          <w:sz w:val="24"/>
        </w:rPr>
        <w:t>ofrece</w:t>
      </w:r>
      <w:r>
        <w:rPr>
          <w:rFonts w:ascii="Times New Roman" w:hAnsi="Times New Roman"/>
          <w:noProof/>
          <w:color w:val="000000"/>
          <w:sz w:val="24"/>
        </w:rPr>
        <w:t>r una respuesta positiva ante los avances realizados y marcar la senda para la apertura de negociaciones de adhesión con ambos países en junio de 2019</w:t>
      </w:r>
      <w:r>
        <w:rPr>
          <w:rFonts w:ascii="Times New Roman" w:hAnsi="Times New Roman"/>
          <w:noProof/>
          <w:sz w:val="24"/>
        </w:rPr>
        <w:t xml:space="preserve">. </w:t>
      </w:r>
      <w:r>
        <w:rPr>
          <w:rFonts w:ascii="Times New Roman" w:hAnsi="Times New Roman"/>
          <w:noProof/>
          <w:color w:val="000000"/>
          <w:sz w:val="24"/>
        </w:rPr>
        <w:t>En lo tocante a Kosovo</w:t>
      </w:r>
      <w:r>
        <w:rPr>
          <w:noProof/>
          <w:vertAlign w:val="superscript"/>
        </w:rPr>
        <w:footnoteReference w:customMarkFollows="1" w:id="4"/>
        <w:t>*</w:t>
      </w:r>
      <w:r>
        <w:rPr>
          <w:rFonts w:ascii="Times New Roman" w:hAnsi="Times New Roman"/>
          <w:noProof/>
          <w:color w:val="000000"/>
          <w:sz w:val="24"/>
        </w:rPr>
        <w:t xml:space="preserve">, la Comisión informó </w:t>
      </w:r>
      <w:r>
        <w:rPr>
          <w:rFonts w:ascii="Times New Roman" w:hAnsi="Times New Roman"/>
          <w:noProof/>
          <w:color w:val="000000"/>
          <w:sz w:val="24"/>
        </w:rPr>
        <w:lastRenderedPageBreak/>
        <w:t xml:space="preserve">de que se ya se cumplían todos los criterios de referencia </w:t>
      </w:r>
      <w:r>
        <w:rPr>
          <w:rFonts w:ascii="Times New Roman" w:hAnsi="Times New Roman"/>
          <w:noProof/>
          <w:color w:val="000000"/>
          <w:sz w:val="24"/>
        </w:rPr>
        <w:t>para la exención de visado en los desplazamientos al espacio Schengen</w:t>
      </w:r>
      <w:r>
        <w:rPr>
          <w:rFonts w:ascii="Times New Roman" w:hAnsi="Times New Roman"/>
          <w:noProof/>
          <w:sz w:val="24"/>
        </w:rPr>
        <w:t>, y, en marzo de 2019, el Parlamento Europeo, en primera lectura, manifestó su apoyo a la propuesta de la Comisión de liberalizar el régimen de visados.</w:t>
      </w:r>
    </w:p>
    <w:p w:rsidR="00D96FAD" w:rsidRDefault="00E3669E">
      <w:pPr>
        <w:spacing w:after="120" w:line="240" w:lineRule="auto"/>
        <w:jc w:val="both"/>
        <w:rPr>
          <w:rFonts w:ascii="Times New Roman" w:hAnsi="Times New Roman" w:cs="Times New Roman"/>
          <w:noProof/>
          <w:color w:val="000000"/>
          <w:sz w:val="24"/>
          <w:szCs w:val="24"/>
        </w:rPr>
      </w:pPr>
      <w:r>
        <w:rPr>
          <w:rFonts w:ascii="Times New Roman" w:hAnsi="Times New Roman"/>
          <w:noProof/>
          <w:sz w:val="24"/>
        </w:rPr>
        <w:t>El refuerzo del compromiso de la U</w:t>
      </w:r>
      <w:r>
        <w:rPr>
          <w:rFonts w:ascii="Times New Roman" w:hAnsi="Times New Roman"/>
          <w:noProof/>
          <w:sz w:val="24"/>
        </w:rPr>
        <w:t xml:space="preserve">E con la región y su mayor implicación a lo largo del último año ya están dando </w:t>
      </w:r>
      <w:r>
        <w:rPr>
          <w:rFonts w:ascii="Times New Roman" w:hAnsi="Times New Roman"/>
          <w:b/>
          <w:noProof/>
          <w:sz w:val="24"/>
        </w:rPr>
        <w:t>frutos</w:t>
      </w:r>
      <w:r>
        <w:rPr>
          <w:rFonts w:ascii="Times New Roman" w:hAnsi="Times New Roman"/>
          <w:noProof/>
          <w:sz w:val="24"/>
        </w:rPr>
        <w:t xml:space="preserve"> concretos y notables. Macedonia del Norte no solo ha proseguido su ambicioso programa de reformas, sino que, además, llegó a un acuerdo histórico con Grecia gracias al c</w:t>
      </w:r>
      <w:r>
        <w:rPr>
          <w:rFonts w:ascii="Times New Roman" w:hAnsi="Times New Roman"/>
          <w:noProof/>
          <w:sz w:val="24"/>
        </w:rPr>
        <w:t>ual se zanjó una disputa sobre la denominación del país que había durado ya veintisiete años. Este acuerdo y el acuerdo bilateral con Bulgaria constituyen un ejemplo para el conjunto de la región sobre cómo fortalecer las relaciones de buena vecindad y dan</w:t>
      </w:r>
      <w:r>
        <w:rPr>
          <w:rFonts w:ascii="Times New Roman" w:hAnsi="Times New Roman"/>
          <w:noProof/>
          <w:sz w:val="24"/>
        </w:rPr>
        <w:t xml:space="preserve"> testimonio del poder de atracción que ejerce la perspectiva europea. De manera similar, Albania está llevando a cabo profundas reformas, en particular, una gran transformación de su sistema judicial que comprende un proceso de reevaluación sin precedentes</w:t>
      </w:r>
      <w:r>
        <w:rPr>
          <w:rFonts w:ascii="Times New Roman" w:hAnsi="Times New Roman"/>
          <w:noProof/>
          <w:sz w:val="24"/>
        </w:rPr>
        <w:t xml:space="preserve"> de jueces y fiscales. </w:t>
      </w:r>
    </w:p>
    <w:p w:rsidR="00D96FAD" w:rsidRDefault="00E3669E">
      <w:pPr>
        <w:spacing w:after="120" w:line="240" w:lineRule="auto"/>
        <w:jc w:val="both"/>
        <w:rPr>
          <w:rFonts w:ascii="Times New Roman" w:hAnsi="Times New Roman" w:cs="Times New Roman"/>
          <w:noProof/>
          <w:color w:val="000000"/>
          <w:sz w:val="24"/>
          <w:szCs w:val="24"/>
        </w:rPr>
      </w:pPr>
      <w:r>
        <w:rPr>
          <w:rFonts w:ascii="Times New Roman" w:hAnsi="Times New Roman"/>
          <w:noProof/>
          <w:color w:val="000000"/>
          <w:sz w:val="24"/>
        </w:rPr>
        <w:t>Estos avances positivos que se están realizando exigen ahora una respuesta específica y rápida por parte de la Unión. La UE no solo tiene la oportunidad de afianzar ese impulso positivo a largo plazo que está viviendo la región, sin</w:t>
      </w:r>
      <w:r>
        <w:rPr>
          <w:rFonts w:ascii="Times New Roman" w:hAnsi="Times New Roman"/>
          <w:noProof/>
          <w:color w:val="000000"/>
          <w:sz w:val="24"/>
        </w:rPr>
        <w:t>o que, además, es la primera interesada en que así sea. La Unión ha de estar a la altura de sus compromisos y reconocer lo que es debido. Si no se recompensan los progresos objetivos pasando a la siguiente fase en la senda europea, se perjudicará la credib</w:t>
      </w:r>
      <w:r>
        <w:rPr>
          <w:rFonts w:ascii="Times New Roman" w:hAnsi="Times New Roman"/>
          <w:noProof/>
          <w:color w:val="000000"/>
          <w:sz w:val="24"/>
        </w:rPr>
        <w:t>ilidad de la UE en la región y fuera de ella. Una respuesta tibia a logros históricos y reformas sustanciales socavaría la estabilidad, desalentaría en gran medida reformas todavía muy necesarias y afectaría a la labor realizada en torno a cuestiones bilat</w:t>
      </w:r>
      <w:r>
        <w:rPr>
          <w:rFonts w:ascii="Times New Roman" w:hAnsi="Times New Roman"/>
          <w:noProof/>
          <w:color w:val="000000"/>
          <w:sz w:val="24"/>
        </w:rPr>
        <w:t xml:space="preserve">erales delicadas como el diálogo entre Belgrado y Pristina. Estratégicamente, esto no haría más que afianzar las posiciones de los competidores geopolíticos de la UE a las puertas de Europa. </w:t>
      </w:r>
    </w:p>
    <w:p w:rsidR="00D96FAD" w:rsidRDefault="00E3669E">
      <w:pPr>
        <w:spacing w:after="120" w:line="240" w:lineRule="auto"/>
        <w:jc w:val="both"/>
        <w:rPr>
          <w:rFonts w:ascii="Times New Roman" w:hAnsi="Times New Roman" w:cs="Times New Roman"/>
          <w:bCs/>
          <w:noProof/>
          <w:sz w:val="24"/>
          <w:szCs w:val="24"/>
        </w:rPr>
      </w:pPr>
      <w:r>
        <w:rPr>
          <w:rFonts w:ascii="Times New Roman" w:hAnsi="Times New Roman"/>
          <w:noProof/>
          <w:sz w:val="24"/>
        </w:rPr>
        <w:t>Sin embargo, no todos los países han aprovechado las oportunidad</w:t>
      </w:r>
      <w:r>
        <w:rPr>
          <w:rFonts w:ascii="Times New Roman" w:hAnsi="Times New Roman"/>
          <w:noProof/>
          <w:sz w:val="24"/>
        </w:rPr>
        <w:t>es que ofrece la Estrategia de los Balcanes Occidentales. Algunos se han estancado en sus esfuerzos, especialmente en los ámbitos críticos del Estado de Derecho y los derechos fundamentales. Los países más avanzados en el proceso de adhesión corren el ries</w:t>
      </w:r>
      <w:r>
        <w:rPr>
          <w:rFonts w:ascii="Times New Roman" w:hAnsi="Times New Roman"/>
          <w:noProof/>
          <w:sz w:val="24"/>
        </w:rPr>
        <w:t>go de no alcanzar los ambiciosos objetivos que han declarado si no redoblan sus esfuerzos de manera significativa, en particular, en lo tocante a las reformas fundamentales. Todos los dirigentes políticos de la región deben estar a la altura de las expecta</w:t>
      </w:r>
      <w:r>
        <w:rPr>
          <w:rFonts w:ascii="Times New Roman" w:hAnsi="Times New Roman"/>
          <w:noProof/>
          <w:sz w:val="24"/>
        </w:rPr>
        <w:t>tivas de reforma de sus ciudadanos y no dejar lugar a dudas con respecto a su orientación estratégica y su determinación de adherirse a la UE.</w:t>
      </w:r>
      <w:r>
        <w:rPr>
          <w:rFonts w:ascii="Arial" w:hAnsi="Arial"/>
          <w:noProof/>
          <w:sz w:val="21"/>
        </w:rPr>
        <w:t xml:space="preserve"> </w:t>
      </w:r>
      <w:r>
        <w:rPr>
          <w:rFonts w:ascii="Times New Roman" w:hAnsi="Times New Roman"/>
          <w:noProof/>
          <w:sz w:val="24"/>
        </w:rPr>
        <w:t>La adhesión a la UE es una elección fundamental, basada en valores, que requiere una actuación más decidida por p</w:t>
      </w:r>
      <w:r>
        <w:rPr>
          <w:rFonts w:ascii="Times New Roman" w:hAnsi="Times New Roman"/>
          <w:noProof/>
          <w:sz w:val="24"/>
        </w:rPr>
        <w:t xml:space="preserve">arte de todos los países. </w:t>
      </w:r>
    </w:p>
    <w:p w:rsidR="00D96FAD" w:rsidRDefault="00E3669E">
      <w:pPr>
        <w:spacing w:after="120" w:line="240" w:lineRule="auto"/>
        <w:jc w:val="both"/>
        <w:rPr>
          <w:rFonts w:ascii="Times New Roman" w:hAnsi="Times New Roman" w:cs="Times New Roman"/>
          <w:bCs/>
          <w:noProof/>
          <w:sz w:val="24"/>
          <w:szCs w:val="24"/>
        </w:rPr>
      </w:pPr>
      <w:r>
        <w:rPr>
          <w:rFonts w:ascii="Times New Roman" w:hAnsi="Times New Roman"/>
          <w:noProof/>
          <w:sz w:val="24"/>
        </w:rPr>
        <w:t>La Comisión, en paralelo a la presente Comunicación, ha adoptado el Dictamen sobre la solicitud de adhesión a la Unión Europea de Bosnia y Herzegovina. La conclusión y la recomendación del Dictamen se recogen en el anexo de la pr</w:t>
      </w:r>
      <w:r>
        <w:rPr>
          <w:rFonts w:ascii="Times New Roman" w:hAnsi="Times New Roman"/>
          <w:noProof/>
          <w:sz w:val="24"/>
        </w:rPr>
        <w:t>esente Comunicación.</w:t>
      </w:r>
    </w:p>
    <w:p w:rsidR="00D96FAD" w:rsidRDefault="00E3669E">
      <w:pPr>
        <w:keepNext/>
        <w:spacing w:after="120" w:line="240" w:lineRule="auto"/>
        <w:jc w:val="both"/>
        <w:rPr>
          <w:rFonts w:ascii="Times New Roman" w:hAnsi="Times New Roman" w:cs="Times New Roman"/>
          <w:b/>
          <w:bCs/>
          <w:noProof/>
          <w:sz w:val="24"/>
          <w:szCs w:val="24"/>
        </w:rPr>
      </w:pPr>
      <w:r>
        <w:rPr>
          <w:rFonts w:ascii="Times New Roman" w:hAnsi="Times New Roman"/>
          <w:b/>
          <w:noProof/>
          <w:sz w:val="24"/>
        </w:rPr>
        <w:t>Turquía</w:t>
      </w:r>
    </w:p>
    <w:p w:rsidR="00D96FAD" w:rsidRDefault="00E3669E">
      <w:pPr>
        <w:spacing w:after="120" w:line="240" w:lineRule="auto"/>
        <w:jc w:val="both"/>
        <w:rPr>
          <w:rFonts w:ascii="Times New Roman" w:hAnsi="Times New Roman" w:cs="Times New Roman"/>
          <w:bCs/>
          <w:noProof/>
          <w:sz w:val="24"/>
          <w:szCs w:val="24"/>
        </w:rPr>
      </w:pPr>
      <w:r>
        <w:rPr>
          <w:rFonts w:ascii="Times New Roman" w:hAnsi="Times New Roman"/>
          <w:noProof/>
          <w:sz w:val="24"/>
        </w:rPr>
        <w:t xml:space="preserve">Turquía es un socio clave para la UE y sigue siendo un país candidato. Han continuado el diálogo y la cooperación, especialmente al más alto nivel, en los ámbitos esenciales de interés común, en particular, mediante una </w:t>
      </w:r>
      <w:r>
        <w:rPr>
          <w:rFonts w:ascii="Times New Roman" w:hAnsi="Times New Roman"/>
          <w:noProof/>
          <w:sz w:val="24"/>
        </w:rPr>
        <w:t>cooperación eficaz en materia de migración y el firme apoyo de la UE a los refugiados. No obstante, Turquía ha seguido alejándose de la Unión Europea, no solo por los graves retrocesos observados en los ámbitos del Estado de Derecho y los derechos fundamen</w:t>
      </w:r>
      <w:r>
        <w:rPr>
          <w:rFonts w:ascii="Times New Roman" w:hAnsi="Times New Roman"/>
          <w:noProof/>
          <w:sz w:val="24"/>
        </w:rPr>
        <w:t>tales, sino también debido al debilitamiento del sistema de contrapoderes institucionales como resultado de la entrada en vigor de la reforma de su Constitución. En junio de 2018, el Consejo señaló unánimemente que las negociaciones para la adhesión de Tur</w:t>
      </w:r>
      <w:r>
        <w:rPr>
          <w:rFonts w:ascii="Times New Roman" w:hAnsi="Times New Roman"/>
          <w:noProof/>
          <w:sz w:val="24"/>
        </w:rPr>
        <w:t>quía habían llegado efectivamente a un punto muerto y no se podían examinar nuevos capítulos para su apertura o cierre. Los hechos que fundamentan esta valoración siguen siendo válidos.</w:t>
      </w:r>
    </w:p>
    <w:p w:rsidR="00D96FAD" w:rsidRDefault="00D96FAD">
      <w:pPr>
        <w:spacing w:after="120" w:line="240" w:lineRule="auto"/>
        <w:jc w:val="both"/>
        <w:rPr>
          <w:rFonts w:ascii="Times New Roman" w:hAnsi="Times New Roman" w:cs="Times New Roman"/>
          <w:b/>
          <w:bCs/>
          <w:noProof/>
          <w:sz w:val="24"/>
          <w:szCs w:val="24"/>
        </w:rPr>
      </w:pPr>
    </w:p>
    <w:p w:rsidR="00D96FAD" w:rsidRDefault="00E3669E">
      <w:pPr>
        <w:spacing w:after="120" w:line="240" w:lineRule="auto"/>
        <w:jc w:val="both"/>
        <w:rPr>
          <w:rFonts w:ascii="Times New Roman" w:eastAsia="Calibri" w:hAnsi="Times New Roman" w:cs="Times New Roman"/>
          <w:bCs/>
          <w:noProof/>
          <w:sz w:val="24"/>
          <w:szCs w:val="24"/>
        </w:rPr>
      </w:pPr>
      <w:r>
        <w:rPr>
          <w:rFonts w:ascii="Times New Roman" w:hAnsi="Times New Roman"/>
          <w:noProof/>
          <w:sz w:val="24"/>
        </w:rPr>
        <w:t xml:space="preserve">Acelerar la </w:t>
      </w:r>
      <w:r>
        <w:rPr>
          <w:rFonts w:ascii="Times New Roman" w:hAnsi="Times New Roman"/>
          <w:b/>
          <w:noProof/>
          <w:sz w:val="24"/>
        </w:rPr>
        <w:t>armonización</w:t>
      </w:r>
      <w:r>
        <w:rPr>
          <w:rFonts w:ascii="Times New Roman" w:hAnsi="Times New Roman"/>
          <w:noProof/>
          <w:sz w:val="24"/>
        </w:rPr>
        <w:t xml:space="preserve"> con la política exterior y de seguridad comú</w:t>
      </w:r>
      <w:r>
        <w:rPr>
          <w:rFonts w:ascii="Times New Roman" w:hAnsi="Times New Roman"/>
          <w:noProof/>
          <w:sz w:val="24"/>
        </w:rPr>
        <w:t>n de la UE, incluido en lo referente a las medidas restrictivas, es una parte importante del proceso de ampliación y un elemento también importante para poder confirmar que los países comparten plenamente los principios, valores y objetivos que la Unión tr</w:t>
      </w:r>
      <w:r>
        <w:rPr>
          <w:rFonts w:ascii="Times New Roman" w:hAnsi="Times New Roman"/>
          <w:noProof/>
          <w:sz w:val="24"/>
        </w:rPr>
        <w:t>ata de promover en su vecindad y fuera de ella. Albania y Montenegro no han dejado de sumarse a las posiciones de la política exterior y de seguridad común.</w:t>
      </w:r>
    </w:p>
    <w:p w:rsidR="00D96FAD" w:rsidRDefault="00D96FAD">
      <w:pPr>
        <w:spacing w:after="120" w:line="240" w:lineRule="auto"/>
        <w:jc w:val="both"/>
        <w:rPr>
          <w:rFonts w:ascii="Times New Roman" w:hAnsi="Times New Roman" w:cs="Times New Roman"/>
          <w:noProof/>
          <w:sz w:val="24"/>
          <w:szCs w:val="24"/>
        </w:rPr>
      </w:pPr>
    </w:p>
    <w:p w:rsidR="00D96FAD" w:rsidRDefault="00E3669E">
      <w:pPr>
        <w:keepNext/>
        <w:spacing w:after="120" w:line="240" w:lineRule="auto"/>
        <w:jc w:val="both"/>
        <w:rPr>
          <w:rFonts w:ascii="Times New Roman" w:hAnsi="Times New Roman" w:cs="Times New Roman"/>
          <w:b/>
          <w:bCs/>
          <w:noProof/>
          <w:sz w:val="24"/>
          <w:szCs w:val="24"/>
        </w:rPr>
      </w:pPr>
      <w:r>
        <w:rPr>
          <w:rFonts w:ascii="Times New Roman" w:hAnsi="Times New Roman"/>
          <w:b/>
          <w:noProof/>
          <w:sz w:val="24"/>
        </w:rPr>
        <w:t xml:space="preserve">II. </w:t>
      </w:r>
      <w:r>
        <w:rPr>
          <w:noProof/>
        </w:rPr>
        <w:tab/>
      </w:r>
      <w:r>
        <w:rPr>
          <w:rFonts w:ascii="Times New Roman" w:hAnsi="Times New Roman"/>
          <w:b/>
          <w:noProof/>
          <w:sz w:val="24"/>
        </w:rPr>
        <w:t>APLICACIÓN DE LA ESTRATEGIA DE AMPLIACIÓN DE 2015</w:t>
      </w:r>
    </w:p>
    <w:p w:rsidR="00D96FAD" w:rsidRDefault="00E3669E">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Esforzarse de manera más activa para llevar a cabo las reformas fundamentales es un aspecto clave a fin de cumplir los criterios de adhesión de Copenhague y Madrid. Los esfuerzos en estos ámbitos, que son indivisibles y se refuerzan mutuamente, </w:t>
      </w:r>
      <w:r>
        <w:rPr>
          <w:rFonts w:ascii="Times New Roman" w:hAnsi="Times New Roman"/>
          <w:noProof/>
          <w:color w:val="000000" w:themeColor="text1"/>
          <w:sz w:val="24"/>
        </w:rPr>
        <w:t>deben prose</w:t>
      </w:r>
      <w:r>
        <w:rPr>
          <w:rFonts w:ascii="Times New Roman" w:hAnsi="Times New Roman"/>
          <w:noProof/>
          <w:color w:val="000000" w:themeColor="text1"/>
          <w:sz w:val="24"/>
        </w:rPr>
        <w:t>guirse con más contundencia y con un compromiso político más claro</w:t>
      </w:r>
      <w:r>
        <w:rPr>
          <w:rFonts w:ascii="Times New Roman" w:hAnsi="Times New Roman"/>
          <w:noProof/>
          <w:sz w:val="24"/>
        </w:rPr>
        <w:t>.</w:t>
      </w:r>
      <w:r>
        <w:rPr>
          <w:rFonts w:ascii="Times New Roman" w:hAnsi="Times New Roman"/>
          <w:noProof/>
          <w:color w:val="000000" w:themeColor="text1"/>
          <w:sz w:val="24"/>
        </w:rPr>
        <w:t xml:space="preserve"> </w:t>
      </w:r>
    </w:p>
    <w:p w:rsidR="00D96FAD" w:rsidRDefault="00E3669E">
      <w:pPr>
        <w:keepNext/>
        <w:spacing w:after="120" w:line="240" w:lineRule="auto"/>
        <w:rPr>
          <w:rFonts w:ascii="Times New Roman" w:hAnsi="Times New Roman" w:cs="Times New Roman"/>
          <w:b/>
          <w:noProof/>
          <w:sz w:val="24"/>
          <w:szCs w:val="24"/>
        </w:rPr>
      </w:pPr>
      <w:r>
        <w:rPr>
          <w:rFonts w:ascii="Times New Roman" w:hAnsi="Times New Roman"/>
          <w:b/>
          <w:noProof/>
          <w:sz w:val="24"/>
        </w:rPr>
        <w:t>a) Funcionamiento de las instituciones democráticas</w:t>
      </w:r>
    </w:p>
    <w:p w:rsidR="00D96FAD" w:rsidRDefault="00E3669E">
      <w:pPr>
        <w:pStyle w:val="Default"/>
        <w:spacing w:after="120"/>
        <w:jc w:val="both"/>
        <w:rPr>
          <w:rFonts w:ascii="Times New Roman" w:hAnsi="Times New Roman" w:cstheme="minorBidi"/>
          <w:noProof/>
          <w:color w:val="auto"/>
          <w:sz w:val="22"/>
          <w:szCs w:val="22"/>
        </w:rPr>
      </w:pPr>
      <w:r>
        <w:rPr>
          <w:rFonts w:ascii="Times New Roman" w:hAnsi="Times New Roman"/>
          <w:noProof/>
        </w:rPr>
        <w:t xml:space="preserve">El buen funcionamiento de las </w:t>
      </w:r>
      <w:r>
        <w:rPr>
          <w:rFonts w:ascii="Times New Roman" w:hAnsi="Times New Roman"/>
          <w:b/>
          <w:noProof/>
        </w:rPr>
        <w:t>instituciones democráticas</w:t>
      </w:r>
      <w:r>
        <w:rPr>
          <w:rFonts w:ascii="Times New Roman" w:hAnsi="Times New Roman"/>
          <w:noProof/>
        </w:rPr>
        <w:t xml:space="preserve"> sigue siendo un reto clave en la mayoría de los países. Es preciso integrar só</w:t>
      </w:r>
      <w:r>
        <w:rPr>
          <w:rFonts w:ascii="Times New Roman" w:hAnsi="Times New Roman"/>
          <w:noProof/>
        </w:rPr>
        <w:t xml:space="preserve">lidamente el papel central de los </w:t>
      </w:r>
      <w:r>
        <w:rPr>
          <w:rFonts w:ascii="Times New Roman" w:hAnsi="Times New Roman"/>
          <w:b/>
          <w:noProof/>
        </w:rPr>
        <w:t>Parlamentos</w:t>
      </w:r>
      <w:r>
        <w:rPr>
          <w:rFonts w:ascii="Times New Roman" w:hAnsi="Times New Roman"/>
          <w:noProof/>
        </w:rPr>
        <w:t xml:space="preserve"> nacionales en la cultura política. Aún es necesario afianzar un diálogo constructivo entre los distintos partidos. Los partidos de la oposición, que también tienen una gran responsabilidad de cara a la configur</w:t>
      </w:r>
      <w:r>
        <w:rPr>
          <w:rFonts w:ascii="Times New Roman" w:hAnsi="Times New Roman"/>
          <w:noProof/>
        </w:rPr>
        <w:t xml:space="preserve">ación del futuro de sus países, deben tener la posibilidad de desempeñar plenamente su papel y participar en los procesos democráticos. Es fundamental consolidar la rendición de cuentas parlamentaria, la supervisión del ejecutivo y el control democrático. </w:t>
      </w:r>
    </w:p>
    <w:p w:rsidR="00D96FAD" w:rsidRDefault="00E3669E">
      <w:pPr>
        <w:pStyle w:val="Default"/>
        <w:spacing w:after="120"/>
        <w:jc w:val="both"/>
        <w:rPr>
          <w:rFonts w:ascii="Times New Roman" w:eastAsia="Calibri" w:hAnsi="Times New Roman"/>
          <w:noProof/>
        </w:rPr>
      </w:pPr>
      <w:r>
        <w:rPr>
          <w:rFonts w:ascii="Times New Roman" w:hAnsi="Times New Roman"/>
          <w:noProof/>
        </w:rPr>
        <w:t xml:space="preserve">En los </w:t>
      </w:r>
      <w:r>
        <w:rPr>
          <w:rFonts w:ascii="Times New Roman" w:hAnsi="Times New Roman"/>
          <w:b/>
          <w:noProof/>
        </w:rPr>
        <w:t>Balcanes Occidentales</w:t>
      </w:r>
      <w:r>
        <w:rPr>
          <w:rFonts w:ascii="Times New Roman" w:hAnsi="Times New Roman"/>
          <w:noProof/>
        </w:rPr>
        <w:t xml:space="preserve">, aún está por establecerse un </w:t>
      </w:r>
      <w:r>
        <w:rPr>
          <w:rFonts w:ascii="Times New Roman" w:hAnsi="Times New Roman"/>
          <w:b/>
          <w:noProof/>
        </w:rPr>
        <w:t>diálogo</w:t>
      </w:r>
      <w:r>
        <w:rPr>
          <w:rFonts w:ascii="Times New Roman" w:hAnsi="Times New Roman"/>
          <w:noProof/>
        </w:rPr>
        <w:t xml:space="preserve"> constructivo en todo el espectro político, especialmente en el seno de los Parlamentos. Los contraproducentes boicoteos parlamentarios, como en el caso de Albania, Montenegro y Serbia, sig</w:t>
      </w:r>
      <w:r>
        <w:rPr>
          <w:rFonts w:ascii="Times New Roman" w:hAnsi="Times New Roman"/>
          <w:noProof/>
        </w:rPr>
        <w:t>uen siendo motivo de preocupación. Han ido en aumento las manifestaciones ciudadanas en las que se exigen reformas. En Serbia, por ejemplo, podrían usarse mecanismos de mediación y diálogo, como los ofrecidos por el Parlamento Europeo. Los Gobiernos han de</w:t>
      </w:r>
      <w:r>
        <w:rPr>
          <w:rFonts w:ascii="Times New Roman" w:hAnsi="Times New Roman"/>
          <w:noProof/>
        </w:rPr>
        <w:t xml:space="preserve"> velar por que la oposición tenga la posibilidad de desempeñar plenamente su papel dentro de los marcos existentes, y la oposición debe participar de manera constructiva en el proceso democrático. </w:t>
      </w:r>
    </w:p>
    <w:p w:rsidR="00D96FAD" w:rsidRDefault="00E3669E">
      <w:pPr>
        <w:pStyle w:val="Default"/>
        <w:spacing w:after="120"/>
        <w:jc w:val="both"/>
        <w:rPr>
          <w:rFonts w:ascii="Times New Roman" w:eastAsia="Calibri" w:hAnsi="Times New Roman"/>
          <w:noProof/>
        </w:rPr>
      </w:pPr>
      <w:r>
        <w:rPr>
          <w:rFonts w:ascii="Times New Roman" w:hAnsi="Times New Roman"/>
          <w:noProof/>
        </w:rPr>
        <w:t xml:space="preserve">El refuerzo de la </w:t>
      </w:r>
      <w:r>
        <w:rPr>
          <w:rFonts w:ascii="Times New Roman" w:hAnsi="Times New Roman"/>
          <w:b/>
          <w:noProof/>
        </w:rPr>
        <w:t>función de supervisión parlamentaria</w:t>
      </w:r>
      <w:r>
        <w:rPr>
          <w:rFonts w:ascii="Times New Roman" w:hAnsi="Times New Roman"/>
          <w:noProof/>
        </w:rPr>
        <w:t xml:space="preserve"> exi</w:t>
      </w:r>
      <w:r>
        <w:rPr>
          <w:rFonts w:ascii="Times New Roman" w:hAnsi="Times New Roman"/>
          <w:noProof/>
        </w:rPr>
        <w:t>ge esfuerzos sustanciales.</w:t>
      </w:r>
      <w:r>
        <w:rPr>
          <w:rFonts w:ascii="Times New Roman" w:hAnsi="Times New Roman"/>
          <w:b/>
          <w:bCs/>
          <w:noProof/>
        </w:rPr>
        <w:t xml:space="preserve"> En 2018, el Parlamento de Macedonia del Norte logró mejorar su capacidad de supervisión, restaurar el sistema de contrapoderes institucionales y disminuir notablemente —hasta el 20 %— el recurso a </w:t>
      </w:r>
      <w:r>
        <w:rPr>
          <w:rFonts w:ascii="Times New Roman" w:hAnsi="Times New Roman"/>
          <w:b/>
          <w:noProof/>
        </w:rPr>
        <w:t>procedimientos parlamentarios ab</w:t>
      </w:r>
      <w:r>
        <w:rPr>
          <w:rFonts w:ascii="Times New Roman" w:hAnsi="Times New Roman"/>
          <w:b/>
          <w:noProof/>
        </w:rPr>
        <w:t>reviados</w:t>
      </w:r>
      <w:r>
        <w:rPr>
          <w:rFonts w:ascii="Times New Roman" w:hAnsi="Times New Roman"/>
          <w:noProof/>
        </w:rPr>
        <w:t xml:space="preserve">. Sin embargo, este fenómeno sigue siendo preocupante en el conjunto de la región. La cifra correspondiente asciende al 44 % en el caso de Serbia, donde </w:t>
      </w:r>
      <w:r>
        <w:rPr>
          <w:rFonts w:ascii="Times New Roman" w:hAnsi="Times New Roman"/>
          <w:noProof/>
          <w:color w:val="auto"/>
        </w:rPr>
        <w:t xml:space="preserve">las prácticas parlamentarias de la coalición en el poder han provocado el deterioro del debate </w:t>
      </w:r>
      <w:r>
        <w:rPr>
          <w:rFonts w:ascii="Times New Roman" w:hAnsi="Times New Roman"/>
          <w:noProof/>
          <w:color w:val="auto"/>
        </w:rPr>
        <w:t xml:space="preserve">y el control legislativos. </w:t>
      </w:r>
      <w:r>
        <w:rPr>
          <w:rFonts w:ascii="Times New Roman" w:hAnsi="Times New Roman"/>
          <w:noProof/>
        </w:rPr>
        <w:t>En Montenegro, la comisión temporal multipartidista sobre nuevas reformas de la legislación electoral y de otro tipo aún no ha empezado a dar resultados.</w:t>
      </w:r>
    </w:p>
    <w:p w:rsidR="00D96FAD" w:rsidRDefault="00E3669E">
      <w:pPr>
        <w:pStyle w:val="Default"/>
        <w:spacing w:after="120"/>
        <w:jc w:val="both"/>
        <w:rPr>
          <w:rFonts w:ascii="Times New Roman" w:eastAsia="Calibri" w:hAnsi="Times New Roman"/>
          <w:noProof/>
        </w:rPr>
      </w:pPr>
      <w:r>
        <w:rPr>
          <w:rFonts w:ascii="Times New Roman" w:hAnsi="Times New Roman"/>
          <w:noProof/>
        </w:rPr>
        <w:t xml:space="preserve">Las </w:t>
      </w:r>
      <w:r>
        <w:rPr>
          <w:rFonts w:ascii="Times New Roman" w:hAnsi="Times New Roman"/>
          <w:b/>
          <w:noProof/>
        </w:rPr>
        <w:t>elecciones</w:t>
      </w:r>
      <w:r>
        <w:rPr>
          <w:rFonts w:ascii="Times New Roman" w:hAnsi="Times New Roman"/>
          <w:noProof/>
        </w:rPr>
        <w:t xml:space="preserve"> deben ser libres y justas, y las recomendaciones de las misiones de observación han de aplicarse correctamente. Las deficiencias que se vienen arrastrando desde hace tiempo deben abordarse a lo largo de todo el ciclo electoral. En cuanto a las normas rela</w:t>
      </w:r>
      <w:r>
        <w:rPr>
          <w:rFonts w:ascii="Times New Roman" w:hAnsi="Times New Roman"/>
          <w:noProof/>
        </w:rPr>
        <w:t xml:space="preserve">tivas a la financiación pública y privada de los partidos políticos, se requiere una reforma sustancial. </w:t>
      </w:r>
    </w:p>
    <w:p w:rsidR="00D96FAD" w:rsidRDefault="00E3669E">
      <w:pPr>
        <w:pStyle w:val="Default"/>
        <w:spacing w:after="120"/>
        <w:jc w:val="both"/>
        <w:rPr>
          <w:rFonts w:ascii="Times New Roman" w:hAnsi="Times New Roman"/>
          <w:noProof/>
        </w:rPr>
      </w:pPr>
      <w:r>
        <w:rPr>
          <w:rFonts w:ascii="Times New Roman" w:hAnsi="Times New Roman"/>
          <w:noProof/>
        </w:rPr>
        <w:t xml:space="preserve">En </w:t>
      </w:r>
      <w:r>
        <w:rPr>
          <w:rFonts w:ascii="Times New Roman" w:hAnsi="Times New Roman"/>
          <w:b/>
          <w:noProof/>
        </w:rPr>
        <w:t>Turquía</w:t>
      </w:r>
      <w:r>
        <w:rPr>
          <w:rFonts w:ascii="Times New Roman" w:hAnsi="Times New Roman"/>
          <w:noProof/>
        </w:rPr>
        <w:t xml:space="preserve">, el nuevo sistema presidencial, que entró en vigor después de las elecciones de junio de 2018, </w:t>
      </w:r>
      <w:r>
        <w:rPr>
          <w:rFonts w:ascii="Times New Roman" w:hAnsi="Times New Roman"/>
          <w:b/>
          <w:noProof/>
        </w:rPr>
        <w:t xml:space="preserve">ha limitado considerablemente las funciones </w:t>
      </w:r>
      <w:r>
        <w:rPr>
          <w:rFonts w:ascii="Times New Roman" w:hAnsi="Times New Roman"/>
          <w:b/>
          <w:noProof/>
        </w:rPr>
        <w:t>legislativas y de supervisión del Parlamento</w:t>
      </w:r>
      <w:r>
        <w:rPr>
          <w:rFonts w:ascii="Times New Roman" w:hAnsi="Times New Roman"/>
          <w:noProof/>
        </w:rPr>
        <w:t>. No hay un diálogo parlamentario constructivo ni existe un sistema de contrapoderes institucionales. Tampoco se han abordado las deficiencias del sistema de inmunidad parlamentaria heredadas del pasado. Las deci</w:t>
      </w:r>
      <w:r>
        <w:rPr>
          <w:rFonts w:ascii="Times New Roman" w:hAnsi="Times New Roman"/>
          <w:noProof/>
        </w:rPr>
        <w:t>siones del Consejo Electoral Supremo de volver a organizar las elecciones en Estambul y entregar la alcaldía de determinados ayuntamientos de la zona sudoriental a candidatos que habían acabado en segundo lugar generan gran preocupación en cuanto a la lega</w:t>
      </w:r>
      <w:r>
        <w:rPr>
          <w:rFonts w:ascii="Times New Roman" w:hAnsi="Times New Roman"/>
          <w:noProof/>
        </w:rPr>
        <w:t>lidad y la integridad de los procesos electorales y el grado en que la institución es independiente de la presión política.</w:t>
      </w:r>
    </w:p>
    <w:p w:rsidR="00D96FAD" w:rsidRDefault="00E3669E">
      <w:pPr>
        <w:keepNext/>
        <w:spacing w:after="120" w:line="240" w:lineRule="auto"/>
        <w:rPr>
          <w:rFonts w:ascii="Times New Roman" w:hAnsi="Times New Roman" w:cs="Times New Roman"/>
          <w:b/>
          <w:noProof/>
          <w:sz w:val="24"/>
          <w:szCs w:val="24"/>
        </w:rPr>
      </w:pPr>
      <w:r>
        <w:rPr>
          <w:rFonts w:ascii="Times New Roman" w:hAnsi="Times New Roman"/>
          <w:b/>
          <w:noProof/>
          <w:sz w:val="24"/>
        </w:rPr>
        <w:t>b) Estado de Derecho y seguridad</w:t>
      </w:r>
    </w:p>
    <w:p w:rsidR="00D96FAD" w:rsidRDefault="00E3669E">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El </w:t>
      </w:r>
      <w:r>
        <w:rPr>
          <w:rFonts w:ascii="Times New Roman" w:hAnsi="Times New Roman"/>
          <w:b/>
          <w:noProof/>
          <w:sz w:val="24"/>
        </w:rPr>
        <w:t>Estado de Derecho</w:t>
      </w:r>
      <w:r>
        <w:rPr>
          <w:rFonts w:ascii="Times New Roman" w:hAnsi="Times New Roman"/>
          <w:noProof/>
          <w:sz w:val="24"/>
        </w:rPr>
        <w:t xml:space="preserve"> es un elemento esencial de una democracia que funciona correctamente. Se funda</w:t>
      </w:r>
      <w:r>
        <w:rPr>
          <w:rFonts w:ascii="Times New Roman" w:hAnsi="Times New Roman"/>
          <w:noProof/>
          <w:sz w:val="24"/>
        </w:rPr>
        <w:t>menta en la celebración de elecciones libres y justas, la existencia de un Parlamento que funcione debidamente y pueda desempeñar de forma plena sus funciones legislativas y de supervisión fundamentales, y la separación de poderes, todo ello unido a un sis</w:t>
      </w:r>
      <w:r>
        <w:rPr>
          <w:rFonts w:ascii="Times New Roman" w:hAnsi="Times New Roman"/>
          <w:noProof/>
          <w:sz w:val="24"/>
        </w:rPr>
        <w:t xml:space="preserve">tema efectivo de contrapoderes institucionales. </w:t>
      </w:r>
    </w:p>
    <w:p w:rsidR="00D96FAD" w:rsidRDefault="00E3669E">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El </w:t>
      </w:r>
      <w:r>
        <w:rPr>
          <w:rFonts w:ascii="Times New Roman" w:hAnsi="Times New Roman"/>
          <w:b/>
          <w:noProof/>
          <w:sz w:val="24"/>
        </w:rPr>
        <w:t>Estado de Derecho</w:t>
      </w:r>
      <w:r>
        <w:rPr>
          <w:rFonts w:ascii="Times New Roman" w:hAnsi="Times New Roman"/>
          <w:noProof/>
          <w:sz w:val="24"/>
        </w:rPr>
        <w:t xml:space="preserve"> es un elemento clara y firmemente anclado en el proceso de adhesión a la UE. Es un aspecto crucial de la transformación democrática y la referencia clave que utiliza la UE para valorar l</w:t>
      </w:r>
      <w:r>
        <w:rPr>
          <w:rFonts w:ascii="Times New Roman" w:hAnsi="Times New Roman"/>
          <w:noProof/>
          <w:sz w:val="24"/>
        </w:rPr>
        <w:t>os progresos de los países candidatos en su trayectoria hacia la adhesión. No obstante, lograr avances creíbles en este ámbito sigue siendo un reto significativo. Estas deficiencias a menudo guardan relación con la falta de voluntad política, la resistenci</w:t>
      </w:r>
      <w:r>
        <w:rPr>
          <w:rFonts w:ascii="Times New Roman" w:hAnsi="Times New Roman"/>
          <w:noProof/>
          <w:sz w:val="24"/>
        </w:rPr>
        <w:t xml:space="preserve">a institucional y un entorno cada vez más hostil para la sociedad civil, lo que, en parte, refleja la existencia de determinados elementos de </w:t>
      </w:r>
      <w:r>
        <w:rPr>
          <w:rFonts w:ascii="Times New Roman" w:hAnsi="Times New Roman"/>
          <w:b/>
          <w:noProof/>
          <w:sz w:val="24"/>
        </w:rPr>
        <w:t>captura del Estado</w:t>
      </w:r>
      <w:r>
        <w:rPr>
          <w:rFonts w:ascii="Times New Roman" w:hAnsi="Times New Roman"/>
          <w:noProof/>
          <w:sz w:val="24"/>
        </w:rPr>
        <w:t xml:space="preserve">. En consecuencia, el Estado de Derecho todavía no se aplica debidamente a todos los niveles de </w:t>
      </w:r>
      <w:r>
        <w:rPr>
          <w:rFonts w:ascii="Times New Roman" w:hAnsi="Times New Roman"/>
          <w:noProof/>
          <w:sz w:val="24"/>
        </w:rPr>
        <w:t xml:space="preserve">poder. En Turquía no se ha tomado ninguna medida para poner remedio a la regresión en el ámbito del Estado de Derecho. </w:t>
      </w:r>
    </w:p>
    <w:p w:rsidR="00D96FAD" w:rsidRDefault="00E3669E">
      <w:pPr>
        <w:spacing w:after="120" w:line="240" w:lineRule="auto"/>
        <w:jc w:val="both"/>
        <w:rPr>
          <w:rFonts w:ascii="Times New Roman" w:eastAsia="Times New Roman" w:hAnsi="Times New Roman" w:cs="Times New Roman"/>
          <w:noProof/>
          <w:color w:val="000000" w:themeColor="text1"/>
          <w:sz w:val="24"/>
          <w:szCs w:val="24"/>
        </w:rPr>
      </w:pPr>
      <w:r>
        <w:rPr>
          <w:rFonts w:ascii="Times New Roman" w:hAnsi="Times New Roman"/>
          <w:noProof/>
          <w:sz w:val="24"/>
        </w:rPr>
        <w:t xml:space="preserve">Un </w:t>
      </w:r>
      <w:r>
        <w:rPr>
          <w:rFonts w:ascii="Times New Roman" w:hAnsi="Times New Roman"/>
          <w:b/>
          <w:noProof/>
          <w:sz w:val="24"/>
        </w:rPr>
        <w:t>poder judicial</w:t>
      </w:r>
      <w:r>
        <w:rPr>
          <w:rFonts w:ascii="Times New Roman" w:hAnsi="Times New Roman"/>
          <w:noProof/>
          <w:sz w:val="24"/>
        </w:rPr>
        <w:t xml:space="preserve"> que funcione correctamente y sea independiente, en el que las resoluciones se apliquen de manera efectiva, es de vital</w:t>
      </w:r>
      <w:r>
        <w:rPr>
          <w:rFonts w:ascii="Times New Roman" w:hAnsi="Times New Roman"/>
          <w:noProof/>
          <w:sz w:val="24"/>
        </w:rPr>
        <w:t xml:space="preserve"> importancia para el Estado de Derecho. Albania ha hecho </w:t>
      </w:r>
      <w:r>
        <w:rPr>
          <w:rFonts w:ascii="Times New Roman" w:hAnsi="Times New Roman"/>
          <w:noProof/>
          <w:color w:val="000000" w:themeColor="text1"/>
          <w:sz w:val="24"/>
        </w:rPr>
        <w:t>importantes progresos en el proceso de reforma de su sistema judicial, que continúa según el ritmo previsto. La creación de los nuevos órganos jurisdiccionales tiene por objeto garantizar la gobernan</w:t>
      </w:r>
      <w:r>
        <w:rPr>
          <w:rFonts w:ascii="Times New Roman" w:hAnsi="Times New Roman"/>
          <w:noProof/>
          <w:color w:val="000000" w:themeColor="text1"/>
          <w:sz w:val="24"/>
        </w:rPr>
        <w:t>za independiente del poder judicial. El proceso de investigación de expedientes ha dado otros resultados visibles: en total, se han tomado más de 140 decisiones, todos los asuntos prioritarios se han resuelto en primera instancia y se ha producido la desti</w:t>
      </w:r>
      <w:r>
        <w:rPr>
          <w:rFonts w:ascii="Times New Roman" w:hAnsi="Times New Roman"/>
          <w:noProof/>
          <w:color w:val="000000" w:themeColor="text1"/>
          <w:sz w:val="24"/>
        </w:rPr>
        <w:t>tución o la dimisión voluntaria de 88 de los jueces investigados. Sin embargo, las reformas en el conjunto de la región de los Balcanes Occidentales siguen adoleciendo de un ritmo de cambio lento en la cultura judicial. En Serbia, aún no se han aprobado la</w:t>
      </w:r>
      <w:r>
        <w:rPr>
          <w:rFonts w:ascii="Times New Roman" w:hAnsi="Times New Roman"/>
          <w:noProof/>
          <w:color w:val="000000" w:themeColor="text1"/>
          <w:sz w:val="24"/>
        </w:rPr>
        <w:t>s reformas destinadas a adaptar la Constitución del país a las normas europeas para el poder judicial. En Turquía, continúan la presión política y el traslado de un gran número de jueces y fiscales en contra de su voluntad, lo que ha minado aún más la inde</w:t>
      </w:r>
      <w:r>
        <w:rPr>
          <w:rFonts w:ascii="Times New Roman" w:hAnsi="Times New Roman"/>
          <w:noProof/>
          <w:color w:val="000000" w:themeColor="text1"/>
          <w:sz w:val="24"/>
        </w:rPr>
        <w:t>pendencia del poder judicial turco.</w:t>
      </w:r>
    </w:p>
    <w:p w:rsidR="00D96FAD" w:rsidRDefault="00E3669E">
      <w:pPr>
        <w:spacing w:after="120" w:line="240" w:lineRule="auto"/>
        <w:jc w:val="both"/>
        <w:rPr>
          <w:rFonts w:ascii="Times New Roman" w:hAnsi="Times New Roman" w:cs="Times New Roman"/>
          <w:noProof/>
          <w:color w:val="FF0000"/>
          <w:sz w:val="24"/>
          <w:szCs w:val="24"/>
        </w:rPr>
      </w:pPr>
      <w:r>
        <w:rPr>
          <w:rStyle w:val="Standaardalinea-lettertype"/>
          <w:rFonts w:ascii="Times New Roman" w:hAnsi="Times New Roman"/>
          <w:noProof/>
          <w:sz w:val="24"/>
        </w:rPr>
        <w:t xml:space="preserve">Tanto en los Balcanes Occidentales como en Turquía siguen dándose casos de </w:t>
      </w:r>
      <w:r>
        <w:rPr>
          <w:rStyle w:val="Standaardalinea-lettertype"/>
          <w:rFonts w:ascii="Times New Roman" w:hAnsi="Times New Roman"/>
          <w:b/>
          <w:noProof/>
          <w:sz w:val="24"/>
        </w:rPr>
        <w:t>corrupción generalizada</w:t>
      </w:r>
      <w:r>
        <w:rPr>
          <w:rStyle w:val="Standaardalinea-lettertype"/>
          <w:rFonts w:ascii="Times New Roman" w:hAnsi="Times New Roman"/>
          <w:noProof/>
          <w:sz w:val="24"/>
        </w:rPr>
        <w:t>. El éxito en la lucha contra la corrupción a nivel medio y alto es dispar en la región. Mientras que algunos países, como</w:t>
      </w:r>
      <w:r>
        <w:rPr>
          <w:rStyle w:val="Standaardalinea-lettertype"/>
          <w:rFonts w:ascii="Times New Roman" w:hAnsi="Times New Roman"/>
          <w:noProof/>
          <w:sz w:val="24"/>
        </w:rPr>
        <w:t xml:space="preserve"> Macedonia del Norte y Albania, han hecho progresos, el balance de la mayoría sigue sin ser convincente y está aún lejos de satisfacer los requisitos para la adhesión. Hay que hacer frente a la corrupción política y de alto nivel de forma más clara y coher</w:t>
      </w:r>
      <w:r>
        <w:rPr>
          <w:rStyle w:val="Standaardalinea-lettertype"/>
          <w:rFonts w:ascii="Times New Roman" w:hAnsi="Times New Roman"/>
          <w:noProof/>
          <w:sz w:val="24"/>
        </w:rPr>
        <w:t xml:space="preserve">ente. </w:t>
      </w:r>
      <w:r>
        <w:rPr>
          <w:rFonts w:ascii="Times New Roman" w:hAnsi="Times New Roman"/>
          <w:noProof/>
          <w:sz w:val="24"/>
        </w:rPr>
        <w:t xml:space="preserve">Asimismo, se necesitan resultados tangibles en la lucha contra la corrupción para crear un entorno empresarial estable y transparente y mitigar las amenazas reales a las </w:t>
      </w:r>
      <w:r>
        <w:rPr>
          <w:rStyle w:val="Standaardalinea-lettertype"/>
          <w:rFonts w:ascii="Times New Roman" w:hAnsi="Times New Roman"/>
          <w:noProof/>
          <w:sz w:val="24"/>
        </w:rPr>
        <w:t>estructuras democráticas</w:t>
      </w:r>
      <w:r>
        <w:rPr>
          <w:rFonts w:ascii="Times New Roman" w:hAnsi="Times New Roman"/>
          <w:noProof/>
          <w:sz w:val="24"/>
        </w:rPr>
        <w:t>.</w:t>
      </w:r>
      <w:r>
        <w:rPr>
          <w:rStyle w:val="Standaardalinea-lettertype"/>
          <w:rFonts w:ascii="Times New Roman" w:hAnsi="Times New Roman"/>
          <w:noProof/>
          <w:sz w:val="24"/>
        </w:rPr>
        <w:t xml:space="preserve"> </w:t>
      </w:r>
      <w:r>
        <w:rPr>
          <w:rFonts w:ascii="Times New Roman" w:hAnsi="Times New Roman"/>
          <w:noProof/>
          <w:sz w:val="24"/>
        </w:rPr>
        <w:t xml:space="preserve">La </w:t>
      </w:r>
      <w:r>
        <w:rPr>
          <w:rFonts w:ascii="Times New Roman" w:hAnsi="Times New Roman"/>
          <w:b/>
          <w:noProof/>
          <w:sz w:val="24"/>
        </w:rPr>
        <w:t>contratación pública</w:t>
      </w:r>
      <w:r>
        <w:rPr>
          <w:rFonts w:ascii="Times New Roman" w:hAnsi="Times New Roman"/>
          <w:noProof/>
          <w:sz w:val="24"/>
        </w:rPr>
        <w:t xml:space="preserve"> todavía es especialmente propensa a la corrupción generalizada. Es preciso reforzar los mecanismos de control a lo largo de todo el proceso de contratación y aumentar significativamente la transparencia a través de medidas sólidas y ambiciosas. </w:t>
      </w:r>
    </w:p>
    <w:p w:rsidR="00D96FAD" w:rsidRDefault="00E3669E">
      <w:pPr>
        <w:autoSpaceDE w:val="0"/>
        <w:autoSpaceDN w:val="0"/>
        <w:adjustRightInd w:val="0"/>
        <w:spacing w:after="120" w:line="240" w:lineRule="auto"/>
        <w:jc w:val="both"/>
        <w:rPr>
          <w:rFonts w:ascii="Times New Roman" w:hAnsi="Times New Roman" w:cs="Times New Roman"/>
          <w:iCs/>
          <w:noProof/>
          <w:sz w:val="24"/>
          <w:szCs w:val="24"/>
        </w:rPr>
      </w:pPr>
      <w:r>
        <w:rPr>
          <w:rFonts w:ascii="Times New Roman" w:hAnsi="Times New Roman"/>
          <w:noProof/>
          <w:sz w:val="24"/>
        </w:rPr>
        <w:t xml:space="preserve">La </w:t>
      </w:r>
      <w:r>
        <w:rPr>
          <w:rFonts w:ascii="Times New Roman" w:hAnsi="Times New Roman"/>
          <w:b/>
          <w:noProof/>
          <w:sz w:val="24"/>
        </w:rPr>
        <w:t>delinc</w:t>
      </w:r>
      <w:r>
        <w:rPr>
          <w:rFonts w:ascii="Times New Roman" w:hAnsi="Times New Roman"/>
          <w:b/>
          <w:noProof/>
          <w:sz w:val="24"/>
        </w:rPr>
        <w:t>uencia organizada</w:t>
      </w:r>
      <w:r>
        <w:rPr>
          <w:rFonts w:ascii="Times New Roman" w:hAnsi="Times New Roman"/>
          <w:noProof/>
          <w:sz w:val="24"/>
        </w:rPr>
        <w:t xml:space="preserve"> sigue siendo un problema muy grave en los Balcanes Occidentales y en Turquía: hay importantes rutas de contrabando que atraviesan su territorio, así como poderosas redes delictivas de alcance internacional que siguen operando desde y a tr</w:t>
      </w:r>
      <w:r>
        <w:rPr>
          <w:rFonts w:ascii="Times New Roman" w:hAnsi="Times New Roman"/>
          <w:noProof/>
          <w:sz w:val="24"/>
        </w:rPr>
        <w:t>avés de estos países. Los países han abordado algunos aspectos de este fenómeno, y, a lo largo de 2018, se han producido importantes detenciones e incautaciones de drogas. La cooperación operativa, incluida con las agencias de la UE, se ha intensificado, s</w:t>
      </w:r>
      <w:r>
        <w:rPr>
          <w:rFonts w:ascii="Times New Roman" w:hAnsi="Times New Roman"/>
          <w:noProof/>
          <w:sz w:val="24"/>
        </w:rPr>
        <w:t xml:space="preserve">obre todo en el caso de Albania, lo que ha permitido obtener resultados concretos sobre el terreno. Sin embargo, de manera general, el </w:t>
      </w:r>
      <w:r>
        <w:rPr>
          <w:rFonts w:ascii="Times New Roman" w:hAnsi="Times New Roman"/>
          <w:b/>
          <w:noProof/>
          <w:sz w:val="24"/>
        </w:rPr>
        <w:t>balance</w:t>
      </w:r>
      <w:r>
        <w:rPr>
          <w:rFonts w:ascii="Times New Roman" w:hAnsi="Times New Roman"/>
          <w:noProof/>
          <w:sz w:val="24"/>
        </w:rPr>
        <w:t xml:space="preserve"> en materia de </w:t>
      </w:r>
      <w:r>
        <w:rPr>
          <w:rFonts w:ascii="Times New Roman" w:hAnsi="Times New Roman"/>
          <w:b/>
          <w:noProof/>
          <w:sz w:val="24"/>
        </w:rPr>
        <w:t>condenas firmes</w:t>
      </w:r>
      <w:r>
        <w:rPr>
          <w:rFonts w:ascii="Times New Roman" w:hAnsi="Times New Roman"/>
          <w:noProof/>
          <w:sz w:val="24"/>
        </w:rPr>
        <w:t xml:space="preserve"> en casos de delincuencia organizada sigue siendo a menudo deficiente. Solo algunos </w:t>
      </w:r>
      <w:r>
        <w:rPr>
          <w:rFonts w:ascii="Times New Roman" w:hAnsi="Times New Roman"/>
          <w:noProof/>
          <w:sz w:val="24"/>
        </w:rPr>
        <w:t>países pueden poner sobre la mesa un puñado, si acaso, de condenas firmes en casos de delincuencia organizada o blanqueo de capitales en los últimos años. Estos resultados tan pobres ponen de manifiesto la ineficacia de los procedimientos penales, transmit</w:t>
      </w:r>
      <w:r>
        <w:rPr>
          <w:rFonts w:ascii="Times New Roman" w:hAnsi="Times New Roman"/>
          <w:noProof/>
          <w:sz w:val="24"/>
        </w:rPr>
        <w:t xml:space="preserve">en un mensaje claro de impunidad y contribuyen al riesgo de infiltración de la delincuencia en los sistemas políticos y económicos. Por otra parte, los países deben incrementar de manera significativa </w:t>
      </w:r>
      <w:r>
        <w:rPr>
          <w:rFonts w:ascii="Times New Roman" w:hAnsi="Times New Roman"/>
          <w:b/>
          <w:noProof/>
          <w:sz w:val="24"/>
        </w:rPr>
        <w:t>la incautación y el decomiso de activos</w:t>
      </w:r>
      <w:r>
        <w:rPr>
          <w:rFonts w:ascii="Times New Roman" w:hAnsi="Times New Roman"/>
          <w:noProof/>
          <w:sz w:val="24"/>
        </w:rPr>
        <w:t xml:space="preserve"> en casos tanto </w:t>
      </w:r>
      <w:r>
        <w:rPr>
          <w:rFonts w:ascii="Times New Roman" w:hAnsi="Times New Roman"/>
          <w:noProof/>
          <w:sz w:val="24"/>
        </w:rPr>
        <w:t xml:space="preserve">de delincuencia organizada como de corrupción, así como enfrentarse a los grupos delictivos con mayor contundencia. </w:t>
      </w:r>
    </w:p>
    <w:p w:rsidR="00D96FAD" w:rsidRDefault="00E3669E">
      <w:pPr>
        <w:spacing w:after="120" w:line="240" w:lineRule="auto"/>
        <w:jc w:val="both"/>
        <w:rPr>
          <w:rFonts w:ascii="Times New Roman" w:eastAsia="Arial Unicode MS" w:hAnsi="Times New Roman" w:cs="Times New Roman"/>
          <w:noProof/>
          <w:color w:val="000000" w:themeColor="text1"/>
          <w:sz w:val="24"/>
          <w:szCs w:val="24"/>
        </w:rPr>
      </w:pPr>
      <w:r>
        <w:rPr>
          <w:rStyle w:val="AucunA"/>
          <w:rFonts w:ascii="Times New Roman" w:hAnsi="Times New Roman"/>
          <w:noProof/>
          <w:sz w:val="24"/>
        </w:rPr>
        <w:t>Los Balcanes Occidentales han dado grandes pasos en los últimos años para modernizar el marco jurídico e institucional en lo referente a la</w:t>
      </w:r>
      <w:r>
        <w:rPr>
          <w:rStyle w:val="AucunA"/>
          <w:rFonts w:ascii="Times New Roman" w:hAnsi="Times New Roman"/>
          <w:noProof/>
          <w:sz w:val="24"/>
        </w:rPr>
        <w:t xml:space="preserve"> </w:t>
      </w:r>
      <w:r>
        <w:rPr>
          <w:rStyle w:val="AucunA"/>
          <w:rFonts w:ascii="Times New Roman" w:hAnsi="Times New Roman"/>
          <w:b/>
          <w:noProof/>
          <w:sz w:val="24"/>
        </w:rPr>
        <w:t>lucha contra el terrorismo</w:t>
      </w:r>
      <w:r>
        <w:rPr>
          <w:rStyle w:val="AucunA"/>
          <w:rFonts w:ascii="Times New Roman" w:hAnsi="Times New Roman"/>
          <w:noProof/>
          <w:sz w:val="24"/>
        </w:rPr>
        <w:t>.</w:t>
      </w:r>
      <w:r>
        <w:rPr>
          <w:rStyle w:val="AucunA"/>
          <w:rFonts w:ascii="Times New Roman" w:hAnsi="Times New Roman"/>
          <w:b/>
          <w:noProof/>
          <w:sz w:val="24"/>
        </w:rPr>
        <w:t xml:space="preserve"> </w:t>
      </w:r>
      <w:r>
        <w:rPr>
          <w:rStyle w:val="AucunA"/>
          <w:rFonts w:ascii="Times New Roman" w:hAnsi="Times New Roman"/>
          <w:noProof/>
          <w:sz w:val="24"/>
        </w:rPr>
        <w:t xml:space="preserve">Además, se ha seguido mejorando y reforzando la cooperación operativa con los Estados miembros y las agencias de la UE. </w:t>
      </w:r>
      <w:r>
        <w:rPr>
          <w:rFonts w:ascii="Times New Roman" w:hAnsi="Times New Roman"/>
          <w:noProof/>
          <w:sz w:val="24"/>
        </w:rPr>
        <w:t>Todos los países de los Balcanes Occidentales participan activamente en la Iniciativa sobre la lucha contra</w:t>
      </w:r>
      <w:r>
        <w:rPr>
          <w:rFonts w:ascii="Times New Roman" w:hAnsi="Times New Roman"/>
          <w:noProof/>
          <w:sz w:val="24"/>
        </w:rPr>
        <w:t xml:space="preserve"> el terrorismo en los Balcanes Occidentales (WBCTi). No obstante, </w:t>
      </w:r>
      <w:r>
        <w:rPr>
          <w:rFonts w:ascii="Times New Roman" w:hAnsi="Times New Roman"/>
          <w:noProof/>
          <w:color w:val="000000" w:themeColor="text1"/>
          <w:sz w:val="24"/>
        </w:rPr>
        <w:t>la mayoría aún debe redoblar sus esfuerzos para hacer frente a la cuestión de los combatientes extranjeros que regresan y prevenir el extremismo y la radicalización, especialmente en las pri</w:t>
      </w:r>
      <w:r>
        <w:rPr>
          <w:rFonts w:ascii="Times New Roman" w:hAnsi="Times New Roman"/>
          <w:noProof/>
          <w:color w:val="000000" w:themeColor="text1"/>
          <w:sz w:val="24"/>
        </w:rPr>
        <w:t xml:space="preserve">siones. Es necesario mejorar las capacidades de seguimiento en línea y de respuesta. El rastreo proactivo de los flujos financieros ha de basarse en un enfoque más estratégico de lucha contra el blanqueo de capitales y la financiación del terrorismo. </w:t>
      </w:r>
      <w:r>
        <w:rPr>
          <w:rStyle w:val="AucunA"/>
          <w:rFonts w:ascii="Times New Roman" w:hAnsi="Times New Roman"/>
          <w:noProof/>
          <w:sz w:val="24"/>
        </w:rPr>
        <w:t>Turqu</w:t>
      </w:r>
      <w:r>
        <w:rPr>
          <w:rStyle w:val="AucunA"/>
          <w:rFonts w:ascii="Times New Roman" w:hAnsi="Times New Roman"/>
          <w:noProof/>
          <w:sz w:val="24"/>
        </w:rPr>
        <w:t xml:space="preserve">ía tiene que revisar su legislación antiterrorista. </w:t>
      </w:r>
      <w:r>
        <w:rPr>
          <w:rFonts w:ascii="Times New Roman" w:hAnsi="Times New Roman"/>
          <w:noProof/>
          <w:sz w:val="24"/>
        </w:rPr>
        <w:t>Si bien es una potestad legítima del país luchar contra el terrorismo, también es su responsabilidad garantizar que se haga respetando el Estado de Derecho, los derechos humanos y las libertades fundament</w:t>
      </w:r>
      <w:r>
        <w:rPr>
          <w:rFonts w:ascii="Times New Roman" w:hAnsi="Times New Roman"/>
          <w:noProof/>
          <w:sz w:val="24"/>
        </w:rPr>
        <w:t xml:space="preserve">ales. Las medidas antiterroristas deben ser proporcionadas. </w:t>
      </w:r>
    </w:p>
    <w:p w:rsidR="00D96FAD" w:rsidRDefault="00E3669E">
      <w:pPr>
        <w:spacing w:after="120" w:line="240" w:lineRule="auto"/>
        <w:jc w:val="both"/>
        <w:rPr>
          <w:rFonts w:ascii="Times New Roman" w:eastAsia="Times New Roman" w:hAnsi="Times New Roman" w:cs="Times New Roman"/>
          <w:noProof/>
          <w:sz w:val="24"/>
          <w:szCs w:val="24"/>
        </w:rPr>
      </w:pPr>
      <w:r>
        <w:rPr>
          <w:rFonts w:ascii="Times New Roman" w:hAnsi="Times New Roman"/>
          <w:noProof/>
          <w:color w:val="000000" w:themeColor="text1"/>
          <w:sz w:val="24"/>
        </w:rPr>
        <w:t xml:space="preserve">Urge introducir reformas en el ámbito del Estado de Derecho con mayor </w:t>
      </w:r>
      <w:r>
        <w:rPr>
          <w:rFonts w:ascii="Times New Roman" w:hAnsi="Times New Roman"/>
          <w:b/>
          <w:noProof/>
          <w:color w:val="000000" w:themeColor="text1"/>
          <w:sz w:val="24"/>
        </w:rPr>
        <w:t>firmeza y credibilidad</w:t>
      </w:r>
      <w:r>
        <w:rPr>
          <w:rFonts w:ascii="Times New Roman" w:hAnsi="Times New Roman"/>
          <w:noProof/>
          <w:color w:val="000000" w:themeColor="text1"/>
          <w:sz w:val="24"/>
        </w:rPr>
        <w:t>. Esta es la condición más importante para que los Balcanes Occidentales avancen en sus respectivas sen</w:t>
      </w:r>
      <w:r>
        <w:rPr>
          <w:rFonts w:ascii="Times New Roman" w:hAnsi="Times New Roman"/>
          <w:noProof/>
          <w:color w:val="000000" w:themeColor="text1"/>
          <w:sz w:val="24"/>
        </w:rPr>
        <w:t xml:space="preserve">das europeas, sin olvidar el cumplimiento de los criterios de referencia provisionales de las negociaciones de adhesión en lo referente al Estado de Derecho (capítulos 23 y 24) en el caso de Montenegro y Serbia. </w:t>
      </w:r>
    </w:p>
    <w:p w:rsidR="00D96FAD" w:rsidRDefault="00E3669E">
      <w:pPr>
        <w:spacing w:after="120" w:line="240" w:lineRule="auto"/>
        <w:jc w:val="both"/>
        <w:rPr>
          <w:rFonts w:ascii="Times New Roman" w:eastAsia="Arial Unicode MS" w:hAnsi="Times New Roman" w:cs="Times New Roman"/>
          <w:noProof/>
          <w:color w:val="000000" w:themeColor="text1"/>
          <w:sz w:val="24"/>
          <w:szCs w:val="24"/>
        </w:rPr>
      </w:pPr>
      <w:r>
        <w:rPr>
          <w:rFonts w:ascii="Times New Roman" w:hAnsi="Times New Roman"/>
          <w:noProof/>
          <w:color w:val="000000" w:themeColor="text1"/>
          <w:sz w:val="24"/>
        </w:rPr>
        <w:t>Una vez se cumplan los criterios de referen</w:t>
      </w:r>
      <w:r>
        <w:rPr>
          <w:rFonts w:ascii="Times New Roman" w:hAnsi="Times New Roman"/>
          <w:noProof/>
          <w:color w:val="000000" w:themeColor="text1"/>
          <w:sz w:val="24"/>
        </w:rPr>
        <w:t>cia provisionales, la UE podrá, a través de la fijación de los criterios de referencia de cierre, establecer claramente los requisitos de Estado de Derecho que los países en fase de negociación deberán cumplir en última instancia para considerarse que, por</w:t>
      </w:r>
      <w:r>
        <w:rPr>
          <w:rFonts w:ascii="Times New Roman" w:hAnsi="Times New Roman"/>
          <w:noProof/>
          <w:color w:val="000000" w:themeColor="text1"/>
          <w:sz w:val="24"/>
        </w:rPr>
        <w:t xml:space="preserve"> lo que respecta a este ámbito crucial, están listos para ser miembros de la UE. </w:t>
      </w:r>
      <w:r>
        <w:rPr>
          <w:rFonts w:ascii="Times New Roman" w:hAnsi="Times New Roman"/>
          <w:noProof/>
          <w:sz w:val="24"/>
        </w:rPr>
        <w:t>Montenegro es el primer país en fase de negociación que podría llegar a esa etapa, siempre y cuando solucione las carencias que aún presenta en los ámbitos críticos de la libe</w:t>
      </w:r>
      <w:r>
        <w:rPr>
          <w:rFonts w:ascii="Times New Roman" w:hAnsi="Times New Roman"/>
          <w:noProof/>
          <w:sz w:val="24"/>
        </w:rPr>
        <w:t>rtad de los medios de comunicación, la lucha contra la corrupción y la trata de seres humanos.</w:t>
      </w:r>
    </w:p>
    <w:p w:rsidR="00D96FAD" w:rsidRDefault="00E3669E">
      <w:pPr>
        <w:spacing w:after="120" w:line="240" w:lineRule="auto"/>
        <w:jc w:val="both"/>
        <w:rPr>
          <w:rFonts w:ascii="Times New Roman" w:eastAsia="Times New Roman" w:hAnsi="Times New Roman" w:cs="Times New Roman"/>
          <w:noProof/>
          <w:sz w:val="24"/>
          <w:szCs w:val="24"/>
        </w:rPr>
      </w:pPr>
      <w:r>
        <w:rPr>
          <w:rFonts w:ascii="Times New Roman" w:hAnsi="Times New Roman"/>
          <w:noProof/>
          <w:color w:val="000000" w:themeColor="text1"/>
          <w:sz w:val="24"/>
        </w:rPr>
        <w:t xml:space="preserve">El propósito de los criterios de referencia provisionales en relación con el Estado de Derecho es ante todo garantizar que el país de que se trate dispone de la </w:t>
      </w:r>
      <w:r>
        <w:rPr>
          <w:rFonts w:ascii="Times New Roman" w:hAnsi="Times New Roman"/>
          <w:noProof/>
          <w:color w:val="000000" w:themeColor="text1"/>
          <w:sz w:val="24"/>
        </w:rPr>
        <w:t>estructura institucional y legislativa necesaria y puede demostrar que ha comenzado a obtener resultados en materia de aplicación. Una vez que ese marco esté operativo</w:t>
      </w:r>
      <w:r>
        <w:rPr>
          <w:rFonts w:ascii="Times New Roman" w:hAnsi="Times New Roman"/>
          <w:noProof/>
          <w:sz w:val="24"/>
        </w:rPr>
        <w:t>, la Comisión propondrá criterios de referencia de cierre a los Estados miembros de la UE</w:t>
      </w:r>
      <w:r>
        <w:rPr>
          <w:rFonts w:ascii="Times New Roman" w:hAnsi="Times New Roman"/>
          <w:noProof/>
          <w:sz w:val="24"/>
        </w:rPr>
        <w:t xml:space="preserve">. Estos parámetros </w:t>
      </w:r>
      <w:r>
        <w:rPr>
          <w:rFonts w:ascii="Times New Roman" w:hAnsi="Times New Roman"/>
          <w:noProof/>
          <w:color w:val="000000" w:themeColor="text1"/>
          <w:sz w:val="24"/>
        </w:rPr>
        <w:t>se centrarían principalmente en la obtención de resultados tangibles y en la consolidación de una trayectoria de aplicación firme, creíble y sostenible</w:t>
      </w:r>
      <w:r>
        <w:rPr>
          <w:rFonts w:ascii="Times New Roman" w:hAnsi="Times New Roman"/>
          <w:noProof/>
          <w:sz w:val="24"/>
        </w:rPr>
        <w:t>.</w:t>
      </w:r>
      <w:r>
        <w:rPr>
          <w:rFonts w:ascii="Times New Roman" w:hAnsi="Times New Roman"/>
          <w:noProof/>
          <w:color w:val="000000" w:themeColor="text1"/>
          <w:sz w:val="24"/>
        </w:rPr>
        <w:t xml:space="preserve"> </w:t>
      </w:r>
    </w:p>
    <w:p w:rsidR="00D96FAD" w:rsidRDefault="00E3669E">
      <w:pPr>
        <w:keepNext/>
        <w:autoSpaceDE w:val="0"/>
        <w:autoSpaceDN w:val="0"/>
        <w:spacing w:after="120" w:line="240" w:lineRule="auto"/>
        <w:rPr>
          <w:rFonts w:ascii="Times New Roman" w:eastAsia="Calibri" w:hAnsi="Times New Roman" w:cs="Times New Roman"/>
          <w:b/>
          <w:bCs/>
          <w:noProof/>
          <w:color w:val="000000"/>
          <w:sz w:val="24"/>
          <w:szCs w:val="24"/>
        </w:rPr>
      </w:pPr>
      <w:r>
        <w:rPr>
          <w:rFonts w:ascii="Times New Roman" w:hAnsi="Times New Roman"/>
          <w:b/>
          <w:noProof/>
          <w:color w:val="000000"/>
          <w:sz w:val="24"/>
        </w:rPr>
        <w:t xml:space="preserve">c) Derechos fundamentales </w:t>
      </w:r>
    </w:p>
    <w:p w:rsidR="00D96FAD" w:rsidRDefault="00E3669E">
      <w:pPr>
        <w:autoSpaceDE w:val="0"/>
        <w:autoSpaceDN w:val="0"/>
        <w:spacing w:after="120" w:line="240" w:lineRule="auto"/>
        <w:jc w:val="both"/>
        <w:rPr>
          <w:rFonts w:ascii="Times New Roman" w:eastAsia="Calibri" w:hAnsi="Times New Roman" w:cs="Times New Roman"/>
          <w:noProof/>
          <w:color w:val="000000"/>
          <w:sz w:val="24"/>
          <w:szCs w:val="24"/>
        </w:rPr>
      </w:pPr>
      <w:r>
        <w:rPr>
          <w:rFonts w:ascii="Times New Roman" w:hAnsi="Times New Roman"/>
          <w:noProof/>
          <w:color w:val="000000"/>
          <w:sz w:val="24"/>
        </w:rPr>
        <w:t xml:space="preserve">Los ordenamientos jurídicos de los Balcanes Occidentales recogen en gran medida los </w:t>
      </w:r>
      <w:r>
        <w:rPr>
          <w:rFonts w:ascii="Times New Roman" w:hAnsi="Times New Roman"/>
          <w:b/>
          <w:noProof/>
          <w:color w:val="000000"/>
          <w:sz w:val="24"/>
        </w:rPr>
        <w:t>derechos fundamentales</w:t>
      </w:r>
      <w:r>
        <w:rPr>
          <w:rFonts w:ascii="Times New Roman" w:hAnsi="Times New Roman"/>
          <w:noProof/>
          <w:color w:val="000000"/>
          <w:sz w:val="24"/>
        </w:rPr>
        <w:t xml:space="preserve">. Sin embargo, es preciso intensificar los esfuerzos para mejorar la aplicación. Durante el período de referencia, Turquía ha experimentado un fuerte </w:t>
      </w:r>
      <w:r>
        <w:rPr>
          <w:rFonts w:ascii="Times New Roman" w:hAnsi="Times New Roman"/>
          <w:noProof/>
          <w:color w:val="000000"/>
          <w:sz w:val="24"/>
        </w:rPr>
        <w:t xml:space="preserve">y continuo deterioro de derechos humanos clave. </w:t>
      </w:r>
    </w:p>
    <w:p w:rsidR="00D96FAD" w:rsidRDefault="00E3669E">
      <w:pPr>
        <w:autoSpaceDE w:val="0"/>
        <w:autoSpaceDN w:val="0"/>
        <w:spacing w:after="120" w:line="240" w:lineRule="auto"/>
        <w:jc w:val="both"/>
        <w:rPr>
          <w:rFonts w:ascii="Times New Roman" w:eastAsia="Calibri" w:hAnsi="Times New Roman" w:cs="Times New Roman"/>
          <w:noProof/>
          <w:color w:val="000000"/>
          <w:sz w:val="24"/>
          <w:szCs w:val="24"/>
        </w:rPr>
      </w:pPr>
      <w:r>
        <w:rPr>
          <w:rFonts w:ascii="Times New Roman" w:hAnsi="Times New Roman"/>
          <w:noProof/>
          <w:color w:val="000000"/>
          <w:sz w:val="24"/>
        </w:rPr>
        <w:t xml:space="preserve">La evolución del ámbito de la </w:t>
      </w:r>
      <w:r>
        <w:rPr>
          <w:rFonts w:ascii="Times New Roman" w:hAnsi="Times New Roman"/>
          <w:b/>
          <w:noProof/>
          <w:color w:val="000000"/>
          <w:sz w:val="24"/>
        </w:rPr>
        <w:t>libertad de expresión</w:t>
      </w:r>
      <w:r>
        <w:rPr>
          <w:rFonts w:ascii="Times New Roman" w:hAnsi="Times New Roman"/>
          <w:noProof/>
          <w:color w:val="000000"/>
          <w:sz w:val="24"/>
        </w:rPr>
        <w:t xml:space="preserve"> y de la independencia de los medios de comunicación en toda la región suscita una preocupación creciente. Se ha producido un grave retroceso en </w:t>
      </w:r>
      <w:r>
        <w:rPr>
          <w:rFonts w:ascii="Times New Roman" w:hAnsi="Times New Roman"/>
          <w:b/>
          <w:noProof/>
          <w:color w:val="000000"/>
          <w:sz w:val="24"/>
        </w:rPr>
        <w:t>Turquía</w:t>
      </w:r>
      <w:r>
        <w:rPr>
          <w:rFonts w:ascii="Times New Roman" w:hAnsi="Times New Roman"/>
          <w:noProof/>
          <w:color w:val="000000"/>
          <w:sz w:val="24"/>
        </w:rPr>
        <w:t>, do</w:t>
      </w:r>
      <w:r>
        <w:rPr>
          <w:rFonts w:ascii="Times New Roman" w:hAnsi="Times New Roman"/>
          <w:noProof/>
          <w:color w:val="000000"/>
          <w:sz w:val="24"/>
        </w:rPr>
        <w:t xml:space="preserve">nde el </w:t>
      </w:r>
      <w:r>
        <w:rPr>
          <w:rFonts w:ascii="Times New Roman" w:hAnsi="Times New Roman"/>
          <w:noProof/>
          <w:sz w:val="24"/>
        </w:rPr>
        <w:t xml:space="preserve">ejercicio de la libertad de expresión se ha visto considerablemente obstaculizado y </w:t>
      </w:r>
      <w:r>
        <w:rPr>
          <w:rFonts w:ascii="Times New Roman" w:hAnsi="Times New Roman"/>
          <w:noProof/>
          <w:color w:val="000000"/>
          <w:sz w:val="24"/>
        </w:rPr>
        <w:t>más de 160 periodistas siguen encarcelados, una de las cifras más elevadas del mundo.</w:t>
      </w:r>
    </w:p>
    <w:p w:rsidR="00D96FAD" w:rsidRDefault="00E3669E">
      <w:pPr>
        <w:autoSpaceDE w:val="0"/>
        <w:autoSpaceDN w:val="0"/>
        <w:spacing w:after="120" w:line="240" w:lineRule="auto"/>
        <w:jc w:val="both"/>
        <w:rPr>
          <w:rFonts w:ascii="Times New Roman" w:eastAsia="Calibri" w:hAnsi="Times New Roman" w:cs="Times New Roman"/>
          <w:noProof/>
          <w:color w:val="000000"/>
          <w:sz w:val="24"/>
          <w:szCs w:val="24"/>
        </w:rPr>
      </w:pPr>
      <w:r>
        <w:rPr>
          <w:rFonts w:ascii="Times New Roman" w:hAnsi="Times New Roman"/>
          <w:noProof/>
          <w:color w:val="000000"/>
          <w:sz w:val="24"/>
        </w:rPr>
        <w:t xml:space="preserve">En cuanto a los </w:t>
      </w:r>
      <w:r>
        <w:rPr>
          <w:rFonts w:ascii="Times New Roman" w:hAnsi="Times New Roman"/>
          <w:b/>
          <w:noProof/>
          <w:color w:val="000000"/>
          <w:sz w:val="24"/>
        </w:rPr>
        <w:t>Balcanes Occidentales</w:t>
      </w:r>
      <w:r>
        <w:rPr>
          <w:rFonts w:ascii="Times New Roman" w:hAnsi="Times New Roman"/>
          <w:noProof/>
          <w:color w:val="000000"/>
          <w:sz w:val="24"/>
        </w:rPr>
        <w:t>, se han observado muy pocos esfuerzos a e</w:t>
      </w:r>
      <w:r>
        <w:rPr>
          <w:rFonts w:ascii="Times New Roman" w:hAnsi="Times New Roman"/>
          <w:noProof/>
          <w:color w:val="000000"/>
          <w:sz w:val="24"/>
        </w:rPr>
        <w:t xml:space="preserve">ste respecto. </w:t>
      </w:r>
      <w:r>
        <w:rPr>
          <w:rFonts w:ascii="Times New Roman" w:hAnsi="Times New Roman"/>
          <w:noProof/>
          <w:sz w:val="24"/>
        </w:rPr>
        <w:t xml:space="preserve">En general, </w:t>
      </w:r>
      <w:r>
        <w:rPr>
          <w:rFonts w:ascii="Times New Roman" w:hAnsi="Times New Roman"/>
          <w:noProof/>
          <w:color w:val="000000"/>
          <w:sz w:val="24"/>
        </w:rPr>
        <w:t>la intimidación verbal y física sigue existiendo, y las investigaciones y actuaciones judiciales todavía son lentas. Los intentos de influir en la independencia de los servicios públicos de radiodifusión, la falta de transparencia</w:t>
      </w:r>
      <w:r>
        <w:rPr>
          <w:rFonts w:ascii="Times New Roman" w:hAnsi="Times New Roman"/>
          <w:noProof/>
          <w:color w:val="000000"/>
          <w:sz w:val="24"/>
        </w:rPr>
        <w:t xml:space="preserve"> respecto de la financiación pública y privada de los medios de comunicación, y la distorsión del mercado publicitario están a la orden del día en todos los países de la región. El entorno empresarial de los medios de comunicación también se caracteriza po</w:t>
      </w:r>
      <w:r>
        <w:rPr>
          <w:rFonts w:ascii="Times New Roman" w:hAnsi="Times New Roman"/>
          <w:noProof/>
          <w:color w:val="000000"/>
          <w:sz w:val="24"/>
        </w:rPr>
        <w:t>r la frecuente injerencia política y la opacidad en cuanto a la propiedad de los medios de comunicación, aspectos que socavan la sostenibilidad de medios independientes. La UE mantiene su firme apoyo a las organizaciones locales de la sociedad civil, los d</w:t>
      </w:r>
      <w:r>
        <w:rPr>
          <w:rFonts w:ascii="Times New Roman" w:hAnsi="Times New Roman"/>
          <w:noProof/>
          <w:color w:val="000000"/>
          <w:sz w:val="24"/>
        </w:rPr>
        <w:t xml:space="preserve">efensores de los derechos humanos, los periodistas y los medios de comunicación independientes. </w:t>
      </w:r>
    </w:p>
    <w:p w:rsidR="00D96FAD" w:rsidRDefault="00E3669E">
      <w:pPr>
        <w:spacing w:after="120" w:line="240" w:lineRule="auto"/>
        <w:jc w:val="both"/>
        <w:rPr>
          <w:rFonts w:ascii="Times New Roman" w:eastAsia="Calibri" w:hAnsi="Times New Roman" w:cs="Times New Roman"/>
          <w:noProof/>
          <w:color w:val="000000"/>
          <w:sz w:val="24"/>
          <w:szCs w:val="24"/>
        </w:rPr>
      </w:pPr>
      <w:r>
        <w:rPr>
          <w:rFonts w:ascii="Times New Roman" w:hAnsi="Times New Roman"/>
          <w:noProof/>
          <w:color w:val="000000"/>
          <w:sz w:val="24"/>
        </w:rPr>
        <w:t xml:space="preserve">En cuanto a la lucha eficaz contra los abusos de los </w:t>
      </w:r>
      <w:r>
        <w:rPr>
          <w:rFonts w:ascii="Times New Roman" w:hAnsi="Times New Roman"/>
          <w:b/>
          <w:noProof/>
          <w:color w:val="000000"/>
          <w:sz w:val="24"/>
        </w:rPr>
        <w:t>derechos del niño</w:t>
      </w:r>
      <w:r>
        <w:rPr>
          <w:rFonts w:ascii="Times New Roman" w:hAnsi="Times New Roman"/>
          <w:noProof/>
          <w:color w:val="000000"/>
          <w:sz w:val="24"/>
        </w:rPr>
        <w:t>, los Balcanes Occidentales y Turquía deben intensificar sus esfuerzos a este respecto. A</w:t>
      </w:r>
      <w:r>
        <w:rPr>
          <w:rFonts w:ascii="Times New Roman" w:hAnsi="Times New Roman"/>
          <w:noProof/>
          <w:color w:val="000000"/>
          <w:sz w:val="24"/>
        </w:rPr>
        <w:t xml:space="preserve">simismo, los Gobiernos han de tratar el problema de la discriminación de las </w:t>
      </w:r>
      <w:r>
        <w:rPr>
          <w:rFonts w:ascii="Times New Roman" w:hAnsi="Times New Roman"/>
          <w:b/>
          <w:noProof/>
          <w:color w:val="000000"/>
          <w:sz w:val="24"/>
        </w:rPr>
        <w:t>personas con discapacidad</w:t>
      </w:r>
      <w:r>
        <w:rPr>
          <w:rFonts w:ascii="Times New Roman" w:hAnsi="Times New Roman"/>
          <w:noProof/>
          <w:color w:val="000000"/>
          <w:sz w:val="24"/>
        </w:rPr>
        <w:t xml:space="preserve">, las </w:t>
      </w:r>
      <w:r>
        <w:rPr>
          <w:rFonts w:ascii="Times New Roman" w:hAnsi="Times New Roman"/>
          <w:b/>
          <w:noProof/>
          <w:color w:val="000000"/>
          <w:sz w:val="24"/>
        </w:rPr>
        <w:t>minorías</w:t>
      </w:r>
      <w:r>
        <w:rPr>
          <w:rFonts w:ascii="Times New Roman" w:hAnsi="Times New Roman"/>
          <w:noProof/>
          <w:color w:val="000000"/>
          <w:sz w:val="24"/>
        </w:rPr>
        <w:t xml:space="preserve"> y otros grupos vulnerables. También se requieren mayores esfuerzos para garantizar la </w:t>
      </w:r>
      <w:r>
        <w:rPr>
          <w:rFonts w:ascii="Times New Roman" w:hAnsi="Times New Roman"/>
          <w:b/>
          <w:noProof/>
          <w:color w:val="000000"/>
          <w:sz w:val="24"/>
        </w:rPr>
        <w:t>igualdad de género</w:t>
      </w:r>
      <w:r>
        <w:rPr>
          <w:rFonts w:ascii="Times New Roman" w:hAnsi="Times New Roman"/>
          <w:noProof/>
          <w:color w:val="000000"/>
          <w:sz w:val="24"/>
        </w:rPr>
        <w:t xml:space="preserve"> y prevenir y combatir la discrimin</w:t>
      </w:r>
      <w:r>
        <w:rPr>
          <w:rFonts w:ascii="Times New Roman" w:hAnsi="Times New Roman"/>
          <w:noProof/>
          <w:color w:val="000000"/>
          <w:sz w:val="24"/>
        </w:rPr>
        <w:t>ación y la violencia contra las mujeres. En los Balcanes Occidentales, se ha avanzado en lo tocante a los derechos de las personas lesbianas, gais, bisexuales, transgénero e intersexuales. No obstante, todavía hay mucho por hacer para combatir la discrimin</w:t>
      </w:r>
      <w:r>
        <w:rPr>
          <w:rFonts w:ascii="Times New Roman" w:hAnsi="Times New Roman"/>
          <w:noProof/>
          <w:color w:val="000000"/>
          <w:sz w:val="24"/>
        </w:rPr>
        <w:t xml:space="preserve">ación y, en particular, la incitación al odio y la violencia. Los </w:t>
      </w:r>
      <w:r>
        <w:rPr>
          <w:rFonts w:ascii="Times New Roman" w:hAnsi="Times New Roman"/>
          <w:b/>
          <w:noProof/>
          <w:color w:val="000000"/>
          <w:sz w:val="24"/>
        </w:rPr>
        <w:t>gitanos</w:t>
      </w:r>
      <w:r>
        <w:rPr>
          <w:rFonts w:ascii="Times New Roman" w:hAnsi="Times New Roman"/>
          <w:noProof/>
          <w:color w:val="000000"/>
          <w:sz w:val="24"/>
        </w:rPr>
        <w:t xml:space="preserve"> aún se enfrentan a la exclusión social, la marginación y la discriminación. Sigue siendo necesario introducir mejoras en las </w:t>
      </w:r>
      <w:r>
        <w:rPr>
          <w:rFonts w:ascii="Times New Roman" w:hAnsi="Times New Roman"/>
          <w:b/>
          <w:noProof/>
          <w:color w:val="000000"/>
          <w:sz w:val="24"/>
        </w:rPr>
        <w:t>condiciones carcelarias</w:t>
      </w:r>
      <w:r>
        <w:rPr>
          <w:rFonts w:ascii="Times New Roman" w:hAnsi="Times New Roman"/>
          <w:noProof/>
          <w:color w:val="000000"/>
          <w:sz w:val="24"/>
        </w:rPr>
        <w:t>. En Turquía, a pesar del levantam</w:t>
      </w:r>
      <w:r>
        <w:rPr>
          <w:rFonts w:ascii="Times New Roman" w:hAnsi="Times New Roman"/>
          <w:noProof/>
          <w:color w:val="000000"/>
          <w:sz w:val="24"/>
        </w:rPr>
        <w:t xml:space="preserve">iento del estado de excepción, la mayoría de las medidas introducidas durante ese período permanecen en vigor, incluidas aquellas que limitan </w:t>
      </w:r>
      <w:r>
        <w:rPr>
          <w:rFonts w:ascii="Times New Roman" w:hAnsi="Times New Roman"/>
          <w:b/>
          <w:noProof/>
          <w:color w:val="000000"/>
          <w:sz w:val="24"/>
        </w:rPr>
        <w:t>derechos procesales</w:t>
      </w:r>
      <w:r>
        <w:rPr>
          <w:rFonts w:ascii="Times New Roman" w:hAnsi="Times New Roman"/>
          <w:noProof/>
          <w:color w:val="000000"/>
          <w:sz w:val="24"/>
        </w:rPr>
        <w:t xml:space="preserve"> fundamentales como el derecho a la defensa y a la tutela judicial efectiva. </w:t>
      </w:r>
    </w:p>
    <w:p w:rsidR="00D96FAD" w:rsidRDefault="00E3669E">
      <w:pPr>
        <w:keepNext/>
        <w:spacing w:after="120" w:line="240" w:lineRule="auto"/>
        <w:jc w:val="both"/>
        <w:rPr>
          <w:rFonts w:ascii="Times New Roman" w:hAnsi="Times New Roman" w:cs="Times New Roman"/>
          <w:b/>
          <w:noProof/>
          <w:sz w:val="24"/>
          <w:szCs w:val="24"/>
        </w:rPr>
      </w:pPr>
      <w:r>
        <w:rPr>
          <w:rFonts w:ascii="Times New Roman" w:hAnsi="Times New Roman"/>
          <w:b/>
          <w:noProof/>
          <w:sz w:val="24"/>
        </w:rPr>
        <w:t xml:space="preserve">d) Reforma de la </w:t>
      </w:r>
      <w:r>
        <w:rPr>
          <w:rFonts w:ascii="Times New Roman" w:hAnsi="Times New Roman"/>
          <w:b/>
          <w:noProof/>
          <w:sz w:val="24"/>
        </w:rPr>
        <w:t xml:space="preserve">Administración Pública </w:t>
      </w:r>
    </w:p>
    <w:p w:rsidR="00D96FAD" w:rsidRDefault="00E3669E">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La </w:t>
      </w:r>
      <w:r>
        <w:rPr>
          <w:rFonts w:ascii="Times New Roman" w:hAnsi="Times New Roman"/>
          <w:b/>
          <w:noProof/>
          <w:sz w:val="24"/>
        </w:rPr>
        <w:t>reforma de la Administración Pública</w:t>
      </w:r>
      <w:r>
        <w:rPr>
          <w:rFonts w:ascii="Times New Roman" w:hAnsi="Times New Roman"/>
          <w:noProof/>
          <w:sz w:val="24"/>
        </w:rPr>
        <w:t xml:space="preserve"> es fundamental para mejorar la gobernanza a todos los niveles. Ello comprende la calidad y la rendición de cuentas de la Administración, la profesionalización de la función pública y la despol</w:t>
      </w:r>
      <w:r>
        <w:rPr>
          <w:rFonts w:ascii="Times New Roman" w:hAnsi="Times New Roman"/>
          <w:noProof/>
          <w:sz w:val="24"/>
        </w:rPr>
        <w:t xml:space="preserve">itización, la buena gestión de las finanzas públicas y la garantía de la prestación de servicios de calidad a los ciudadanos y las empresas. Los avances a este respecto en los Balcanes Occidentales han sido moderados. Turquía </w:t>
      </w:r>
      <w:r>
        <w:rPr>
          <w:rFonts w:ascii="Times New Roman" w:hAnsi="Times New Roman"/>
          <w:noProof/>
          <w:color w:val="000000"/>
          <w:sz w:val="24"/>
        </w:rPr>
        <w:t>ha experimentado un grave retr</w:t>
      </w:r>
      <w:r>
        <w:rPr>
          <w:rFonts w:ascii="Times New Roman" w:hAnsi="Times New Roman"/>
          <w:noProof/>
          <w:color w:val="000000"/>
          <w:sz w:val="24"/>
        </w:rPr>
        <w:t>oceso en el ámbito de la función pública, que también ha afectado a la planificación de políticas y la rendición de cuentas, a raíz de</w:t>
      </w:r>
      <w:r>
        <w:rPr>
          <w:rFonts w:ascii="Times New Roman" w:hAnsi="Times New Roman"/>
          <w:noProof/>
          <w:sz w:val="24"/>
        </w:rPr>
        <w:t xml:space="preserve"> una importante reestructuración de la Administración Pública y del sistema de la función pública mediante decretos presid</w:t>
      </w:r>
      <w:r>
        <w:rPr>
          <w:rFonts w:ascii="Times New Roman" w:hAnsi="Times New Roman"/>
          <w:noProof/>
          <w:sz w:val="24"/>
        </w:rPr>
        <w:t>enciales.</w:t>
      </w:r>
    </w:p>
    <w:p w:rsidR="00D96FAD" w:rsidRDefault="00E3669E">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Se han observado ciertos progresos en cuanto a la mejora de la </w:t>
      </w:r>
      <w:r>
        <w:rPr>
          <w:rFonts w:ascii="Times New Roman" w:hAnsi="Times New Roman"/>
          <w:b/>
          <w:noProof/>
          <w:sz w:val="24"/>
        </w:rPr>
        <w:t>planificación de políticas</w:t>
      </w:r>
      <w:r>
        <w:rPr>
          <w:rFonts w:ascii="Times New Roman" w:hAnsi="Times New Roman"/>
          <w:noProof/>
          <w:sz w:val="24"/>
        </w:rPr>
        <w:t>, pero se requieren nuevas medidas dirigidas a garantizar un control de calidad sólido por parte de los Gobiernos centrales. Aún es frecuente que las políticas, la legislación y las inversiones públicas se preparen sin llevar a cabo evaluaciones de impacto</w:t>
      </w:r>
      <w:r>
        <w:rPr>
          <w:rFonts w:ascii="Times New Roman" w:hAnsi="Times New Roman"/>
          <w:noProof/>
          <w:sz w:val="24"/>
        </w:rPr>
        <w:t xml:space="preserve"> ni consultas interinstitucionales y públicas. Deben hacerse esfuerzos considerables para garantizar la transparencia y la eficacia de la </w:t>
      </w:r>
      <w:r>
        <w:rPr>
          <w:rFonts w:ascii="Times New Roman" w:hAnsi="Times New Roman"/>
          <w:b/>
          <w:noProof/>
          <w:sz w:val="24"/>
        </w:rPr>
        <w:t>contratación pública</w:t>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A fin de reducir el despilfarro de recursos, el fraude y la corrupción, se requiere una pronta a</w:t>
      </w:r>
      <w:r>
        <w:rPr>
          <w:rFonts w:ascii="Times New Roman" w:hAnsi="Times New Roman"/>
          <w:noProof/>
          <w:sz w:val="24"/>
        </w:rPr>
        <w:t xml:space="preserve">daptación al acervo de la UE acompañada de un sistema eficaz de </w:t>
      </w:r>
      <w:r>
        <w:rPr>
          <w:rFonts w:ascii="Times New Roman" w:hAnsi="Times New Roman"/>
          <w:b/>
          <w:noProof/>
          <w:sz w:val="24"/>
        </w:rPr>
        <w:t>control interno</w:t>
      </w:r>
      <w:r>
        <w:rPr>
          <w:rFonts w:ascii="Times New Roman" w:hAnsi="Times New Roman"/>
          <w:noProof/>
          <w:sz w:val="24"/>
        </w:rPr>
        <w:t xml:space="preserve"> público. </w:t>
      </w:r>
    </w:p>
    <w:p w:rsidR="00D96FAD" w:rsidRDefault="00E3669E">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En la mayoría de los países queda pendiente garantizar la </w:t>
      </w:r>
      <w:r>
        <w:rPr>
          <w:rFonts w:ascii="Times New Roman" w:hAnsi="Times New Roman"/>
          <w:b/>
          <w:noProof/>
          <w:sz w:val="24"/>
        </w:rPr>
        <w:t>profesionalización</w:t>
      </w:r>
      <w:r>
        <w:rPr>
          <w:rFonts w:ascii="Times New Roman" w:hAnsi="Times New Roman"/>
          <w:noProof/>
          <w:sz w:val="24"/>
        </w:rPr>
        <w:t xml:space="preserve"> de la función pública y abordar la </w:t>
      </w:r>
      <w:r>
        <w:rPr>
          <w:rFonts w:ascii="Times New Roman" w:hAnsi="Times New Roman"/>
          <w:b/>
          <w:noProof/>
          <w:sz w:val="24"/>
        </w:rPr>
        <w:t>excesiva politización</w:t>
      </w:r>
      <w:r>
        <w:rPr>
          <w:rFonts w:ascii="Times New Roman" w:hAnsi="Times New Roman"/>
          <w:noProof/>
          <w:sz w:val="24"/>
        </w:rPr>
        <w:t>.</w:t>
      </w:r>
      <w:r>
        <w:rPr>
          <w:rFonts w:ascii="Times New Roman" w:hAnsi="Times New Roman"/>
          <w:b/>
          <w:noProof/>
          <w:sz w:val="24"/>
        </w:rPr>
        <w:t xml:space="preserve"> </w:t>
      </w:r>
      <w:r>
        <w:rPr>
          <w:rFonts w:ascii="Times New Roman" w:hAnsi="Times New Roman"/>
          <w:noProof/>
          <w:sz w:val="24"/>
        </w:rPr>
        <w:t xml:space="preserve">La </w:t>
      </w:r>
      <w:r>
        <w:rPr>
          <w:rFonts w:ascii="Times New Roman" w:hAnsi="Times New Roman"/>
          <w:b/>
          <w:noProof/>
          <w:sz w:val="24"/>
        </w:rPr>
        <w:t>estructura de la Administrac</w:t>
      </w:r>
      <w:r>
        <w:rPr>
          <w:rFonts w:ascii="Times New Roman" w:hAnsi="Times New Roman"/>
          <w:b/>
          <w:noProof/>
          <w:sz w:val="24"/>
        </w:rPr>
        <w:t>ión Pública</w:t>
      </w:r>
      <w:r>
        <w:rPr>
          <w:rFonts w:ascii="Times New Roman" w:hAnsi="Times New Roman"/>
          <w:noProof/>
          <w:sz w:val="24"/>
        </w:rPr>
        <w:t xml:space="preserve"> debe garantizar la existencia de líneas eficaces de rendición de cuentas. La mayoría de los países se ha esforzado en mejorar los </w:t>
      </w:r>
      <w:r>
        <w:rPr>
          <w:rFonts w:ascii="Times New Roman" w:hAnsi="Times New Roman"/>
          <w:b/>
          <w:noProof/>
          <w:sz w:val="24"/>
        </w:rPr>
        <w:t>servicios</w:t>
      </w:r>
      <w:r>
        <w:rPr>
          <w:rFonts w:ascii="Times New Roman" w:hAnsi="Times New Roman"/>
          <w:noProof/>
          <w:sz w:val="24"/>
        </w:rPr>
        <w:t xml:space="preserve"> dirigidos a ciudadanos y empresas, en particular, los servicios electrónicos, pero se requiere una mayor</w:t>
      </w:r>
      <w:r>
        <w:rPr>
          <w:rFonts w:ascii="Times New Roman" w:hAnsi="Times New Roman"/>
          <w:noProof/>
          <w:sz w:val="24"/>
        </w:rPr>
        <w:t xml:space="preserve"> coordinación entre las diversas iniciativas y la reforma global de la Administración Pública. </w:t>
      </w:r>
    </w:p>
    <w:p w:rsidR="00D96FAD" w:rsidRDefault="00E3669E">
      <w:pPr>
        <w:pStyle w:val="Default"/>
        <w:jc w:val="both"/>
        <w:rPr>
          <w:rFonts w:ascii="Times New Roman" w:hAnsi="Times New Roman" w:cstheme="minorBidi"/>
          <w:noProof/>
          <w:color w:val="auto"/>
          <w:sz w:val="22"/>
          <w:szCs w:val="22"/>
        </w:rPr>
      </w:pPr>
      <w:r>
        <w:rPr>
          <w:rFonts w:ascii="Times New Roman" w:hAnsi="Times New Roman"/>
          <w:noProof/>
        </w:rPr>
        <w:t xml:space="preserve">Ha de tenerse en cuenta el papel que desempeñan las </w:t>
      </w:r>
      <w:r>
        <w:rPr>
          <w:rFonts w:ascii="Times New Roman" w:hAnsi="Times New Roman"/>
          <w:b/>
          <w:noProof/>
        </w:rPr>
        <w:t>autoridades regionales y locales</w:t>
      </w:r>
      <w:r>
        <w:rPr>
          <w:rFonts w:ascii="Times New Roman" w:hAnsi="Times New Roman"/>
          <w:noProof/>
        </w:rPr>
        <w:t xml:space="preserve"> en el proceso de adaptación al acervo de la UE y la futura aplicación de su</w:t>
      </w:r>
      <w:r>
        <w:rPr>
          <w:rFonts w:ascii="Times New Roman" w:hAnsi="Times New Roman"/>
          <w:noProof/>
        </w:rPr>
        <w:t xml:space="preserve">s normas. Debe encontrarse un equilibrio adecuado entre los Gobiernos central, regional y local que contribuya de la mejor manera posible a la aplicación de las reformas y a la prestación de servicios a los ciudadanos. </w:t>
      </w:r>
    </w:p>
    <w:p w:rsidR="00D96FAD" w:rsidRDefault="00E3669E">
      <w:pPr>
        <w:keepNext/>
        <w:spacing w:before="120" w:after="120" w:line="240" w:lineRule="auto"/>
        <w:jc w:val="both"/>
        <w:rPr>
          <w:rFonts w:ascii="Times New Roman" w:hAnsi="Times New Roman" w:cs="Times New Roman"/>
          <w:b/>
          <w:noProof/>
          <w:sz w:val="24"/>
          <w:szCs w:val="24"/>
        </w:rPr>
      </w:pPr>
      <w:r>
        <w:rPr>
          <w:rFonts w:ascii="Times New Roman" w:hAnsi="Times New Roman"/>
          <w:b/>
          <w:noProof/>
          <w:sz w:val="24"/>
        </w:rPr>
        <w:t xml:space="preserve">e) </w:t>
      </w:r>
      <w:r>
        <w:rPr>
          <w:noProof/>
        </w:rPr>
        <w:tab/>
      </w:r>
      <w:r>
        <w:rPr>
          <w:rFonts w:ascii="Times New Roman" w:hAnsi="Times New Roman"/>
          <w:b/>
          <w:noProof/>
          <w:sz w:val="24"/>
        </w:rPr>
        <w:t xml:space="preserve">Migración </w:t>
      </w:r>
      <w:r>
        <w:rPr>
          <w:noProof/>
        </w:rPr>
        <w:tab/>
      </w:r>
    </w:p>
    <w:p w:rsidR="00D96FAD" w:rsidRDefault="00E3669E">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La </w:t>
      </w:r>
      <w:r>
        <w:rPr>
          <w:rFonts w:ascii="Times New Roman" w:hAnsi="Times New Roman"/>
          <w:b/>
          <w:noProof/>
          <w:sz w:val="24"/>
        </w:rPr>
        <w:t>crisis de los ref</w:t>
      </w:r>
      <w:r>
        <w:rPr>
          <w:rFonts w:ascii="Times New Roman" w:hAnsi="Times New Roman"/>
          <w:b/>
          <w:noProof/>
          <w:sz w:val="24"/>
        </w:rPr>
        <w:t>ugiados y la migración irregular</w:t>
      </w:r>
      <w:r>
        <w:rPr>
          <w:rFonts w:ascii="Times New Roman" w:hAnsi="Times New Roman"/>
          <w:noProof/>
          <w:sz w:val="24"/>
        </w:rPr>
        <w:t xml:space="preserve"> han sido retos clave tanto para la UE como para los Balcanes Occidentales y Turquía. La colaboración ha proseguido mediante una labor conjunta a lo largo de las rutas migratorias del Mediterráneo oriental y los Balcanes Occ</w:t>
      </w:r>
      <w:r>
        <w:rPr>
          <w:rFonts w:ascii="Times New Roman" w:hAnsi="Times New Roman"/>
          <w:noProof/>
          <w:sz w:val="24"/>
        </w:rPr>
        <w:t>identales. El tráfico ilícito de migrantes y la trata de seres humanos siguen siendo motivo de preocupación. Es preciso que los países socios adopten nuevas medidas destinadas a garantizar la plena armonización con la política de visados de la UE.</w:t>
      </w:r>
    </w:p>
    <w:p w:rsidR="00D96FAD" w:rsidRDefault="00E3669E">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La </w:t>
      </w:r>
      <w:r>
        <w:rPr>
          <w:rFonts w:ascii="Times New Roman" w:hAnsi="Times New Roman"/>
          <w:b/>
          <w:noProof/>
          <w:sz w:val="24"/>
        </w:rPr>
        <w:t>Decla</w:t>
      </w:r>
      <w:r>
        <w:rPr>
          <w:rFonts w:ascii="Times New Roman" w:hAnsi="Times New Roman"/>
          <w:b/>
          <w:noProof/>
          <w:sz w:val="24"/>
        </w:rPr>
        <w:t>ración UE-Turquía</w:t>
      </w:r>
      <w:r>
        <w:rPr>
          <w:rStyle w:val="FootnoteReference"/>
          <w:b/>
          <w:noProof/>
        </w:rPr>
        <w:footnoteReference w:id="5"/>
      </w:r>
      <w:r>
        <w:rPr>
          <w:rFonts w:ascii="Times New Roman" w:hAnsi="Times New Roman"/>
          <w:noProof/>
          <w:sz w:val="24"/>
        </w:rPr>
        <w:t xml:space="preserve"> de marzo de 2016 ha seguido ofreciendo resultados concretos por lo que respecta a la reducción de los cruces irregulares y peligrosos y a las vidas salvadas en el mar Egeo. El número de llegadas irregulares es ahora un 97 % inferior a la</w:t>
      </w:r>
      <w:r>
        <w:rPr>
          <w:rFonts w:ascii="Times New Roman" w:hAnsi="Times New Roman"/>
          <w:noProof/>
          <w:sz w:val="24"/>
        </w:rPr>
        <w:t xml:space="preserve"> cifra registrada en el período anterior a la aplicación de la Declaración, y el número de vidas perdidas en el mar ha disminuido sustancialmente. Los cuerpos y fuerzas de seguridad turcos han intensificado sus esfuerzos durante el período de referencia. </w:t>
      </w:r>
    </w:p>
    <w:p w:rsidR="00D96FAD" w:rsidRDefault="00E3669E">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Turquía ha mantenido sus extraordinarios esfuerzos para </w:t>
      </w:r>
      <w:r>
        <w:rPr>
          <w:rFonts w:ascii="Times New Roman" w:hAnsi="Times New Roman"/>
          <w:b/>
          <w:noProof/>
          <w:sz w:val="24"/>
        </w:rPr>
        <w:t xml:space="preserve">acoger a </w:t>
      </w:r>
      <w:r>
        <w:rPr>
          <w:rFonts w:ascii="Times New Roman" w:hAnsi="Times New Roman"/>
          <w:b/>
          <w:noProof/>
          <w:color w:val="000000" w:themeColor="text1"/>
          <w:sz w:val="24"/>
        </w:rPr>
        <w:t>más de 3,6 millones de refugiados registrados procedentes de Siria</w:t>
      </w:r>
      <w:r>
        <w:rPr>
          <w:rFonts w:ascii="Times New Roman" w:hAnsi="Times New Roman"/>
          <w:noProof/>
          <w:color w:val="000000" w:themeColor="text1"/>
          <w:sz w:val="24"/>
        </w:rPr>
        <w:t xml:space="preserve"> y a aproximadamente 370 000 refugiados procedentes de otros países. </w:t>
      </w:r>
      <w:r>
        <w:rPr>
          <w:rFonts w:ascii="Times New Roman" w:hAnsi="Times New Roman"/>
          <w:noProof/>
          <w:sz w:val="24"/>
        </w:rPr>
        <w:t xml:space="preserve">Por su parte, la UE ha seguido brindando su apoyo al país para hacer frente al problema. El </w:t>
      </w:r>
      <w:r>
        <w:rPr>
          <w:rFonts w:ascii="Times New Roman" w:hAnsi="Times New Roman"/>
          <w:b/>
          <w:noProof/>
          <w:sz w:val="24"/>
        </w:rPr>
        <w:t>Mecanismo de la UE para los refugiados en Turquía</w:t>
      </w:r>
      <w:r>
        <w:rPr>
          <w:rStyle w:val="FootnoteReference"/>
          <w:b/>
          <w:noProof/>
        </w:rPr>
        <w:footnoteReference w:id="6"/>
      </w:r>
      <w:r>
        <w:rPr>
          <w:rFonts w:ascii="Times New Roman" w:hAnsi="Times New Roman"/>
          <w:noProof/>
          <w:sz w:val="24"/>
        </w:rPr>
        <w:t>, con un presupuesto total de 6 000 millones EUR, continúa satisfaciendo las necesidades humanitarias y de desarro</w:t>
      </w:r>
      <w:r>
        <w:rPr>
          <w:rFonts w:ascii="Times New Roman" w:hAnsi="Times New Roman"/>
          <w:noProof/>
          <w:sz w:val="24"/>
        </w:rPr>
        <w:t>llo de los refugiados y las comunidades de acogida. El primer tramo, de 3 000 millones EUR, se ha adjudicado en su totalidad. Los resultados son claramente visibles y muy efectivos: aproximadamente 1,6 millones de refugiados están recibiendo transferencias</w:t>
      </w:r>
      <w:r>
        <w:rPr>
          <w:rFonts w:ascii="Times New Roman" w:hAnsi="Times New Roman"/>
          <w:noProof/>
          <w:sz w:val="24"/>
        </w:rPr>
        <w:t xml:space="preserve"> mensuales en efectivo a través de la Red de Seguridad Social de Emergencia, se han ofrecido 5 millones de consultas de asistencia sanitaria primaria, y las familias de más de 494 000 niños que asisten a la escuela han recibido ayudas económicas. La ejecuc</w:t>
      </w:r>
      <w:r>
        <w:rPr>
          <w:rFonts w:ascii="Times New Roman" w:hAnsi="Times New Roman"/>
          <w:noProof/>
          <w:sz w:val="24"/>
        </w:rPr>
        <w:t xml:space="preserve">ión del segundo tramo, de otros 3 000 millones EUR, está en curso. El Mecanismo sigue siendo un instrumento de coordinación emblemático que permite prestar la ayuda de la UE de forma rápida, eficiente y eficaz. </w:t>
      </w:r>
    </w:p>
    <w:p w:rsidR="00D96FAD" w:rsidRDefault="00E3669E">
      <w:pPr>
        <w:pStyle w:val="Raluca"/>
      </w:pPr>
      <w:r>
        <w:t xml:space="preserve">En los </w:t>
      </w:r>
      <w:r>
        <w:rPr>
          <w:b/>
        </w:rPr>
        <w:t>Balcanes Occidentales</w:t>
      </w:r>
      <w:r>
        <w:t>, la continuació</w:t>
      </w:r>
      <w:r>
        <w:t>n de las medidas de respuesta coordinadas por la UE en apoyo de los esfuerzos nacionales se ha traducido, durante el período de referencia, en una reducción adicional del 35 % en las llegadas irregulares a través de esta ruta, un resultado con el que se ma</w:t>
      </w:r>
      <w:r>
        <w:t xml:space="preserve">ntiene la tendencia a la baja ya registrada en 2017. No obstante, aún queda trabajo por hacer a fin de dotar a los países de más recursos para gestionar la migración, especialmente por lo que respecta a una mejor gestión de las fronteras y la reducción de </w:t>
      </w:r>
      <w:r>
        <w:t>la migración irregular. Bosnia y Herzegovina tuvo que hacer frente a la llegada de más de 20 000 migrantes y refugiados en 2018. La UE sigue apoyando a la región, reforzando el desarrollo de las capacidades de los países socios para gestionar los flujos mi</w:t>
      </w:r>
      <w:r>
        <w:t>gratorios y estableciendo procedimientos de asilo, mecanismos de retorno y un intercambio de información. Se han concluido las negociaciones con cinco países de la región relativas a acuerdos sobre el estatuto, que autorizan el envío de equipos de la Guard</w:t>
      </w:r>
      <w:r>
        <w:t>ia Europea de Fronteras y Costas con competencias ejecutivas a las zonas limítrofes con la frontera exterior de la UE para apoyar a las autoridades nacionales de fronteras. El acuerdo con Albania ha entrado en vigor, y ya se ha enviado a los primeros guard</w:t>
      </w:r>
      <w:r>
        <w:t>ias de fronteras. Es necesario que los países de los Balcanes Occidentales redoblen sus esfuerzos para afrontar la cuestión de las solicitudes de asilo infundadas presentadas por ciudadanos de la región en los Estados miembros de la UE.</w:t>
      </w:r>
    </w:p>
    <w:p w:rsidR="00D96FAD" w:rsidRDefault="00E3669E">
      <w:pPr>
        <w:keepNext/>
        <w:spacing w:after="120" w:line="240" w:lineRule="auto"/>
        <w:jc w:val="both"/>
        <w:rPr>
          <w:rFonts w:ascii="Times New Roman" w:hAnsi="Times New Roman" w:cs="Times New Roman"/>
          <w:b/>
          <w:noProof/>
          <w:sz w:val="24"/>
          <w:szCs w:val="24"/>
        </w:rPr>
      </w:pPr>
      <w:r>
        <w:rPr>
          <w:rFonts w:ascii="Times New Roman" w:hAnsi="Times New Roman"/>
          <w:b/>
          <w:noProof/>
          <w:sz w:val="24"/>
        </w:rPr>
        <w:t xml:space="preserve">f) </w:t>
      </w:r>
      <w:r>
        <w:rPr>
          <w:noProof/>
        </w:rPr>
        <w:tab/>
      </w:r>
      <w:r>
        <w:rPr>
          <w:rFonts w:ascii="Times New Roman" w:hAnsi="Times New Roman"/>
          <w:b/>
          <w:noProof/>
          <w:sz w:val="24"/>
        </w:rPr>
        <w:t xml:space="preserve">Economía </w:t>
      </w:r>
    </w:p>
    <w:p w:rsidR="00D96FAD" w:rsidRDefault="00E3669E">
      <w:pPr>
        <w:spacing w:after="120" w:line="240" w:lineRule="auto"/>
        <w:jc w:val="both"/>
        <w:rPr>
          <w:rFonts w:ascii="Times New Roman" w:hAnsi="Times New Roman" w:cs="Times New Roman"/>
          <w:noProof/>
          <w:sz w:val="24"/>
          <w:szCs w:val="24"/>
        </w:rPr>
      </w:pPr>
      <w:r>
        <w:rPr>
          <w:rFonts w:ascii="Times New Roman" w:hAnsi="Times New Roman"/>
          <w:noProof/>
          <w:sz w:val="24"/>
        </w:rPr>
        <w:t>Las e</w:t>
      </w:r>
      <w:r>
        <w:rPr>
          <w:rFonts w:ascii="Times New Roman" w:hAnsi="Times New Roman"/>
          <w:noProof/>
          <w:sz w:val="24"/>
        </w:rPr>
        <w:t xml:space="preserve">conomías de los Balcanes Occidentales y Turquía todavía se enfrentan a </w:t>
      </w:r>
      <w:r>
        <w:rPr>
          <w:rFonts w:ascii="Times New Roman" w:hAnsi="Times New Roman"/>
          <w:b/>
          <w:noProof/>
          <w:sz w:val="24"/>
        </w:rPr>
        <w:t>importantes desafíos</w:t>
      </w:r>
      <w:r>
        <w:rPr>
          <w:rFonts w:ascii="Times New Roman" w:hAnsi="Times New Roman"/>
          <w:noProof/>
          <w:sz w:val="24"/>
        </w:rPr>
        <w:t xml:space="preserve"> que no les permiten aprovechar plenamente su potencial económico.</w:t>
      </w:r>
      <w:r>
        <w:rPr>
          <w:rFonts w:ascii="Times New Roman" w:hAnsi="Times New Roman"/>
          <w:b/>
          <w:noProof/>
          <w:sz w:val="24"/>
        </w:rPr>
        <w:t xml:space="preserve"> </w:t>
      </w:r>
      <w:r>
        <w:rPr>
          <w:rFonts w:ascii="Times New Roman" w:hAnsi="Times New Roman"/>
          <w:noProof/>
          <w:sz w:val="24"/>
        </w:rPr>
        <w:t xml:space="preserve">A pesar de una cierta aceleración del crecimiento, la creación de empleo y el aumento de la renta </w:t>
      </w:r>
      <w:r>
        <w:rPr>
          <w:rFonts w:ascii="Times New Roman" w:hAnsi="Times New Roman"/>
          <w:noProof/>
          <w:sz w:val="24"/>
        </w:rPr>
        <w:t>en los últimos años, los países aún van a la zaga en cuanto a la reforma de sus estructuras económicas y la mejora de la competitividad. Siguen enfrentándose a problemas como la elevada tasa de desempleo —especialmente en el caso de los jóvenes—, una acusa</w:t>
      </w:r>
      <w:r>
        <w:rPr>
          <w:rFonts w:ascii="Times New Roman" w:hAnsi="Times New Roman"/>
          <w:noProof/>
          <w:sz w:val="24"/>
        </w:rPr>
        <w:t xml:space="preserve">da inadecuación de las cualificaciones, la persistencia de la economía informal, entornos empresariales desfavorables y un bajo nivel de innovación. </w:t>
      </w:r>
    </w:p>
    <w:p w:rsidR="00D96FAD" w:rsidRDefault="00E3669E">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En </w:t>
      </w:r>
      <w:r>
        <w:rPr>
          <w:rFonts w:ascii="Times New Roman" w:hAnsi="Times New Roman"/>
          <w:b/>
          <w:noProof/>
          <w:sz w:val="24"/>
        </w:rPr>
        <w:t>Turquía</w:t>
      </w:r>
      <w:r>
        <w:rPr>
          <w:rFonts w:ascii="Times New Roman" w:hAnsi="Times New Roman"/>
          <w:noProof/>
          <w:sz w:val="24"/>
        </w:rPr>
        <w:t xml:space="preserve">, ha continuado el grave </w:t>
      </w:r>
      <w:r>
        <w:rPr>
          <w:rFonts w:ascii="Times New Roman" w:hAnsi="Times New Roman"/>
          <w:b/>
          <w:noProof/>
          <w:sz w:val="24"/>
        </w:rPr>
        <w:t>retroceso</w:t>
      </w:r>
      <w:r>
        <w:rPr>
          <w:rFonts w:ascii="Times New Roman" w:hAnsi="Times New Roman"/>
          <w:noProof/>
          <w:sz w:val="24"/>
        </w:rPr>
        <w:t xml:space="preserve"> en la economía, lo que suscita una profunda preocupación acer</w:t>
      </w:r>
      <w:r>
        <w:rPr>
          <w:rFonts w:ascii="Times New Roman" w:hAnsi="Times New Roman"/>
          <w:noProof/>
          <w:sz w:val="24"/>
        </w:rPr>
        <w:t xml:space="preserve">ca de la viabilidad de su economía de mercado. Las condiciones económicas empeoraron en 2018 debido al marcado deterioro de las condiciones de financiación, que puso de manifiesto las vulnerabilidades macroeconómicas gestadas durante años. </w:t>
      </w:r>
      <w:r>
        <w:rPr>
          <w:rFonts w:ascii="Times New Roman" w:hAnsi="Times New Roman"/>
          <w:b/>
          <w:noProof/>
          <w:sz w:val="24"/>
        </w:rPr>
        <w:t>La gobernanza ec</w:t>
      </w:r>
      <w:r>
        <w:rPr>
          <w:rFonts w:ascii="Times New Roman" w:hAnsi="Times New Roman"/>
          <w:b/>
          <w:noProof/>
          <w:sz w:val="24"/>
        </w:rPr>
        <w:t>onómica se ha deteriorado</w:t>
      </w:r>
      <w:r>
        <w:rPr>
          <w:rFonts w:ascii="Times New Roman" w:hAnsi="Times New Roman"/>
          <w:noProof/>
          <w:sz w:val="24"/>
        </w:rPr>
        <w:t xml:space="preserve"> aún más al haber una mayor injerencia del Estado en la economía. Turquía debe invertir la tendencia de retroceso en las reformas del mercado. </w:t>
      </w:r>
    </w:p>
    <w:p w:rsidR="00D96FAD" w:rsidRDefault="00E3669E">
      <w:pPr>
        <w:spacing w:after="120" w:line="240" w:lineRule="auto"/>
        <w:jc w:val="both"/>
        <w:rPr>
          <w:rFonts w:ascii="Times New Roman" w:eastAsia="Calibri" w:hAnsi="Times New Roman" w:cs="Times New Roman"/>
          <w:bCs/>
          <w:noProof/>
          <w:sz w:val="24"/>
          <w:szCs w:val="24"/>
        </w:rPr>
      </w:pPr>
      <w:r>
        <w:rPr>
          <w:rFonts w:ascii="Times New Roman" w:hAnsi="Times New Roman"/>
          <w:noProof/>
          <w:sz w:val="24"/>
        </w:rPr>
        <w:t xml:space="preserve">En el caso de los </w:t>
      </w:r>
      <w:r>
        <w:rPr>
          <w:rFonts w:ascii="Times New Roman" w:hAnsi="Times New Roman"/>
          <w:b/>
          <w:noProof/>
          <w:sz w:val="24"/>
        </w:rPr>
        <w:t>Balcanes Occidentales</w:t>
      </w:r>
      <w:r>
        <w:rPr>
          <w:rFonts w:ascii="Times New Roman" w:hAnsi="Times New Roman"/>
          <w:noProof/>
          <w:sz w:val="24"/>
        </w:rPr>
        <w:t xml:space="preserve">, el </w:t>
      </w:r>
      <w:r>
        <w:rPr>
          <w:rFonts w:ascii="Times New Roman" w:hAnsi="Times New Roman"/>
          <w:b/>
          <w:noProof/>
          <w:sz w:val="24"/>
        </w:rPr>
        <w:t>clima de inversión</w:t>
      </w:r>
      <w:r>
        <w:rPr>
          <w:rFonts w:ascii="Times New Roman" w:hAnsi="Times New Roman"/>
          <w:noProof/>
          <w:sz w:val="24"/>
        </w:rPr>
        <w:t xml:space="preserve">, que se ha mantenido en </w:t>
      </w:r>
      <w:r>
        <w:rPr>
          <w:rFonts w:ascii="Times New Roman" w:hAnsi="Times New Roman"/>
          <w:noProof/>
          <w:sz w:val="24"/>
        </w:rPr>
        <w:t>gran medida sin cambios, se caracteriza por la debilidad del Estado de Derecho, la falta de un control adecuado de las ayudas públicas, el arraigo de la economía sumergida, el escaso acceso a la financiación y un bajo nivel de integración y conectividad re</w:t>
      </w:r>
      <w:r>
        <w:rPr>
          <w:rFonts w:ascii="Times New Roman" w:hAnsi="Times New Roman"/>
          <w:noProof/>
          <w:sz w:val="24"/>
        </w:rPr>
        <w:t>gionales. La influencia del Estado en la economía persiste, y ello dispara el riesgo de corrupción a causa de la pobre gestión de las finanzas públicas y los cambios frecuentes en el marco normativo y los impuestos. Es imperioso modernizar y mejorar la inf</w:t>
      </w:r>
      <w:r>
        <w:rPr>
          <w:rFonts w:ascii="Times New Roman" w:hAnsi="Times New Roman"/>
          <w:noProof/>
          <w:sz w:val="24"/>
        </w:rPr>
        <w:t>raestructura, y las inversiones deben canalizarse a través de carteras de proyectos únicos y ser coherentes con las prioridades acordadas con la UE. Las decisiones sobre grandes inversiones han de basarse en la transparencia y en una estricta diligencia de</w:t>
      </w:r>
      <w:r>
        <w:rPr>
          <w:rFonts w:ascii="Times New Roman" w:hAnsi="Times New Roman"/>
          <w:noProof/>
          <w:sz w:val="24"/>
        </w:rPr>
        <w:t xml:space="preserve">bida, como ocurre en el caso de los proyectos de conectividad financiados a través del Marco de Inversión para los Balcanes Occidentales. </w:t>
      </w:r>
    </w:p>
    <w:p w:rsidR="00D96FAD" w:rsidRDefault="00E3669E">
      <w:pPr>
        <w:spacing w:after="120" w:line="240" w:lineRule="auto"/>
        <w:jc w:val="both"/>
        <w:rPr>
          <w:noProof/>
        </w:rPr>
      </w:pPr>
      <w:r>
        <w:rPr>
          <w:rFonts w:ascii="Times New Roman" w:hAnsi="Times New Roman"/>
          <w:noProof/>
          <w:sz w:val="24"/>
        </w:rPr>
        <w:t xml:space="preserve">La integración regional es clave para mejorar el nivel de vida en los Balcanes Occidentales. La creación de un </w:t>
      </w:r>
      <w:r>
        <w:rPr>
          <w:rFonts w:ascii="Times New Roman" w:hAnsi="Times New Roman"/>
          <w:b/>
          <w:noProof/>
          <w:sz w:val="24"/>
        </w:rPr>
        <w:t>Espaci</w:t>
      </w:r>
      <w:r>
        <w:rPr>
          <w:rFonts w:ascii="Times New Roman" w:hAnsi="Times New Roman"/>
          <w:b/>
          <w:noProof/>
          <w:sz w:val="24"/>
        </w:rPr>
        <w:t>o Económico Regional</w:t>
      </w:r>
      <w:r>
        <w:rPr>
          <w:rFonts w:ascii="Times New Roman" w:hAnsi="Times New Roman"/>
          <w:noProof/>
          <w:sz w:val="24"/>
        </w:rPr>
        <w:t xml:space="preserve"> (EER) redunda en una mayor competencia y favorece el desarrollo de economías de escala y el incremento de la productividad. Además de abrir el comercio intrarregional, la existencia de un mercado regional aumentaría el atractivo de los</w:t>
      </w:r>
      <w:r>
        <w:rPr>
          <w:rFonts w:ascii="Times New Roman" w:hAnsi="Times New Roman"/>
          <w:noProof/>
          <w:sz w:val="24"/>
        </w:rPr>
        <w:t xml:space="preserve"> Balcanes Occidentales como destino de inversión. La integración del mercado sobre la base de las reglas y normas de la UE ayudará a crear oportunidades para el desarrollo de nuevas cadenas de valor y el aumento del atractivo de la región de cara a la inve</w:t>
      </w:r>
      <w:r>
        <w:rPr>
          <w:rFonts w:ascii="Times New Roman" w:hAnsi="Times New Roman"/>
          <w:noProof/>
          <w:sz w:val="24"/>
        </w:rPr>
        <w:t>rsión extranjera directa, en particular, la procedente de la UE. La mejora de la conectividad en los ámbitos del transporte y de la energía acelerará la integración de la región en las redes paneuropeas, al tiempo que reforzará la competitividad de los mer</w:t>
      </w:r>
      <w:r>
        <w:rPr>
          <w:rFonts w:ascii="Times New Roman" w:hAnsi="Times New Roman"/>
          <w:noProof/>
          <w:sz w:val="24"/>
        </w:rPr>
        <w:t>cados de la energía y favorecerá el desarrollo de corredores económicos en toda la región. El Tratado de la Comunidad del Transporte, que ya ha sido ratificado por todas las partes, respaldará y reforzará la aplicación de la Agenda de Conectividad. La crea</w:t>
      </w:r>
      <w:r>
        <w:rPr>
          <w:rFonts w:ascii="Times New Roman" w:hAnsi="Times New Roman"/>
          <w:noProof/>
          <w:sz w:val="24"/>
        </w:rPr>
        <w:t>ción de un espacio digital y de unos mercados de trabajo más integrados también abre nuevas posibilidades para los jóvenes de la región.</w:t>
      </w:r>
      <w:r>
        <w:rPr>
          <w:noProof/>
        </w:rPr>
        <w:t xml:space="preserve"> </w:t>
      </w:r>
    </w:p>
    <w:p w:rsidR="00D96FAD" w:rsidRDefault="00E3669E">
      <w:pPr>
        <w:spacing w:after="120" w:line="240" w:lineRule="auto"/>
        <w:jc w:val="both"/>
        <w:rPr>
          <w:rFonts w:ascii="Times New Roman" w:hAnsi="Times New Roman" w:cs="Times New Roman"/>
          <w:noProof/>
          <w:sz w:val="24"/>
          <w:szCs w:val="24"/>
        </w:rPr>
      </w:pPr>
      <w:r>
        <w:rPr>
          <w:rFonts w:ascii="Times New Roman" w:hAnsi="Times New Roman"/>
          <w:noProof/>
          <w:sz w:val="24"/>
        </w:rPr>
        <w:t>El nuevo Acuerdo Regional sobre Itinerancia, firmado en abril de 2019, aportará importantes beneficios a los ciudadano</w:t>
      </w:r>
      <w:r>
        <w:rPr>
          <w:rFonts w:ascii="Times New Roman" w:hAnsi="Times New Roman"/>
          <w:noProof/>
          <w:sz w:val="24"/>
        </w:rPr>
        <w:t xml:space="preserve">s y a las empresas de la región. Gracias a este acuerdo, las tarifas de itinerancia se irán reduciendo progresivamente a partir de julio de 2019 (el precio al por menor de la transferencia de datos y las llamadas disminuirá en un 25 %, y el de los SMS, en </w:t>
      </w:r>
      <w:r>
        <w:rPr>
          <w:rFonts w:ascii="Times New Roman" w:hAnsi="Times New Roman"/>
          <w:noProof/>
          <w:sz w:val="24"/>
        </w:rPr>
        <w:t>un 33 %) hasta desaparecer por completo en julio de 2021. Los usuarios móviles de la región podrán disfrutar plenamente de las ventajas de sus paquetes nacionales cuando estén en itinerancia en los Balcanes Occidentales, sin coste adicional alguno. El acue</w:t>
      </w:r>
      <w:r>
        <w:rPr>
          <w:rFonts w:ascii="Times New Roman" w:hAnsi="Times New Roman"/>
          <w:noProof/>
          <w:sz w:val="24"/>
        </w:rPr>
        <w:t xml:space="preserve">rdo también allana el camino para la elaboración de un plan de actuación con miras a la reducción de los costes de itinerancia entre los Balcanes Occidentales y la UE, tal y como se establece en la </w:t>
      </w:r>
      <w:r>
        <w:rPr>
          <w:rFonts w:ascii="Times New Roman" w:hAnsi="Times New Roman"/>
          <w:b/>
          <w:noProof/>
          <w:sz w:val="24"/>
        </w:rPr>
        <w:t>Agenda Digital</w:t>
      </w:r>
      <w:r>
        <w:rPr>
          <w:rFonts w:ascii="Times New Roman" w:hAnsi="Times New Roman"/>
          <w:noProof/>
          <w:sz w:val="24"/>
        </w:rPr>
        <w:t xml:space="preserve"> para los Balcanes Occidentales. </w:t>
      </w:r>
    </w:p>
    <w:p w:rsidR="00D96FAD" w:rsidRDefault="00E3669E">
      <w:pPr>
        <w:spacing w:after="120" w:line="240" w:lineRule="auto"/>
        <w:jc w:val="both"/>
        <w:rPr>
          <w:rFonts w:ascii="Times New Roman" w:hAnsi="Times New Roman" w:cs="Times New Roman"/>
          <w:noProof/>
          <w:sz w:val="24"/>
          <w:szCs w:val="24"/>
        </w:rPr>
      </w:pPr>
      <w:r>
        <w:rPr>
          <w:rFonts w:ascii="Times New Roman" w:hAnsi="Times New Roman"/>
          <w:noProof/>
          <w:sz w:val="24"/>
        </w:rPr>
        <w:t>La UE sigu</w:t>
      </w:r>
      <w:r>
        <w:rPr>
          <w:rFonts w:ascii="Times New Roman" w:hAnsi="Times New Roman"/>
          <w:noProof/>
          <w:sz w:val="24"/>
        </w:rPr>
        <w:t>e siendo, con diferencia, el mayor socio comercial de los Balcanes Occidentales, tanto en el caso de las importaciones (73,5 %) como en el caso de las exportaciones (80,6 %). Las empresas de la UE, que proporcionan el 73 % de la inversión extranjera direct</w:t>
      </w:r>
      <w:r>
        <w:rPr>
          <w:rFonts w:ascii="Times New Roman" w:hAnsi="Times New Roman"/>
          <w:noProof/>
          <w:sz w:val="24"/>
        </w:rPr>
        <w:t xml:space="preserve">a, son los mayores inversores de la región y, por tanto, el principal motor externo para el crecimiento y la creación de empleo. Es fundamental </w:t>
      </w:r>
      <w:r>
        <w:rPr>
          <w:rFonts w:ascii="Times New Roman" w:hAnsi="Times New Roman"/>
          <w:b/>
          <w:noProof/>
          <w:sz w:val="24"/>
        </w:rPr>
        <w:t>consolidar la resiliencia</w:t>
      </w:r>
      <w:r>
        <w:rPr>
          <w:rFonts w:ascii="Times New Roman" w:hAnsi="Times New Roman"/>
          <w:noProof/>
          <w:sz w:val="24"/>
        </w:rPr>
        <w:t xml:space="preserve"> de la región a fin de garantizar que toda actividad económica financiada con fondos ex</w:t>
      </w:r>
      <w:r>
        <w:rPr>
          <w:rFonts w:ascii="Times New Roman" w:hAnsi="Times New Roman"/>
          <w:noProof/>
          <w:sz w:val="24"/>
        </w:rPr>
        <w:t xml:space="preserve">tranjeros se ciñe a los valores, las normas y los estándares de la UE, en particular, en ámbitos clave como el Estado de Derecho, la contratación pública, el medio ambiente, la energía, las infraestructuras y la competencia. La </w:t>
      </w:r>
      <w:r>
        <w:rPr>
          <w:rFonts w:ascii="Times New Roman" w:hAnsi="Times New Roman"/>
          <w:b/>
          <w:noProof/>
          <w:sz w:val="24"/>
        </w:rPr>
        <w:t>actividad empresarial e inve</w:t>
      </w:r>
      <w:r>
        <w:rPr>
          <w:rFonts w:ascii="Times New Roman" w:hAnsi="Times New Roman"/>
          <w:b/>
          <w:noProof/>
          <w:sz w:val="24"/>
        </w:rPr>
        <w:t>rsora de China</w:t>
      </w:r>
      <w:r>
        <w:rPr>
          <w:rFonts w:ascii="Times New Roman" w:hAnsi="Times New Roman"/>
          <w:noProof/>
          <w:sz w:val="24"/>
        </w:rPr>
        <w:t xml:space="preserve"> en los Balcanes Occidentales, que ha ido en aumento, puede, en principio, brindar nuevas oportunidades a la región; sin embargo, este tipo de inversiones suelen descuidar la parte relativa a la sostenibilidad socioeconómica y financiera y pa</w:t>
      </w:r>
      <w:r>
        <w:rPr>
          <w:rFonts w:ascii="Times New Roman" w:hAnsi="Times New Roman"/>
          <w:noProof/>
          <w:sz w:val="24"/>
        </w:rPr>
        <w:t>sar por alto las normas de la UE en materia de contratación pública, de modo que pueden acabar dando lugar a un alto nivel de endeudamiento y a la transferencia del control sobre activos y recursos estratégicos. En vista de ello, los países socios deben ap</w:t>
      </w:r>
      <w:r>
        <w:rPr>
          <w:rFonts w:ascii="Times New Roman" w:hAnsi="Times New Roman"/>
          <w:noProof/>
          <w:sz w:val="24"/>
        </w:rPr>
        <w:t>licar íntegramente los Acuerdos de Asociación y Estabilización con la UE, tanto en el fondo como en la forma, y dar prioridad a las reformas relativas a los capítulos de negociación pertinentes del proceso de adhesión. La UE ha de orientar estas reformas c</w:t>
      </w:r>
      <w:r>
        <w:rPr>
          <w:rFonts w:ascii="Times New Roman" w:hAnsi="Times New Roman"/>
          <w:noProof/>
          <w:sz w:val="24"/>
        </w:rPr>
        <w:t>on mayor firmeza y tener presentes las cuestiones mencionadas en futuros marcos de negociación.</w:t>
      </w:r>
    </w:p>
    <w:p w:rsidR="00D96FAD" w:rsidRDefault="00E3669E">
      <w:pPr>
        <w:spacing w:after="120" w:line="240" w:lineRule="auto"/>
        <w:jc w:val="both"/>
        <w:rPr>
          <w:rFonts w:ascii="Times New Roman" w:hAnsi="Times New Roman" w:cs="Times New Roman"/>
          <w:noProof/>
          <w:color w:val="FF0000"/>
          <w:sz w:val="24"/>
          <w:szCs w:val="24"/>
        </w:rPr>
      </w:pPr>
      <w:r>
        <w:rPr>
          <w:rFonts w:ascii="Times New Roman" w:hAnsi="Times New Roman"/>
          <w:noProof/>
          <w:sz w:val="24"/>
        </w:rPr>
        <w:t xml:space="preserve">La UE contribuye a la mejora de la gobernanza económica en los Balcanes Occidentales y Turquía mediante el </w:t>
      </w:r>
      <w:r>
        <w:rPr>
          <w:rFonts w:ascii="Times New Roman" w:hAnsi="Times New Roman"/>
          <w:b/>
          <w:noProof/>
          <w:sz w:val="24"/>
        </w:rPr>
        <w:t>proceso anual del programa de reforma económica</w:t>
      </w:r>
      <w:r>
        <w:rPr>
          <w:rFonts w:ascii="Times New Roman" w:hAnsi="Times New Roman"/>
          <w:noProof/>
          <w:sz w:val="24"/>
        </w:rPr>
        <w:t>. Este</w:t>
      </w:r>
      <w:r>
        <w:rPr>
          <w:rFonts w:ascii="Times New Roman" w:hAnsi="Times New Roman"/>
          <w:noProof/>
          <w:sz w:val="24"/>
        </w:rPr>
        <w:t xml:space="preserve"> proceso, que forma parte de la preparación para la adhesión a la UE, se ha convertido en el instrumento clave para formular y aplicar reformas macroeconómicas y estructurales destinadas a incrementar la competitividad e impulsar el crecimiento y la creaci</w:t>
      </w:r>
      <w:r>
        <w:rPr>
          <w:rFonts w:ascii="Times New Roman" w:hAnsi="Times New Roman"/>
          <w:noProof/>
          <w:sz w:val="24"/>
        </w:rPr>
        <w:t>ón de empleo. Contribuye a consolidar un crecimiento sostenible a largo plazo y la convergencia, facilita la formulación de políticas y favorece los progresos en pos del cumplimiento de los criterios económicos de adhesión. A fin de mejorar la aplicación d</w:t>
      </w:r>
      <w:r>
        <w:rPr>
          <w:rFonts w:ascii="Times New Roman" w:hAnsi="Times New Roman"/>
          <w:noProof/>
          <w:sz w:val="24"/>
        </w:rPr>
        <w:t>e las reformas señaladas, es preciso trabajar en el refuerzo de la implicación.</w:t>
      </w:r>
      <w:r>
        <w:rPr>
          <w:rFonts w:ascii="Times New Roman" w:hAnsi="Times New Roman"/>
          <w:noProof/>
          <w:color w:val="FF0000"/>
          <w:sz w:val="24"/>
        </w:rPr>
        <w:t xml:space="preserve"> </w:t>
      </w:r>
    </w:p>
    <w:p w:rsidR="00D96FAD" w:rsidRDefault="00E3669E">
      <w:pPr>
        <w:spacing w:after="120" w:line="240" w:lineRule="auto"/>
        <w:jc w:val="both"/>
        <w:rPr>
          <w:rFonts w:ascii="Times New Roman" w:hAnsi="Times New Roman" w:cs="Times New Roman"/>
          <w:noProof/>
          <w:sz w:val="24"/>
          <w:szCs w:val="24"/>
        </w:rPr>
      </w:pPr>
      <w:r>
        <w:rPr>
          <w:rFonts w:ascii="Times New Roman" w:hAnsi="Times New Roman"/>
          <w:noProof/>
          <w:sz w:val="24"/>
        </w:rPr>
        <w:t>El desarrollo económico y el aumento de las oportunidades de empleo son fundamentales también para poner freno a los problemas demográficos de los Balcanes Occidentales, donde</w:t>
      </w:r>
      <w:r>
        <w:rPr>
          <w:rFonts w:ascii="Times New Roman" w:hAnsi="Times New Roman"/>
          <w:noProof/>
          <w:sz w:val="24"/>
        </w:rPr>
        <w:t xml:space="preserve"> las elevadas tasas de emigración van acompañadas de bajas tasas de natalidad. Sin unas economías más fuertes y una gobernanza democrática en sentido amplio, estos fenómenos persistirán, con los consiguientes riesgos de desencanto generalizado, especialmen</w:t>
      </w:r>
      <w:r>
        <w:rPr>
          <w:rFonts w:ascii="Times New Roman" w:hAnsi="Times New Roman"/>
          <w:noProof/>
          <w:sz w:val="24"/>
        </w:rPr>
        <w:t>te entre los jóvenes, y fuga de cerebros.</w:t>
      </w:r>
    </w:p>
    <w:p w:rsidR="00D96FAD" w:rsidRDefault="00E3669E">
      <w:pPr>
        <w:keepNext/>
        <w:spacing w:after="120" w:line="240" w:lineRule="auto"/>
        <w:jc w:val="both"/>
        <w:rPr>
          <w:rFonts w:ascii="Times New Roman" w:hAnsi="Times New Roman" w:cs="Times New Roman"/>
          <w:b/>
          <w:noProof/>
          <w:sz w:val="24"/>
          <w:szCs w:val="24"/>
        </w:rPr>
      </w:pPr>
      <w:r>
        <w:rPr>
          <w:rFonts w:ascii="Times New Roman" w:hAnsi="Times New Roman"/>
          <w:b/>
          <w:noProof/>
          <w:sz w:val="24"/>
        </w:rPr>
        <w:t xml:space="preserve">g) </w:t>
      </w:r>
      <w:r>
        <w:rPr>
          <w:noProof/>
        </w:rPr>
        <w:tab/>
      </w:r>
      <w:r>
        <w:rPr>
          <w:rFonts w:ascii="Times New Roman" w:hAnsi="Times New Roman"/>
          <w:b/>
          <w:noProof/>
          <w:sz w:val="24"/>
        </w:rPr>
        <w:t>Cooperación regional y relaciones de buena vecindad</w:t>
      </w:r>
    </w:p>
    <w:p w:rsidR="00D96FAD" w:rsidRDefault="00E3669E">
      <w:pPr>
        <w:pStyle w:val="Kosovo"/>
      </w:pPr>
      <w:r>
        <w:t xml:space="preserve">La política de ampliación de la UE debe seguir exportando estabilidad. Por tanto, la UE no solo no puede importar </w:t>
      </w:r>
      <w:r>
        <w:rPr>
          <w:b/>
        </w:rPr>
        <w:t>conflictos bilaterales</w:t>
      </w:r>
      <w:r>
        <w:t>, con la inestabilidad</w:t>
      </w:r>
      <w:r>
        <w:t xml:space="preserve"> que ello conlleva, sino que tampoco lo hará. Antes de que un país se adhiera, es preciso hallar soluciones definitivas y vinculantes que contribuyan a la estabilidad regional y aplicarlas. El acuerdo histórico celebrado entre Macedonia del Norte y Grecia,</w:t>
      </w:r>
      <w:r>
        <w:t xml:space="preserve"> </w:t>
      </w:r>
      <w:r>
        <w:rPr>
          <w:color w:val="auto"/>
        </w:rPr>
        <w:t>con el que se ha puesto fin a una disputa relacionada con la denominación del país que duraba ya veintisiete años, constituye un ejemplo de reconciliación dentro y fuera de la región</w:t>
      </w:r>
      <w:r>
        <w:t>.</w:t>
      </w:r>
      <w:r>
        <w:rPr>
          <w:color w:val="auto"/>
        </w:rPr>
        <w:t xml:space="preserve"> </w:t>
      </w:r>
      <w:r>
        <w:t>Sin embargo, se necesitan con urgencia más esfuerzos firmes y convincen</w:t>
      </w:r>
      <w:r>
        <w:t>tes en todos los Balcanes Occidentales. Las relaciones entre Pristina y Belgrado han empeorado, sobre todo tras la última de una serie de provocaciones por ambas partes: la decisión de Kosovo de imponer aranceles del 100 % a las importaciones procedentes d</w:t>
      </w:r>
      <w:r>
        <w:t>e Serbia y de Bosnia y Herzegovina</w:t>
      </w:r>
      <w:r>
        <w:rPr>
          <w:color w:val="auto"/>
        </w:rPr>
        <w:t>, contraviniendo el Acuerdo Centroeuropeo de Libre Comercio.</w:t>
      </w:r>
      <w:r>
        <w:t xml:space="preserve"> Kosovo debe revocar esta decisión urgentemente, y ambas partes deben abstenerse de adoptar nuevas medidas que puedan considerarse una provocación. Es urgente ava</w:t>
      </w:r>
      <w:r>
        <w:t>nzar en lo referente al diálogo facilitado por la UE hacia la plena normalización de las relaciones entre Serbia y Kosovo, cuyo resultado debe ser la celebración y aplicación de un acuerdo de normalización global y jurídicamente vinculante.</w:t>
      </w:r>
    </w:p>
    <w:p w:rsidR="00D96FAD" w:rsidRDefault="00E3669E">
      <w:pPr>
        <w:pStyle w:val="Default"/>
        <w:spacing w:after="120"/>
        <w:jc w:val="both"/>
        <w:rPr>
          <w:rFonts w:ascii="Times New Roman" w:eastAsia="Calibri" w:hAnsi="Times New Roman"/>
          <w:noProof/>
        </w:rPr>
      </w:pPr>
      <w:r>
        <w:rPr>
          <w:rFonts w:ascii="Times New Roman" w:hAnsi="Times New Roman"/>
          <w:noProof/>
        </w:rPr>
        <w:t>Las</w:t>
      </w:r>
      <w:r>
        <w:rPr>
          <w:noProof/>
        </w:rPr>
        <w:t></w:t>
      </w:r>
      <w:r>
        <w:rPr>
          <w:rFonts w:ascii="Times New Roman" w:hAnsi="Times New Roman"/>
          <w:b/>
          <w:noProof/>
        </w:rPr>
        <w:t xml:space="preserve">relaciones </w:t>
      </w:r>
      <w:r>
        <w:rPr>
          <w:rFonts w:ascii="Times New Roman" w:hAnsi="Times New Roman"/>
          <w:b/>
          <w:noProof/>
        </w:rPr>
        <w:t>de buena vecindad</w:t>
      </w:r>
      <w:r>
        <w:rPr>
          <w:rFonts w:ascii="Times New Roman" w:hAnsi="Times New Roman"/>
          <w:noProof/>
        </w:rPr>
        <w:t xml:space="preserve"> y la cooperación regional son elementos esenciales de los procesos de estabilización y asociación y de ampliación. Con la Cumbre de Sofía se renovó el compromiso de consolidar las relaciones de buena vecindad, la estabilidad regional y la</w:t>
      </w:r>
      <w:r>
        <w:rPr>
          <w:rFonts w:ascii="Times New Roman" w:hAnsi="Times New Roman"/>
          <w:noProof/>
        </w:rPr>
        <w:t xml:space="preserve"> cooperación mutua. Han proseguido los contactos periódicos entre Gobiernos, así como el diálogo técnico y la cooperación a nivel bilateral y regional. No obstante, se necesitan más esfuerzos, en particular en los ámbitos más delicados. Debe intensificarse</w:t>
      </w:r>
      <w:r>
        <w:rPr>
          <w:rFonts w:ascii="Times New Roman" w:hAnsi="Times New Roman"/>
          <w:noProof/>
        </w:rPr>
        <w:t xml:space="preserve"> la cooperación regional especialmente en lo relativo a los crímenes de guerra, en particular, mediante iniciativas de reconciliación, como la creación de una comisión regional de esclarecimiento de la verdad. También es necesario seguir trabajando en la c</w:t>
      </w:r>
      <w:r>
        <w:rPr>
          <w:rFonts w:ascii="Times New Roman" w:hAnsi="Times New Roman"/>
          <w:noProof/>
        </w:rPr>
        <w:t>uestión de las personas desaparecidas, ámbito para el cual la adopción del plan de acción marco regional representa un importante paso adelante. Deben evitarse las declaraciones o actuaciones que repercutan negativamente en las relaciones de buena vecindad</w:t>
      </w:r>
      <w:r>
        <w:rPr>
          <w:rFonts w:ascii="Times New Roman" w:hAnsi="Times New Roman"/>
          <w:noProof/>
        </w:rPr>
        <w:t xml:space="preserve">. En la UE no hay lugar para discursos incendiarios ni para el enaltecimiento de los criminales de guerra, sean del bando que sean. </w:t>
      </w:r>
    </w:p>
    <w:p w:rsidR="00D96FAD" w:rsidRDefault="00E3669E">
      <w:pPr>
        <w:spacing w:after="120" w:line="240" w:lineRule="auto"/>
        <w:jc w:val="both"/>
        <w:rPr>
          <w:rFonts w:ascii="Times New Roman" w:eastAsia="Calibri" w:hAnsi="Times New Roman"/>
          <w:bCs/>
          <w:noProof/>
          <w:sz w:val="24"/>
          <w:szCs w:val="24"/>
        </w:rPr>
      </w:pPr>
      <w:r>
        <w:rPr>
          <w:rFonts w:ascii="Times New Roman" w:hAnsi="Times New Roman"/>
          <w:noProof/>
          <w:sz w:val="24"/>
        </w:rPr>
        <w:t xml:space="preserve">Ha continuado la </w:t>
      </w:r>
      <w:r>
        <w:rPr>
          <w:rFonts w:ascii="Times New Roman" w:hAnsi="Times New Roman"/>
          <w:b/>
          <w:noProof/>
          <w:sz w:val="24"/>
        </w:rPr>
        <w:t>cooperación regional</w:t>
      </w:r>
      <w:r>
        <w:rPr>
          <w:rFonts w:ascii="Times New Roman" w:hAnsi="Times New Roman"/>
          <w:noProof/>
          <w:sz w:val="24"/>
        </w:rPr>
        <w:t>, un ámbito para el cual la Agenda de Conectividad de la UE ha desempeñado un papel im</w:t>
      </w:r>
      <w:r>
        <w:rPr>
          <w:rFonts w:ascii="Times New Roman" w:hAnsi="Times New Roman"/>
          <w:noProof/>
          <w:sz w:val="24"/>
        </w:rPr>
        <w:t>portante, especialmente gracias a la adopción del Plan de Acción para el Espacio Económico Regional, el desarrollo de redes de transporte y energía, la Agenda Digital y la realización de proyectos de movilidad juvenil con el apoyo de la Oficina Regional de</w:t>
      </w:r>
      <w:r>
        <w:rPr>
          <w:rFonts w:ascii="Times New Roman" w:hAnsi="Times New Roman"/>
          <w:noProof/>
          <w:sz w:val="24"/>
        </w:rPr>
        <w:t xml:space="preserve"> Cooperación Juvenil. El programa Erasmus+ ha seguido promoviendo el diálogo intercultural en la educación superior y entre los jóvenes. El Proceso de Cooperación de Europa Sudoriental y otras iniciativas regionales también han contribuido al fomento de la</w:t>
      </w:r>
      <w:r>
        <w:rPr>
          <w:rFonts w:ascii="Times New Roman" w:hAnsi="Times New Roman"/>
          <w:noProof/>
          <w:sz w:val="24"/>
        </w:rPr>
        <w:t xml:space="preserve"> estabilización y la cooperación. Se han realizado ciertos progresos en la concreción sobre el terreno de proyectos de conectividad. No obstante, se necesitan esfuerzos adicionales considerables para cumplir las obligaciones pendientes de los acuerdos y co</w:t>
      </w:r>
      <w:r>
        <w:rPr>
          <w:rFonts w:ascii="Times New Roman" w:hAnsi="Times New Roman"/>
          <w:noProof/>
          <w:sz w:val="24"/>
        </w:rPr>
        <w:t>mpromisos regionales y hacer que se apliquen en la práctica, sin olvidar las medidas de reforma en materia de conectividad acordadas en 2015. Las prioridades en materia de conectividad y medio ambiente en la región requerirán especialmente fuertes sinergia</w:t>
      </w:r>
      <w:r>
        <w:rPr>
          <w:rFonts w:ascii="Times New Roman" w:hAnsi="Times New Roman"/>
          <w:noProof/>
          <w:sz w:val="24"/>
        </w:rPr>
        <w:t>s con los Estados miembros vecinos, en particular, a través de la Estrategia de la Unión Europea para la región del Adriático y del Jónico. No debe haber ningún obstáculo para la participación plena e inclusiva de todos los socios de los Balcanes Occidenta</w:t>
      </w:r>
      <w:r>
        <w:rPr>
          <w:rFonts w:ascii="Times New Roman" w:hAnsi="Times New Roman"/>
          <w:noProof/>
          <w:sz w:val="24"/>
        </w:rPr>
        <w:t>les en las iniciativas y los actos de cooperación regional. En general, la cooperación regional no puede imponerse desde el exterior, sino que debe ser impulsada de manera más activa por los países de la región, que ha de asumir plenamente los esfuerzos qu</w:t>
      </w:r>
      <w:r>
        <w:rPr>
          <w:rFonts w:ascii="Times New Roman" w:hAnsi="Times New Roman"/>
          <w:noProof/>
          <w:sz w:val="24"/>
        </w:rPr>
        <w:t>e contribuyen a la estabilidad, la reconciliación y el aumento de las oportunidades económicas.</w:t>
      </w:r>
    </w:p>
    <w:p w:rsidR="00D96FAD" w:rsidRDefault="00E3669E">
      <w:pPr>
        <w:pStyle w:val="Default"/>
        <w:spacing w:after="120"/>
        <w:jc w:val="both"/>
        <w:rPr>
          <w:rFonts w:ascii="Times New Roman" w:eastAsia="Calibri" w:hAnsi="Times New Roman"/>
          <w:bCs/>
          <w:noProof/>
        </w:rPr>
      </w:pPr>
      <w:r>
        <w:rPr>
          <w:rFonts w:ascii="Times New Roman" w:hAnsi="Times New Roman"/>
          <w:noProof/>
        </w:rPr>
        <w:t>Partiendo de la declaración firmada en la reunión ministerial de febrero de 2019 sobre la transición a la energía limpia, hay un margen considerable para que lo</w:t>
      </w:r>
      <w:r>
        <w:rPr>
          <w:rFonts w:ascii="Times New Roman" w:hAnsi="Times New Roman"/>
          <w:noProof/>
        </w:rPr>
        <w:t xml:space="preserve">s Balcanes Occidentales pongan en marcha una </w:t>
      </w:r>
      <w:r>
        <w:rPr>
          <w:rFonts w:ascii="Times New Roman" w:hAnsi="Times New Roman"/>
          <w:b/>
          <w:noProof/>
        </w:rPr>
        <w:t>«agenda ecológica»</w:t>
      </w:r>
      <w:r>
        <w:rPr>
          <w:rFonts w:ascii="Times New Roman" w:hAnsi="Times New Roman"/>
          <w:noProof/>
        </w:rPr>
        <w:t xml:space="preserve"> para la región que aborde las cuestiones medioambientales, desde la eliminación de residuos y la contaminación atmosférica hasta problemas más amplios como el cambio climático. Esto no solo tendría beneficios directos en la salud y el bienestar de sus ciu</w:t>
      </w:r>
      <w:r>
        <w:rPr>
          <w:rFonts w:ascii="Times New Roman" w:hAnsi="Times New Roman"/>
          <w:noProof/>
        </w:rPr>
        <w:t xml:space="preserve">dadanos, sino que, además, aumentaría el atractivo de la región de cara a las inversiones y el turismo, y permitiría aprovechar el enorme potencial económico del crecimiento ecológico y la economía circular. </w:t>
      </w:r>
    </w:p>
    <w:p w:rsidR="00D96FAD" w:rsidRDefault="00E3669E">
      <w:pPr>
        <w:pStyle w:val="Default"/>
        <w:spacing w:after="120"/>
        <w:jc w:val="both"/>
        <w:rPr>
          <w:rFonts w:ascii="Times New Roman" w:eastAsia="Calibri" w:hAnsi="Times New Roman"/>
          <w:noProof/>
        </w:rPr>
      </w:pPr>
      <w:r>
        <w:rPr>
          <w:rFonts w:ascii="Times New Roman" w:hAnsi="Times New Roman"/>
          <w:noProof/>
        </w:rPr>
        <w:t>Es importante preservar los progresos realizado</w:t>
      </w:r>
      <w:r>
        <w:rPr>
          <w:rFonts w:ascii="Times New Roman" w:hAnsi="Times New Roman"/>
          <w:noProof/>
        </w:rPr>
        <w:t xml:space="preserve">s hasta la fecha en el marco de las </w:t>
      </w:r>
      <w:r>
        <w:rPr>
          <w:rFonts w:ascii="Times New Roman" w:hAnsi="Times New Roman"/>
          <w:b/>
          <w:noProof/>
        </w:rPr>
        <w:t>negociaciones auspiciadas por las Naciones Unidas en relación con Chipre</w:t>
      </w:r>
      <w:r>
        <w:rPr>
          <w:rFonts w:ascii="Times New Roman" w:hAnsi="Times New Roman"/>
          <w:noProof/>
        </w:rPr>
        <w:t xml:space="preserve"> y seguir trabajando en una solución justa, global y viable, sin olvidar los aspectos externos. Será de capital importancia que Turquía mantenga su </w:t>
      </w:r>
      <w:r>
        <w:rPr>
          <w:rFonts w:ascii="Times New Roman" w:hAnsi="Times New Roman"/>
          <w:noProof/>
        </w:rPr>
        <w:t>compromiso con las negociaciones dirigidas a alcanzar una solución justa, global y viable para la cuestión chipriota en el marco de las Naciones Unidas y que siga contribuyendo en términos concretos a dichas negociaciones. Turquía debe cumplir urgentemente</w:t>
      </w:r>
      <w:r>
        <w:rPr>
          <w:rFonts w:ascii="Times New Roman" w:hAnsi="Times New Roman"/>
          <w:noProof/>
        </w:rPr>
        <w:t xml:space="preserve"> su obligación de aplicar de manera íntegra el Protocolo adicional del Acuerdo de Asociación UE-Turquía y avanzar hacia la normalización de las relaciones con la República de Chipre. La Comisión exhorta a Turquía a evitar todo tipo de amenaza, fuente de fr</w:t>
      </w:r>
      <w:r>
        <w:rPr>
          <w:rFonts w:ascii="Times New Roman" w:hAnsi="Times New Roman"/>
          <w:noProof/>
        </w:rPr>
        <w:t>icciones o actuación que perjudique las relaciones de buena vecindad y la resolución pacífica de conflictos. La Comisión insiste en todos los derechos soberanos de los Estados miembros de la UE, lo que incluye, entre otras cosas, el derecho a celebrar acue</w:t>
      </w:r>
      <w:r>
        <w:rPr>
          <w:rFonts w:ascii="Times New Roman" w:hAnsi="Times New Roman"/>
          <w:noProof/>
        </w:rPr>
        <w:t xml:space="preserve">rdos bilaterales y a explorar y explotar los recursos naturales de conformidad con el acervo de la UE y con el Derecho internacional, sin olvidar la Convención de las Naciones Unidas sobre el Derecho del Mar. </w:t>
      </w:r>
    </w:p>
    <w:p w:rsidR="00D96FAD" w:rsidRDefault="00E3669E">
      <w:pPr>
        <w:pStyle w:val="Default"/>
        <w:keepNext/>
        <w:spacing w:after="120"/>
        <w:jc w:val="both"/>
        <w:rPr>
          <w:rFonts w:ascii="Times New Roman" w:eastAsia="Calibri" w:hAnsi="Times New Roman"/>
          <w:b/>
          <w:noProof/>
        </w:rPr>
      </w:pPr>
      <w:r>
        <w:rPr>
          <w:rFonts w:ascii="Times New Roman" w:hAnsi="Times New Roman"/>
          <w:b/>
          <w:noProof/>
        </w:rPr>
        <w:t xml:space="preserve">h) Asistencia financiera de preadhesión en el </w:t>
      </w:r>
      <w:r>
        <w:rPr>
          <w:rFonts w:ascii="Times New Roman" w:hAnsi="Times New Roman"/>
          <w:b/>
          <w:noProof/>
        </w:rPr>
        <w:t>próximo marco financiero plurianual</w:t>
      </w:r>
    </w:p>
    <w:p w:rsidR="00D96FAD" w:rsidRDefault="00E3669E">
      <w:pPr>
        <w:pStyle w:val="Default"/>
        <w:spacing w:after="120"/>
        <w:jc w:val="both"/>
        <w:rPr>
          <w:rFonts w:ascii="Times New Roman" w:eastAsia="Calibri" w:hAnsi="Times New Roman"/>
          <w:noProof/>
        </w:rPr>
      </w:pPr>
      <w:r>
        <w:rPr>
          <w:rFonts w:ascii="Times New Roman" w:hAnsi="Times New Roman"/>
          <w:noProof/>
        </w:rPr>
        <w:t xml:space="preserve">La propuesta de la Comisión relativa al </w:t>
      </w:r>
      <w:r>
        <w:rPr>
          <w:rFonts w:ascii="Times New Roman" w:hAnsi="Times New Roman"/>
          <w:b/>
          <w:noProof/>
        </w:rPr>
        <w:t>Instrumento de Ayuda Preadhesión (IAP III)</w:t>
      </w:r>
      <w:r>
        <w:rPr>
          <w:rStyle w:val="FootnoteReference"/>
          <w:b/>
          <w:noProof/>
        </w:rPr>
        <w:footnoteReference w:id="7"/>
      </w:r>
      <w:r>
        <w:rPr>
          <w:rFonts w:ascii="Times New Roman" w:hAnsi="Times New Roman"/>
          <w:noProof/>
        </w:rPr>
        <w:t xml:space="preserve"> dentro del próximo marco financiero plurianual (2021-2027) prevé un sólido enfoque guiado por objetivos políticos, con </w:t>
      </w:r>
      <w:r>
        <w:rPr>
          <w:rFonts w:ascii="Times New Roman" w:hAnsi="Times New Roman"/>
          <w:b/>
          <w:noProof/>
        </w:rPr>
        <w:t>un despliegue más</w:t>
      </w:r>
      <w:r>
        <w:rPr>
          <w:rFonts w:ascii="Times New Roman" w:hAnsi="Times New Roman"/>
          <w:b/>
          <w:noProof/>
        </w:rPr>
        <w:t xml:space="preserve"> estratégico y dinámico de la ayuda</w:t>
      </w:r>
      <w:r>
        <w:rPr>
          <w:rFonts w:ascii="Times New Roman" w:hAnsi="Times New Roman"/>
          <w:noProof/>
        </w:rPr>
        <w:t>, que da preeminencia a los requisitos fundamentales para la adhesión en la estructura del instrumento. Al orientar de manera más específica la ayuda financiera de la UE hacia las prioridades clave, el IAP III ejercerá un</w:t>
      </w:r>
      <w:r>
        <w:rPr>
          <w:rFonts w:ascii="Times New Roman" w:hAnsi="Times New Roman"/>
          <w:noProof/>
        </w:rPr>
        <w:t xml:space="preserve"> efecto de palanca aún mayor en apoyo de las reformas y hará que los socios se acerquen más a los valores y estándares de la Unión. Se espera que el nuevo IAP III equilibre el rendimiento inherente, incentivando a los socios que progresen y, de una manera </w:t>
      </w:r>
      <w:r>
        <w:rPr>
          <w:rFonts w:ascii="Times New Roman" w:hAnsi="Times New Roman"/>
          <w:noProof/>
        </w:rPr>
        <w:t>equilibrada, garantizando que todos los socios reciban un apoyo equitativo que les ayude en sus esfuerzos de reforma.</w:t>
      </w:r>
    </w:p>
    <w:p w:rsidR="00D96FAD" w:rsidRDefault="00E3669E">
      <w:pPr>
        <w:pStyle w:val="Default"/>
        <w:spacing w:after="120"/>
        <w:jc w:val="both"/>
        <w:rPr>
          <w:rFonts w:ascii="Times New Roman" w:eastAsia="Calibri" w:hAnsi="Times New Roman"/>
          <w:noProof/>
          <w:color w:val="auto"/>
        </w:rPr>
      </w:pPr>
      <w:r>
        <w:rPr>
          <w:rFonts w:ascii="Times New Roman" w:hAnsi="Times New Roman"/>
          <w:noProof/>
          <w:color w:val="auto"/>
        </w:rPr>
        <w:t xml:space="preserve">Este año se celebra el 10.º aniversario del </w:t>
      </w:r>
      <w:r>
        <w:rPr>
          <w:rFonts w:ascii="Times New Roman" w:hAnsi="Times New Roman"/>
          <w:b/>
          <w:noProof/>
          <w:color w:val="auto"/>
        </w:rPr>
        <w:t>Marco de Inversión para los Balcanes Occidentales (MIBO)</w:t>
      </w:r>
      <w:r>
        <w:rPr>
          <w:rFonts w:ascii="Times New Roman" w:hAnsi="Times New Roman"/>
          <w:noProof/>
          <w:color w:val="auto"/>
        </w:rPr>
        <w:t>. Esta fructífera plataforma de cooper</w:t>
      </w:r>
      <w:r>
        <w:rPr>
          <w:rFonts w:ascii="Times New Roman" w:hAnsi="Times New Roman"/>
          <w:noProof/>
          <w:color w:val="auto"/>
        </w:rPr>
        <w:t>ación y coordinación, liderada por la Comisión, reúne a instituciones financieras internacionales y nacionales, así como a donantes bilaterales y a los beneficiarios. A lo largo de los años, ha desempeñado un papel decisivo en la preparación y financiación</w:t>
      </w:r>
      <w:r>
        <w:rPr>
          <w:rFonts w:ascii="Times New Roman" w:hAnsi="Times New Roman"/>
          <w:noProof/>
          <w:color w:val="auto"/>
        </w:rPr>
        <w:t xml:space="preserve"> de importantes proyectos de infraestructura en los Balcanes Occidentales vinculados a la conectividad, aunque también en relación con el medio ambiente y el sector social. La UE ha aportado 925 millones EUR de los fondos de preadhesión, que, hasta el mome</w:t>
      </w:r>
      <w:r>
        <w:rPr>
          <w:rFonts w:ascii="Times New Roman" w:hAnsi="Times New Roman"/>
          <w:noProof/>
          <w:color w:val="auto"/>
        </w:rPr>
        <w:t>nto, han logrado movilizar 5 400 millones EUR en créditos firmados y, según las estimaciones, más de 18 000 millones EUR en inversiones. En consonancia con la Estrategia de los Balcanes Occidentales, el MIBO se seguirá ampliando desde los puntos de vista e</w:t>
      </w:r>
      <w:r>
        <w:rPr>
          <w:rFonts w:ascii="Times New Roman" w:hAnsi="Times New Roman"/>
          <w:noProof/>
          <w:color w:val="auto"/>
        </w:rPr>
        <w:t xml:space="preserve">stratégico y financiero. </w:t>
      </w:r>
    </w:p>
    <w:p w:rsidR="00D96FAD" w:rsidRDefault="00D96FAD">
      <w:pPr>
        <w:pStyle w:val="Default"/>
        <w:spacing w:after="120"/>
        <w:jc w:val="both"/>
        <w:rPr>
          <w:rFonts w:ascii="Times New Roman" w:eastAsia="Calibri" w:hAnsi="Times New Roman"/>
          <w:b/>
          <w:noProof/>
        </w:rPr>
      </w:pPr>
    </w:p>
    <w:p w:rsidR="00D96FAD" w:rsidRDefault="00E3669E">
      <w:pPr>
        <w:spacing w:after="120" w:line="240" w:lineRule="auto"/>
        <w:jc w:val="both"/>
        <w:rPr>
          <w:rFonts w:ascii="Times New Roman" w:hAnsi="Times New Roman" w:cs="Times New Roman"/>
          <w:b/>
          <w:bCs/>
          <w:noProof/>
          <w:sz w:val="24"/>
          <w:szCs w:val="24"/>
        </w:rPr>
      </w:pPr>
      <w:r>
        <w:rPr>
          <w:rFonts w:ascii="Times New Roman" w:hAnsi="Times New Roman"/>
          <w:b/>
          <w:noProof/>
          <w:sz w:val="24"/>
        </w:rPr>
        <w:t xml:space="preserve">III. </w:t>
      </w:r>
      <w:r>
        <w:rPr>
          <w:noProof/>
        </w:rPr>
        <w:tab/>
      </w:r>
      <w:r>
        <w:rPr>
          <w:rFonts w:ascii="Times New Roman" w:hAnsi="Times New Roman"/>
          <w:b/>
          <w:noProof/>
          <w:sz w:val="24"/>
        </w:rPr>
        <w:t xml:space="preserve">CONCLUSIONES Y RECOMENDACIONES </w:t>
      </w:r>
    </w:p>
    <w:p w:rsidR="00D96FAD" w:rsidRDefault="00D96FAD">
      <w:pPr>
        <w:spacing w:after="120" w:line="240" w:lineRule="auto"/>
        <w:jc w:val="both"/>
        <w:rPr>
          <w:rFonts w:ascii="Times New Roman" w:hAnsi="Times New Roman" w:cs="Times New Roman"/>
          <w:noProof/>
          <w:sz w:val="24"/>
          <w:szCs w:val="24"/>
        </w:rPr>
      </w:pPr>
    </w:p>
    <w:p w:rsidR="00D96FAD" w:rsidRDefault="00E3669E">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El proceso de adhesión a la UE sigue basándose en criterios ya fijados, </w:t>
      </w:r>
      <w:r>
        <w:rPr>
          <w:rFonts w:ascii="Times New Roman" w:hAnsi="Times New Roman"/>
          <w:b/>
          <w:noProof/>
          <w:sz w:val="24"/>
        </w:rPr>
        <w:t>condiciones equitativas y rigurosas</w:t>
      </w:r>
      <w:r>
        <w:rPr>
          <w:rFonts w:ascii="Times New Roman" w:hAnsi="Times New Roman"/>
          <w:noProof/>
          <w:sz w:val="24"/>
        </w:rPr>
        <w:t xml:space="preserve">, y el principio de </w:t>
      </w:r>
      <w:r>
        <w:rPr>
          <w:rFonts w:ascii="Times New Roman" w:hAnsi="Times New Roman"/>
          <w:b/>
          <w:noProof/>
          <w:sz w:val="24"/>
        </w:rPr>
        <w:t>méritos propios</w:t>
      </w:r>
      <w:r>
        <w:rPr>
          <w:rFonts w:ascii="Times New Roman" w:hAnsi="Times New Roman"/>
          <w:noProof/>
          <w:sz w:val="24"/>
        </w:rPr>
        <w:t>. La adhesión a la UE exige que se lleven a cabo</w:t>
      </w:r>
      <w:r>
        <w:rPr>
          <w:rFonts w:ascii="Times New Roman" w:hAnsi="Times New Roman"/>
          <w:noProof/>
          <w:sz w:val="24"/>
        </w:rPr>
        <w:t xml:space="preserve"> complejas reformas en un contexto difícil, objetivo este que solo puede lograrse a largo plazo. </w:t>
      </w:r>
    </w:p>
    <w:p w:rsidR="00D96FAD" w:rsidRDefault="00E3669E">
      <w:pPr>
        <w:spacing w:after="120" w:line="240" w:lineRule="auto"/>
        <w:jc w:val="both"/>
        <w:rPr>
          <w:rFonts w:ascii="Times New Roman" w:hAnsi="Times New Roman" w:cs="Times New Roman"/>
          <w:noProof/>
          <w:sz w:val="24"/>
          <w:szCs w:val="24"/>
        </w:rPr>
      </w:pPr>
      <w:r>
        <w:rPr>
          <w:rFonts w:ascii="Times New Roman" w:hAnsi="Times New Roman"/>
          <w:noProof/>
          <w:sz w:val="24"/>
        </w:rPr>
        <w:t>A partir del análisis anterior y de las evaluaciones expuestas en los resúmenes por país que figuran en el anexo, la Comisión formula las conclusiones y recom</w:t>
      </w:r>
      <w:r>
        <w:rPr>
          <w:rFonts w:ascii="Times New Roman" w:hAnsi="Times New Roman"/>
          <w:noProof/>
          <w:sz w:val="24"/>
        </w:rPr>
        <w:t>endaciones siguientes:</w:t>
      </w:r>
    </w:p>
    <w:p w:rsidR="00D96FAD" w:rsidRDefault="00E3669E">
      <w:pPr>
        <w:spacing w:after="120"/>
        <w:jc w:val="center"/>
        <w:rPr>
          <w:rFonts w:ascii="Times New Roman" w:hAnsi="Times New Roman" w:cs="Times New Roman"/>
          <w:b/>
          <w:noProof/>
          <w:sz w:val="24"/>
          <w:szCs w:val="24"/>
        </w:rPr>
      </w:pPr>
      <w:r>
        <w:rPr>
          <w:rFonts w:ascii="Times New Roman" w:hAnsi="Times New Roman"/>
          <w:b/>
          <w:noProof/>
          <w:sz w:val="24"/>
        </w:rPr>
        <w:t>I</w:t>
      </w:r>
    </w:p>
    <w:p w:rsidR="00D96FAD" w:rsidRDefault="00E3669E">
      <w:pPr>
        <w:numPr>
          <w:ilvl w:val="0"/>
          <w:numId w:val="1"/>
        </w:numPr>
        <w:spacing w:after="120" w:line="240" w:lineRule="auto"/>
        <w:ind w:left="360"/>
        <w:jc w:val="both"/>
        <w:rPr>
          <w:rFonts w:ascii="Times New Roman" w:hAnsi="Times New Roman" w:cs="Times New Roman"/>
          <w:noProof/>
          <w:sz w:val="24"/>
          <w:szCs w:val="24"/>
        </w:rPr>
      </w:pPr>
      <w:r>
        <w:rPr>
          <w:rFonts w:ascii="Times New Roman" w:hAnsi="Times New Roman"/>
          <w:noProof/>
          <w:sz w:val="24"/>
        </w:rPr>
        <w:t xml:space="preserve">Una política de ampliación creíble es </w:t>
      </w:r>
      <w:r>
        <w:rPr>
          <w:rFonts w:ascii="Times New Roman" w:hAnsi="Times New Roman"/>
          <w:b/>
          <w:noProof/>
          <w:sz w:val="24"/>
        </w:rPr>
        <w:t>una inversión geoestratégica en favor de la paz, la estabilidad, la seguridad y el crecimiento económico</w:t>
      </w:r>
      <w:r>
        <w:rPr>
          <w:rFonts w:ascii="Times New Roman" w:hAnsi="Times New Roman"/>
          <w:noProof/>
          <w:sz w:val="24"/>
        </w:rPr>
        <w:t xml:space="preserve"> en el conjunto de Europa.</w:t>
      </w:r>
      <w:r>
        <w:rPr>
          <w:rFonts w:ascii="Times New Roman" w:hAnsi="Times New Roman"/>
          <w:b/>
          <w:noProof/>
          <w:sz w:val="24"/>
        </w:rPr>
        <w:t xml:space="preserve"> </w:t>
      </w:r>
      <w:r>
        <w:rPr>
          <w:rFonts w:ascii="Times New Roman" w:hAnsi="Times New Roman"/>
          <w:noProof/>
          <w:sz w:val="24"/>
        </w:rPr>
        <w:t>Es también parte fundamental de la estrategia más amplia destinada a fortalecer la Unión de aquí a 2025. La UE y aquellos de sus socios que aspiran a la adhesión tienen ante sí oportunidades comunes, pero también comparten desafíos como la migración, la de</w:t>
      </w:r>
      <w:r>
        <w:rPr>
          <w:rFonts w:ascii="Times New Roman" w:hAnsi="Times New Roman"/>
          <w:noProof/>
          <w:sz w:val="24"/>
        </w:rPr>
        <w:t xml:space="preserve">lincuencia organizada y el terrorismo. Preparar a los países interesados para que satisfagan todos los requisitos de adhesión es todavía una de las </w:t>
      </w:r>
      <w:r>
        <w:rPr>
          <w:rFonts w:ascii="Times New Roman" w:hAnsi="Times New Roman"/>
          <w:b/>
          <w:noProof/>
          <w:sz w:val="24"/>
        </w:rPr>
        <w:t>prioridades políticas clave de la UE</w:t>
      </w:r>
      <w:r>
        <w:rPr>
          <w:rFonts w:ascii="Times New Roman" w:hAnsi="Times New Roman"/>
          <w:noProof/>
          <w:sz w:val="24"/>
        </w:rPr>
        <w:t>.</w:t>
      </w:r>
      <w:r>
        <w:rPr>
          <w:rFonts w:ascii="Times New Roman" w:hAnsi="Times New Roman"/>
          <w:b/>
          <w:noProof/>
          <w:sz w:val="24"/>
        </w:rPr>
        <w:t xml:space="preserve"> </w:t>
      </w:r>
    </w:p>
    <w:p w:rsidR="00D96FAD" w:rsidRDefault="00E3669E">
      <w:pPr>
        <w:numPr>
          <w:ilvl w:val="0"/>
          <w:numId w:val="1"/>
        </w:numPr>
        <w:spacing w:after="120" w:line="240" w:lineRule="auto"/>
        <w:ind w:left="357" w:hanging="357"/>
        <w:jc w:val="both"/>
        <w:rPr>
          <w:rFonts w:ascii="Times New Roman" w:hAnsi="Times New Roman" w:cs="Times New Roman"/>
          <w:noProof/>
          <w:sz w:val="24"/>
          <w:szCs w:val="24"/>
        </w:rPr>
      </w:pPr>
      <w:r>
        <w:rPr>
          <w:rFonts w:ascii="Times New Roman" w:hAnsi="Times New Roman"/>
          <w:b/>
          <w:noProof/>
          <w:sz w:val="24"/>
        </w:rPr>
        <w:t>Turquía</w:t>
      </w:r>
      <w:r>
        <w:rPr>
          <w:rFonts w:ascii="Times New Roman" w:hAnsi="Times New Roman"/>
          <w:noProof/>
          <w:sz w:val="24"/>
        </w:rPr>
        <w:t xml:space="preserve"> sigue siendo un socio fundamental de la Unión Europa en vario</w:t>
      </w:r>
      <w:r>
        <w:rPr>
          <w:rFonts w:ascii="Times New Roman" w:hAnsi="Times New Roman"/>
          <w:noProof/>
          <w:sz w:val="24"/>
        </w:rPr>
        <w:t>s ámbitos de interés común. La Estrategia de la Comisión para los Balcanes Occidentales de febrero de 2018 supuso un nuevo impulso para la región y el refuerzo del compromiso por parte de la UE y sus Estados miembros. Sin embargo, no todos los países inter</w:t>
      </w:r>
      <w:r>
        <w:rPr>
          <w:rFonts w:ascii="Times New Roman" w:hAnsi="Times New Roman"/>
          <w:noProof/>
          <w:sz w:val="24"/>
        </w:rPr>
        <w:t xml:space="preserve">esados están aprovechando de igual manera esta oportunidad histórica. </w:t>
      </w:r>
      <w:r>
        <w:rPr>
          <w:rFonts w:ascii="Times New Roman" w:hAnsi="Times New Roman"/>
          <w:b/>
          <w:noProof/>
          <w:sz w:val="24"/>
        </w:rPr>
        <w:t>Albania</w:t>
      </w:r>
      <w:r>
        <w:rPr>
          <w:rFonts w:ascii="Times New Roman" w:hAnsi="Times New Roman"/>
          <w:noProof/>
          <w:sz w:val="24"/>
        </w:rPr>
        <w:t xml:space="preserve"> y </w:t>
      </w:r>
      <w:r>
        <w:rPr>
          <w:rFonts w:ascii="Times New Roman" w:hAnsi="Times New Roman"/>
          <w:b/>
          <w:noProof/>
          <w:sz w:val="24"/>
        </w:rPr>
        <w:t>Macedonia del Norte</w:t>
      </w:r>
      <w:r>
        <w:rPr>
          <w:rFonts w:ascii="Times New Roman" w:hAnsi="Times New Roman"/>
          <w:noProof/>
          <w:sz w:val="24"/>
        </w:rPr>
        <w:t xml:space="preserve"> sí lo están haciendo y están llevando a cabo las reformas necesarias, especialmente en los ámbitos definidos unánimemente en las Conclusiones del Consejo de</w:t>
      </w:r>
      <w:r>
        <w:rPr>
          <w:rFonts w:ascii="Times New Roman" w:hAnsi="Times New Roman"/>
          <w:noProof/>
          <w:sz w:val="24"/>
        </w:rPr>
        <w:t xml:space="preserve"> junio de 2018. </w:t>
      </w:r>
      <w:r>
        <w:rPr>
          <w:rFonts w:ascii="Times New Roman" w:hAnsi="Times New Roman"/>
          <w:b/>
          <w:noProof/>
          <w:sz w:val="24"/>
        </w:rPr>
        <w:t>Montenegro</w:t>
      </w:r>
      <w:r>
        <w:rPr>
          <w:rFonts w:ascii="Times New Roman" w:hAnsi="Times New Roman"/>
          <w:noProof/>
          <w:sz w:val="24"/>
        </w:rPr>
        <w:t xml:space="preserve"> y </w:t>
      </w:r>
      <w:r>
        <w:rPr>
          <w:rFonts w:ascii="Times New Roman" w:hAnsi="Times New Roman"/>
          <w:b/>
          <w:noProof/>
          <w:sz w:val="24"/>
        </w:rPr>
        <w:t>Serbia</w:t>
      </w:r>
      <w:r>
        <w:rPr>
          <w:rFonts w:ascii="Times New Roman" w:hAnsi="Times New Roman"/>
          <w:noProof/>
          <w:sz w:val="24"/>
        </w:rPr>
        <w:t xml:space="preserve"> deben actuar con mayor determinación e intensificar sus esfuerzos en los ámbitos cruciales. </w:t>
      </w:r>
      <w:r>
        <w:rPr>
          <w:rFonts w:ascii="Times New Roman" w:hAnsi="Times New Roman"/>
          <w:b/>
          <w:noProof/>
          <w:sz w:val="24"/>
        </w:rPr>
        <w:t>Bosnia y Herzegovina</w:t>
      </w:r>
      <w:r>
        <w:rPr>
          <w:rFonts w:ascii="Times New Roman" w:hAnsi="Times New Roman"/>
          <w:noProof/>
          <w:sz w:val="24"/>
        </w:rPr>
        <w:t xml:space="preserve"> se enfrenta a numerosos desafíos estructurales. El Dictamen de la Comisión sobre la solicitud de adhesión a</w:t>
      </w:r>
      <w:r>
        <w:rPr>
          <w:rFonts w:ascii="Times New Roman" w:hAnsi="Times New Roman"/>
          <w:noProof/>
          <w:sz w:val="24"/>
        </w:rPr>
        <w:t xml:space="preserve"> la Unión Europea de este país ofrece un completo plan de actuación en materia de reformas que constituye un nuevo impulso para el país en su proceso de integración en la UE. </w:t>
      </w:r>
      <w:r>
        <w:rPr>
          <w:rFonts w:ascii="Times New Roman" w:hAnsi="Times New Roman"/>
          <w:b/>
          <w:noProof/>
          <w:sz w:val="24"/>
        </w:rPr>
        <w:t>Kosovo</w:t>
      </w:r>
      <w:r>
        <w:rPr>
          <w:rFonts w:ascii="Times New Roman" w:hAnsi="Times New Roman"/>
          <w:noProof/>
          <w:sz w:val="24"/>
        </w:rPr>
        <w:t xml:space="preserve"> ha de volver a centrar sus políticas en seguir progresando en su trayector</w:t>
      </w:r>
      <w:r>
        <w:rPr>
          <w:rFonts w:ascii="Times New Roman" w:hAnsi="Times New Roman"/>
          <w:noProof/>
          <w:sz w:val="24"/>
        </w:rPr>
        <w:t xml:space="preserve">ia europea. </w:t>
      </w:r>
    </w:p>
    <w:p w:rsidR="00D96FAD" w:rsidRDefault="00E3669E">
      <w:pPr>
        <w:numPr>
          <w:ilvl w:val="0"/>
          <w:numId w:val="1"/>
        </w:numPr>
        <w:spacing w:after="120" w:line="240" w:lineRule="auto"/>
        <w:ind w:left="357" w:hanging="357"/>
        <w:jc w:val="both"/>
        <w:rPr>
          <w:rFonts w:ascii="Times New Roman" w:hAnsi="Times New Roman" w:cs="Times New Roman"/>
          <w:noProof/>
          <w:sz w:val="24"/>
          <w:szCs w:val="24"/>
        </w:rPr>
      </w:pPr>
      <w:r>
        <w:rPr>
          <w:rFonts w:ascii="Times New Roman" w:hAnsi="Times New Roman"/>
          <w:noProof/>
          <w:sz w:val="24"/>
        </w:rPr>
        <w:t xml:space="preserve">A fin de que el proceso avance, los candidatos a la adhesión tienen que asumir como prioridad la necesidad de acelerar el ritmo y obtener </w:t>
      </w:r>
      <w:r>
        <w:rPr>
          <w:rFonts w:ascii="Times New Roman" w:hAnsi="Times New Roman"/>
          <w:b/>
          <w:noProof/>
          <w:sz w:val="24"/>
        </w:rPr>
        <w:t>resultados reales y duraderos en relación con las cuestiones clave</w:t>
      </w:r>
      <w:r>
        <w:rPr>
          <w:rFonts w:ascii="Times New Roman" w:hAnsi="Times New Roman"/>
          <w:noProof/>
          <w:sz w:val="24"/>
        </w:rPr>
        <w:t xml:space="preserve"> reflejadas en el principio de «primero</w:t>
      </w:r>
      <w:r>
        <w:rPr>
          <w:rFonts w:ascii="Times New Roman" w:hAnsi="Times New Roman"/>
          <w:noProof/>
          <w:sz w:val="24"/>
        </w:rPr>
        <w:t xml:space="preserve"> lo fundamental»: Estado de Derecho, reforma del poder judicial, lucha contra la corrupción y la delincuencia organizada, seguridad, derechos fundamentales, funcionamiento de las instituciones democráticas, reforma de la Administración Pública, desarrollo </w:t>
      </w:r>
      <w:r>
        <w:rPr>
          <w:rFonts w:ascii="Times New Roman" w:hAnsi="Times New Roman"/>
          <w:noProof/>
          <w:sz w:val="24"/>
        </w:rPr>
        <w:t>económico y competitividad. Asimismo, es urgente que los Balcanes Occidentales avancen en lo referente a la reconciliación, las relaciones de buena vecindad y la cooperación regional, siguiendo el ejemplo del acuerdo histórico celebrado entre Macedonia del</w:t>
      </w:r>
      <w:r>
        <w:rPr>
          <w:rFonts w:ascii="Times New Roman" w:hAnsi="Times New Roman"/>
          <w:noProof/>
          <w:sz w:val="24"/>
        </w:rPr>
        <w:t xml:space="preserve"> Norte y Grecia. </w:t>
      </w:r>
    </w:p>
    <w:p w:rsidR="00D96FAD" w:rsidRDefault="00E3669E">
      <w:pPr>
        <w:numPr>
          <w:ilvl w:val="0"/>
          <w:numId w:val="1"/>
        </w:numPr>
        <w:spacing w:after="120" w:line="240" w:lineRule="auto"/>
        <w:ind w:left="357" w:hanging="357"/>
        <w:jc w:val="both"/>
        <w:rPr>
          <w:rFonts w:ascii="Times New Roman" w:hAnsi="Times New Roman" w:cs="Times New Roman"/>
          <w:noProof/>
          <w:sz w:val="24"/>
          <w:szCs w:val="24"/>
        </w:rPr>
      </w:pPr>
      <w:r>
        <w:rPr>
          <w:rFonts w:ascii="Times New Roman" w:hAnsi="Times New Roman"/>
          <w:noProof/>
          <w:sz w:val="24"/>
        </w:rPr>
        <w:t>Como se reafirmó el año pasado, la UE apoya desde hace tiempo la perspectiva de adhesión a la Unión del conjunto de la región de los Balcanes Occidentales. Ahora bien, tal y como se afirma en la Estrategia de la Comisión para los Balcanes</w:t>
      </w:r>
      <w:r>
        <w:rPr>
          <w:rFonts w:ascii="Times New Roman" w:hAnsi="Times New Roman"/>
          <w:noProof/>
          <w:sz w:val="24"/>
        </w:rPr>
        <w:t xml:space="preserve"> Occidentales, ninguno de los países cumple en la actualidad los criterios de adhesión. Llegar a ese punto exige años de intenso trabajo y resultados. Además, la propia Unión debe ser más fuerte y más sólida antes de poder ampliarse</w:t>
      </w:r>
      <w:r>
        <w:rPr>
          <w:rStyle w:val="FootnoteReference"/>
          <w:rFonts w:ascii="Times New Roman" w:hAnsi="Times New Roman"/>
          <w:noProof/>
          <w:sz w:val="24"/>
        </w:rPr>
        <w:footnoteReference w:id="8"/>
      </w:r>
      <w:r>
        <w:rPr>
          <w:rFonts w:ascii="Times New Roman" w:hAnsi="Times New Roman"/>
          <w:noProof/>
          <w:sz w:val="24"/>
        </w:rPr>
        <w:t>. Con todo, sigue siend</w:t>
      </w:r>
      <w:r>
        <w:rPr>
          <w:rFonts w:ascii="Times New Roman" w:hAnsi="Times New Roman"/>
          <w:noProof/>
          <w:sz w:val="24"/>
        </w:rPr>
        <w:t xml:space="preserve">o fundamental que haya una </w:t>
      </w:r>
      <w:r>
        <w:rPr>
          <w:rFonts w:ascii="Times New Roman" w:hAnsi="Times New Roman"/>
          <w:b/>
          <w:noProof/>
          <w:sz w:val="24"/>
        </w:rPr>
        <w:t>perspectiva firme y creíble</w:t>
      </w:r>
      <w:r>
        <w:rPr>
          <w:rFonts w:ascii="Times New Roman" w:hAnsi="Times New Roman"/>
          <w:noProof/>
          <w:sz w:val="24"/>
        </w:rPr>
        <w:t xml:space="preserve"> para todos los países a fin de impulsar esa transformación, fomentar la reconciliación, exportar estabilidad a la región y promover los valores, las normas y los estándares de la UE. La UE ha de respet</w:t>
      </w:r>
      <w:r>
        <w:rPr>
          <w:rFonts w:ascii="Times New Roman" w:hAnsi="Times New Roman"/>
          <w:noProof/>
          <w:sz w:val="24"/>
        </w:rPr>
        <w:t>ar sus compromisos y ofrecer una respuesta clara y positiva ante los resultados objetivos ya logrados por los países en relación con las condiciones establecidas. Se trata de una inversión estratégica, no solo en el futuro de la región, sino, ante todo, en</w:t>
      </w:r>
      <w:r>
        <w:rPr>
          <w:rFonts w:ascii="Times New Roman" w:hAnsi="Times New Roman"/>
          <w:noProof/>
          <w:sz w:val="24"/>
        </w:rPr>
        <w:t xml:space="preserve"> el propio interés político y económico de la UE. </w:t>
      </w:r>
    </w:p>
    <w:p w:rsidR="00D96FAD" w:rsidRDefault="00E3669E">
      <w:pPr>
        <w:pStyle w:val="ListParagraph"/>
        <w:numPr>
          <w:ilvl w:val="0"/>
          <w:numId w:val="1"/>
        </w:numPr>
        <w:spacing w:after="120" w:line="240" w:lineRule="auto"/>
        <w:ind w:left="360"/>
        <w:jc w:val="both"/>
        <w:rPr>
          <w:rFonts w:ascii="Times New Roman" w:hAnsi="Times New Roman" w:cs="Times New Roman"/>
          <w:noProof/>
          <w:sz w:val="24"/>
          <w:szCs w:val="24"/>
        </w:rPr>
      </w:pPr>
      <w:r>
        <w:rPr>
          <w:rFonts w:ascii="Times New Roman" w:hAnsi="Times New Roman"/>
          <w:noProof/>
          <w:sz w:val="24"/>
        </w:rPr>
        <w:t>La UE continúa siendo el principal motor externo del crecimiento y la creación de empleo en los Balcanes Occidentales. Es imprescindible, para el éxito de la región, que toda actividad económica extranjera</w:t>
      </w:r>
      <w:r>
        <w:rPr>
          <w:rFonts w:ascii="Times New Roman" w:hAnsi="Times New Roman"/>
          <w:noProof/>
          <w:sz w:val="24"/>
        </w:rPr>
        <w:t xml:space="preserve"> se ajuste plenamente a los valores, las normas y los estándares de la UE, especialmente en ámbitos como el Estado de Derecho, la competencia, la contratación pública, el medio ambiente, la energía y las infraestructuras.</w:t>
      </w:r>
      <w:r>
        <w:rPr>
          <w:rFonts w:ascii="Times New Roman" w:hAnsi="Times New Roman"/>
          <w:b/>
          <w:noProof/>
          <w:sz w:val="24"/>
        </w:rPr>
        <w:t xml:space="preserve"> </w:t>
      </w:r>
      <w:r>
        <w:rPr>
          <w:rFonts w:ascii="Times New Roman" w:hAnsi="Times New Roman"/>
          <w:noProof/>
          <w:sz w:val="24"/>
        </w:rPr>
        <w:t xml:space="preserve">La </w:t>
      </w:r>
      <w:r>
        <w:rPr>
          <w:rFonts w:ascii="Times New Roman" w:hAnsi="Times New Roman"/>
          <w:b/>
          <w:noProof/>
          <w:sz w:val="24"/>
        </w:rPr>
        <w:t>creciente actividad empresarial</w:t>
      </w:r>
      <w:r>
        <w:rPr>
          <w:rFonts w:ascii="Times New Roman" w:hAnsi="Times New Roman"/>
          <w:b/>
          <w:noProof/>
          <w:sz w:val="24"/>
        </w:rPr>
        <w:t xml:space="preserve"> e inversora de China</w:t>
      </w:r>
      <w:r>
        <w:rPr>
          <w:rFonts w:ascii="Times New Roman" w:hAnsi="Times New Roman"/>
          <w:noProof/>
          <w:sz w:val="24"/>
        </w:rPr>
        <w:t xml:space="preserve"> en los Balcanes Occidentales puede, en principio, brindar nuevas oportunidades; sin embargo, estas inversiones a menudo descuidan la parte relativa a la sostenibilidad socioeconómica y financiera. Esto pone de manifiesto cuán importan</w:t>
      </w:r>
      <w:r>
        <w:rPr>
          <w:rFonts w:ascii="Times New Roman" w:hAnsi="Times New Roman"/>
          <w:noProof/>
          <w:sz w:val="24"/>
        </w:rPr>
        <w:t>te es que los países socios apliquen íntegramente, tanto en el fondo como en la forma, los Acuerdos de Estabilización y Asociación con la UE en los ámbitos antes mencionados y den prioridad a las reformas pertinentes en el marco del proceso de adhesión.</w:t>
      </w:r>
    </w:p>
    <w:p w:rsidR="00D96FAD" w:rsidRDefault="00D96FAD">
      <w:pPr>
        <w:spacing w:after="120" w:line="240" w:lineRule="auto"/>
        <w:jc w:val="both"/>
        <w:rPr>
          <w:rFonts w:ascii="Times New Roman" w:hAnsi="Times New Roman" w:cs="Times New Roman"/>
          <w:noProof/>
          <w:sz w:val="24"/>
          <w:szCs w:val="24"/>
        </w:rPr>
      </w:pPr>
    </w:p>
    <w:p w:rsidR="00D96FAD" w:rsidRDefault="00E3669E">
      <w:pPr>
        <w:spacing w:after="120" w:line="240" w:lineRule="auto"/>
        <w:jc w:val="center"/>
        <w:rPr>
          <w:rFonts w:ascii="Times New Roman" w:hAnsi="Times New Roman" w:cs="Times New Roman"/>
          <w:b/>
          <w:noProof/>
          <w:sz w:val="24"/>
          <w:szCs w:val="24"/>
        </w:rPr>
      </w:pPr>
      <w:r>
        <w:rPr>
          <w:rFonts w:ascii="Times New Roman" w:hAnsi="Times New Roman"/>
          <w:b/>
          <w:noProof/>
          <w:sz w:val="24"/>
        </w:rPr>
        <w:t>I</w:t>
      </w:r>
      <w:r>
        <w:rPr>
          <w:rFonts w:ascii="Times New Roman" w:hAnsi="Times New Roman"/>
          <w:b/>
          <w:noProof/>
          <w:sz w:val="24"/>
        </w:rPr>
        <w:t>I</w:t>
      </w:r>
    </w:p>
    <w:p w:rsidR="00D96FAD" w:rsidRDefault="00E3669E">
      <w:pPr>
        <w:numPr>
          <w:ilvl w:val="0"/>
          <w:numId w:val="1"/>
        </w:numPr>
        <w:spacing w:after="120" w:line="240" w:lineRule="auto"/>
        <w:ind w:left="357" w:hanging="357"/>
        <w:jc w:val="both"/>
        <w:rPr>
          <w:rFonts w:ascii="Times New Roman" w:eastAsia="Calibri" w:hAnsi="Times New Roman" w:cs="Times New Roman"/>
          <w:noProof/>
          <w:sz w:val="24"/>
          <w:szCs w:val="24"/>
        </w:rPr>
      </w:pPr>
      <w:r>
        <w:rPr>
          <w:rFonts w:ascii="Times New Roman" w:hAnsi="Times New Roman"/>
          <w:b/>
          <w:noProof/>
          <w:sz w:val="24"/>
        </w:rPr>
        <w:t>Turquía</w:t>
      </w:r>
      <w:r>
        <w:rPr>
          <w:rFonts w:ascii="Times New Roman" w:hAnsi="Times New Roman"/>
          <w:noProof/>
          <w:sz w:val="24"/>
        </w:rPr>
        <w:t xml:space="preserve"> sigue siendo un socio clave para la Unión Europea en ámbitos de interés común, desde la migración y la lucha contra el terrorismo hasta la energía, el transporte y el comercio. En las Conclusiones del Consejo de Asuntos Generales de junio de 2018</w:t>
      </w:r>
      <w:r>
        <w:rPr>
          <w:rFonts w:ascii="Times New Roman" w:hAnsi="Times New Roman"/>
          <w:noProof/>
          <w:sz w:val="24"/>
        </w:rPr>
        <w:t xml:space="preserve"> se señaló unánimemente que, a la vista de las circunstancias imperantes, las negociaciones para la adhesión de Turquía habían llegado efectivamente a un punto muerto y no se podían examinar nuevos capítulos para su apertura o cierre. Los hechos que fundam</w:t>
      </w:r>
      <w:r>
        <w:rPr>
          <w:rFonts w:ascii="Times New Roman" w:hAnsi="Times New Roman"/>
          <w:noProof/>
          <w:sz w:val="24"/>
        </w:rPr>
        <w:t>entan esta valoración siguen siendo válidos. El compromiso reiterado del Gobierno turco con el objetivo de adhesión a la UE no ha ido acompañado de las medidas y reformas correspondientes, y siguen sin abordarse los aspectos que plantean serias preocupacio</w:t>
      </w:r>
      <w:r>
        <w:rPr>
          <w:rFonts w:ascii="Times New Roman" w:hAnsi="Times New Roman"/>
          <w:noProof/>
          <w:sz w:val="24"/>
        </w:rPr>
        <w:t>nes a la UE ante la continua degradación del Estado de Derecho, los derechos fundamentales y el poder judicial.</w:t>
      </w:r>
    </w:p>
    <w:p w:rsidR="00D96FAD" w:rsidRDefault="00E3669E">
      <w:pPr>
        <w:spacing w:after="120" w:line="240" w:lineRule="auto"/>
        <w:ind w:left="357"/>
        <w:jc w:val="both"/>
        <w:rPr>
          <w:rFonts w:ascii="Times New Roman" w:eastAsia="Calibri" w:hAnsi="Times New Roman" w:cs="Times New Roman"/>
          <w:bCs/>
          <w:noProof/>
          <w:sz w:val="24"/>
          <w:szCs w:val="24"/>
        </w:rPr>
      </w:pPr>
      <w:r>
        <w:rPr>
          <w:rFonts w:ascii="Times New Roman" w:hAnsi="Times New Roman"/>
          <w:noProof/>
          <w:sz w:val="24"/>
        </w:rPr>
        <w:t>Tras levantarse el estado de excepción en julio de 2018, Turquía introdujo muchos de los elementos más represivos de este régimen en la legislac</w:t>
      </w:r>
      <w:r>
        <w:rPr>
          <w:rFonts w:ascii="Times New Roman" w:hAnsi="Times New Roman"/>
          <w:noProof/>
          <w:sz w:val="24"/>
        </w:rPr>
        <w:t>ión en vigor. El nuevo sistema presidencial ha eliminado gran parte de los contrapoderes institucionales que había antes. El resultado ha sido una mayor politización de la Administración Pública y del poder judicial.</w:t>
      </w:r>
    </w:p>
    <w:p w:rsidR="00D96FAD" w:rsidRDefault="00E3669E">
      <w:pPr>
        <w:spacing w:after="120" w:line="240" w:lineRule="auto"/>
        <w:ind w:left="357"/>
        <w:jc w:val="both"/>
        <w:rPr>
          <w:rFonts w:ascii="Times New Roman" w:eastAsia="Calibri" w:hAnsi="Times New Roman" w:cs="Times New Roman"/>
          <w:noProof/>
          <w:sz w:val="24"/>
          <w:szCs w:val="24"/>
        </w:rPr>
      </w:pPr>
      <w:r>
        <w:rPr>
          <w:rFonts w:ascii="Times New Roman" w:hAnsi="Times New Roman"/>
          <w:noProof/>
          <w:sz w:val="24"/>
        </w:rPr>
        <w:t>Las elecciones presidenciales y parlame</w:t>
      </w:r>
      <w:r>
        <w:rPr>
          <w:rFonts w:ascii="Times New Roman" w:hAnsi="Times New Roman"/>
          <w:noProof/>
          <w:sz w:val="24"/>
        </w:rPr>
        <w:t>ntarias de junio de 2018 y las elecciones municipales de marzo de 2019 se caracterizaron por el alto índice de participación. A pesar de ser evidente que no se daban las condiciones necesarias para que los candidatos compitieran en pie de igualdad, los vot</w:t>
      </w:r>
      <w:r>
        <w:rPr>
          <w:rFonts w:ascii="Times New Roman" w:hAnsi="Times New Roman"/>
          <w:noProof/>
          <w:sz w:val="24"/>
        </w:rPr>
        <w:t>antes tuvieron la posibilidad real de elegir. El partido en el poder disfrutó de una ventaja notable, en parte debido a la cobertura excesiva por parte de los medios de comunicación públicos y privados afiliados al Gobierno. Tras las elecciones municipales</w:t>
      </w:r>
      <w:r>
        <w:rPr>
          <w:rFonts w:ascii="Times New Roman" w:hAnsi="Times New Roman"/>
          <w:noProof/>
          <w:sz w:val="24"/>
        </w:rPr>
        <w:t>, el Consejo Electoral Supremo declaró que cuatro alcaldes y concejales que habían resultado electos en el sudeste de Turquía no eran aptos para asumir el cargo, a pesar de que sus candidaturas habían sido validadas antes de las elecciones. También anuló l</w:t>
      </w:r>
      <w:r>
        <w:rPr>
          <w:rFonts w:ascii="Times New Roman" w:hAnsi="Times New Roman"/>
          <w:noProof/>
          <w:sz w:val="24"/>
        </w:rPr>
        <w:t xml:space="preserve">as elecciones a la alcaldía metropolitana en Estambul y programó unas nuevas elecciones para el 23 de junio. Las decisiones del Consejo Electoral Supremo de volver a organizar las elecciones en Estambul y entregar la alcaldía de determinados ayuntamientos </w:t>
      </w:r>
      <w:r>
        <w:rPr>
          <w:rFonts w:ascii="Times New Roman" w:hAnsi="Times New Roman"/>
          <w:noProof/>
          <w:sz w:val="24"/>
        </w:rPr>
        <w:t>de la zona sudoriental a candidatos que habían acabado en segundo lugar generan gran preocupación en cuanto a la legalidad y la integridad de los procesos electorales y el grado en que la institución es independiente de la presión política. Estas decisione</w:t>
      </w:r>
      <w:r>
        <w:rPr>
          <w:rFonts w:ascii="Times New Roman" w:hAnsi="Times New Roman"/>
          <w:noProof/>
          <w:sz w:val="24"/>
        </w:rPr>
        <w:t>s van en contra de la esencia misma de un proceso electoral democrático: garantizar que prevalece la voluntad de los ciudadanos.</w:t>
      </w:r>
    </w:p>
    <w:p w:rsidR="00D96FAD" w:rsidRDefault="00E3669E">
      <w:pPr>
        <w:spacing w:after="120" w:line="240" w:lineRule="auto"/>
        <w:ind w:left="357"/>
        <w:jc w:val="both"/>
        <w:rPr>
          <w:rFonts w:ascii="Times New Roman" w:eastAsia="Calibri" w:hAnsi="Times New Roman" w:cs="Times New Roman"/>
          <w:b/>
          <w:noProof/>
          <w:sz w:val="24"/>
          <w:szCs w:val="24"/>
        </w:rPr>
      </w:pPr>
      <w:r>
        <w:rPr>
          <w:rFonts w:ascii="Times New Roman" w:hAnsi="Times New Roman"/>
          <w:noProof/>
          <w:sz w:val="24"/>
        </w:rPr>
        <w:t>Se han observado graves retrocesos en los ámbitos de la libertad de expresión, de reunión y de asociación. Es preciso que Turquía mejore la protección efectiva de los derechos fundamentales y que lleve a cabo una reforma integral y creíble del poder judici</w:t>
      </w:r>
      <w:r>
        <w:rPr>
          <w:rFonts w:ascii="Times New Roman" w:hAnsi="Times New Roman"/>
          <w:noProof/>
          <w:sz w:val="24"/>
        </w:rPr>
        <w:t xml:space="preserve">al que restablezca su independencia. </w:t>
      </w:r>
    </w:p>
    <w:p w:rsidR="00D96FAD" w:rsidRDefault="00E3669E">
      <w:pPr>
        <w:spacing w:after="120" w:line="240" w:lineRule="auto"/>
        <w:ind w:left="357"/>
        <w:jc w:val="both"/>
        <w:rPr>
          <w:rFonts w:ascii="Times New Roman" w:eastAsia="Calibri" w:hAnsi="Times New Roman" w:cs="Times New Roman"/>
          <w:noProof/>
          <w:sz w:val="24"/>
          <w:szCs w:val="24"/>
        </w:rPr>
      </w:pPr>
      <w:r>
        <w:rPr>
          <w:rFonts w:ascii="Times New Roman" w:hAnsi="Times New Roman"/>
          <w:noProof/>
          <w:sz w:val="24"/>
        </w:rPr>
        <w:t>También la economía turca ha seguido experimentando un grave retroceso, y ello suscita una gran preocupación por la viabilidad de la economía de mercado del país. Frente a las fuertes presiones que pesan sobre la moned</w:t>
      </w:r>
      <w:r>
        <w:rPr>
          <w:rFonts w:ascii="Times New Roman" w:hAnsi="Times New Roman"/>
          <w:noProof/>
          <w:sz w:val="24"/>
        </w:rPr>
        <w:t>a nacional, las autoridades turcas adoptaron una serie de medidas políticas que han influido negativamente en el funcionamiento de los mercados. En cambio, se han tomado medidas positivas para mejorar el entorno empresarial, pero la preocupación ante la si</w:t>
      </w:r>
      <w:r>
        <w:rPr>
          <w:rFonts w:ascii="Times New Roman" w:hAnsi="Times New Roman"/>
          <w:noProof/>
          <w:sz w:val="24"/>
        </w:rPr>
        <w:t xml:space="preserve">tuación del Estado de Derecho no ha hecho más que disuadir a los inversores. </w:t>
      </w:r>
    </w:p>
    <w:p w:rsidR="00D96FAD" w:rsidRDefault="00E3669E">
      <w:pPr>
        <w:spacing w:after="120" w:line="240" w:lineRule="auto"/>
        <w:ind w:left="357"/>
        <w:jc w:val="both"/>
        <w:rPr>
          <w:rFonts w:ascii="Times New Roman" w:eastAsia="Calibri" w:hAnsi="Times New Roman" w:cs="Times New Roman"/>
          <w:noProof/>
          <w:sz w:val="24"/>
          <w:szCs w:val="24"/>
        </w:rPr>
      </w:pPr>
      <w:r>
        <w:rPr>
          <w:rFonts w:ascii="Times New Roman" w:hAnsi="Times New Roman"/>
          <w:noProof/>
          <w:sz w:val="24"/>
        </w:rPr>
        <w:t>La Declaración UE-Turquía de marzo de 2016 sigue dando resultados, y ambas partes mantienen el compromiso de aplicarla. La tendencia a la baja de los cruces irregulares de Turquí</w:t>
      </w:r>
      <w:r>
        <w:rPr>
          <w:rFonts w:ascii="Times New Roman" w:hAnsi="Times New Roman"/>
          <w:noProof/>
          <w:sz w:val="24"/>
        </w:rPr>
        <w:t>a a la UE desde la entrada en vigor de la Declaración se ha visto respaldada por la intensificación de los esfuerzos por parte de Turquía. Turquía ha mantenido sus excepcionales esfuerzos para proporcionar una ayuda humanitaria y un apoyo ingentes a más de</w:t>
      </w:r>
      <w:r>
        <w:rPr>
          <w:rFonts w:ascii="Times New Roman" w:hAnsi="Times New Roman"/>
          <w:noProof/>
          <w:sz w:val="24"/>
        </w:rPr>
        <w:t xml:space="preserve"> 3,6 millones de refugiados procedentes de Siria y aproximadamente 370 000 refugiados procedentes de otros países. Turquía y la UE han seguido desarrollando la fructífera cooperación creada en el marco del Mecanismo para los refugiados en Turquía. Para may</w:t>
      </w:r>
      <w:r>
        <w:rPr>
          <w:rFonts w:ascii="Times New Roman" w:hAnsi="Times New Roman"/>
          <w:noProof/>
          <w:sz w:val="24"/>
        </w:rPr>
        <w:t xml:space="preserve">o de 2019, a partir de los 6 000 millones EUR movilizados por la UE, ya se habían puesto en marcha más de ochenta proyectos. </w:t>
      </w:r>
    </w:p>
    <w:p w:rsidR="00D96FAD" w:rsidRDefault="00E3669E">
      <w:pPr>
        <w:spacing w:after="120" w:line="240" w:lineRule="auto"/>
        <w:ind w:left="357"/>
        <w:jc w:val="both"/>
        <w:rPr>
          <w:rFonts w:ascii="Times New Roman" w:eastAsia="Calibri" w:hAnsi="Times New Roman" w:cs="Times New Roman"/>
          <w:noProof/>
          <w:sz w:val="24"/>
          <w:szCs w:val="24"/>
        </w:rPr>
      </w:pPr>
      <w:r>
        <w:rPr>
          <w:rFonts w:ascii="Times New Roman" w:hAnsi="Times New Roman"/>
          <w:noProof/>
          <w:sz w:val="24"/>
        </w:rPr>
        <w:t xml:space="preserve">Turquía ha acogido con satisfacción los renovados esfuerzos de las Naciones Unidas para consultar a las partes interesadas acerca </w:t>
      </w:r>
      <w:r>
        <w:rPr>
          <w:rFonts w:ascii="Times New Roman" w:hAnsi="Times New Roman"/>
          <w:noProof/>
          <w:sz w:val="24"/>
        </w:rPr>
        <w:t>de la posible reanudación de las negociaciones con respecto a Chipre. Es importante preservar los progresos realizados hasta la fecha en el marco de las conversaciones auspiciadas por las Naciones Unidas con el fin de hallar una solución para Chipre y pros</w:t>
      </w:r>
      <w:r>
        <w:rPr>
          <w:rFonts w:ascii="Times New Roman" w:hAnsi="Times New Roman"/>
          <w:noProof/>
          <w:sz w:val="24"/>
        </w:rPr>
        <w:t xml:space="preserve">eguir los preparativos para una solución global, justa y viable, sin olvidar los aspectos externos. En este sentido, será fundamental que Turquía mantenga su compromiso con las negociaciones y siga contribuyendo a ellas. </w:t>
      </w:r>
    </w:p>
    <w:p w:rsidR="00D96FAD" w:rsidRDefault="00E3669E">
      <w:pPr>
        <w:spacing w:after="120" w:line="240" w:lineRule="auto"/>
        <w:ind w:left="357"/>
        <w:jc w:val="both"/>
        <w:rPr>
          <w:rFonts w:ascii="Times New Roman" w:eastAsia="Calibri" w:hAnsi="Times New Roman" w:cs="Times New Roman"/>
          <w:noProof/>
          <w:sz w:val="24"/>
          <w:szCs w:val="24"/>
        </w:rPr>
      </w:pPr>
      <w:r>
        <w:rPr>
          <w:rFonts w:ascii="Times New Roman" w:hAnsi="Times New Roman"/>
          <w:noProof/>
          <w:sz w:val="24"/>
        </w:rPr>
        <w:t xml:space="preserve">Han aumentado las tensiones en la </w:t>
      </w:r>
      <w:r>
        <w:rPr>
          <w:rFonts w:ascii="Times New Roman" w:hAnsi="Times New Roman"/>
          <w:noProof/>
          <w:sz w:val="24"/>
        </w:rPr>
        <w:t>región relacionadas con las perspectivas de la exploración de hidrocarburos frente a las costas de Chipre debido a las medidas y declaraciones con las que Turquía cuestiona el derecho de la República de Chipre a explotar los recursos de hidrocarburos en su</w:t>
      </w:r>
      <w:r>
        <w:rPr>
          <w:rFonts w:ascii="Times New Roman" w:hAnsi="Times New Roman"/>
          <w:noProof/>
          <w:sz w:val="24"/>
        </w:rPr>
        <w:t xml:space="preserve"> zona económica exclusiva. En mayo de 2019, las tensiones aumentaron nuevamente después de que Turquía enviara una plataforma de perforación escoltada por buques militares a la zona económica exclusiva de la República de Chipre. La Comisión recuerda la Dec</w:t>
      </w:r>
      <w:r>
        <w:rPr>
          <w:rFonts w:ascii="Times New Roman" w:hAnsi="Times New Roman"/>
          <w:noProof/>
          <w:sz w:val="24"/>
        </w:rPr>
        <w:t>laración del Consejo Europeo de marzo de 2018 en la que se condenaban enérgicamente las continuas acciones ilegales de Turquía en el Mediterráneo oriental y el mar Egeo. Asimismo, se recordaba la obligación de Turquía de respetar el Derecho internacional y</w:t>
      </w:r>
      <w:r>
        <w:rPr>
          <w:rFonts w:ascii="Times New Roman" w:hAnsi="Times New Roman"/>
          <w:noProof/>
          <w:sz w:val="24"/>
        </w:rPr>
        <w:t xml:space="preserve"> las relaciones de buena vecindad, y se pedía al país que respetara los derechos soberanos de Chipre a explorar y explotar sus recursos naturales de conformidad con el Derecho internacional y de la UE. En marzo de 2019, la UE pidió a Turquía que no llevara</w:t>
      </w:r>
      <w:r>
        <w:rPr>
          <w:rFonts w:ascii="Times New Roman" w:hAnsi="Times New Roman"/>
          <w:noProof/>
          <w:sz w:val="24"/>
        </w:rPr>
        <w:t xml:space="preserve"> a cabo ninguna actuación ilegal de este tipo, ante las cuales respondería adecuadamente y en plena solidaridad con Chipre.</w:t>
      </w:r>
    </w:p>
    <w:p w:rsidR="00D96FAD" w:rsidRDefault="00E3669E">
      <w:pPr>
        <w:spacing w:after="120" w:line="240" w:lineRule="auto"/>
        <w:ind w:left="357"/>
        <w:jc w:val="both"/>
        <w:rPr>
          <w:rFonts w:ascii="Times New Roman" w:eastAsia="Calibri" w:hAnsi="Times New Roman" w:cs="Times New Roman"/>
          <w:noProof/>
          <w:sz w:val="24"/>
          <w:szCs w:val="24"/>
        </w:rPr>
      </w:pPr>
      <w:r>
        <w:rPr>
          <w:rFonts w:ascii="Times New Roman" w:hAnsi="Times New Roman"/>
          <w:noProof/>
          <w:sz w:val="24"/>
        </w:rPr>
        <w:t>Urge que Turquía cumpla su obligación de garantizar la aplicación íntegra y no discriminatoria del Protocolo adicional del Acuerdo d</w:t>
      </w:r>
      <w:r>
        <w:rPr>
          <w:rFonts w:ascii="Times New Roman" w:hAnsi="Times New Roman"/>
          <w:noProof/>
          <w:sz w:val="24"/>
        </w:rPr>
        <w:t>e Asociación UE-Turquía y elimine todos los obstáculos a la libre circulación de mercancías, incluidas las restricciones en los enlaces directos de transporte con Chipre. No ha habido progresos en la normalización de las relaciones bilaterales con la Repúb</w:t>
      </w:r>
      <w:r>
        <w:rPr>
          <w:rFonts w:ascii="Times New Roman" w:hAnsi="Times New Roman"/>
          <w:noProof/>
          <w:sz w:val="24"/>
        </w:rPr>
        <w:t>lica de Chipre.</w:t>
      </w:r>
    </w:p>
    <w:p w:rsidR="00D96FAD" w:rsidRDefault="00E3669E">
      <w:pPr>
        <w:spacing w:after="120" w:line="240" w:lineRule="auto"/>
        <w:ind w:left="357"/>
        <w:jc w:val="both"/>
        <w:rPr>
          <w:rFonts w:ascii="Times New Roman" w:eastAsia="Calibri" w:hAnsi="Times New Roman" w:cs="Times New Roman"/>
          <w:b/>
          <w:noProof/>
          <w:sz w:val="24"/>
          <w:szCs w:val="24"/>
        </w:rPr>
      </w:pPr>
      <w:r>
        <w:rPr>
          <w:rFonts w:ascii="Times New Roman" w:hAnsi="Times New Roman"/>
          <w:noProof/>
          <w:sz w:val="24"/>
        </w:rPr>
        <w:t>Ha proseguido la cooperación operativa en materia de migración con Grecia. No obstante, las tensiones en el mar Egeo y en el Mediterráneo oriental han socavado la estabilidad y la seguridad de la región. Se han producido violaciones reitera</w:t>
      </w:r>
      <w:r>
        <w:rPr>
          <w:rFonts w:ascii="Times New Roman" w:hAnsi="Times New Roman"/>
          <w:noProof/>
          <w:sz w:val="24"/>
        </w:rPr>
        <w:t xml:space="preserve">das y crecientes de las aguas territoriales y los espacios aéreos de Grecia y Chipre por parte de Turquía. Han mejorado las relaciones bilaterales con varios Estados miembros de la UE, en particular, con Alemania, Austria y los Países Bajos. </w:t>
      </w:r>
    </w:p>
    <w:p w:rsidR="00D96FAD" w:rsidRDefault="00E3669E">
      <w:pPr>
        <w:pStyle w:val="ListParagraph"/>
        <w:numPr>
          <w:ilvl w:val="0"/>
          <w:numId w:val="1"/>
        </w:numPr>
        <w:spacing w:after="120" w:line="240" w:lineRule="auto"/>
        <w:ind w:left="360"/>
        <w:jc w:val="both"/>
        <w:rPr>
          <w:rFonts w:ascii="Times New Roman" w:hAnsi="Times New Roman" w:cs="Times New Roman"/>
          <w:noProof/>
          <w:spacing w:val="-6"/>
          <w:sz w:val="24"/>
          <w:szCs w:val="24"/>
        </w:rPr>
      </w:pPr>
      <w:r>
        <w:rPr>
          <w:rFonts w:ascii="Times New Roman" w:hAnsi="Times New Roman"/>
          <w:b/>
          <w:noProof/>
          <w:sz w:val="24"/>
        </w:rPr>
        <w:t>Montenegro</w:t>
      </w:r>
      <w:r>
        <w:rPr>
          <w:rFonts w:ascii="Times New Roman" w:hAnsi="Times New Roman"/>
          <w:noProof/>
          <w:sz w:val="24"/>
        </w:rPr>
        <w:t xml:space="preserve"> ab</w:t>
      </w:r>
      <w:r>
        <w:rPr>
          <w:rFonts w:ascii="Times New Roman" w:hAnsi="Times New Roman"/>
          <w:noProof/>
          <w:sz w:val="24"/>
        </w:rPr>
        <w:t>rió dos nuevos capítulos de negociación en 2018, con los que ya suma un total de treinta y dos capítulos abiertos, si bien tres de ellos están provisionalmente cerrados. La prioridad global, y el próximo hito que se debe alcanzar, es el cumplimiento de los</w:t>
      </w:r>
      <w:r>
        <w:rPr>
          <w:rFonts w:ascii="Times New Roman" w:hAnsi="Times New Roman"/>
          <w:noProof/>
          <w:sz w:val="24"/>
        </w:rPr>
        <w:t xml:space="preserve"> criterios de referencia provisionales en materia de Estado de Derecho fijados en el marco de los capítulos 23 y 24. Tras más de cinco años de trabajo a este respecto, Montenegro ha avanzado significativamente en la reforma de su marco jurídico e instituci</w:t>
      </w:r>
      <w:r>
        <w:rPr>
          <w:rFonts w:ascii="Times New Roman" w:hAnsi="Times New Roman"/>
          <w:noProof/>
          <w:sz w:val="24"/>
        </w:rPr>
        <w:t xml:space="preserve">onal en este ámbito, y ya se aprecian los primeros resultados en la mayoría de los ámbitos. Una vez se cumplan los criterios de referencia provisionales, </w:t>
      </w:r>
      <w:r>
        <w:rPr>
          <w:rFonts w:ascii="Times New Roman" w:hAnsi="Times New Roman"/>
          <w:noProof/>
          <w:color w:val="000000"/>
          <w:sz w:val="24"/>
        </w:rPr>
        <w:t>la UE, mediante la fijación de los criterios de referencia de cierre, tendrá la oportunidad de estable</w:t>
      </w:r>
      <w:r>
        <w:rPr>
          <w:rFonts w:ascii="Times New Roman" w:hAnsi="Times New Roman"/>
          <w:noProof/>
          <w:color w:val="000000"/>
          <w:sz w:val="24"/>
        </w:rPr>
        <w:t>cer claramente los requisitos en materia de Estado de Derecho que Montenegro deberá satisfacer para que se puedan cerrar los capítulos correspondientes.</w:t>
      </w:r>
      <w:r>
        <w:rPr>
          <w:rFonts w:ascii="Times New Roman" w:hAnsi="Times New Roman"/>
          <w:noProof/>
          <w:sz w:val="24"/>
        </w:rPr>
        <w:t xml:space="preserve"> Ahora bien, Montenegro no podrá pasar a esa nueva etapa del proceso de adhesión hasta que no resuelva l</w:t>
      </w:r>
      <w:r>
        <w:rPr>
          <w:rFonts w:ascii="Times New Roman" w:hAnsi="Times New Roman"/>
          <w:noProof/>
          <w:sz w:val="24"/>
        </w:rPr>
        <w:t xml:space="preserve">as carencias que aún presenta en los ámbitos críticos de la libertad de los medios de comunicación, la lucha contra la corrupción y la trata de seres humanos. Serán los avances relativos a los capítulos sobre el Estado de Derecho los que sigan marcando el </w:t>
      </w:r>
      <w:r>
        <w:rPr>
          <w:rFonts w:ascii="Times New Roman" w:hAnsi="Times New Roman"/>
          <w:noProof/>
          <w:sz w:val="24"/>
        </w:rPr>
        <w:t>ritmo general de las negociaciones de adhesión.</w:t>
      </w:r>
    </w:p>
    <w:p w:rsidR="00D96FAD" w:rsidRDefault="00E3669E">
      <w:pPr>
        <w:spacing w:after="120" w:line="240" w:lineRule="auto"/>
        <w:ind w:left="357"/>
        <w:jc w:val="both"/>
        <w:rPr>
          <w:rFonts w:ascii="Times New Roman" w:eastAsia="Times New Roman" w:hAnsi="Times New Roman" w:cs="Times New Roman"/>
          <w:noProof/>
          <w:color w:val="000000"/>
          <w:sz w:val="24"/>
          <w:szCs w:val="24"/>
        </w:rPr>
      </w:pPr>
      <w:r>
        <w:rPr>
          <w:rFonts w:ascii="Times New Roman" w:hAnsi="Times New Roman"/>
          <w:noProof/>
          <w:sz w:val="24"/>
        </w:rPr>
        <w:t>El panorama político de Montenegro todavía está polarizado, y la oposición ha continuado en gran medida su boicot parlamentario desde las pasadas elecciones de otoño de 2016. Las acusaciones de corrupción y d</w:t>
      </w:r>
      <w:r>
        <w:rPr>
          <w:rFonts w:ascii="Times New Roman" w:hAnsi="Times New Roman"/>
          <w:noProof/>
          <w:sz w:val="24"/>
        </w:rPr>
        <w:t>e financiación ilegal de partidos políticos a principios de 2019 desencadenaron manifestaciones pacíficas por parte de los ciudadanos. Llevar el debate político de nuevo al Parlamento es responsabilidad de todos los partidos. Aún está pendiente que la comi</w:t>
      </w:r>
      <w:r>
        <w:rPr>
          <w:rFonts w:ascii="Times New Roman" w:hAnsi="Times New Roman"/>
          <w:noProof/>
          <w:sz w:val="24"/>
        </w:rPr>
        <w:t>sión temporal multipartidista sobre nuevas reformas de la legislación electoral y de otro tipo dé resultados a través del diálogo entre los partidos. Se ha avanzado mucho en la planificación de políticas, la contratación basada en los méritos y la racional</w:t>
      </w:r>
      <w:r>
        <w:rPr>
          <w:rFonts w:ascii="Times New Roman" w:hAnsi="Times New Roman"/>
          <w:noProof/>
          <w:sz w:val="24"/>
        </w:rPr>
        <w:t>ización de la organización de la Administración del Estado, pero la despolitización de la función pública sigue constituyendo un reto particular, especialmente a nivel local. El país ha fortalecido su marco jurídico en materia de migración y asilo. La econ</w:t>
      </w:r>
      <w:r>
        <w:rPr>
          <w:rFonts w:ascii="Times New Roman" w:hAnsi="Times New Roman"/>
          <w:noProof/>
          <w:sz w:val="24"/>
        </w:rPr>
        <w:t xml:space="preserve">omía de Montenegro ha ido creciendo a un ritmo sólido, pero la deuda pública alcanzó un nuevo récord. </w:t>
      </w:r>
      <w:r>
        <w:rPr>
          <w:rFonts w:ascii="Times New Roman" w:hAnsi="Times New Roman"/>
          <w:noProof/>
          <w:color w:val="000000"/>
          <w:sz w:val="24"/>
        </w:rPr>
        <w:t>El desarrollo del sector privado sigue estando limitado por las deficiencias en el entorno empresarial y en el poder judicial, así como por la gran preval</w:t>
      </w:r>
      <w:r>
        <w:rPr>
          <w:rFonts w:ascii="Times New Roman" w:hAnsi="Times New Roman"/>
          <w:noProof/>
          <w:color w:val="000000"/>
          <w:sz w:val="24"/>
        </w:rPr>
        <w:t>encia de la economía informal, lo que refleja la escasa capacidad de ejecución que tienen las instituciones estatales clave responsables de velar por el respeto del Estado de Derecho y la competencia en el mercado.</w:t>
      </w:r>
    </w:p>
    <w:p w:rsidR="00D96FAD" w:rsidRDefault="00E3669E">
      <w:pPr>
        <w:numPr>
          <w:ilvl w:val="0"/>
          <w:numId w:val="1"/>
        </w:numPr>
        <w:spacing w:after="120" w:line="240" w:lineRule="auto"/>
        <w:ind w:left="357" w:hanging="357"/>
        <w:jc w:val="both"/>
        <w:rPr>
          <w:rFonts w:ascii="Times New Roman" w:hAnsi="Times New Roman" w:cs="Times New Roman"/>
          <w:noProof/>
          <w:sz w:val="24"/>
          <w:szCs w:val="24"/>
        </w:rPr>
      </w:pPr>
      <w:r>
        <w:rPr>
          <w:rFonts w:ascii="Times New Roman" w:hAnsi="Times New Roman"/>
          <w:noProof/>
          <w:sz w:val="24"/>
        </w:rPr>
        <w:t xml:space="preserve">Durante el período de referencia, </w:t>
      </w:r>
      <w:r>
        <w:rPr>
          <w:rFonts w:ascii="Times New Roman" w:hAnsi="Times New Roman"/>
          <w:b/>
          <w:noProof/>
          <w:sz w:val="24"/>
        </w:rPr>
        <w:t>Serbia</w:t>
      </w:r>
      <w:r>
        <w:rPr>
          <w:rFonts w:ascii="Times New Roman" w:hAnsi="Times New Roman"/>
          <w:noProof/>
          <w:sz w:val="24"/>
        </w:rPr>
        <w:t xml:space="preserve"> </w:t>
      </w:r>
      <w:r>
        <w:rPr>
          <w:rFonts w:ascii="Times New Roman" w:hAnsi="Times New Roman"/>
          <w:noProof/>
          <w:sz w:val="24"/>
        </w:rPr>
        <w:t xml:space="preserve">ha iniciado las negociaciones relativas a cuatro nuevos capítulos, con los que ya suma un total de dieciséis capítulos abiertos, si bien dos de ellos están provisionalmente cerrados. Los progresos en lo referente al Estado de Derecho y la normalización de </w:t>
      </w:r>
      <w:r>
        <w:rPr>
          <w:rFonts w:ascii="Times New Roman" w:hAnsi="Times New Roman"/>
          <w:noProof/>
          <w:sz w:val="24"/>
        </w:rPr>
        <w:t>las relaciones con Kosovo son esenciales y seguirán determinando el ritmo global de las negociaciones de adhesión. Si desea mantener el equilibrio general de sus negociaciones de adhesión a la UE, Serbia debe acelerar significativamente el ritmo de las ref</w:t>
      </w:r>
      <w:r>
        <w:rPr>
          <w:rFonts w:ascii="Times New Roman" w:hAnsi="Times New Roman"/>
          <w:noProof/>
          <w:sz w:val="24"/>
        </w:rPr>
        <w:t xml:space="preserve">ormas relacionadas con el Estado de Derecho, en particular, por lo que se refiere a la independencia del poder judicial, la lucha contra la corrupción, la libertad de los medios de comunicación, el tratamiento nacional de los crímenes de guerra y la lucha </w:t>
      </w:r>
      <w:r>
        <w:rPr>
          <w:rFonts w:ascii="Times New Roman" w:hAnsi="Times New Roman"/>
          <w:noProof/>
          <w:sz w:val="24"/>
        </w:rPr>
        <w:t xml:space="preserve">contra la delincuencia organizada. </w:t>
      </w:r>
    </w:p>
    <w:p w:rsidR="00D96FAD" w:rsidRDefault="00E3669E">
      <w:pPr>
        <w:spacing w:after="120" w:line="240" w:lineRule="auto"/>
        <w:ind w:left="357"/>
        <w:jc w:val="both"/>
        <w:rPr>
          <w:rFonts w:ascii="Times New Roman" w:hAnsi="Times New Roman" w:cs="Times New Roman"/>
          <w:noProof/>
          <w:sz w:val="24"/>
          <w:szCs w:val="24"/>
        </w:rPr>
      </w:pPr>
      <w:r>
        <w:rPr>
          <w:rFonts w:ascii="Times New Roman" w:hAnsi="Times New Roman"/>
          <w:noProof/>
          <w:sz w:val="24"/>
        </w:rPr>
        <w:t xml:space="preserve">Serbia presenta un panorama político cada vez más polarizado y con menor cabida para las opiniones políticas divergentes. </w:t>
      </w:r>
      <w:r>
        <w:rPr>
          <w:rFonts w:ascii="Times New Roman" w:hAnsi="Times New Roman"/>
          <w:noProof/>
          <w:color w:val="000000" w:themeColor="text1"/>
          <w:sz w:val="24"/>
        </w:rPr>
        <w:t>Urge crear un entorno más propicio para que se dé un auténtico debate entre los diferentes partido</w:t>
      </w:r>
      <w:r>
        <w:rPr>
          <w:rFonts w:ascii="Times New Roman" w:hAnsi="Times New Roman"/>
          <w:noProof/>
          <w:color w:val="000000" w:themeColor="text1"/>
          <w:sz w:val="24"/>
        </w:rPr>
        <w:t xml:space="preserve">s que permita forjar un amplio consenso proeuropeo, que es vital para que el país progrese en su trayectoria europea. </w:t>
      </w:r>
      <w:r>
        <w:rPr>
          <w:rFonts w:ascii="Times New Roman" w:hAnsi="Times New Roman"/>
          <w:noProof/>
          <w:sz w:val="24"/>
        </w:rPr>
        <w:t>Varios partidos de la oposición empezaron a boicotear el Parlamento en marzo de 2019. Las prácticas parlamentarias de la coalición en el p</w:t>
      </w:r>
      <w:r>
        <w:rPr>
          <w:rFonts w:ascii="Times New Roman" w:hAnsi="Times New Roman"/>
          <w:noProof/>
          <w:sz w:val="24"/>
        </w:rPr>
        <w:t>oder han provocado el deterioro del debate y el control legislativos y han minado la supervisión del poder ejecutivo por parte del Parlamento. En diciembre de 2018, en respuesta a la agresión sufrida por el dirigente de un partido de la oposición, empezaro</w:t>
      </w:r>
      <w:r>
        <w:rPr>
          <w:rFonts w:ascii="Times New Roman" w:hAnsi="Times New Roman"/>
          <w:noProof/>
          <w:sz w:val="24"/>
        </w:rPr>
        <w:t>n a organizarse manifestaciones semanales contra el Gobierno en Belgrado. Si bien no se ha registrado ningún avance general en materia de libertad de expresión, se ha preparado una nueva estrategia para los medios de comunicación de forma transparente e in</w:t>
      </w:r>
      <w:r>
        <w:rPr>
          <w:rFonts w:ascii="Times New Roman" w:hAnsi="Times New Roman"/>
          <w:noProof/>
          <w:sz w:val="24"/>
        </w:rPr>
        <w:t xml:space="preserve">tegradora. Ahora, es preciso que la estrategia se adopte y aplique con carácter urgente, dados los graves problemas en este ámbito. Se han hecho algunos progresos en el ámbito de la prestación de servicios a los ciudadanos, pero se requieren más esfuerzos </w:t>
      </w:r>
      <w:r>
        <w:rPr>
          <w:rFonts w:ascii="Times New Roman" w:hAnsi="Times New Roman"/>
          <w:noProof/>
          <w:sz w:val="24"/>
        </w:rPr>
        <w:t>dirigidos a la profesionalización y la despolitización de la Administración Pública. La capacidad de Serbia para atraer y retener a personal cualificado en las Administraciones que se ocupan de las cuestiones de la UE es crucial. El proceso de reforma cons</w:t>
      </w:r>
      <w:r>
        <w:rPr>
          <w:rFonts w:ascii="Times New Roman" w:hAnsi="Times New Roman"/>
          <w:noProof/>
          <w:sz w:val="24"/>
        </w:rPr>
        <w:t xml:space="preserve">titucional en curso, basado en el proyecto de octubre de 2018 propuesto por el Gobierno, tiene por objeto, en particular, reforzar las salvaguardias para la independencia judicial en consonancia con las normas europeas. Las reformas económicas han seguido </w:t>
      </w:r>
      <w:r>
        <w:rPr>
          <w:rFonts w:ascii="Times New Roman" w:hAnsi="Times New Roman"/>
          <w:noProof/>
          <w:sz w:val="24"/>
        </w:rPr>
        <w:t>dando resultados, sobre todo en cuanto a la estabilización macroeconómica. La presión sobre los precios se ha mantenido moderada, y los resultados del mercado de trabajo han mejorado. Sin embargo, las grandes reformas estructurales de la Administración Púb</w:t>
      </w:r>
      <w:r>
        <w:rPr>
          <w:rFonts w:ascii="Times New Roman" w:hAnsi="Times New Roman"/>
          <w:noProof/>
          <w:sz w:val="24"/>
        </w:rPr>
        <w:t xml:space="preserve">lica, la Administración tributaria y las empresas de propiedad estatal han avanzado lentamente. El sector privado aún padece deficiencias en el Estado de Derecho y en el respeto de una competencia leal. Serbia ha seguido contribuyendo significativamente a </w:t>
      </w:r>
      <w:r>
        <w:rPr>
          <w:rFonts w:ascii="Times New Roman" w:hAnsi="Times New Roman"/>
          <w:noProof/>
          <w:sz w:val="24"/>
        </w:rPr>
        <w:t>la gestión de los flujos migratorios mixtos hacia la UE.</w:t>
      </w:r>
    </w:p>
    <w:p w:rsidR="00D96FAD" w:rsidRDefault="00E3669E">
      <w:pPr>
        <w:spacing w:after="120" w:line="240" w:lineRule="auto"/>
        <w:ind w:left="357"/>
        <w:jc w:val="both"/>
        <w:rPr>
          <w:rFonts w:ascii="Times New Roman" w:hAnsi="Times New Roman" w:cs="Times New Roman"/>
          <w:noProof/>
          <w:sz w:val="24"/>
          <w:szCs w:val="24"/>
        </w:rPr>
      </w:pPr>
      <w:r>
        <w:rPr>
          <w:rFonts w:ascii="Times New Roman" w:hAnsi="Times New Roman"/>
          <w:noProof/>
          <w:sz w:val="24"/>
        </w:rPr>
        <w:t>En lo que respecta al diálogo con Pristina facilitado por la UE, en líneas generales, Serbia ha mantenido su compromiso, a pesar de la introducción de los aranceles por parte de Kosovo. Serbia debe e</w:t>
      </w:r>
      <w:r>
        <w:rPr>
          <w:rFonts w:ascii="Times New Roman" w:hAnsi="Times New Roman"/>
          <w:noProof/>
          <w:sz w:val="24"/>
        </w:rPr>
        <w:t xml:space="preserve">sforzarse con más ahínco y contribuir, especialmente a través de sus relaciones internacionales, a la creación de un entorno propicio para la celebración de un acuerdo integral y jurídicamente vinculante con Kosovo. Es urgente y crucial que se celebre tal </w:t>
      </w:r>
      <w:r>
        <w:rPr>
          <w:rFonts w:ascii="Times New Roman" w:hAnsi="Times New Roman"/>
          <w:noProof/>
          <w:sz w:val="24"/>
        </w:rPr>
        <w:t>acuerdo para que Serbia y Kosovo puedan avanzar en sus respectivas trayectorias hacia la adhesión a la UE.</w:t>
      </w:r>
    </w:p>
    <w:p w:rsidR="00D96FAD" w:rsidRDefault="00E3669E">
      <w:pPr>
        <w:numPr>
          <w:ilvl w:val="0"/>
          <w:numId w:val="1"/>
        </w:numPr>
        <w:spacing w:after="120" w:line="240" w:lineRule="auto"/>
        <w:ind w:left="357" w:hanging="357"/>
        <w:jc w:val="both"/>
        <w:rPr>
          <w:rFonts w:ascii="Times New Roman" w:hAnsi="Times New Roman" w:cs="Times New Roman"/>
          <w:noProof/>
          <w:sz w:val="24"/>
          <w:szCs w:val="24"/>
        </w:rPr>
      </w:pPr>
      <w:r>
        <w:rPr>
          <w:rFonts w:ascii="Times New Roman" w:hAnsi="Times New Roman"/>
          <w:b/>
          <w:noProof/>
          <w:sz w:val="24"/>
        </w:rPr>
        <w:t>Macedonia del Norte</w:t>
      </w:r>
      <w:r>
        <w:rPr>
          <w:rFonts w:ascii="Times New Roman" w:hAnsi="Times New Roman"/>
          <w:noProof/>
          <w:sz w:val="24"/>
        </w:rPr>
        <w:t xml:space="preserve"> ha dado grandes pasos hacia su objetivo estratégico de integración en la UE y la OTAN. El país ha demostrado su determinación de </w:t>
      </w:r>
      <w:r>
        <w:rPr>
          <w:rFonts w:ascii="Times New Roman" w:hAnsi="Times New Roman"/>
          <w:noProof/>
          <w:sz w:val="24"/>
        </w:rPr>
        <w:t>llevar adelante el programa de reformas de la UE y ha ido obteniendo resultados tangibles de forma continuada, en particular, respecto de las condiciones señaladas en las Conclusiones del Consejo de junio de 2018 para la apertura de las negociaciones de ad</w:t>
      </w:r>
      <w:r>
        <w:rPr>
          <w:rFonts w:ascii="Times New Roman" w:hAnsi="Times New Roman"/>
          <w:noProof/>
          <w:sz w:val="24"/>
        </w:rPr>
        <w:t xml:space="preserve">hesión. A lo largo del período de referencia, el Gobierno —y también gradualmente la oposición— ha dejado patente de manera sistemática su voluntad política de avanzar, y se ha observado un cambio de mentalidad positivo, a pesar de los desafíos políticos. </w:t>
      </w:r>
      <w:r>
        <w:rPr>
          <w:rFonts w:ascii="Times New Roman" w:hAnsi="Times New Roman"/>
          <w:noProof/>
          <w:sz w:val="24"/>
        </w:rPr>
        <w:t>La sostenibilidad de estas reformas estructurales es un proceso a largo plazo que requiere un compromiso continuo. Los cambios legislativos pertinentes en estos ámbitos se han llevado a cabo principalmente de manera inclusiva y transparente, contando con l</w:t>
      </w:r>
      <w:r>
        <w:rPr>
          <w:rFonts w:ascii="Times New Roman" w:hAnsi="Times New Roman"/>
          <w:noProof/>
          <w:sz w:val="24"/>
        </w:rPr>
        <w:t>a participación de la oposición, la sociedad civil y los socios internacionales. Ya se han logrado los primeros resultados concretos en cuanto al refuerzo de la independencia del poder judicial y la constitución de un historial de investigaciones, enjuicia</w:t>
      </w:r>
      <w:r>
        <w:rPr>
          <w:rFonts w:ascii="Times New Roman" w:hAnsi="Times New Roman"/>
          <w:noProof/>
          <w:sz w:val="24"/>
        </w:rPr>
        <w:t>mientos y condenas firmes en casos de corrupción y delincuencia organizada, especialmente en casos de alto nivel. Deben continuar estos esfuerzos sin pausa y de manera transparente a fin de garantizar que el poder judicial funcione con profesionalidad e im</w:t>
      </w:r>
      <w:r>
        <w:rPr>
          <w:rFonts w:ascii="Times New Roman" w:hAnsi="Times New Roman"/>
          <w:noProof/>
          <w:sz w:val="24"/>
        </w:rPr>
        <w:t>parcialidad. La Comisión Estatal para la Prevención de la Corrupción ha dado pasos importantes para luchar contra la corrupción de forma proactiva, contando con la participación de funcionarios de alto nivel de todo el espectro político. Se han establecido</w:t>
      </w:r>
      <w:r>
        <w:rPr>
          <w:rFonts w:ascii="Times New Roman" w:hAnsi="Times New Roman"/>
          <w:noProof/>
          <w:sz w:val="24"/>
        </w:rPr>
        <w:t xml:space="preserve"> salvaguardias en el ámbito de los servicios de inteligencia y seguridad, en cooperación con la OTAN y los socios estratégicos, a fin de prevenir que se repitan los graves problemas del pasado. Se han hecho esfuerzos para mejorar la profesionalización de l</w:t>
      </w:r>
      <w:r>
        <w:rPr>
          <w:rFonts w:ascii="Times New Roman" w:hAnsi="Times New Roman"/>
          <w:noProof/>
          <w:sz w:val="24"/>
        </w:rPr>
        <w:t>a Administración Pública, y la Comisión Estatal para la Prevención de la Corrupción ha tomado medidas en los casos de supuestos nombramientos politizados. En general, se ha restablecido el sistema de contrapoderes institucionales, lo que ha contribuido a c</w:t>
      </w:r>
      <w:r>
        <w:rPr>
          <w:rFonts w:ascii="Times New Roman" w:hAnsi="Times New Roman"/>
          <w:noProof/>
          <w:sz w:val="24"/>
        </w:rPr>
        <w:t xml:space="preserve">onsolidar la democracia y el Estado de Derecho en el país. </w:t>
      </w:r>
      <w:r>
        <w:rPr>
          <w:rFonts w:ascii="Times New Roman" w:hAnsi="Times New Roman"/>
          <w:noProof/>
          <w:color w:val="000000" w:themeColor="text1"/>
          <w:sz w:val="24"/>
        </w:rPr>
        <w:t>Las elecciones presidenciales celebradas el 21 de abril y el 5 de mayo de 2019 se desarrollaron de forma tranquila, pacífica y transparente.</w:t>
      </w:r>
      <w:r>
        <w:rPr>
          <w:noProof/>
        </w:rPr>
        <w:t xml:space="preserve"> </w:t>
      </w:r>
      <w:r>
        <w:rPr>
          <w:rFonts w:ascii="Times New Roman" w:hAnsi="Times New Roman"/>
          <w:noProof/>
          <w:sz w:val="24"/>
        </w:rPr>
        <w:t xml:space="preserve">El acuerdo histórico alcanzado con Grecia ha puesto fin </w:t>
      </w:r>
      <w:r>
        <w:rPr>
          <w:rFonts w:ascii="Times New Roman" w:hAnsi="Times New Roman"/>
          <w:noProof/>
          <w:sz w:val="24"/>
        </w:rPr>
        <w:t>a una antigua disputa y constituye un ejemplo de reconciliación para la región y el conjunto de Europa. La Comisión confía en que se siga aplicando el Tratado de Amistad con Bulgaria. Tras años de estancamiento, el crecimiento económico se ha reanudado con</w:t>
      </w:r>
      <w:r>
        <w:rPr>
          <w:rFonts w:ascii="Times New Roman" w:hAnsi="Times New Roman"/>
          <w:noProof/>
          <w:sz w:val="24"/>
        </w:rPr>
        <w:t xml:space="preserve"> un 2,7 % en 2018, y el desempleo ha ido en descenso, aunque aún es elevado. El Gobierno ha adoptado reformas en materia de impuestos sobre la renta y pensiones y ha tomado nuevas medidas para mejorar la gestión de las finanzas públicas y lograr una mayor </w:t>
      </w:r>
      <w:r>
        <w:rPr>
          <w:rFonts w:ascii="Times New Roman" w:hAnsi="Times New Roman"/>
          <w:noProof/>
          <w:sz w:val="24"/>
        </w:rPr>
        <w:t>transparencia. Sin embargo, la falta de personal cualificado, los desafíos estructurales en el entorno empresarial y el déficit de inversión en infraestructuras obstaculizan la competitividad y la integración de las empresas nacionales en las cadenas de va</w:t>
      </w:r>
      <w:r>
        <w:rPr>
          <w:rFonts w:ascii="Times New Roman" w:hAnsi="Times New Roman"/>
          <w:noProof/>
          <w:sz w:val="24"/>
        </w:rPr>
        <w:t xml:space="preserve">lor mundiales. </w:t>
      </w:r>
    </w:p>
    <w:p w:rsidR="00D96FAD" w:rsidRDefault="00E3669E">
      <w:pPr>
        <w:autoSpaceDE w:val="0"/>
        <w:autoSpaceDN w:val="0"/>
        <w:spacing w:after="120" w:line="240" w:lineRule="auto"/>
        <w:ind w:left="357"/>
        <w:jc w:val="both"/>
        <w:rPr>
          <w:rFonts w:ascii="Times New Roman" w:hAnsi="Times New Roman" w:cs="Times New Roman"/>
          <w:noProof/>
          <w:sz w:val="24"/>
          <w:szCs w:val="24"/>
        </w:rPr>
      </w:pPr>
      <w:r>
        <w:rPr>
          <w:rFonts w:ascii="Times New Roman" w:hAnsi="Times New Roman"/>
          <w:noProof/>
          <w:sz w:val="24"/>
        </w:rPr>
        <w:t xml:space="preserve">En vista de los notables progresos realizados y del cumplimiento de las condiciones fijadas unánimemente por el Consejo en junio de 2018, la Comisión recomienda que el Consejo inicie las negociaciones de adhesión con Macedonia del Norte. A </w:t>
      </w:r>
      <w:r>
        <w:rPr>
          <w:rFonts w:ascii="Times New Roman" w:hAnsi="Times New Roman"/>
          <w:noProof/>
          <w:sz w:val="24"/>
        </w:rPr>
        <w:t>fin de respaldar el continuo impulso de reforma, la Comisión propone aplicar al país un enfoque reforzado para los capítulos de negociación sobre el poder judicial y los derechos fundamentales y la justicia, la libertad y la seguridad.</w:t>
      </w:r>
    </w:p>
    <w:p w:rsidR="00D96FAD" w:rsidRDefault="00E3669E">
      <w:pPr>
        <w:numPr>
          <w:ilvl w:val="0"/>
          <w:numId w:val="1"/>
        </w:numPr>
        <w:spacing w:after="120" w:line="240" w:lineRule="auto"/>
        <w:ind w:left="357" w:hanging="357"/>
        <w:jc w:val="both"/>
        <w:rPr>
          <w:rFonts w:ascii="Times New Roman" w:hAnsi="Times New Roman" w:cs="Times New Roman"/>
          <w:noProof/>
          <w:sz w:val="24"/>
          <w:szCs w:val="24"/>
        </w:rPr>
      </w:pPr>
      <w:r>
        <w:rPr>
          <w:rFonts w:ascii="Times New Roman" w:hAnsi="Times New Roman"/>
          <w:b/>
          <w:noProof/>
          <w:sz w:val="24"/>
        </w:rPr>
        <w:t>Albania</w:t>
      </w:r>
      <w:r>
        <w:rPr>
          <w:rFonts w:ascii="Times New Roman" w:hAnsi="Times New Roman"/>
          <w:noProof/>
          <w:sz w:val="24"/>
        </w:rPr>
        <w:t xml:space="preserve"> ha seguido progresando adecuadamente y ha demostrado que mantiene su determinación de llevar adelante el programa de reformas de la UE. El país ha ido obteniendo resultados tangibles de forma continuada, especialmente respecto de las condiciones fijadas e</w:t>
      </w:r>
      <w:r>
        <w:rPr>
          <w:rFonts w:ascii="Times New Roman" w:hAnsi="Times New Roman"/>
          <w:noProof/>
          <w:sz w:val="24"/>
        </w:rPr>
        <w:t xml:space="preserve">n las Conclusiones del Consejo de junio de 2018 para el inicio de las negociaciones de adhesión, en medio de un clima político constantemente polarizado. Los partidos de la oposición, la mayoría de los cuales renunció a su mandato parlamentario en febrero </w:t>
      </w:r>
      <w:r>
        <w:rPr>
          <w:rFonts w:ascii="Times New Roman" w:hAnsi="Times New Roman"/>
          <w:noProof/>
          <w:sz w:val="24"/>
        </w:rPr>
        <w:t>de 2019, deben reanudar de forma constructiva las relaciones con las instituciones democráticas y comprometerse con un amplio consenso europeo. Se ha proseguido la reforma del poder judicial de forma constante, lo que ha dado lugar a un buen avance general</w:t>
      </w:r>
      <w:r>
        <w:rPr>
          <w:rFonts w:ascii="Times New Roman" w:hAnsi="Times New Roman"/>
          <w:noProof/>
          <w:sz w:val="24"/>
        </w:rPr>
        <w:t xml:space="preserve"> y a que se sienten las bases para reforzar sustancialmente el sector y consolidar la independencia, la imparcialidad, la profesionalidad y la rendición de cuentas. Se han logrado resultados concretos en el proceso de reevaluación de todos los jueces y fis</w:t>
      </w:r>
      <w:r>
        <w:rPr>
          <w:rFonts w:ascii="Times New Roman" w:hAnsi="Times New Roman"/>
          <w:noProof/>
          <w:sz w:val="24"/>
        </w:rPr>
        <w:t>cales (investigación de expedientes). También ha continuado la reestructuración institucional del poder judicial. Se han creado nuevos organismos para el autogobierno independiente del poder judicial que han dado lugar a la posterior formación de instituci</w:t>
      </w:r>
      <w:r>
        <w:rPr>
          <w:rFonts w:ascii="Times New Roman" w:hAnsi="Times New Roman"/>
          <w:noProof/>
          <w:sz w:val="24"/>
        </w:rPr>
        <w:t xml:space="preserve">ones judiciales y de investigación especializadas para la lucha contra la delincuencia organizada y la corrupción. Se ha seguido luchando con determinación contra la corrupción y la delincuencia organizada, incluida la lucha contra el cultivo y el tráfico </w:t>
      </w:r>
      <w:r>
        <w:rPr>
          <w:rFonts w:ascii="Times New Roman" w:hAnsi="Times New Roman"/>
          <w:noProof/>
          <w:sz w:val="24"/>
        </w:rPr>
        <w:t>de drogas, lo que ha contribuido a lograr una trayectoria sólida de investigaciones proactivas, enjuiciamientos y condenas. En los últimos años, Albania ha demostrado su firme compromiso de luchar contra la producción y el tráfico de cannabis. La cooperaci</w:t>
      </w:r>
      <w:r>
        <w:rPr>
          <w:rFonts w:ascii="Times New Roman" w:hAnsi="Times New Roman"/>
          <w:noProof/>
          <w:sz w:val="24"/>
        </w:rPr>
        <w:t>ón policial internacional, especialmente con los Estados miembros de la UE, también se ha intensificado, y gracias a ello se han llevado a cabo con éxito varias operaciones policiales a gran escala y han tenido lugar detenciones y enjuiciamientos de dirige</w:t>
      </w:r>
      <w:r>
        <w:rPr>
          <w:rFonts w:ascii="Times New Roman" w:hAnsi="Times New Roman"/>
          <w:noProof/>
          <w:sz w:val="24"/>
        </w:rPr>
        <w:t>ntes de redes delictivas organizadas. Lograr una trayectoria sólida de investigaciones proactivas, enjuiciamientos y condenas en la lucha contra la corrupción a todos los niveles, así como en la lucha contra la delincuencia organizada, sigue siendo un reto</w:t>
      </w:r>
      <w:r>
        <w:rPr>
          <w:rFonts w:ascii="Times New Roman" w:hAnsi="Times New Roman"/>
          <w:noProof/>
          <w:sz w:val="24"/>
        </w:rPr>
        <w:t xml:space="preserve"> a largo plazo que exige de Albania nuevos esfuerzos intensos y constantes, y, en particular, su cooperación operativa con los Estados miembros de la UE.</w:t>
      </w:r>
    </w:p>
    <w:p w:rsidR="00D96FAD" w:rsidRDefault="00E3669E">
      <w:pPr>
        <w:spacing w:after="120" w:line="240" w:lineRule="auto"/>
        <w:ind w:left="357"/>
        <w:jc w:val="both"/>
        <w:rPr>
          <w:rFonts w:ascii="Times New Roman" w:hAnsi="Times New Roman" w:cs="Times New Roman"/>
          <w:noProof/>
          <w:sz w:val="24"/>
          <w:szCs w:val="24"/>
        </w:rPr>
      </w:pPr>
      <w:r>
        <w:rPr>
          <w:rFonts w:ascii="Times New Roman" w:hAnsi="Times New Roman"/>
          <w:noProof/>
          <w:sz w:val="24"/>
        </w:rPr>
        <w:t>Además, ha proseguido la reforma de la Administración Pública, con los objetivos generales de incremen</w:t>
      </w:r>
      <w:r>
        <w:rPr>
          <w:rFonts w:ascii="Times New Roman" w:hAnsi="Times New Roman"/>
          <w:noProof/>
          <w:sz w:val="24"/>
        </w:rPr>
        <w:t>tar la profesionalidad y la transparencia en los procedimientos de selección de la función pública, así como de reforzar la formulación de políticas mediante la consolidación de las estructuras de coordinación sectorial y el establecimiento del marco norma</w:t>
      </w:r>
      <w:r>
        <w:rPr>
          <w:rFonts w:ascii="Times New Roman" w:hAnsi="Times New Roman"/>
          <w:noProof/>
          <w:sz w:val="24"/>
        </w:rPr>
        <w:t>tivo para las evaluaciones de impacto. Se ha seguido adelante con la adopción de medidas destinadas a reforzar la protección efectiva de los derechos humanos, incluidos los derechos de las personas pertenecientes a minorías y de los gitanos, y las política</w:t>
      </w:r>
      <w:r>
        <w:rPr>
          <w:rFonts w:ascii="Times New Roman" w:hAnsi="Times New Roman"/>
          <w:noProof/>
          <w:sz w:val="24"/>
        </w:rPr>
        <w:t>s contra la discriminación. El crecimiento económico ha ido en aumento, del 3,8 % en 2017 al 4,2 % en 2018, y tanto el desempleo como el déficit presupuestario han disminuido, aunque todavía son elevados. La falta de conocimientos productivos, el bajo nive</w:t>
      </w:r>
      <w:r>
        <w:rPr>
          <w:rFonts w:ascii="Times New Roman" w:hAnsi="Times New Roman"/>
          <w:noProof/>
          <w:sz w:val="24"/>
        </w:rPr>
        <w:t>l educativo y las transferencias de tecnología dificultan su competitividad e integración en las cadenas de valor internacionales.</w:t>
      </w:r>
    </w:p>
    <w:p w:rsidR="00D96FAD" w:rsidRDefault="00E3669E">
      <w:pPr>
        <w:spacing w:after="120" w:line="240" w:lineRule="auto"/>
        <w:ind w:left="357"/>
        <w:jc w:val="both"/>
        <w:rPr>
          <w:rFonts w:ascii="Times New Roman" w:hAnsi="Times New Roman" w:cs="Times New Roman"/>
          <w:noProof/>
          <w:sz w:val="24"/>
          <w:szCs w:val="24"/>
        </w:rPr>
      </w:pPr>
      <w:r>
        <w:rPr>
          <w:rFonts w:ascii="Times New Roman" w:hAnsi="Times New Roman"/>
          <w:noProof/>
          <w:sz w:val="24"/>
        </w:rPr>
        <w:t>En vista de los notables progresos realizados y del cumplimiento de las condiciones fijadas unánimemente por el Consejo en ju</w:t>
      </w:r>
      <w:r>
        <w:rPr>
          <w:rFonts w:ascii="Times New Roman" w:hAnsi="Times New Roman"/>
          <w:noProof/>
          <w:sz w:val="24"/>
        </w:rPr>
        <w:t>nio de 2018, la Comisión recomienda que el Consejo inicie las negociaciones de adhesión con Albania. A fin de respaldar el continuo impulso de reforma, la Comisión propone aplicar al país un enfoque reforzado para los capítulos de negociación sobre el pode</w:t>
      </w:r>
      <w:r>
        <w:rPr>
          <w:rFonts w:ascii="Times New Roman" w:hAnsi="Times New Roman"/>
          <w:noProof/>
          <w:sz w:val="24"/>
        </w:rPr>
        <w:t xml:space="preserve">r judicial y los derechos fundamentales y la justicia, la libertad y la seguridad. Albania debe seguir trabajando en forjar una trayectoria sólida en la lucha contra la corrupción a todos los niveles y la lucha contra la delincuencia organizada. Asimismo, </w:t>
      </w:r>
      <w:r>
        <w:rPr>
          <w:rFonts w:ascii="Times New Roman" w:hAnsi="Times New Roman"/>
          <w:noProof/>
          <w:sz w:val="24"/>
        </w:rPr>
        <w:t>a fin de mantener y consolidar los progresos realizados por el país, se requiere un consenso nacional más fuerte en relación con la prioridad absoluta de la integración en la UE que permita superar la actual polarización y muestre que hay una voluntad polí</w:t>
      </w:r>
      <w:r>
        <w:rPr>
          <w:rFonts w:ascii="Times New Roman" w:hAnsi="Times New Roman"/>
          <w:noProof/>
          <w:sz w:val="24"/>
        </w:rPr>
        <w:t xml:space="preserve">tica que prevalece sobre las diferencias entre partidos. </w:t>
      </w:r>
    </w:p>
    <w:p w:rsidR="00D96FAD" w:rsidRDefault="00E3669E">
      <w:pPr>
        <w:numPr>
          <w:ilvl w:val="0"/>
          <w:numId w:val="1"/>
        </w:numPr>
        <w:spacing w:after="120" w:line="240" w:lineRule="auto"/>
        <w:ind w:left="357" w:hanging="357"/>
        <w:jc w:val="both"/>
        <w:rPr>
          <w:rFonts w:ascii="Times New Roman" w:hAnsi="Times New Roman" w:cs="Times New Roman"/>
          <w:noProof/>
          <w:sz w:val="24"/>
          <w:szCs w:val="24"/>
        </w:rPr>
      </w:pPr>
      <w:r>
        <w:rPr>
          <w:rFonts w:ascii="Times New Roman" w:hAnsi="Times New Roman"/>
          <w:noProof/>
          <w:sz w:val="24"/>
        </w:rPr>
        <w:t xml:space="preserve">En </w:t>
      </w:r>
      <w:r>
        <w:rPr>
          <w:rFonts w:ascii="Times New Roman" w:hAnsi="Times New Roman"/>
          <w:b/>
          <w:noProof/>
          <w:sz w:val="24"/>
        </w:rPr>
        <w:t>Kosovo</w:t>
      </w:r>
      <w:r>
        <w:rPr>
          <w:rFonts w:ascii="Times New Roman" w:hAnsi="Times New Roman"/>
          <w:noProof/>
          <w:sz w:val="24"/>
        </w:rPr>
        <w:t>, la situación política general se ha revelado difícil. Los progresos realizados respecto de determinadas reformas clave relacionadas con la UE se han visto eclipsados por la decisión del G</w:t>
      </w:r>
      <w:r>
        <w:rPr>
          <w:rFonts w:ascii="Times New Roman" w:hAnsi="Times New Roman"/>
          <w:noProof/>
          <w:sz w:val="24"/>
        </w:rPr>
        <w:t>obierno de imponer un arancel del 100 % a las importaciones procedentes de Serbia y de Bosnia y Herzegovina, contrariamente al ACELC y al espíritu del Acuerdo de Estabilización y Asociación (AEA). Kosovo debe retirar esta medida urgentemente y centrar su a</w:t>
      </w:r>
      <w:r>
        <w:rPr>
          <w:rFonts w:ascii="Times New Roman" w:hAnsi="Times New Roman"/>
          <w:noProof/>
          <w:sz w:val="24"/>
        </w:rPr>
        <w:t>tención en adelantar la aplicación del AEA, para lo que se requiere un sólido consenso entre los partidos. Además, Kosovo ha de aplicar de manera efectiva la legislación recientemente adoptada en los ámbitos del Estado de Derecho y la Administración Públic</w:t>
      </w:r>
      <w:r>
        <w:rPr>
          <w:rFonts w:ascii="Times New Roman" w:hAnsi="Times New Roman"/>
          <w:noProof/>
          <w:sz w:val="24"/>
        </w:rPr>
        <w:t>a, así como llevar a término la aplicación del Programa Europeo de Reforma. Se requieren una actuación más firme para evitar injerencias políticas en la selección de altos funcionarios y una mayor coordinación de los esfuerzos para luchar contra la corrupc</w:t>
      </w:r>
      <w:r>
        <w:rPr>
          <w:rFonts w:ascii="Times New Roman" w:hAnsi="Times New Roman"/>
          <w:noProof/>
          <w:sz w:val="24"/>
        </w:rPr>
        <w:t>ión y la delincuencia organizada. El nombramiento de personas condenadas por crímenes de guerra o por corrupción o delincuencia organizada para ocupar puestos oficiales va en contra de los valores europeos. Se debe luchar con determinación contra los altos</w:t>
      </w:r>
      <w:r>
        <w:rPr>
          <w:rFonts w:ascii="Times New Roman" w:hAnsi="Times New Roman"/>
          <w:noProof/>
          <w:sz w:val="24"/>
        </w:rPr>
        <w:t xml:space="preserve"> niveles de corrupción y delincuencia organizada, especialmente en el norte de Kosovo. Ha habido ciertos progresos en lo referente a la economía, que ha experimentado un crecimiento continuado y algunas mejoras en el entorno empresarial. No obstante, deben</w:t>
      </w:r>
      <w:r>
        <w:rPr>
          <w:rFonts w:ascii="Times New Roman" w:hAnsi="Times New Roman"/>
          <w:noProof/>
          <w:sz w:val="24"/>
        </w:rPr>
        <w:t xml:space="preserve"> adoptarse medidas para aumentar los niveles de actividad y de empleo, garantizar que el presupuesto se ajuste a las normas presupuestarias vigentes y hacer frente a la economía informal.</w:t>
      </w:r>
    </w:p>
    <w:p w:rsidR="00D96FAD" w:rsidRDefault="00E3669E">
      <w:pPr>
        <w:spacing w:after="120" w:line="240" w:lineRule="auto"/>
        <w:ind w:left="357"/>
        <w:jc w:val="both"/>
        <w:rPr>
          <w:rFonts w:ascii="Times New Roman" w:hAnsi="Times New Roman" w:cs="Times New Roman"/>
          <w:noProof/>
          <w:sz w:val="24"/>
          <w:szCs w:val="24"/>
        </w:rPr>
      </w:pPr>
      <w:r>
        <w:rPr>
          <w:rFonts w:ascii="Times New Roman" w:hAnsi="Times New Roman"/>
          <w:noProof/>
          <w:sz w:val="24"/>
        </w:rPr>
        <w:t>En julio de 2018, la Comisión confirmó que Kosovo había cumplido tod</w:t>
      </w:r>
      <w:r>
        <w:rPr>
          <w:rFonts w:ascii="Times New Roman" w:hAnsi="Times New Roman"/>
          <w:noProof/>
          <w:sz w:val="24"/>
        </w:rPr>
        <w:t xml:space="preserve">os criterios aprobados por el Consejo para la liberalización del régimen de visados. En marzo de 2019, el Parlamento Europeo apoyó, en primera lectura, la propuesta de la Comisión de liberalizar el régimen de visados. Ahora, la propuesta está pendiente de </w:t>
      </w:r>
      <w:r>
        <w:rPr>
          <w:rFonts w:ascii="Times New Roman" w:hAnsi="Times New Roman"/>
          <w:noProof/>
          <w:sz w:val="24"/>
        </w:rPr>
        <w:t>adopción en el Consejo y debe tratarse con carácter urgente. Kosovo ha de seguir esforzándose en respetar todos los criterios, especialmente en los ámbitos del Estado de Derecho y la migración.</w:t>
      </w:r>
    </w:p>
    <w:p w:rsidR="00D96FAD" w:rsidRDefault="00E3669E">
      <w:pPr>
        <w:spacing w:after="120" w:line="240" w:lineRule="auto"/>
        <w:ind w:left="357"/>
        <w:jc w:val="both"/>
        <w:rPr>
          <w:rFonts w:ascii="Times New Roman" w:hAnsi="Times New Roman" w:cs="Times New Roman"/>
          <w:noProof/>
          <w:sz w:val="24"/>
          <w:szCs w:val="24"/>
        </w:rPr>
      </w:pPr>
      <w:r>
        <w:rPr>
          <w:rFonts w:ascii="Times New Roman" w:hAnsi="Times New Roman"/>
          <w:noProof/>
          <w:sz w:val="24"/>
        </w:rPr>
        <w:t xml:space="preserve">En general, Kosovo ha mantenido su compromiso en relación con </w:t>
      </w:r>
      <w:r>
        <w:rPr>
          <w:rFonts w:ascii="Times New Roman" w:hAnsi="Times New Roman"/>
          <w:noProof/>
          <w:sz w:val="24"/>
        </w:rPr>
        <w:t xml:space="preserve">el diálogo con Belgrado facilitado por la UE. Kosovo debe esforzarse con más ahínco y contribuir a la creación de un entorno propicio para la celebración de un acuerdo integral y jurídicamente vinculante con Serbia. Es urgente y crucial que se celebre tal </w:t>
      </w:r>
      <w:r>
        <w:rPr>
          <w:rFonts w:ascii="Times New Roman" w:hAnsi="Times New Roman"/>
          <w:noProof/>
          <w:sz w:val="24"/>
        </w:rPr>
        <w:t xml:space="preserve">acuerdo para que Kosovo y Serbia puedan avanzar en sus respectivas trayectorias hacia la adhesión a la UE. El Gobierno de Kosovo ha de retirar los aranceles a las importaciones procedentes de Serbia y de Bosnia y Herzegovina. </w:t>
      </w:r>
    </w:p>
    <w:p w:rsidR="00D96FAD" w:rsidRDefault="00D96FAD">
      <w:pPr>
        <w:spacing w:after="120" w:line="240" w:lineRule="auto"/>
        <w:rPr>
          <w:rFonts w:ascii="Times New Roman" w:hAnsi="Times New Roman" w:cs="Times New Roman"/>
          <w:b/>
          <w:noProof/>
          <w:sz w:val="24"/>
          <w:szCs w:val="24"/>
        </w:rPr>
      </w:pPr>
    </w:p>
    <w:p w:rsidR="00D96FAD" w:rsidRDefault="00E3669E">
      <w:pPr>
        <w:pageBreakBefore/>
        <w:spacing w:after="120" w:line="240" w:lineRule="auto"/>
        <w:rPr>
          <w:rFonts w:ascii="Times New Roman" w:hAnsi="Times New Roman" w:cs="Times New Roman"/>
          <w:b/>
          <w:noProof/>
          <w:sz w:val="24"/>
          <w:szCs w:val="24"/>
        </w:rPr>
      </w:pPr>
      <w:r>
        <w:rPr>
          <w:rFonts w:ascii="Times New Roman" w:hAnsi="Times New Roman"/>
          <w:b/>
          <w:noProof/>
          <w:sz w:val="24"/>
        </w:rPr>
        <w:t xml:space="preserve">IV. ANEXOS </w:t>
      </w:r>
    </w:p>
    <w:p w:rsidR="00D96FAD" w:rsidRDefault="00E3669E">
      <w:pPr>
        <w:pStyle w:val="ListParagraph"/>
        <w:numPr>
          <w:ilvl w:val="0"/>
          <w:numId w:val="30"/>
        </w:numPr>
        <w:spacing w:after="120" w:line="240" w:lineRule="auto"/>
        <w:contextualSpacing w:val="0"/>
        <w:jc w:val="both"/>
        <w:rPr>
          <w:rFonts w:ascii="Times New Roman" w:hAnsi="Times New Roman" w:cs="Times New Roman"/>
          <w:b/>
          <w:noProof/>
          <w:sz w:val="24"/>
          <w:szCs w:val="24"/>
        </w:rPr>
      </w:pPr>
      <w:r>
        <w:rPr>
          <w:rFonts w:ascii="Times New Roman" w:hAnsi="Times New Roman"/>
          <w:b/>
          <w:noProof/>
          <w:sz w:val="24"/>
        </w:rPr>
        <w:t>Conclusión y rec</w:t>
      </w:r>
      <w:r>
        <w:rPr>
          <w:rFonts w:ascii="Times New Roman" w:hAnsi="Times New Roman"/>
          <w:b/>
          <w:noProof/>
          <w:sz w:val="24"/>
        </w:rPr>
        <w:t>omendación del Dictamen de la Comisión sobre la solicitud de adhesión a la Unión Europea de Bosnia y Herzegovina</w:t>
      </w:r>
    </w:p>
    <w:p w:rsidR="00D96FAD" w:rsidRDefault="00E3669E">
      <w:pPr>
        <w:pStyle w:val="ListParagraph"/>
        <w:numPr>
          <w:ilvl w:val="0"/>
          <w:numId w:val="30"/>
        </w:numPr>
        <w:spacing w:after="120" w:line="240" w:lineRule="auto"/>
        <w:contextualSpacing w:val="0"/>
        <w:rPr>
          <w:rFonts w:ascii="Times New Roman" w:hAnsi="Times New Roman" w:cs="Times New Roman"/>
          <w:b/>
          <w:noProof/>
          <w:sz w:val="24"/>
          <w:szCs w:val="24"/>
        </w:rPr>
      </w:pPr>
      <w:r>
        <w:rPr>
          <w:rFonts w:ascii="Times New Roman" w:hAnsi="Times New Roman"/>
          <w:b/>
          <w:noProof/>
          <w:sz w:val="24"/>
        </w:rPr>
        <w:t xml:space="preserve">Resúmenes de las conclusiones de los informes </w:t>
      </w:r>
    </w:p>
    <w:p w:rsidR="00D96FAD" w:rsidRDefault="00E3669E">
      <w:pPr>
        <w:pStyle w:val="ListParagraph"/>
        <w:numPr>
          <w:ilvl w:val="0"/>
          <w:numId w:val="30"/>
        </w:numPr>
        <w:spacing w:after="120" w:line="240" w:lineRule="auto"/>
        <w:contextualSpacing w:val="0"/>
        <w:jc w:val="both"/>
        <w:rPr>
          <w:rFonts w:ascii="Times New Roman" w:hAnsi="Times New Roman" w:cs="Times New Roman"/>
          <w:b/>
          <w:noProof/>
          <w:sz w:val="24"/>
          <w:szCs w:val="24"/>
        </w:rPr>
      </w:pPr>
      <w:r>
        <w:rPr>
          <w:rFonts w:ascii="Times New Roman" w:hAnsi="Times New Roman"/>
          <w:b/>
          <w:noProof/>
          <w:sz w:val="24"/>
        </w:rPr>
        <w:t>Aplicación de la Estrategia de los Balcanes Occidentales y del Programa de Prioridades de Sofía:</w:t>
      </w:r>
      <w:r>
        <w:rPr>
          <w:rFonts w:ascii="Times New Roman" w:hAnsi="Times New Roman"/>
          <w:b/>
          <w:noProof/>
          <w:sz w:val="24"/>
        </w:rPr>
        <w:t xml:space="preserve"> Refuerzo del compromiso de la UE</w:t>
      </w:r>
    </w:p>
    <w:p w:rsidR="00D96FAD" w:rsidRDefault="00E3669E">
      <w:pPr>
        <w:pStyle w:val="ListParagraph"/>
        <w:numPr>
          <w:ilvl w:val="0"/>
          <w:numId w:val="30"/>
        </w:numPr>
        <w:spacing w:after="120" w:line="240" w:lineRule="auto"/>
        <w:rPr>
          <w:rFonts w:ascii="Times New Roman" w:hAnsi="Times New Roman" w:cs="Times New Roman"/>
          <w:b/>
          <w:noProof/>
          <w:sz w:val="24"/>
          <w:szCs w:val="24"/>
        </w:rPr>
      </w:pPr>
      <w:r>
        <w:rPr>
          <w:rFonts w:ascii="Times New Roman" w:hAnsi="Times New Roman"/>
          <w:b/>
          <w:noProof/>
          <w:sz w:val="24"/>
        </w:rPr>
        <w:t>Anexo estadístico</w:t>
      </w:r>
    </w:p>
    <w:p w:rsidR="00D96FAD" w:rsidRDefault="00D96FAD">
      <w:pPr>
        <w:rPr>
          <w:rFonts w:ascii="Times New Roman" w:hAnsi="Times New Roman" w:cs="Times New Roman"/>
          <w:b/>
          <w:noProof/>
          <w:sz w:val="24"/>
          <w:szCs w:val="24"/>
        </w:rPr>
      </w:pPr>
    </w:p>
    <w:p w:rsidR="00D96FAD" w:rsidRDefault="00E3669E">
      <w:pPr>
        <w:pageBreakBefore/>
        <w:spacing w:after="120" w:line="240" w:lineRule="auto"/>
        <w:jc w:val="both"/>
        <w:rPr>
          <w:rFonts w:ascii="Times New Roman" w:hAnsi="Times New Roman" w:cs="Times New Roman"/>
          <w:b/>
          <w:noProof/>
          <w:sz w:val="24"/>
          <w:szCs w:val="24"/>
        </w:rPr>
      </w:pPr>
      <w:r>
        <w:rPr>
          <w:rFonts w:ascii="Times New Roman" w:hAnsi="Times New Roman"/>
          <w:b/>
          <w:noProof/>
          <w:sz w:val="24"/>
        </w:rPr>
        <w:t>ANEXO 1: Conclusión y recomendación del Dictamen de la Comisión sobre la solicitud de adhesión a la Unión Europea de Bosnia y Herzegovina</w:t>
      </w:r>
    </w:p>
    <w:p w:rsidR="00D96FAD" w:rsidRDefault="00E3669E">
      <w:pPr>
        <w:widowControl w:val="0"/>
        <w:spacing w:line="240" w:lineRule="auto"/>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 xml:space="preserve">Bosnia y Herzegovina aún no ha alcanzado un grado suficiente de cumplimiento de los criterios establecidos por el Consejo Europeo de Copenhague de 1993 en relación con la estabilidad de las instituciones que garantizan la democracia, el Estado de Derecho, </w:t>
      </w:r>
      <w:r>
        <w:rPr>
          <w:rFonts w:ascii="Times New Roman" w:hAnsi="Times New Roman"/>
          <w:noProof/>
          <w:color w:val="000000"/>
          <w:sz w:val="24"/>
        </w:rPr>
        <w:t>los derechos humanos, y el respeto y la protección de las minorías. En este sentido, el país debe hacer un esfuerzo considerable para cumplir de modo suficiente dichos criterios mediante el refuerzo de sus instituciones con el objetivo de garantizar la dem</w:t>
      </w:r>
      <w:r>
        <w:rPr>
          <w:rFonts w:ascii="Times New Roman" w:hAnsi="Times New Roman"/>
          <w:noProof/>
          <w:color w:val="000000"/>
          <w:sz w:val="24"/>
        </w:rPr>
        <w:t xml:space="preserve">ocracia, el Estado de Derecho, los derechos humanos, y el respeto y la protección de las minorías. Bosnia y Herzegovina ha de adaptar su marco constitucional a las normas europeas y asegurarse de que sus instituciones funcionan debidamente y pueden asumir </w:t>
      </w:r>
      <w:r>
        <w:rPr>
          <w:rFonts w:ascii="Times New Roman" w:hAnsi="Times New Roman"/>
          <w:noProof/>
          <w:color w:val="000000"/>
          <w:sz w:val="24"/>
        </w:rPr>
        <w:t>las obligaciones derivadas de la UE. Si bien una estructura estatal descentralizada es compatible con la pertenencia a la UE, Bosnia y Herzegovina tendrá que reformar sus instituciones a fin de poder participar de manera efectiva en la toma de decisiones e</w:t>
      </w:r>
      <w:r>
        <w:rPr>
          <w:rFonts w:ascii="Times New Roman" w:hAnsi="Times New Roman"/>
          <w:noProof/>
          <w:color w:val="000000"/>
          <w:sz w:val="24"/>
        </w:rPr>
        <w:t xml:space="preserve">n la UE y ser capaz de aplicar y hacer cumplir íntegramente el acervo. </w:t>
      </w:r>
    </w:p>
    <w:p w:rsidR="00D96FAD" w:rsidRDefault="00E3669E">
      <w:pPr>
        <w:widowControl w:val="0"/>
        <w:spacing w:line="240" w:lineRule="auto"/>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Bosnia y Herzegovina debe mejorar su marco electoral y el funcionamiento del poder judicial. Asimismo, ha de reforzar la prevención y la lucha contra la corrupción y la delincuencia or</w:t>
      </w:r>
      <w:r>
        <w:rPr>
          <w:rFonts w:ascii="Times New Roman" w:hAnsi="Times New Roman"/>
          <w:noProof/>
          <w:color w:val="000000"/>
          <w:sz w:val="24"/>
        </w:rPr>
        <w:t>ganizada, en particular, el blanqueo de capitales y el terrorismo, y garantizar el funcionamiento eficaz de los sistemas de gestión de fronteras, migración y asilo. El país tiene que intensificar la protección de los derechos fundamentales de todos los ciu</w:t>
      </w:r>
      <w:r>
        <w:rPr>
          <w:rFonts w:ascii="Times New Roman" w:hAnsi="Times New Roman"/>
          <w:noProof/>
          <w:color w:val="000000"/>
          <w:sz w:val="24"/>
        </w:rPr>
        <w:t>dadanos, en particular, velando por que haya un entorno favorable para la sociedad civil y la reconciliación, así como la protección e inclusión de los grupos vulnerables. También debe tomar medidas esenciales para la reforma de la Administración Pública.</w:t>
      </w:r>
    </w:p>
    <w:p w:rsidR="00D96FAD" w:rsidRDefault="00E3669E">
      <w:pPr>
        <w:widowControl w:val="0"/>
        <w:spacing w:line="240" w:lineRule="auto"/>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En lo referente a los criterios económicos, Bosnia y Herzegovina ha alcanzado un cierto grado de estabilidad macroeconómica. No obstante, para pasar a convertirse en una economía de mercado viable, que es un criterio establecido por el Consejo Europeo de C</w:t>
      </w:r>
      <w:r>
        <w:rPr>
          <w:rFonts w:ascii="Times New Roman" w:hAnsi="Times New Roman"/>
          <w:noProof/>
          <w:color w:val="000000"/>
          <w:sz w:val="24"/>
        </w:rPr>
        <w:t>openhague de 1993, Bosnia y Herzegovina ha de esforzarse especialmente en acelerar sus procedimientos de toma de decisiones y mejorar tanto el entorno empresarial como la eficiencia y la transparencia del sector público y, en particular, de las empresas pú</w:t>
      </w:r>
      <w:r>
        <w:rPr>
          <w:rFonts w:ascii="Times New Roman" w:hAnsi="Times New Roman"/>
          <w:noProof/>
          <w:color w:val="000000"/>
          <w:sz w:val="24"/>
        </w:rPr>
        <w:t>blicas. El país debe hacer frente a los obstáculos que impiden el correcto funcionamiento de los mecanismos de mercado, como un Estado de Derecho débil, la considerable carga burocrática, la corrupción, unos procedimientos administrativos largos y excesiva</w:t>
      </w:r>
      <w:r>
        <w:rPr>
          <w:rFonts w:ascii="Times New Roman" w:hAnsi="Times New Roman"/>
          <w:noProof/>
          <w:color w:val="000000"/>
          <w:sz w:val="24"/>
        </w:rPr>
        <w:t>mente complejos, y la gran fragmentación del mercado interior del país. Para ser capaz a medio plazo de hacer frente a la presión competitiva y a las fuerzas del mercado dentro de la Unión, Bosnia y Herzegovina debe prestar especial atención a la baja cali</w:t>
      </w:r>
      <w:r>
        <w:rPr>
          <w:rFonts w:ascii="Times New Roman" w:hAnsi="Times New Roman"/>
          <w:noProof/>
          <w:color w:val="000000"/>
          <w:sz w:val="24"/>
        </w:rPr>
        <w:t>dad de la educación y su falta de adecuación con respecto a las necesidades del mercado laboral, los problemas relativos a la calidad del capital físico (por ejemplo, el desarrollo insuficiente de las infraestructuras de transporte y energía) y la lenta ad</w:t>
      </w:r>
      <w:r>
        <w:rPr>
          <w:rFonts w:ascii="Times New Roman" w:hAnsi="Times New Roman"/>
          <w:noProof/>
          <w:color w:val="000000"/>
          <w:sz w:val="24"/>
        </w:rPr>
        <w:t xml:space="preserve">aptación de la estructura económica del país. </w:t>
      </w:r>
    </w:p>
    <w:p w:rsidR="00D96FAD" w:rsidRDefault="00E3669E">
      <w:pPr>
        <w:widowControl w:val="0"/>
        <w:spacing w:line="240" w:lineRule="auto"/>
        <w:jc w:val="both"/>
        <w:rPr>
          <w:rFonts w:ascii="Times New Roman" w:eastAsia="Times New Roman" w:hAnsi="Times New Roman" w:cs="Times New Roman"/>
          <w:noProof/>
          <w:color w:val="000000"/>
          <w:sz w:val="24"/>
          <w:szCs w:val="24"/>
        </w:rPr>
      </w:pPr>
      <w:r>
        <w:rPr>
          <w:rFonts w:ascii="Times New Roman" w:hAnsi="Times New Roman"/>
          <w:noProof/>
          <w:sz w:val="24"/>
        </w:rPr>
        <w:t>Es preciso que Bosnia y Herzegovina mejore su trayectoria en cuanto al cumplimiento de las obligaciones derivadas del Acuerdo de Estabilización y Asociación, especialmente en lo que se refiere al establecimien</w:t>
      </w:r>
      <w:r>
        <w:rPr>
          <w:rFonts w:ascii="Times New Roman" w:hAnsi="Times New Roman"/>
          <w:noProof/>
          <w:sz w:val="24"/>
        </w:rPr>
        <w:t>to de la dimensión parlamentaria del Acuerdo y la aprobación de un plan nacional para la adopción del acervo de la UE.</w:t>
      </w:r>
      <w:r>
        <w:rPr>
          <w:rFonts w:ascii="Times New Roman" w:hAnsi="Times New Roman"/>
          <w:noProof/>
          <w:color w:val="000000"/>
          <w:sz w:val="24"/>
        </w:rPr>
        <w:t xml:space="preserve"> </w:t>
      </w:r>
    </w:p>
    <w:p w:rsidR="00D96FAD" w:rsidRDefault="00E3669E">
      <w:pPr>
        <w:widowControl w:val="0"/>
        <w:spacing w:line="240" w:lineRule="auto"/>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En general, Bosnia y Herzegovina aún tiene camino que recorrer en lo que respecta a su nivel de preparación para asumir las obligaciones</w:t>
      </w:r>
      <w:r>
        <w:rPr>
          <w:rFonts w:ascii="Times New Roman" w:hAnsi="Times New Roman"/>
          <w:noProof/>
          <w:color w:val="000000"/>
          <w:sz w:val="24"/>
        </w:rPr>
        <w:t xml:space="preserve"> que conlleva la pertenencia a la UE, de modo que debe acelerar significativamente el proceso de armonización con el acervo de la UE y, además, aplicar y velar por que se cumpla la legislación correspondiente. Ha de prestar especial atención a los ámbitos </w:t>
      </w:r>
      <w:r>
        <w:rPr>
          <w:rFonts w:ascii="Times New Roman" w:hAnsi="Times New Roman"/>
          <w:noProof/>
          <w:color w:val="000000"/>
          <w:sz w:val="24"/>
        </w:rPr>
        <w:t>de la libre circulación de mercancías, el derecho de establecimiento y la libre prestación de servicios, la sociedad de la información y los medios de comunicación, la agricultura y el desarrollo rural, la pesca, la política de transporte, la energía, la p</w:t>
      </w:r>
      <w:r>
        <w:rPr>
          <w:rFonts w:ascii="Times New Roman" w:hAnsi="Times New Roman"/>
          <w:noProof/>
          <w:color w:val="000000"/>
          <w:sz w:val="24"/>
        </w:rPr>
        <w:t xml:space="preserve">olítica económica y monetaria, las estadísticas, la política social y el empleo, la política empresarial e industrial, la política regional y la coordinación de los instrumentos estructurales, la educación y la cultura, la protección de los consumidores y </w:t>
      </w:r>
      <w:r>
        <w:rPr>
          <w:rFonts w:ascii="Times New Roman" w:hAnsi="Times New Roman"/>
          <w:noProof/>
          <w:color w:val="000000"/>
          <w:sz w:val="24"/>
        </w:rPr>
        <w:t xml:space="preserve">la salud, y el control financiero. </w:t>
      </w:r>
    </w:p>
    <w:p w:rsidR="00D96FAD" w:rsidRDefault="00E3669E">
      <w:pPr>
        <w:widowControl w:val="0"/>
        <w:spacing w:line="240" w:lineRule="auto"/>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La adhesión de Bosnia y Herzegovina tendría, en general, una escasa repercusión en las políticas de la Unión Europea y no afectaría a la capacidad de la Unión para mantener e intensificar su propio desarrollo. Al mismo t</w:t>
      </w:r>
      <w:r>
        <w:rPr>
          <w:rFonts w:ascii="Times New Roman" w:hAnsi="Times New Roman"/>
          <w:noProof/>
          <w:color w:val="000000"/>
          <w:sz w:val="24"/>
        </w:rPr>
        <w:t>iempo, las cuestiones de funcionalidad detectadas en Bosnia y Herzegovina, especialmente las relacionadas con el proceso interno de toma de decisiones, así como la incertidumbre y los solapamientos entre los distintos niveles de gobierno del país con respe</w:t>
      </w:r>
      <w:r>
        <w:rPr>
          <w:rFonts w:ascii="Times New Roman" w:hAnsi="Times New Roman"/>
          <w:noProof/>
          <w:color w:val="000000"/>
          <w:sz w:val="24"/>
        </w:rPr>
        <w:t>cto a una serie de competencias, podrían afectar negativamente al proceso de toma de decisiones a nivel de la UE, en particular, cuando se trate de cuestiones que requieran la unanimidad de los Estados miembros de la UE. Por tanto, Bosnia y Herzegovina deb</w:t>
      </w:r>
      <w:r>
        <w:rPr>
          <w:rFonts w:ascii="Times New Roman" w:hAnsi="Times New Roman"/>
          <w:noProof/>
          <w:color w:val="000000"/>
          <w:sz w:val="24"/>
        </w:rPr>
        <w:t xml:space="preserve">e iniciar un proceso para resolver esas cuestiones de funcionalidad y así cumplir los requisitos de la UE en materia de adhesión y poder asumir las obligaciones conexas. </w:t>
      </w:r>
    </w:p>
    <w:p w:rsidR="00D96FAD" w:rsidRDefault="00E3669E">
      <w:pPr>
        <w:widowControl w:val="0"/>
        <w:spacing w:line="240" w:lineRule="auto"/>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La Comisión considera que las negociaciones con Bosnia y Herzegovina para su adhesión</w:t>
      </w:r>
      <w:r>
        <w:rPr>
          <w:rFonts w:ascii="Times New Roman" w:hAnsi="Times New Roman"/>
          <w:noProof/>
          <w:color w:val="000000"/>
          <w:sz w:val="24"/>
        </w:rPr>
        <w:t xml:space="preserve"> a la Unión Europea no deben iniciarse hasta que el país no haya alcanzado el grado necesario de cumplimiento de los criterios de adhesión y, en particular, de los criterios políticos de Copenhague, que exigen la estabilidad de las instituciones que garant</w:t>
      </w:r>
      <w:r>
        <w:rPr>
          <w:rFonts w:ascii="Times New Roman" w:hAnsi="Times New Roman"/>
          <w:noProof/>
          <w:color w:val="000000"/>
          <w:sz w:val="24"/>
        </w:rPr>
        <w:t>izan especialmente la democracia y el Estado de Derecho. Bosnia y Herzegovina tendrá que mejorar fundamentalmente su marco legislativo e institucional a fin de garantizar que cumple las siguientes prioridades clave:</w:t>
      </w:r>
    </w:p>
    <w:p w:rsidR="00D96FAD" w:rsidRDefault="00E3669E">
      <w:pPr>
        <w:spacing w:after="0" w:line="240" w:lineRule="auto"/>
        <w:jc w:val="both"/>
        <w:rPr>
          <w:rFonts w:ascii="Times New Roman" w:eastAsia="Times New Roman" w:hAnsi="Times New Roman" w:cs="Times New Roman"/>
          <w:i/>
          <w:noProof/>
          <w:sz w:val="24"/>
          <w:szCs w:val="24"/>
        </w:rPr>
      </w:pPr>
      <w:r>
        <w:rPr>
          <w:rFonts w:ascii="Times New Roman" w:hAnsi="Times New Roman"/>
          <w:i/>
          <w:noProof/>
          <w:sz w:val="24"/>
        </w:rPr>
        <w:t>Democracia / Funcionalidad</w:t>
      </w:r>
    </w:p>
    <w:p w:rsidR="00D96FAD" w:rsidRDefault="00E3669E">
      <w:pPr>
        <w:widowControl w:val="0"/>
        <w:numPr>
          <w:ilvl w:val="0"/>
          <w:numId w:val="41"/>
        </w:num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noProof/>
          <w:sz w:val="24"/>
        </w:rPr>
        <w:t xml:space="preserve">Garantizar </w:t>
      </w:r>
      <w:r>
        <w:rPr>
          <w:rFonts w:ascii="Times New Roman" w:hAnsi="Times New Roman"/>
          <w:noProof/>
          <w:sz w:val="24"/>
        </w:rPr>
        <w:t>que las elecciones se llevan a cabo en consonancia con las normas europeas aplicando las recomendaciones pertinentes de la Comisión de Venecia y de la OSCE/OIDDH, velando por la transparencia de la financiación de los partidos políticos y celebrando elecci</w:t>
      </w:r>
      <w:r>
        <w:rPr>
          <w:rFonts w:ascii="Times New Roman" w:hAnsi="Times New Roman"/>
          <w:noProof/>
          <w:sz w:val="24"/>
        </w:rPr>
        <w:t>ones municipales en Mostar.</w:t>
      </w:r>
    </w:p>
    <w:p w:rsidR="00D96FAD" w:rsidRDefault="00E3669E">
      <w:pPr>
        <w:widowControl w:val="0"/>
        <w:numPr>
          <w:ilvl w:val="0"/>
          <w:numId w:val="41"/>
        </w:num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noProof/>
          <w:sz w:val="24"/>
        </w:rPr>
        <w:t>Garantizar el funcionamiento a todos los niveles del mecanismo de coordinación sobre asuntos de la UE, en particular, mediante el desarrollo y la adopción de un programa nacional para la adopción del acervo de la UE.</w:t>
      </w:r>
    </w:p>
    <w:p w:rsidR="00D96FAD" w:rsidRDefault="00E3669E">
      <w:pPr>
        <w:widowControl w:val="0"/>
        <w:numPr>
          <w:ilvl w:val="0"/>
          <w:numId w:val="41"/>
        </w:num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noProof/>
          <w:sz w:val="24"/>
        </w:rPr>
        <w:t xml:space="preserve">Garantizar </w:t>
      </w:r>
      <w:r>
        <w:rPr>
          <w:rFonts w:ascii="Times New Roman" w:hAnsi="Times New Roman"/>
          <w:noProof/>
          <w:sz w:val="24"/>
        </w:rPr>
        <w:t>el buen funcionamiento de la Comisión Parlamentaria de Estabilización y Asociación.</w:t>
      </w:r>
    </w:p>
    <w:p w:rsidR="00D96FAD" w:rsidRDefault="00E3669E">
      <w:pPr>
        <w:widowControl w:val="0"/>
        <w:numPr>
          <w:ilvl w:val="0"/>
          <w:numId w:val="41"/>
        </w:num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noProof/>
          <w:sz w:val="24"/>
        </w:rPr>
        <w:t>Mejorar sustancialmente el marco institucional, en particular, en el plano constitucional, a fin de:</w:t>
      </w:r>
    </w:p>
    <w:p w:rsidR="00D96FAD" w:rsidRDefault="00E3669E">
      <w:pPr>
        <w:widowControl w:val="0"/>
        <w:numPr>
          <w:ilvl w:val="0"/>
          <w:numId w:val="42"/>
        </w:numPr>
        <w:spacing w:after="0" w:line="240" w:lineRule="auto"/>
        <w:ind w:left="1080"/>
        <w:contextualSpacing/>
        <w:jc w:val="both"/>
        <w:rPr>
          <w:rFonts w:ascii="Times New Roman" w:eastAsia="Times New Roman" w:hAnsi="Times New Roman" w:cs="Times New Roman"/>
          <w:noProof/>
          <w:sz w:val="24"/>
          <w:szCs w:val="24"/>
        </w:rPr>
      </w:pPr>
      <w:r>
        <w:rPr>
          <w:rFonts w:ascii="Times New Roman" w:hAnsi="Times New Roman"/>
          <w:noProof/>
          <w:sz w:val="24"/>
        </w:rPr>
        <w:t>garantizar la seguridad jurídica en relación con el reparto de competen</w:t>
      </w:r>
      <w:r>
        <w:rPr>
          <w:rFonts w:ascii="Times New Roman" w:hAnsi="Times New Roman"/>
          <w:noProof/>
          <w:sz w:val="24"/>
        </w:rPr>
        <w:t>cias en los diferentes niveles de gobierno;</w:t>
      </w:r>
    </w:p>
    <w:p w:rsidR="00D96FAD" w:rsidRDefault="00E3669E">
      <w:pPr>
        <w:widowControl w:val="0"/>
        <w:numPr>
          <w:ilvl w:val="0"/>
          <w:numId w:val="42"/>
        </w:numPr>
        <w:spacing w:after="0" w:line="240" w:lineRule="auto"/>
        <w:ind w:left="1080"/>
        <w:contextualSpacing/>
        <w:jc w:val="both"/>
        <w:rPr>
          <w:rFonts w:ascii="Times New Roman" w:eastAsia="Times New Roman" w:hAnsi="Times New Roman" w:cs="Times New Roman"/>
          <w:noProof/>
          <w:sz w:val="24"/>
          <w:szCs w:val="24"/>
        </w:rPr>
      </w:pPr>
      <w:r>
        <w:rPr>
          <w:rFonts w:ascii="Times New Roman" w:hAnsi="Times New Roman"/>
          <w:noProof/>
          <w:sz w:val="24"/>
        </w:rPr>
        <w:t>introducir una cláusula de sustitución que permita al Estado, en el momento de la adhesión, ejercer temporalmente las competencias de otros niveles de gobierno con miras a prevenir y subsanar infracciones del Der</w:t>
      </w:r>
      <w:r>
        <w:rPr>
          <w:rFonts w:ascii="Times New Roman" w:hAnsi="Times New Roman"/>
          <w:noProof/>
          <w:sz w:val="24"/>
        </w:rPr>
        <w:t>echo de la UE;</w:t>
      </w:r>
    </w:p>
    <w:p w:rsidR="00D96FAD" w:rsidRDefault="00E3669E">
      <w:pPr>
        <w:widowControl w:val="0"/>
        <w:numPr>
          <w:ilvl w:val="0"/>
          <w:numId w:val="42"/>
        </w:numPr>
        <w:spacing w:after="0" w:line="240" w:lineRule="auto"/>
        <w:ind w:left="1080"/>
        <w:contextualSpacing/>
        <w:jc w:val="both"/>
        <w:rPr>
          <w:rFonts w:ascii="Times New Roman" w:eastAsia="Times New Roman" w:hAnsi="Times New Roman" w:cs="Times New Roman"/>
          <w:noProof/>
          <w:sz w:val="24"/>
          <w:szCs w:val="24"/>
        </w:rPr>
      </w:pPr>
      <w:r>
        <w:rPr>
          <w:rFonts w:ascii="Times New Roman" w:hAnsi="Times New Roman"/>
          <w:noProof/>
          <w:sz w:val="24"/>
        </w:rPr>
        <w:t>garantizar la independencia del poder judicial, incluida su institución de autogobierno, el Alto Consejo Judicial y Fiscal;</w:t>
      </w:r>
    </w:p>
    <w:p w:rsidR="00D96FAD" w:rsidRDefault="00E3669E">
      <w:pPr>
        <w:widowControl w:val="0"/>
        <w:numPr>
          <w:ilvl w:val="0"/>
          <w:numId w:val="42"/>
        </w:numPr>
        <w:spacing w:after="0" w:line="240" w:lineRule="auto"/>
        <w:ind w:left="1080"/>
        <w:contextualSpacing/>
        <w:jc w:val="both"/>
        <w:rPr>
          <w:rFonts w:ascii="Times New Roman" w:eastAsia="Times New Roman" w:hAnsi="Times New Roman" w:cs="Times New Roman"/>
          <w:noProof/>
          <w:sz w:val="24"/>
          <w:szCs w:val="24"/>
        </w:rPr>
      </w:pPr>
      <w:r>
        <w:rPr>
          <w:rFonts w:ascii="Times New Roman" w:hAnsi="Times New Roman"/>
          <w:noProof/>
          <w:sz w:val="24"/>
        </w:rPr>
        <w:t xml:space="preserve">reformar el Tribunal Constitucional, sin olvidar la cuestión de los jueces internacionales, y velar por la ejecución </w:t>
      </w:r>
      <w:r>
        <w:rPr>
          <w:rFonts w:ascii="Times New Roman" w:hAnsi="Times New Roman"/>
          <w:noProof/>
          <w:sz w:val="24"/>
        </w:rPr>
        <w:t>de sus decisiones;</w:t>
      </w:r>
    </w:p>
    <w:p w:rsidR="00D96FAD" w:rsidRDefault="00E3669E">
      <w:pPr>
        <w:widowControl w:val="0"/>
        <w:numPr>
          <w:ilvl w:val="0"/>
          <w:numId w:val="42"/>
        </w:numPr>
        <w:spacing w:after="0" w:line="240" w:lineRule="auto"/>
        <w:ind w:left="1080"/>
        <w:contextualSpacing/>
        <w:jc w:val="both"/>
        <w:rPr>
          <w:rFonts w:ascii="Times New Roman" w:eastAsia="Times New Roman" w:hAnsi="Times New Roman" w:cs="Times New Roman"/>
          <w:noProof/>
          <w:sz w:val="24"/>
          <w:szCs w:val="24"/>
        </w:rPr>
      </w:pPr>
      <w:r>
        <w:rPr>
          <w:rFonts w:ascii="Times New Roman" w:hAnsi="Times New Roman"/>
          <w:noProof/>
          <w:sz w:val="24"/>
        </w:rPr>
        <w:t>garantizar la seguridad jurídica, en particular, mediante la creación de un órgano judicial encargado de velar por la interpretación coherente del Derecho en todo el territorio de Bosnia y Herzegovina;</w:t>
      </w:r>
    </w:p>
    <w:p w:rsidR="00D96FAD" w:rsidRDefault="00E3669E">
      <w:pPr>
        <w:widowControl w:val="0"/>
        <w:numPr>
          <w:ilvl w:val="0"/>
          <w:numId w:val="42"/>
        </w:numPr>
        <w:spacing w:after="0" w:line="240" w:lineRule="auto"/>
        <w:ind w:left="1080"/>
        <w:contextualSpacing/>
        <w:jc w:val="both"/>
        <w:rPr>
          <w:rFonts w:ascii="Times New Roman" w:eastAsia="Times New Roman" w:hAnsi="Times New Roman" w:cs="Times New Roman"/>
          <w:noProof/>
          <w:sz w:val="24"/>
          <w:szCs w:val="24"/>
        </w:rPr>
      </w:pPr>
      <w:r>
        <w:rPr>
          <w:rFonts w:ascii="Times New Roman" w:hAnsi="Times New Roman"/>
          <w:noProof/>
          <w:sz w:val="24"/>
        </w:rPr>
        <w:t>garantizar la igualdad y la no disc</w:t>
      </w:r>
      <w:r>
        <w:rPr>
          <w:rFonts w:ascii="Times New Roman" w:hAnsi="Times New Roman"/>
          <w:noProof/>
          <w:sz w:val="24"/>
        </w:rPr>
        <w:t xml:space="preserve">riminación de los ciudadanos, especialmente mediante el cumplimiento de lo dispuesto en la resolución del TEDH en el asunto </w:t>
      </w:r>
      <w:r>
        <w:rPr>
          <w:rFonts w:ascii="Times New Roman" w:hAnsi="Times New Roman"/>
          <w:i/>
          <w:noProof/>
          <w:sz w:val="24"/>
        </w:rPr>
        <w:t>Sejdić-Finci</w:t>
      </w:r>
      <w:r>
        <w:rPr>
          <w:rFonts w:ascii="Times New Roman" w:hAnsi="Times New Roman"/>
          <w:noProof/>
          <w:sz w:val="24"/>
        </w:rPr>
        <w:t>;</w:t>
      </w:r>
    </w:p>
    <w:p w:rsidR="00D96FAD" w:rsidRDefault="00E3669E">
      <w:pPr>
        <w:widowControl w:val="0"/>
        <w:numPr>
          <w:ilvl w:val="0"/>
          <w:numId w:val="42"/>
        </w:numPr>
        <w:spacing w:after="0" w:line="240" w:lineRule="auto"/>
        <w:ind w:left="1080"/>
        <w:contextualSpacing/>
        <w:jc w:val="both"/>
        <w:rPr>
          <w:rFonts w:ascii="Times New Roman" w:eastAsia="Times New Roman" w:hAnsi="Times New Roman" w:cs="Times New Roman"/>
          <w:noProof/>
          <w:sz w:val="24"/>
          <w:szCs w:val="24"/>
        </w:rPr>
      </w:pPr>
      <w:r>
        <w:rPr>
          <w:rFonts w:ascii="Times New Roman" w:hAnsi="Times New Roman"/>
          <w:noProof/>
          <w:sz w:val="24"/>
        </w:rPr>
        <w:t>velar por que todos los órganos administrativos encargados de aplicar el acervo se basen únicamente en la profesionali</w:t>
      </w:r>
      <w:r>
        <w:rPr>
          <w:rFonts w:ascii="Times New Roman" w:hAnsi="Times New Roman"/>
          <w:noProof/>
          <w:sz w:val="24"/>
        </w:rPr>
        <w:t xml:space="preserve">dad y suprimir los derechos de veto en su toma de decisiones, de conformidad con el acervo. </w:t>
      </w:r>
    </w:p>
    <w:p w:rsidR="00D96FAD" w:rsidRDefault="00E3669E">
      <w:pPr>
        <w:widowControl w:val="0"/>
        <w:numPr>
          <w:ilvl w:val="0"/>
          <w:numId w:val="41"/>
        </w:num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noProof/>
          <w:sz w:val="24"/>
        </w:rPr>
        <w:t>Tomar medidas concretas destinadas a promover un entorno propicio para la reconciliación y, de este modo, superar la herencia del pasado bélico.</w:t>
      </w:r>
    </w:p>
    <w:p w:rsidR="00D96FAD" w:rsidRDefault="00D96FAD">
      <w:pPr>
        <w:spacing w:line="240" w:lineRule="auto"/>
        <w:contextualSpacing/>
        <w:jc w:val="both"/>
        <w:rPr>
          <w:rFonts w:ascii="Times New Roman" w:eastAsia="Times New Roman" w:hAnsi="Times New Roman" w:cs="Times New Roman"/>
          <w:noProof/>
          <w:sz w:val="24"/>
          <w:szCs w:val="24"/>
        </w:rPr>
      </w:pPr>
    </w:p>
    <w:p w:rsidR="00D96FAD" w:rsidRDefault="00E3669E">
      <w:pPr>
        <w:spacing w:after="0" w:line="240" w:lineRule="auto"/>
        <w:jc w:val="both"/>
        <w:rPr>
          <w:rFonts w:ascii="Times New Roman" w:eastAsia="Times New Roman" w:hAnsi="Times New Roman" w:cs="Times New Roman"/>
          <w:i/>
          <w:noProof/>
          <w:sz w:val="24"/>
          <w:szCs w:val="24"/>
        </w:rPr>
      </w:pPr>
      <w:r>
        <w:rPr>
          <w:rFonts w:ascii="Times New Roman" w:hAnsi="Times New Roman"/>
          <w:i/>
          <w:noProof/>
          <w:sz w:val="24"/>
        </w:rPr>
        <w:t>Estado de Derecho</w:t>
      </w:r>
    </w:p>
    <w:p w:rsidR="00D96FAD" w:rsidRDefault="00E3669E">
      <w:pPr>
        <w:widowControl w:val="0"/>
        <w:numPr>
          <w:ilvl w:val="0"/>
          <w:numId w:val="41"/>
        </w:num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noProof/>
          <w:sz w:val="24"/>
        </w:rPr>
        <w:t>Mejorar el funcionamiento del poder judicial a través de la adopción de nuevos instrumentos legislativos sobre el Alto Consejo Judicial y Fiscal y los órganos jurisdiccionales de Bosnia y Herzegovina, en sintonía con las normas europeas.</w:t>
      </w:r>
    </w:p>
    <w:p w:rsidR="00D96FAD" w:rsidRDefault="00E3669E">
      <w:pPr>
        <w:widowControl w:val="0"/>
        <w:numPr>
          <w:ilvl w:val="0"/>
          <w:numId w:val="41"/>
        </w:num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noProof/>
          <w:sz w:val="24"/>
        </w:rPr>
        <w:t xml:space="preserve">Reforzar la </w:t>
      </w:r>
      <w:r>
        <w:rPr>
          <w:rFonts w:ascii="Times New Roman" w:hAnsi="Times New Roman"/>
          <w:noProof/>
          <w:sz w:val="24"/>
        </w:rPr>
        <w:t>prevención y la lucha contra la corrupción y la delincuencia organizada, en particular, el blanqueo de capitales y el terrorismo, especialmente mediante lo siguiente:</w:t>
      </w:r>
    </w:p>
    <w:p w:rsidR="00D96FAD" w:rsidRDefault="00E3669E">
      <w:pPr>
        <w:widowControl w:val="0"/>
        <w:numPr>
          <w:ilvl w:val="0"/>
          <w:numId w:val="43"/>
        </w:num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noProof/>
          <w:sz w:val="24"/>
        </w:rPr>
        <w:t>adoptar y aplicar legislación en materia de conflicto de intereses y protección de denunc</w:t>
      </w:r>
      <w:r>
        <w:rPr>
          <w:rFonts w:ascii="Times New Roman" w:hAnsi="Times New Roman"/>
          <w:noProof/>
          <w:sz w:val="24"/>
        </w:rPr>
        <w:t>iantes de irregularidades;</w:t>
      </w:r>
    </w:p>
    <w:p w:rsidR="00D96FAD" w:rsidRDefault="00E3669E">
      <w:pPr>
        <w:widowControl w:val="0"/>
        <w:numPr>
          <w:ilvl w:val="0"/>
          <w:numId w:val="43"/>
        </w:num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noProof/>
          <w:sz w:val="24"/>
        </w:rPr>
        <w:t xml:space="preserve">velar por el funcionamiento y la coordinación eficaces de los organismos anticorrupción; </w:t>
      </w:r>
    </w:p>
    <w:p w:rsidR="00D96FAD" w:rsidRDefault="00E3669E">
      <w:pPr>
        <w:widowControl w:val="0"/>
        <w:numPr>
          <w:ilvl w:val="0"/>
          <w:numId w:val="43"/>
        </w:num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noProof/>
          <w:sz w:val="24"/>
        </w:rPr>
        <w:t xml:space="preserve">armonizar la legislación y reforzar las capacidades en materia de contratación pública; </w:t>
      </w:r>
    </w:p>
    <w:p w:rsidR="00D96FAD" w:rsidRDefault="00E3669E">
      <w:pPr>
        <w:widowControl w:val="0"/>
        <w:numPr>
          <w:ilvl w:val="0"/>
          <w:numId w:val="43"/>
        </w:num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noProof/>
          <w:sz w:val="24"/>
        </w:rPr>
        <w:t>garantizar una cooperación eficaz entre los cuerpo</w:t>
      </w:r>
      <w:r>
        <w:rPr>
          <w:rFonts w:ascii="Times New Roman" w:hAnsi="Times New Roman"/>
          <w:noProof/>
          <w:sz w:val="24"/>
        </w:rPr>
        <w:t>s y fuerzas de seguridad y con las fiscalías;</w:t>
      </w:r>
    </w:p>
    <w:p w:rsidR="00D96FAD" w:rsidRDefault="00E3669E">
      <w:pPr>
        <w:widowControl w:val="0"/>
        <w:numPr>
          <w:ilvl w:val="0"/>
          <w:numId w:val="43"/>
        </w:num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noProof/>
          <w:sz w:val="24"/>
        </w:rPr>
        <w:t xml:space="preserve">mostrar progresos en lo referente a asentar una base de investigaciones proactivas, autos de acusación confirmados, enjuiciamientos y condenas firmes contra la delincuencia organizada y la corrupción, incluido </w:t>
      </w:r>
      <w:r>
        <w:rPr>
          <w:rFonts w:ascii="Times New Roman" w:hAnsi="Times New Roman"/>
          <w:noProof/>
          <w:sz w:val="24"/>
        </w:rPr>
        <w:t>al nivel más alto;</w:t>
      </w:r>
    </w:p>
    <w:p w:rsidR="00D96FAD" w:rsidRDefault="00E3669E">
      <w:pPr>
        <w:widowControl w:val="0"/>
        <w:numPr>
          <w:ilvl w:val="0"/>
          <w:numId w:val="43"/>
        </w:num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noProof/>
          <w:sz w:val="24"/>
        </w:rPr>
        <w:t>despolitizar y reestructurar las empresas públicas, y garantizar la transparencia de los procesos de privatización.</w:t>
      </w:r>
    </w:p>
    <w:p w:rsidR="00D96FAD" w:rsidRDefault="00E3669E">
      <w:pPr>
        <w:widowControl w:val="0"/>
        <w:numPr>
          <w:ilvl w:val="0"/>
          <w:numId w:val="41"/>
        </w:num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noProof/>
          <w:sz w:val="24"/>
        </w:rPr>
        <w:t>Garantizar una coordinación efectiva, a todos los niveles, de la capacidad de gestión de fronteras y de gestión de la mig</w:t>
      </w:r>
      <w:r>
        <w:rPr>
          <w:rFonts w:ascii="Times New Roman" w:hAnsi="Times New Roman"/>
          <w:noProof/>
          <w:sz w:val="24"/>
        </w:rPr>
        <w:t>ración, así como velar por que funcione el sistema de asilo.</w:t>
      </w:r>
    </w:p>
    <w:p w:rsidR="00D96FAD" w:rsidRDefault="00D96FAD">
      <w:pPr>
        <w:spacing w:line="240" w:lineRule="auto"/>
        <w:ind w:left="720"/>
        <w:contextualSpacing/>
        <w:jc w:val="both"/>
        <w:rPr>
          <w:rFonts w:ascii="Times New Roman" w:eastAsia="Times New Roman" w:hAnsi="Times New Roman" w:cs="Times New Roman"/>
          <w:noProof/>
          <w:sz w:val="24"/>
          <w:szCs w:val="24"/>
        </w:rPr>
      </w:pPr>
    </w:p>
    <w:p w:rsidR="00D96FAD" w:rsidRDefault="00E3669E">
      <w:pPr>
        <w:spacing w:after="0" w:line="240" w:lineRule="auto"/>
        <w:jc w:val="both"/>
        <w:rPr>
          <w:rFonts w:ascii="Times New Roman" w:eastAsia="Times New Roman" w:hAnsi="Times New Roman" w:cs="Times New Roman"/>
          <w:i/>
          <w:noProof/>
          <w:sz w:val="24"/>
          <w:szCs w:val="24"/>
        </w:rPr>
      </w:pPr>
      <w:r>
        <w:rPr>
          <w:rFonts w:ascii="Times New Roman" w:hAnsi="Times New Roman"/>
          <w:i/>
          <w:noProof/>
          <w:sz w:val="24"/>
        </w:rPr>
        <w:t>Derechos fundamentales</w:t>
      </w:r>
    </w:p>
    <w:p w:rsidR="00D96FAD" w:rsidRDefault="00E3669E">
      <w:pPr>
        <w:widowControl w:val="0"/>
        <w:numPr>
          <w:ilvl w:val="0"/>
          <w:numId w:val="41"/>
        </w:num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noProof/>
          <w:sz w:val="24"/>
        </w:rPr>
        <w:t xml:space="preserve">Consolidar la protección de los derechos de todos los ciudadanos, especialmente garantizando la aplicación de la legislación en materia de no discriminación y de igualdad </w:t>
      </w:r>
      <w:r>
        <w:rPr>
          <w:rFonts w:ascii="Times New Roman" w:hAnsi="Times New Roman"/>
          <w:noProof/>
          <w:sz w:val="24"/>
        </w:rPr>
        <w:t>de género.</w:t>
      </w:r>
    </w:p>
    <w:p w:rsidR="00D96FAD" w:rsidRDefault="00E3669E">
      <w:pPr>
        <w:widowControl w:val="0"/>
        <w:numPr>
          <w:ilvl w:val="0"/>
          <w:numId w:val="41"/>
        </w:num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noProof/>
          <w:sz w:val="24"/>
        </w:rPr>
        <w:t xml:space="preserve">Garantizar el derecho a la vida y la prohibición de la tortura, especialmente mediante a) la abolición de la referencia a la pena de muerte en la Constitución de la </w:t>
      </w:r>
      <w:r>
        <w:rPr>
          <w:rFonts w:ascii="Times New Roman" w:hAnsi="Times New Roman"/>
          <w:i/>
          <w:noProof/>
          <w:sz w:val="24"/>
        </w:rPr>
        <w:t>Republika Srpska</w:t>
      </w:r>
      <w:r>
        <w:rPr>
          <w:rFonts w:ascii="Times New Roman" w:hAnsi="Times New Roman"/>
          <w:noProof/>
          <w:sz w:val="24"/>
        </w:rPr>
        <w:t xml:space="preserve"> y b) el establecimiento de un mecanismo nacional de prevención </w:t>
      </w:r>
      <w:r>
        <w:rPr>
          <w:rFonts w:ascii="Times New Roman" w:hAnsi="Times New Roman"/>
          <w:noProof/>
          <w:sz w:val="24"/>
        </w:rPr>
        <w:t>de la tortura y los malos tratos.</w:t>
      </w:r>
    </w:p>
    <w:p w:rsidR="00D96FAD" w:rsidRDefault="00E3669E">
      <w:pPr>
        <w:widowControl w:val="0"/>
        <w:numPr>
          <w:ilvl w:val="0"/>
          <w:numId w:val="41"/>
        </w:num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noProof/>
          <w:sz w:val="24"/>
        </w:rPr>
        <w:t>Asegurar la existencia de un entorno propicio para la sociedad civil, especialmente mediante el respeto de las normas europeas sobre la libertad de asociación y la libertad de reunión.</w:t>
      </w:r>
    </w:p>
    <w:p w:rsidR="00D96FAD" w:rsidRDefault="00E3669E">
      <w:pPr>
        <w:widowControl w:val="0"/>
        <w:numPr>
          <w:ilvl w:val="0"/>
          <w:numId w:val="41"/>
        </w:num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noProof/>
          <w:sz w:val="24"/>
        </w:rPr>
        <w:t>Garantizar la libertad de expresión y</w:t>
      </w:r>
      <w:r>
        <w:rPr>
          <w:rFonts w:ascii="Times New Roman" w:hAnsi="Times New Roman"/>
          <w:noProof/>
          <w:sz w:val="24"/>
        </w:rPr>
        <w:t xml:space="preserve"> de los medios de comunicación, así como la protección de los periodistas, especialmente a) asegurando que se dé un seguimiento judicial adecuado a los casos de amenazas y violencia contra periodistas y trabajadores de los medios de comunicación, y b) gara</w:t>
      </w:r>
      <w:r>
        <w:rPr>
          <w:rFonts w:ascii="Times New Roman" w:hAnsi="Times New Roman"/>
          <w:noProof/>
          <w:sz w:val="24"/>
        </w:rPr>
        <w:t>ntizando la sostenibilidad financiera del sistema público de radiodifusión.</w:t>
      </w:r>
    </w:p>
    <w:p w:rsidR="00D96FAD" w:rsidRDefault="00E3669E">
      <w:pPr>
        <w:widowControl w:val="0"/>
        <w:numPr>
          <w:ilvl w:val="0"/>
          <w:numId w:val="41"/>
        </w:numPr>
        <w:spacing w:after="0" w:line="240" w:lineRule="auto"/>
        <w:contextualSpacing/>
        <w:jc w:val="both"/>
        <w:rPr>
          <w:rFonts w:ascii="Times New Roman" w:eastAsia="Times New Roman" w:hAnsi="Times New Roman" w:cs="Times New Roman"/>
          <w:noProof/>
          <w:sz w:val="24"/>
          <w:szCs w:val="24"/>
        </w:rPr>
      </w:pPr>
      <w:r>
        <w:rPr>
          <w:rFonts w:ascii="Times New Roman" w:hAnsi="Times New Roman"/>
          <w:noProof/>
          <w:sz w:val="24"/>
        </w:rPr>
        <w:t xml:space="preserve">Mejorar la protección y la inclusión de los grupos vulnerables, en particular, las personas con discapacidad, los menores, las personas LGBTI, los miembros de la comunidad gitana, </w:t>
      </w:r>
      <w:r>
        <w:rPr>
          <w:rFonts w:ascii="Times New Roman" w:hAnsi="Times New Roman"/>
          <w:noProof/>
          <w:sz w:val="24"/>
        </w:rPr>
        <w:t>los detenidos, los migrantes y los solicitantes de asilo, así como las personas desplazadas y los refugiados, en consonancia con el objetivo de cierre del anexo VII del Acuerdo de paz de Dayton.</w:t>
      </w:r>
    </w:p>
    <w:p w:rsidR="00D96FAD" w:rsidRDefault="00D96FAD">
      <w:pPr>
        <w:spacing w:line="240" w:lineRule="auto"/>
        <w:ind w:left="720"/>
        <w:contextualSpacing/>
        <w:jc w:val="both"/>
        <w:rPr>
          <w:rFonts w:ascii="Times New Roman" w:eastAsia="Times New Roman" w:hAnsi="Times New Roman" w:cs="Times New Roman"/>
          <w:noProof/>
          <w:sz w:val="24"/>
          <w:szCs w:val="24"/>
        </w:rPr>
      </w:pPr>
    </w:p>
    <w:p w:rsidR="00D96FAD" w:rsidRDefault="00E3669E">
      <w:pPr>
        <w:spacing w:after="0" w:line="240" w:lineRule="auto"/>
        <w:jc w:val="both"/>
        <w:rPr>
          <w:rFonts w:ascii="Times New Roman" w:eastAsia="Times New Roman" w:hAnsi="Times New Roman" w:cs="Times New Roman"/>
          <w:i/>
          <w:noProof/>
          <w:sz w:val="24"/>
          <w:szCs w:val="24"/>
        </w:rPr>
      </w:pPr>
      <w:r>
        <w:rPr>
          <w:rFonts w:ascii="Times New Roman" w:hAnsi="Times New Roman"/>
          <w:i/>
          <w:noProof/>
          <w:sz w:val="24"/>
        </w:rPr>
        <w:t>Reforma de la Administración Pública</w:t>
      </w:r>
    </w:p>
    <w:p w:rsidR="00D96FAD" w:rsidRDefault="00E3669E">
      <w:pPr>
        <w:widowControl w:val="0"/>
        <w:numPr>
          <w:ilvl w:val="0"/>
          <w:numId w:val="41"/>
        </w:num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Completar los pasos ese</w:t>
      </w:r>
      <w:r>
        <w:rPr>
          <w:rFonts w:ascii="Times New Roman" w:hAnsi="Times New Roman"/>
          <w:noProof/>
          <w:sz w:val="24"/>
        </w:rPr>
        <w:t xml:space="preserve">nciales de la reforma de la Administración Pública para mejorar su funcionamiento global garantizando una función pública profesional y despolitizada y un enfoque coordinado a escala nacional para la formulación de políticas. </w:t>
      </w:r>
    </w:p>
    <w:p w:rsidR="00D96FAD" w:rsidRDefault="00E3669E">
      <w:pPr>
        <w:widowControl w:val="0"/>
        <w:spacing w:before="240" w:line="240" w:lineRule="auto"/>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 xml:space="preserve">La Comisión anima a Bosnia y Herzegovina, en todos los niveles de gobierno, a acordar y poner en marcha medidas de reforma socioeconómica, en sintonía con las directrices políticas del PRE. </w:t>
      </w:r>
    </w:p>
    <w:p w:rsidR="00D96FAD" w:rsidRDefault="00E3669E">
      <w:pPr>
        <w:widowControl w:val="0"/>
        <w:spacing w:line="240" w:lineRule="auto"/>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Asimismo, la Comisión anima a Bosnia y Herzegovina a seguir participando en la cooperación regional y a reforzar las relaciones bilaterales con los países vecinos, en particular, celebrando acuerdos fronterizos y esforzándose en lograr una reconciliación d</w:t>
      </w:r>
      <w:r>
        <w:rPr>
          <w:rFonts w:ascii="Times New Roman" w:hAnsi="Times New Roman"/>
          <w:noProof/>
          <w:color w:val="000000"/>
          <w:sz w:val="24"/>
        </w:rPr>
        <w:t xml:space="preserve">uradera en los Balcanes Occidentales. </w:t>
      </w:r>
    </w:p>
    <w:p w:rsidR="00D96FAD" w:rsidRDefault="00E3669E">
      <w:pPr>
        <w:widowControl w:val="0"/>
        <w:spacing w:line="240" w:lineRule="auto"/>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La Comisión recomienda al Consejo que debata el presente Dictamen y el seguimiento de las prioridades clave mencionadas tras la formación de los Gobiernos en Bosnia y Herzegovina.</w:t>
      </w:r>
    </w:p>
    <w:p w:rsidR="00D96FAD" w:rsidRDefault="00E3669E">
      <w:pPr>
        <w:widowControl w:val="0"/>
        <w:spacing w:line="240" w:lineRule="auto"/>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La Comisión supervisará los avances d</w:t>
      </w:r>
      <w:r>
        <w:rPr>
          <w:rFonts w:ascii="Times New Roman" w:hAnsi="Times New Roman"/>
          <w:noProof/>
          <w:color w:val="000000"/>
          <w:sz w:val="24"/>
        </w:rPr>
        <w:t xml:space="preserve">e Bosnia y Herzegovina en el marco institucional del Acuerdo de Estabilización y Asociación y seguirá apoyando financieramente al país a través del Instrumento de Ayuda Preadhesión. </w:t>
      </w:r>
    </w:p>
    <w:p w:rsidR="00D96FAD" w:rsidRDefault="00E3669E">
      <w:pPr>
        <w:widowControl w:val="0"/>
        <w:spacing w:line="240" w:lineRule="auto"/>
        <w:jc w:val="both"/>
        <w:rPr>
          <w:rFonts w:ascii="Times New Roman" w:eastAsia="Times New Roman" w:hAnsi="Times New Roman" w:cs="Times New Roman"/>
          <w:noProof/>
          <w:color w:val="000000"/>
          <w:sz w:val="24"/>
          <w:szCs w:val="24"/>
        </w:rPr>
      </w:pPr>
      <w:r>
        <w:rPr>
          <w:rFonts w:ascii="Times New Roman" w:hAnsi="Times New Roman"/>
          <w:noProof/>
          <w:color w:val="000000"/>
          <w:sz w:val="24"/>
        </w:rPr>
        <w:t xml:space="preserve">La Comisión presentará un informe sobre Bosnia y Herzegovina, como parte </w:t>
      </w:r>
      <w:r>
        <w:rPr>
          <w:rFonts w:ascii="Times New Roman" w:hAnsi="Times New Roman"/>
          <w:noProof/>
          <w:color w:val="000000"/>
          <w:sz w:val="24"/>
        </w:rPr>
        <w:t>del paquete de ampliación de 2020, en el que se analizará la realización de las prioridades clave antes expuestas de cara a los próximos pasos que deberá dar el país para avanzar en su senda hacia la adhesión a la UE.</w:t>
      </w:r>
    </w:p>
    <w:p w:rsidR="00D96FAD" w:rsidRDefault="00D96FAD">
      <w:pPr>
        <w:rPr>
          <w:noProof/>
        </w:rPr>
      </w:pPr>
    </w:p>
    <w:p w:rsidR="00D96FAD" w:rsidRDefault="00D96FAD">
      <w:pPr>
        <w:spacing w:after="120" w:line="240" w:lineRule="auto"/>
        <w:jc w:val="both"/>
        <w:rPr>
          <w:rFonts w:ascii="Times New Roman" w:hAnsi="Times New Roman" w:cs="Times New Roman"/>
          <w:b/>
          <w:noProof/>
          <w:sz w:val="24"/>
          <w:szCs w:val="24"/>
        </w:rPr>
      </w:pPr>
    </w:p>
    <w:p w:rsidR="00D96FAD" w:rsidRDefault="00E3669E">
      <w:pPr>
        <w:pageBreakBefore/>
        <w:spacing w:after="120" w:line="240" w:lineRule="auto"/>
        <w:jc w:val="both"/>
        <w:rPr>
          <w:rFonts w:ascii="Times New Roman" w:hAnsi="Times New Roman" w:cs="Times New Roman"/>
          <w:b/>
          <w:noProof/>
          <w:sz w:val="24"/>
          <w:szCs w:val="24"/>
        </w:rPr>
      </w:pPr>
      <w:r>
        <w:rPr>
          <w:rFonts w:ascii="Times New Roman" w:hAnsi="Times New Roman"/>
          <w:b/>
          <w:noProof/>
          <w:sz w:val="24"/>
        </w:rPr>
        <w:t>ANEXO 2: Resúmenes de las conclusion</w:t>
      </w:r>
      <w:r>
        <w:rPr>
          <w:rFonts w:ascii="Times New Roman" w:hAnsi="Times New Roman"/>
          <w:b/>
          <w:noProof/>
          <w:sz w:val="24"/>
        </w:rPr>
        <w:t>es de los informes</w:t>
      </w:r>
    </w:p>
    <w:p w:rsidR="00D96FAD" w:rsidRDefault="00E3669E">
      <w:pPr>
        <w:spacing w:after="120" w:line="240" w:lineRule="auto"/>
        <w:jc w:val="both"/>
        <w:rPr>
          <w:rFonts w:ascii="Times New Roman" w:hAnsi="Times New Roman" w:cs="Times New Roman"/>
          <w:b/>
          <w:noProof/>
          <w:sz w:val="24"/>
          <w:szCs w:val="24"/>
        </w:rPr>
      </w:pPr>
      <w:r>
        <w:rPr>
          <w:rFonts w:ascii="Times New Roman" w:hAnsi="Times New Roman"/>
          <w:b/>
          <w:noProof/>
          <w:sz w:val="24"/>
        </w:rPr>
        <w:t>Turquía</w:t>
      </w:r>
    </w:p>
    <w:p w:rsidR="00D96FAD" w:rsidRDefault="00E3669E">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El estado de excepción, declarado el 15 de julio de 2016 tras el intento de golpe de Estado, finalizó el 18 de julio de 2018, cuando expiró su última prórroga, pero de inmediato le siguió la adopción por el Parlamento turco de un</w:t>
      </w:r>
      <w:r>
        <w:rPr>
          <w:rFonts w:ascii="Times New Roman" w:hAnsi="Times New Roman"/>
          <w:noProof/>
          <w:color w:val="000000" w:themeColor="text1"/>
          <w:sz w:val="24"/>
        </w:rPr>
        <w:t>a ley que mantenía durante tres años más muchos de los elementos de la normativa de excepción. Esta ley limita determinadas libertades fundamentales y permite, en particular, destituir a funcionarios públicos (incluidos jueces), prolongar las detenciones y</w:t>
      </w:r>
      <w:r>
        <w:rPr>
          <w:rFonts w:ascii="Times New Roman" w:hAnsi="Times New Roman"/>
          <w:noProof/>
          <w:color w:val="000000" w:themeColor="text1"/>
          <w:sz w:val="24"/>
        </w:rPr>
        <w:t xml:space="preserve"> restringir la libertad de circulación y la libertad de reunión; además, amplía las competencias de los gobernadores provinciales designados por el Gobierno. </w:t>
      </w:r>
    </w:p>
    <w:p w:rsidR="00D96FAD" w:rsidRDefault="00E3669E">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La UE, que condenó de forma inmediata y firme el intento de golpe de Estado, reiteró su pleno apo</w:t>
      </w:r>
      <w:r>
        <w:rPr>
          <w:rFonts w:ascii="Times New Roman" w:hAnsi="Times New Roman"/>
          <w:noProof/>
          <w:color w:val="000000" w:themeColor="text1"/>
          <w:sz w:val="24"/>
        </w:rPr>
        <w:t xml:space="preserve">yo a las instituciones democráticas del país y reconoció la necesidad legítima de Turquía de adoptar medidas rápidas y proporcionadas ante una amenaza de tal gravedad. No obstante, el amplio alcance y la naturaleza colectiva de las medidas adoptadas desde </w:t>
      </w:r>
      <w:r>
        <w:rPr>
          <w:rFonts w:ascii="Times New Roman" w:hAnsi="Times New Roman"/>
          <w:noProof/>
          <w:color w:val="000000" w:themeColor="text1"/>
          <w:sz w:val="24"/>
        </w:rPr>
        <w:t>el intento de golpe de Estado en el marco del estado de excepción, tales como destituciones, detenciones y arrestos generalizados, siguen siendo motivo de serias preocupaciones.</w:t>
      </w:r>
    </w:p>
    <w:p w:rsidR="00D96FAD" w:rsidRDefault="00E3669E">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Durante el estado de excepción, se dictaron 36 decretos que restringían alguno</w:t>
      </w:r>
      <w:r>
        <w:rPr>
          <w:rFonts w:ascii="Times New Roman" w:hAnsi="Times New Roman"/>
          <w:noProof/>
          <w:color w:val="000000" w:themeColor="text1"/>
          <w:sz w:val="24"/>
        </w:rPr>
        <w:t>s derechos civiles y políticos, así como los derechos de defensa, ampliaban las competencias de la policía y las de los fiscales para llevar a cabo investigaciones y enjuiciamientos, y preveían la destitución de más de 152 000 funcionarios, incluidos profe</w:t>
      </w:r>
      <w:r>
        <w:rPr>
          <w:rFonts w:ascii="Times New Roman" w:hAnsi="Times New Roman"/>
          <w:noProof/>
          <w:color w:val="000000" w:themeColor="text1"/>
          <w:sz w:val="24"/>
        </w:rPr>
        <w:t xml:space="preserve">sores universitarios y de otros niveles educativos y cargos públicos. </w:t>
      </w:r>
    </w:p>
    <w:p w:rsidR="00D96FAD" w:rsidRDefault="00E3669E">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El Tribunal Constitucional ha dictaminado que no es competente para revisar la legalidad de los decretos dictados en virtud de las competencias legislativas atribuidas durante el estado</w:t>
      </w:r>
      <w:r>
        <w:rPr>
          <w:rFonts w:ascii="Times New Roman" w:hAnsi="Times New Roman"/>
          <w:noProof/>
          <w:color w:val="000000" w:themeColor="text1"/>
          <w:sz w:val="24"/>
        </w:rPr>
        <w:t xml:space="preserve"> de excepción; el Parlamento ha revisado 32 de ellos. En mayo de 2017, las autoridades turcas crearon una Comisión de investigación sobre las medidas adoptadas durante el estado de excepción a la que se encomendó el examen individual de todas las denuncias</w:t>
      </w:r>
      <w:r>
        <w:rPr>
          <w:rFonts w:ascii="Times New Roman" w:hAnsi="Times New Roman"/>
          <w:noProof/>
          <w:color w:val="000000" w:themeColor="text1"/>
          <w:sz w:val="24"/>
        </w:rPr>
        <w:t xml:space="preserve">. </w:t>
      </w:r>
    </w:p>
    <w:p w:rsidR="00D96FAD" w:rsidRDefault="00E3669E">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En mayo de 2019, se habían presentado 126 600 solicitudes. De estas, la Comisión de investigación ha revisado 70 406, y solo 5 250 han dado lugar a la reincorporación, mientras que 65 156 denuncias han sido desestimadas. 55 714 solicitudes están pendien</w:t>
      </w:r>
      <w:r>
        <w:rPr>
          <w:rFonts w:ascii="Times New Roman" w:hAnsi="Times New Roman"/>
          <w:noProof/>
          <w:color w:val="000000" w:themeColor="text1"/>
          <w:sz w:val="24"/>
        </w:rPr>
        <w:t>tes de resolución. El ritmo de tramitación de las solicitudes plantea dudas en cuanto a si cada caso se está examinando de forma individual. Dado que no se celebran audiencias, los solicitantes carecen en general de garantías procesales, y las decisiones s</w:t>
      </w:r>
      <w:r>
        <w:rPr>
          <w:rFonts w:ascii="Times New Roman" w:hAnsi="Times New Roman"/>
          <w:noProof/>
          <w:color w:val="000000" w:themeColor="text1"/>
          <w:sz w:val="24"/>
        </w:rPr>
        <w:t xml:space="preserve">e toman sobre la base de los expedientes escritos relacionados con la destitución original, todo lo cual pone en tela de juicio el grado en que la Comisión de investigación constituye un medio de tutela judicial efectiva. </w:t>
      </w:r>
    </w:p>
    <w:p w:rsidR="00D96FAD" w:rsidRDefault="00E3669E">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Con la conclusión del estado de e</w:t>
      </w:r>
      <w:r>
        <w:rPr>
          <w:rFonts w:ascii="Times New Roman" w:hAnsi="Times New Roman"/>
          <w:noProof/>
          <w:color w:val="000000" w:themeColor="text1"/>
          <w:sz w:val="24"/>
        </w:rPr>
        <w:t>xcepción, Turquía ha puesto fin a las excepciones al Convenio Europeo de Derechos Humanos y al Pacto Internacional de Derechos Civiles y Políticos (PIDCP). Sin embargo, el procedimiento de control completo que la Asamblea Parlamentaria del Consejo de Europ</w:t>
      </w:r>
      <w:r>
        <w:rPr>
          <w:rFonts w:ascii="Times New Roman" w:hAnsi="Times New Roman"/>
          <w:noProof/>
          <w:color w:val="000000" w:themeColor="text1"/>
          <w:sz w:val="24"/>
        </w:rPr>
        <w:t xml:space="preserve">a reabrió en abril de 2017 sigue su curso. </w:t>
      </w:r>
    </w:p>
    <w:p w:rsidR="00D96FAD" w:rsidRDefault="00E3669E">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Al margen de la Comisión de investigación sobre las medidas adoptadas durante el estado de excepción, la capacidad de Turquía para garantizar internamente una tutela judicial efectiva como la entiende el Tribunal</w:t>
      </w:r>
      <w:r>
        <w:rPr>
          <w:rFonts w:ascii="Times New Roman" w:hAnsi="Times New Roman"/>
          <w:noProof/>
          <w:color w:val="000000" w:themeColor="text1"/>
          <w:sz w:val="24"/>
        </w:rPr>
        <w:t xml:space="preserve"> Europeo de Derechos Humanos se ha visto nuevamente socavada. Varias sentencias judiciales favorables a demandados insignes, incluidos destacados defensores de los derechos humanos, fueron revocadas rápidamente por otro órgano jurisdiccional o incluso por </w:t>
      </w:r>
      <w:r>
        <w:rPr>
          <w:rFonts w:ascii="Times New Roman" w:hAnsi="Times New Roman"/>
          <w:noProof/>
          <w:color w:val="000000" w:themeColor="text1"/>
          <w:sz w:val="24"/>
        </w:rPr>
        <w:t xml:space="preserve">el mismo, en algunos casos a raíz de los comentarios del poder ejecutivo. </w:t>
      </w:r>
    </w:p>
    <w:p w:rsidR="00D96FAD" w:rsidRDefault="00E3669E">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Muchos defensores de los derechos humanos, activistas de la sociedad civil, medios de comunicación, profesores universitarios, políticos, médicos, abogados, jueces y personas lesbia</w:t>
      </w:r>
      <w:r>
        <w:rPr>
          <w:rFonts w:ascii="Times New Roman" w:hAnsi="Times New Roman"/>
          <w:noProof/>
          <w:color w:val="000000" w:themeColor="text1"/>
          <w:sz w:val="24"/>
        </w:rPr>
        <w:t>nas, gais, bisexuales, transgénero e intersexuales (LGBTI) siguen detenidos, a veces sin una acusación, y se enfrentan a campañas de difamación por parte de los medios de comunicación y los políticos de alto nivel. El margen de maniobra de las organizacion</w:t>
      </w:r>
      <w:r>
        <w:rPr>
          <w:rFonts w:ascii="Times New Roman" w:hAnsi="Times New Roman"/>
          <w:noProof/>
          <w:color w:val="000000" w:themeColor="text1"/>
          <w:sz w:val="24"/>
        </w:rPr>
        <w:t>es de la sociedad civil que trabajan en el ámbito de los derechos y libertades fundamentales es cada vez menor, como pone especialmente de relieve la introducción de nuevos obstáculos administrativos. En el caso de las organizaciones de defensa de los dere</w:t>
      </w:r>
      <w:r>
        <w:rPr>
          <w:rFonts w:ascii="Times New Roman" w:hAnsi="Times New Roman"/>
          <w:noProof/>
          <w:color w:val="000000" w:themeColor="text1"/>
          <w:sz w:val="24"/>
        </w:rPr>
        <w:t>chos clausuradas durante el estado de excepción, no se les ha ofrecido ninguna vía de reparación en relación con los decomisos. Desde octubre de 2018, tras la modificación del Reglamento interno del Parlamento, las organizaciones de la sociedad civil queda</w:t>
      </w:r>
      <w:r>
        <w:rPr>
          <w:rFonts w:ascii="Times New Roman" w:hAnsi="Times New Roman"/>
          <w:noProof/>
          <w:color w:val="000000" w:themeColor="text1"/>
          <w:sz w:val="24"/>
        </w:rPr>
        <w:t>n excluidas del proceso de consulta legislativa en las comisiones parlamentarias. No existen mecanismos inclusivos para consultar a la sociedad de la manera más amplia posible.</w:t>
      </w:r>
    </w:p>
    <w:p w:rsidR="00D96FAD" w:rsidRDefault="00E3669E">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Turquía aún no ha abordado las principales recomendaciones del Consejo de Europ</w:t>
      </w:r>
      <w:r>
        <w:rPr>
          <w:rFonts w:ascii="Times New Roman" w:hAnsi="Times New Roman"/>
          <w:noProof/>
          <w:color w:val="000000" w:themeColor="text1"/>
          <w:sz w:val="24"/>
        </w:rPr>
        <w:t>a y sus organismos. Las acusaciones de irregularidades deben esclarecerse mediante procedimientos transparentes e individualmente. La responsabilidad penal individual solo puede determinarse dentro del pleno respeto de la separación de poderes, la plena in</w:t>
      </w:r>
      <w:r>
        <w:rPr>
          <w:rFonts w:ascii="Times New Roman" w:hAnsi="Times New Roman"/>
          <w:noProof/>
          <w:color w:val="000000" w:themeColor="text1"/>
          <w:sz w:val="24"/>
        </w:rPr>
        <w:t xml:space="preserve">dependencia del poder judicial y el derecho de toda persona a un juicio justo. </w:t>
      </w:r>
    </w:p>
    <w:p w:rsidR="00D96FAD" w:rsidRDefault="00E3669E">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El nuevo sistema presidencial ha centralizado el poder en manos del ejecutivo y ha reducido considerablemente las funciones legislativas y de supervisión del Parlamento. Desde </w:t>
      </w:r>
      <w:r>
        <w:rPr>
          <w:rFonts w:ascii="Times New Roman" w:hAnsi="Times New Roman"/>
          <w:noProof/>
          <w:color w:val="000000" w:themeColor="text1"/>
          <w:sz w:val="24"/>
        </w:rPr>
        <w:t xml:space="preserve">julio de 2018, el Parlamento ha adoptado 17 instrumentos legislativos, entre los que se incluyen unas controvertidas modificaciones de su Reglamento interno. Los ministros ya no comparecen ante los diputados, que solo pueden formular preguntas escritas. </w:t>
      </w:r>
    </w:p>
    <w:p w:rsidR="00D96FAD" w:rsidRDefault="00E3669E">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L</w:t>
      </w:r>
      <w:r>
        <w:rPr>
          <w:rFonts w:ascii="Times New Roman" w:hAnsi="Times New Roman"/>
          <w:noProof/>
          <w:color w:val="000000" w:themeColor="text1"/>
          <w:sz w:val="24"/>
        </w:rPr>
        <w:t>a creciente polarización política, especialmente en el período previo a las elecciones municipales de marzo de 2019, sigue impidiendo un diálogo parlamentario constructivo. Continúa la marginación de la oposición, en particular, del Partido Democrático Pop</w:t>
      </w:r>
      <w:r>
        <w:rPr>
          <w:rFonts w:ascii="Times New Roman" w:hAnsi="Times New Roman"/>
          <w:noProof/>
          <w:color w:val="000000" w:themeColor="text1"/>
          <w:sz w:val="24"/>
        </w:rPr>
        <w:t xml:space="preserve">ular (HDP), y muchos de sus diputados están detenidos. Tampoco se han abordado las deficiencias del sistema de inmunidad parlamentaria heredadas del pasado. </w:t>
      </w:r>
    </w:p>
    <w:p w:rsidR="00D96FAD" w:rsidRDefault="00E3669E">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Las elecciones presidenciales y parlamentarias de junio de 2018 y las elecciones municipales de ma</w:t>
      </w:r>
      <w:r>
        <w:rPr>
          <w:rFonts w:ascii="Times New Roman" w:hAnsi="Times New Roman"/>
          <w:noProof/>
          <w:color w:val="000000" w:themeColor="text1"/>
          <w:sz w:val="24"/>
        </w:rPr>
        <w:t>rzo de 2019 se caracterizaron por el alto índice de participación. Los votantes han tenido la opción real de elegir a un candidato, a pesar de no darse las condiciones para que los candidatos compitieran en igualdad de condiciones. El partido en el poder h</w:t>
      </w:r>
      <w:r>
        <w:rPr>
          <w:rFonts w:ascii="Times New Roman" w:hAnsi="Times New Roman"/>
          <w:noProof/>
          <w:color w:val="000000" w:themeColor="text1"/>
          <w:sz w:val="24"/>
        </w:rPr>
        <w:t xml:space="preserve">a gozado de una ventaja notable que se ha visto reflejada en la excesiva cobertura por parte de los medios de comunicación públicos y privados afiliados al Gobierno. Tras las elecciones municipales, el Consejo Electoral Supremo declaró que cuatro alcaldes </w:t>
      </w:r>
      <w:r>
        <w:rPr>
          <w:rFonts w:ascii="Times New Roman" w:hAnsi="Times New Roman"/>
          <w:noProof/>
          <w:color w:val="000000" w:themeColor="text1"/>
          <w:sz w:val="24"/>
        </w:rPr>
        <w:t>y concejales que habían resultado electos en el sudeste de Turquía no eran aptos para asumir el cargo, a pesar de que sus candidaturas habían sido validadas antes de las elecciones. También anuló las elecciones a la alcaldía metropolitana en Estambul y pro</w:t>
      </w:r>
      <w:r>
        <w:rPr>
          <w:rFonts w:ascii="Times New Roman" w:hAnsi="Times New Roman"/>
          <w:noProof/>
          <w:color w:val="000000" w:themeColor="text1"/>
          <w:sz w:val="24"/>
        </w:rPr>
        <w:t>gramó unas nuevas elecciones para el 23 de junio. Las decisiones del Consejo Electoral Supremo de volver a organizar las elecciones en Estambul y entregar la alcaldía de determinados ayuntamientos de la zona sudoriental a candidatos que habían acabado en s</w:t>
      </w:r>
      <w:r>
        <w:rPr>
          <w:rFonts w:ascii="Times New Roman" w:hAnsi="Times New Roman"/>
          <w:noProof/>
          <w:color w:val="000000" w:themeColor="text1"/>
          <w:sz w:val="24"/>
        </w:rPr>
        <w:t>egundo lugar generan gran preocupación en cuanto a la legalidad y la integridad de los procesos electorales y el grado en que la institución es independiente de la presión política. Van en contra del objetivo fundamental de un proceso electoral democrático</w:t>
      </w:r>
      <w:r>
        <w:rPr>
          <w:rFonts w:ascii="Times New Roman" w:hAnsi="Times New Roman"/>
          <w:noProof/>
          <w:color w:val="000000" w:themeColor="text1"/>
          <w:sz w:val="24"/>
        </w:rPr>
        <w:t>: garantizar que prevalezca la voluntad de los ciudadanos. Los partidos de la oposición criticaron duramente la decisión de anular y volver a convocar las elecciones a la alcaldía metropolitana en Estambul.</w:t>
      </w:r>
    </w:p>
    <w:p w:rsidR="00D96FAD" w:rsidRDefault="00E3669E">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La plena entrada en vigor del sistema presidencia</w:t>
      </w:r>
      <w:r>
        <w:rPr>
          <w:rFonts w:ascii="Times New Roman" w:hAnsi="Times New Roman"/>
          <w:noProof/>
          <w:color w:val="000000" w:themeColor="text1"/>
          <w:sz w:val="24"/>
        </w:rPr>
        <w:t>l ha remodelado la Administración estatal y ejecutiva. El sistema presidencial, y, en particular, la abolición del cargo de primer ministro y de otros cargos como los subsecretarios de los Ministerios, ha provocado una mayor politización de la Administraci</w:t>
      </w:r>
      <w:r>
        <w:rPr>
          <w:rFonts w:ascii="Times New Roman" w:hAnsi="Times New Roman"/>
          <w:noProof/>
          <w:color w:val="000000" w:themeColor="text1"/>
          <w:sz w:val="24"/>
        </w:rPr>
        <w:t xml:space="preserve">ón Pública. El presidente tiene ahora el poder de nombrar a los directores de la gran mayoría de las autoridades públicas reguladoras. </w:t>
      </w:r>
    </w:p>
    <w:p w:rsidR="00D96FAD" w:rsidRDefault="00E3669E">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Antes de las elecciones municipales de marzo de 2019, las continuas detenciones y destituciones de políticos locales, el</w:t>
      </w:r>
      <w:r>
        <w:rPr>
          <w:rFonts w:ascii="Times New Roman" w:hAnsi="Times New Roman"/>
          <w:noProof/>
          <w:color w:val="000000" w:themeColor="text1"/>
          <w:sz w:val="24"/>
        </w:rPr>
        <w:t xml:space="preserve"> nombramiento de administradores y el carácter arbitrario de estos nombramientos habían privado a los votantes de su representación política a nivel local y puesto en grave riesgo la democracia local. </w:t>
      </w:r>
    </w:p>
    <w:p w:rsidR="00D96FAD" w:rsidRDefault="00E3669E">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El Gobierno ha reformado el marco jurídico que rige la</w:t>
      </w:r>
      <w:r>
        <w:rPr>
          <w:rFonts w:ascii="Times New Roman" w:hAnsi="Times New Roman"/>
          <w:noProof/>
          <w:color w:val="000000" w:themeColor="text1"/>
          <w:sz w:val="24"/>
        </w:rPr>
        <w:t>s relaciones entre civiles y militares y aumentado de forma significativa las competencias del ejecutivo sobre el Ejército, con lo que se ha reforzado la supervisión civil. Como parte de la reforma constitucional, se han suprimido de manera efectiva los al</w:t>
      </w:r>
      <w:r>
        <w:rPr>
          <w:rFonts w:ascii="Times New Roman" w:hAnsi="Times New Roman"/>
          <w:noProof/>
          <w:color w:val="000000" w:themeColor="text1"/>
          <w:sz w:val="24"/>
        </w:rPr>
        <w:t xml:space="preserve">tos tribunales militares, pero la rendición de cuentas ante el Parlamento por parte del Ejército y los servicios de inteligencia sigue siendo insuficiente, y el personal de seguridad aún goza de una amplia protección jurídica. La comisión parlamentaria de </w:t>
      </w:r>
      <w:r>
        <w:rPr>
          <w:rFonts w:ascii="Times New Roman" w:hAnsi="Times New Roman"/>
          <w:noProof/>
          <w:color w:val="000000" w:themeColor="text1"/>
          <w:sz w:val="24"/>
        </w:rPr>
        <w:t xml:space="preserve">supervisión del cumplimiento de la ley sigue siendo ineficaz. Aún no se ha mejorado el marco jurídico para la supervisión del gasto militar. </w:t>
      </w:r>
    </w:p>
    <w:p w:rsidR="00D96FAD" w:rsidRDefault="00E3669E">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La situación en el sudeste sigue siendo difícil, a pesar de la mejora de la seguridad en sentido general. El Gobie</w:t>
      </w:r>
      <w:r>
        <w:rPr>
          <w:rFonts w:ascii="Times New Roman" w:hAnsi="Times New Roman"/>
          <w:noProof/>
          <w:color w:val="000000" w:themeColor="text1"/>
          <w:sz w:val="24"/>
        </w:rPr>
        <w:t>rno ha proseguido las operaciones de seguridad ante los actos violentos recurrentes por parte del Partido de los Trabajadores del Kurdistán (PKK), que todavía figura en la lista de la UE de personas, grupos y entidades implicados en actos terroristas. Si b</w:t>
      </w:r>
      <w:r>
        <w:rPr>
          <w:rFonts w:ascii="Times New Roman" w:hAnsi="Times New Roman"/>
          <w:noProof/>
          <w:color w:val="000000" w:themeColor="text1"/>
          <w:sz w:val="24"/>
        </w:rPr>
        <w:t>ien es una potestad legítima del Gobierno luchar contra el terrorismo, también es su responsabilidad garantizar que se haga respetando el Estado de Derecho, los derechos humanos y las libertades fundamentales. Las medidas antiterroristas deben ser proporci</w:t>
      </w:r>
      <w:r>
        <w:rPr>
          <w:rFonts w:ascii="Times New Roman" w:hAnsi="Times New Roman"/>
          <w:noProof/>
          <w:color w:val="000000" w:themeColor="text1"/>
          <w:sz w:val="24"/>
        </w:rPr>
        <w:t>onadas. Si bien ha habido cierta reconstrucción, solo unos pocos desplazados internos han recibido indemnizaciones. No ha habido ningún progreso visible en cuanto a la reanudación de un proceso político creíble para alcanzar una solución pacífica y durader</w:t>
      </w:r>
      <w:r>
        <w:rPr>
          <w:rFonts w:ascii="Times New Roman" w:hAnsi="Times New Roman"/>
          <w:noProof/>
          <w:color w:val="000000" w:themeColor="text1"/>
          <w:sz w:val="24"/>
        </w:rPr>
        <w:t xml:space="preserve">a. </w:t>
      </w:r>
    </w:p>
    <w:p w:rsidR="00D96FAD" w:rsidRDefault="00E3669E">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Turquía está moderadamente preparada en el ámbito de la </w:t>
      </w:r>
      <w:r>
        <w:rPr>
          <w:rFonts w:ascii="Times New Roman" w:hAnsi="Times New Roman"/>
          <w:b/>
          <w:noProof/>
          <w:color w:val="000000" w:themeColor="text1"/>
          <w:sz w:val="24"/>
        </w:rPr>
        <w:t>reforma de la Administración Pública</w:t>
      </w:r>
      <w:r>
        <w:rPr>
          <w:rFonts w:ascii="Times New Roman" w:hAnsi="Times New Roman"/>
          <w:noProof/>
          <w:color w:val="000000" w:themeColor="text1"/>
          <w:sz w:val="24"/>
        </w:rPr>
        <w:t>, y se han producido graves retrocesos en la gestión de la función pública y los recursos humanos que también han afectado a la evolución de las políticas y la rendición de cuentas. Los cambios en el sistema de la función pública no han hecho más que aumen</w:t>
      </w:r>
      <w:r>
        <w:rPr>
          <w:rFonts w:ascii="Times New Roman" w:hAnsi="Times New Roman"/>
          <w:noProof/>
          <w:color w:val="000000" w:themeColor="text1"/>
          <w:sz w:val="24"/>
        </w:rPr>
        <w:t>tar la politización de la Administración. Los nombramientos basados en el mérito y la competitividad para altos cargos de dirección siguen siendo la excepción. Las graves deficiencias procesales ponen en tela de juicio la efectividad de la Comisión de inve</w:t>
      </w:r>
      <w:r>
        <w:rPr>
          <w:rFonts w:ascii="Times New Roman" w:hAnsi="Times New Roman"/>
          <w:noProof/>
          <w:color w:val="000000" w:themeColor="text1"/>
          <w:sz w:val="24"/>
        </w:rPr>
        <w:t xml:space="preserve">stigación sobre las medidas adoptadas durante el estado de excepción como vía de reparación para los funcionarios públicos destituidos. </w:t>
      </w:r>
    </w:p>
    <w:p w:rsidR="00D96FAD" w:rsidRDefault="00E3669E">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El </w:t>
      </w:r>
      <w:r>
        <w:rPr>
          <w:rFonts w:ascii="Times New Roman" w:hAnsi="Times New Roman"/>
          <w:b/>
          <w:noProof/>
          <w:color w:val="000000" w:themeColor="text1"/>
          <w:sz w:val="24"/>
        </w:rPr>
        <w:t>sistema judicial</w:t>
      </w:r>
      <w:r>
        <w:rPr>
          <w:rFonts w:ascii="Times New Roman" w:hAnsi="Times New Roman"/>
          <w:noProof/>
          <w:color w:val="000000" w:themeColor="text1"/>
          <w:sz w:val="24"/>
        </w:rPr>
        <w:t xml:space="preserve"> de Turquía se encuentra en una fase inicial de preparación. El grave retroceso ha ido a más, y las </w:t>
      </w:r>
      <w:r>
        <w:rPr>
          <w:rFonts w:ascii="Times New Roman" w:hAnsi="Times New Roman"/>
          <w:noProof/>
          <w:color w:val="000000" w:themeColor="text1"/>
          <w:sz w:val="24"/>
        </w:rPr>
        <w:t>recomendaciones de los informes anteriores no se han aceptado ni se han aplicado. La presión política sobre jueces y fiscales y el traslado de un gran número de ellos en contra de su voluntad continúan, todo lo cual sigue afectando de forma negativa a la i</w:t>
      </w:r>
      <w:r>
        <w:rPr>
          <w:rFonts w:ascii="Times New Roman" w:hAnsi="Times New Roman"/>
          <w:noProof/>
          <w:color w:val="000000" w:themeColor="text1"/>
          <w:sz w:val="24"/>
        </w:rPr>
        <w:t>ndependencia y a la calidad y la eficiencia generales del poder judicial. Los nombramientos a gran escala de nuevos jueces y fiscales en el marco del sistema actual generan preocupación, ya que no se han adoptado medidas para hacer frente a la falta de cri</w:t>
      </w:r>
      <w:r>
        <w:rPr>
          <w:rFonts w:ascii="Times New Roman" w:hAnsi="Times New Roman"/>
          <w:noProof/>
          <w:color w:val="000000" w:themeColor="text1"/>
          <w:sz w:val="24"/>
        </w:rPr>
        <w:t>terios objetivos, basados en los méritos, uniformes y preestablecidos para la selección y los ascensos. La Academia de Justicia de Turquía, cerrada durante el estado de excepción, ha sido reabierta por decreto presidencial. La destitución de jueces y fisca</w:t>
      </w:r>
      <w:r>
        <w:rPr>
          <w:rFonts w:ascii="Times New Roman" w:hAnsi="Times New Roman"/>
          <w:noProof/>
          <w:color w:val="000000" w:themeColor="text1"/>
          <w:sz w:val="24"/>
        </w:rPr>
        <w:t>les y su traslado forzoso aún producen un notable efecto intimidatorio que puede acabar dando lugar a una autocensura generalizada. No se han adoptado medidas para restablecer las garantías jurídicas destinadas a asegurar la independencia del poder judicia</w:t>
      </w:r>
      <w:r>
        <w:rPr>
          <w:rFonts w:ascii="Times New Roman" w:hAnsi="Times New Roman"/>
          <w:noProof/>
          <w:color w:val="000000" w:themeColor="text1"/>
          <w:sz w:val="24"/>
        </w:rPr>
        <w:t xml:space="preserve">l respecto del ejecutivo o a consolidar la independencia del Consejo de Jueces y Fiscales (CJF). En agosto de 2018 se anunció una estrategia de reforma judicial para el período 2019-2023, pero aún no ha sido adoptada. Turquía consultó al Consejo de Europa </w:t>
      </w:r>
      <w:r>
        <w:rPr>
          <w:rFonts w:ascii="Times New Roman" w:hAnsi="Times New Roman"/>
          <w:noProof/>
          <w:color w:val="000000" w:themeColor="text1"/>
          <w:sz w:val="24"/>
        </w:rPr>
        <w:t>y a la Comisión acerca del proyecto de estrategia.</w:t>
      </w:r>
    </w:p>
    <w:p w:rsidR="00D96FAD" w:rsidRDefault="00E3669E">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El país se encuentra en una fase inicial por lo que respecta a la </w:t>
      </w:r>
      <w:r>
        <w:rPr>
          <w:rFonts w:ascii="Times New Roman" w:hAnsi="Times New Roman"/>
          <w:b/>
          <w:noProof/>
          <w:color w:val="000000" w:themeColor="text1"/>
          <w:sz w:val="24"/>
        </w:rPr>
        <w:t>lucha contra la corrupción</w:t>
      </w:r>
      <w:r>
        <w:rPr>
          <w:rFonts w:ascii="Times New Roman" w:hAnsi="Times New Roman"/>
          <w:noProof/>
          <w:color w:val="000000" w:themeColor="text1"/>
          <w:sz w:val="24"/>
        </w:rPr>
        <w:t>.</w:t>
      </w:r>
      <w:r>
        <w:rPr>
          <w:rFonts w:ascii="Times New Roman" w:hAnsi="Times New Roman"/>
          <w:b/>
          <w:noProof/>
          <w:color w:val="000000" w:themeColor="text1"/>
          <w:sz w:val="24"/>
        </w:rPr>
        <w:t xml:space="preserve"> </w:t>
      </w:r>
      <w:r>
        <w:rPr>
          <w:rFonts w:ascii="Times New Roman" w:hAnsi="Times New Roman"/>
          <w:noProof/>
          <w:color w:val="000000" w:themeColor="text1"/>
          <w:sz w:val="24"/>
        </w:rPr>
        <w:t xml:space="preserve">Se ha producido un retroceso, ya que los organismos de carácter preventivo desmantelados no han sido </w:t>
      </w:r>
      <w:r>
        <w:rPr>
          <w:rFonts w:ascii="Times New Roman" w:hAnsi="Times New Roman"/>
          <w:noProof/>
          <w:color w:val="000000" w:themeColor="text1"/>
          <w:sz w:val="24"/>
        </w:rPr>
        <w:t>sustituidos por un organismo independiente, de conformidad con la Convención de las Naciones Unidas contra la corrupción, de la que Turquía es parte. Tanto el marco jurídico como el marco institucional siguen permitiendo una influencia indebida por parte d</w:t>
      </w:r>
      <w:r>
        <w:rPr>
          <w:rFonts w:ascii="Times New Roman" w:hAnsi="Times New Roman"/>
          <w:noProof/>
          <w:color w:val="000000" w:themeColor="text1"/>
          <w:sz w:val="24"/>
        </w:rPr>
        <w:t>el ejecutivo en la investigación y el enjuiciamiento de los casos de corrupción de mayor repercusión. Las modificaciones legislativas previstas en anteriores estrategias de lucha contra la corrupción no se han aplicado. La legislación sobre contratación pú</w:t>
      </w:r>
      <w:r>
        <w:rPr>
          <w:rFonts w:ascii="Times New Roman" w:hAnsi="Times New Roman"/>
          <w:noProof/>
          <w:color w:val="000000" w:themeColor="text1"/>
          <w:sz w:val="24"/>
        </w:rPr>
        <w:t xml:space="preserve">blica aún es incompatible con el acervo de la UE, y el alcance de las excepciones a las normas de la UE se ha ampliado. La ausencia de una estrategia y un plan de acción sólidos para la lucha contra la corrupción refleja la falta de voluntad política para </w:t>
      </w:r>
      <w:r>
        <w:rPr>
          <w:rFonts w:ascii="Times New Roman" w:hAnsi="Times New Roman"/>
          <w:noProof/>
          <w:color w:val="000000" w:themeColor="text1"/>
          <w:sz w:val="24"/>
        </w:rPr>
        <w:t>combatir con decisión este fenómeno. No existe ningún organismo permanente y funcionalmente independiente de lucha contra la corrupción, ni ningún servicio especializado de la Fiscalía que dirija las investigaciones en este ámbito, y solo hay unos pocos ór</w:t>
      </w:r>
      <w:r>
        <w:rPr>
          <w:rFonts w:ascii="Times New Roman" w:hAnsi="Times New Roman"/>
          <w:noProof/>
          <w:color w:val="000000" w:themeColor="text1"/>
          <w:sz w:val="24"/>
        </w:rPr>
        <w:t>ganos jurisdiccionales especializados. En general, la corrupción está muy extendida y sigue siendo motivo de preocupación.</w:t>
      </w:r>
    </w:p>
    <w:p w:rsidR="00D96FAD" w:rsidRDefault="00E3669E">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Turquía tiene cierto grado de preparación en el ámbito de la </w:t>
      </w:r>
      <w:r>
        <w:rPr>
          <w:rFonts w:ascii="Times New Roman" w:hAnsi="Times New Roman"/>
          <w:b/>
          <w:noProof/>
          <w:color w:val="000000" w:themeColor="text1"/>
          <w:sz w:val="24"/>
        </w:rPr>
        <w:t>lucha contra la delincuencia organizada</w:t>
      </w:r>
      <w:r>
        <w:rPr>
          <w:rFonts w:ascii="Times New Roman" w:hAnsi="Times New Roman"/>
          <w:noProof/>
          <w:color w:val="000000" w:themeColor="text1"/>
          <w:sz w:val="24"/>
        </w:rPr>
        <w:t>, pero los progresos son, en gene</w:t>
      </w:r>
      <w:r>
        <w:rPr>
          <w:rFonts w:ascii="Times New Roman" w:hAnsi="Times New Roman"/>
          <w:noProof/>
          <w:color w:val="000000" w:themeColor="text1"/>
          <w:sz w:val="24"/>
        </w:rPr>
        <w:t>ral, mínimos. El país necesita mejorar su legislación en materia de ciberdelincuencia, decomiso de activos y protección de testigos. La protección de datos en Turquía sigue sin estar en consonancia con las normas europeas y deberá revisarse para garantizar</w:t>
      </w:r>
      <w:r>
        <w:rPr>
          <w:rFonts w:ascii="Times New Roman" w:hAnsi="Times New Roman"/>
          <w:noProof/>
          <w:color w:val="000000" w:themeColor="text1"/>
          <w:sz w:val="24"/>
        </w:rPr>
        <w:t xml:space="preserve"> la aplicación del acuerdo operativo con Europol que está actualmente en fase de negociación. Turquía debe elaborar y aplicar un marco jurídico más completo y coherente para el decomiso de los productos del delito y mejorar su capacidad para gestionar los </w:t>
      </w:r>
      <w:r>
        <w:rPr>
          <w:rFonts w:ascii="Times New Roman" w:hAnsi="Times New Roman"/>
          <w:noProof/>
          <w:color w:val="000000" w:themeColor="text1"/>
          <w:sz w:val="24"/>
        </w:rPr>
        <w:t xml:space="preserve">activos inmovilizados. </w:t>
      </w:r>
    </w:p>
    <w:p w:rsidR="00D96FAD" w:rsidRDefault="00E3669E">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Turquía ha avanzado de forma notable en el ámbito de la </w:t>
      </w:r>
      <w:r>
        <w:rPr>
          <w:rFonts w:ascii="Times New Roman" w:hAnsi="Times New Roman"/>
          <w:b/>
          <w:noProof/>
          <w:color w:val="000000" w:themeColor="text1"/>
          <w:sz w:val="24"/>
        </w:rPr>
        <w:t>política de migración y asilo</w:t>
      </w:r>
      <w:r>
        <w:rPr>
          <w:rFonts w:ascii="Times New Roman" w:hAnsi="Times New Roman"/>
          <w:noProof/>
          <w:color w:val="000000" w:themeColor="text1"/>
          <w:sz w:val="24"/>
        </w:rPr>
        <w:t xml:space="preserve"> y ha mantenido su compromiso con la aplicación efectiva de la Declaración UE-Turquía de marzo de 2016. La tendencia a la baja de los cruces irregu</w:t>
      </w:r>
      <w:r>
        <w:rPr>
          <w:rFonts w:ascii="Times New Roman" w:hAnsi="Times New Roman"/>
          <w:noProof/>
          <w:color w:val="000000" w:themeColor="text1"/>
          <w:sz w:val="24"/>
        </w:rPr>
        <w:t>lares de Turquía a las islas del mar Egeo desde la entrada en vigor de la Declaración ha estado respaldada por una labor más intensa de las fuerzas y los cuerpos de seguridad turcos. Turquía, que ahora acoge la mayor comunidad de refugiados del mundo, ha m</w:t>
      </w:r>
      <w:r>
        <w:rPr>
          <w:rFonts w:ascii="Times New Roman" w:hAnsi="Times New Roman"/>
          <w:noProof/>
          <w:color w:val="000000" w:themeColor="text1"/>
          <w:sz w:val="24"/>
        </w:rPr>
        <w:t>antenido sus destacados esfuerzos para proporcionar una ayuda humanitaria y un apoyo descomunales y sin precedentes a más de 3,6 millones de refugiados registrados procedentes de Siria y a aproximadamente 370 000 refugiados registrados procedentes de otros</w:t>
      </w:r>
      <w:r>
        <w:rPr>
          <w:rFonts w:ascii="Times New Roman" w:hAnsi="Times New Roman"/>
          <w:noProof/>
          <w:color w:val="000000" w:themeColor="text1"/>
          <w:sz w:val="24"/>
        </w:rPr>
        <w:t xml:space="preserve"> países. El país ha constituido siete grupos de trabajo para llevar a cabo la labor técnica relacionada con los criterios de referencia pendientes del diálogo sobre la liberalización del régimen de visados. No obstante, no se ha registrado ningún progreso </w:t>
      </w:r>
      <w:r>
        <w:rPr>
          <w:rFonts w:ascii="Times New Roman" w:hAnsi="Times New Roman"/>
          <w:noProof/>
          <w:color w:val="000000" w:themeColor="text1"/>
          <w:sz w:val="24"/>
        </w:rPr>
        <w:t>en cuanto a la armonización de la política de visados turca con la política común de visados de la UE.</w:t>
      </w:r>
    </w:p>
    <w:p w:rsidR="00D96FAD" w:rsidRDefault="00E3669E">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Persiste el grave retroceso en materia de </w:t>
      </w:r>
      <w:r>
        <w:rPr>
          <w:rFonts w:ascii="Times New Roman" w:hAnsi="Times New Roman"/>
          <w:b/>
          <w:noProof/>
          <w:color w:val="000000" w:themeColor="text1"/>
          <w:sz w:val="24"/>
        </w:rPr>
        <w:t>derechos humanos y fundamentales</w:t>
      </w:r>
      <w:r>
        <w:rPr>
          <w:rFonts w:ascii="Times New Roman" w:hAnsi="Times New Roman"/>
          <w:noProof/>
          <w:color w:val="000000" w:themeColor="text1"/>
          <w:sz w:val="24"/>
        </w:rPr>
        <w:t>.</w:t>
      </w:r>
      <w:r>
        <w:rPr>
          <w:rFonts w:ascii="Times New Roman" w:hAnsi="Times New Roman"/>
          <w:b/>
          <w:noProof/>
          <w:color w:val="000000" w:themeColor="text1"/>
          <w:sz w:val="24"/>
        </w:rPr>
        <w:t xml:space="preserve"> </w:t>
      </w:r>
      <w:r>
        <w:rPr>
          <w:rFonts w:ascii="Times New Roman" w:hAnsi="Times New Roman"/>
          <w:noProof/>
          <w:color w:val="000000" w:themeColor="text1"/>
          <w:sz w:val="24"/>
        </w:rPr>
        <w:t>Aunque el marco jurídico incluye garantías generales de respeto de los derech</w:t>
      </w:r>
      <w:r>
        <w:rPr>
          <w:rFonts w:ascii="Times New Roman" w:hAnsi="Times New Roman"/>
          <w:noProof/>
          <w:color w:val="000000" w:themeColor="text1"/>
          <w:sz w:val="24"/>
        </w:rPr>
        <w:t>os humanos y fundamentales, todavía no se ha puesto en consonancia con el Convenio Europeo de Derechos Humanos (CEDH) ni con la jurisprudencia del Tribunal Europeo de Derechos Humanos (TEDH). También se ha experimentado un grave retroceso en los ámbitos de</w:t>
      </w:r>
      <w:r>
        <w:rPr>
          <w:rFonts w:ascii="Times New Roman" w:hAnsi="Times New Roman"/>
          <w:noProof/>
          <w:color w:val="000000" w:themeColor="text1"/>
          <w:sz w:val="24"/>
        </w:rPr>
        <w:t xml:space="preserve"> la libertad de expresión, el derecho de reunión y la libertad de asociación, así como en materia de derechos procesales y de propiedad. No se ha modificado la legislación introducida inmediatamente después del levantamiento del estado de excepción, que el</w:t>
      </w:r>
      <w:r>
        <w:rPr>
          <w:rFonts w:ascii="Times New Roman" w:hAnsi="Times New Roman"/>
          <w:noProof/>
          <w:color w:val="000000" w:themeColor="text1"/>
          <w:sz w:val="24"/>
        </w:rPr>
        <w:t>iminó salvaguardias fundamentales para proteger de los abusos a los activistas de la sociedad civil, los defensores de los derechos humanos, los periodistas, los profesores universitarios y otras personas. El respeto de los derechos se ve obstaculizado por</w:t>
      </w:r>
      <w:r>
        <w:rPr>
          <w:rFonts w:ascii="Times New Roman" w:hAnsi="Times New Roman"/>
          <w:noProof/>
          <w:color w:val="000000" w:themeColor="text1"/>
          <w:sz w:val="24"/>
        </w:rPr>
        <w:t xml:space="preserve"> la fragmentación y la limitada independencia de las instituciones públicas responsables de la protección de esos derechos y libertades, así como por la ausencia de un poder judicial independiente. Los derechos sindicales siguen sometidos a fuertes presion</w:t>
      </w:r>
      <w:r>
        <w:rPr>
          <w:rFonts w:ascii="Times New Roman" w:hAnsi="Times New Roman"/>
          <w:noProof/>
          <w:color w:val="000000" w:themeColor="text1"/>
          <w:sz w:val="24"/>
        </w:rPr>
        <w:t>es. No se han tomado medidas para investigar, enjuiciar o castigar a las personas implicadas en casos graves de violación de los derechos humanos durante el estado de excepción. El hecho de que el Gobierno usara el estado de excepción para dejar menos cabi</w:t>
      </w:r>
      <w:r>
        <w:rPr>
          <w:rFonts w:ascii="Times New Roman" w:hAnsi="Times New Roman"/>
          <w:noProof/>
          <w:color w:val="000000" w:themeColor="text1"/>
          <w:sz w:val="24"/>
        </w:rPr>
        <w:t>da a las opiniones divergentes o alternativas hizo que se extendiera un clima de intimidación en toda la sociedad. En diciembre de 2018, el número total de personas encarceladas sin acusación o un juicio pendiente era de 57 000, más del 20 % de la població</w:t>
      </w:r>
      <w:r>
        <w:rPr>
          <w:rFonts w:ascii="Times New Roman" w:hAnsi="Times New Roman"/>
          <w:noProof/>
          <w:color w:val="000000" w:themeColor="text1"/>
          <w:sz w:val="24"/>
        </w:rPr>
        <w:t>n reclusa. El hacinamiento es un problema, y las condiciones se están deteriorando. Las severas restricciones a la libertad de expresión han continuado, y la tendencia a perseguir a escritores, usuarios de redes sociales y otros miembros de la población, i</w:t>
      </w:r>
      <w:r>
        <w:rPr>
          <w:rFonts w:ascii="Times New Roman" w:hAnsi="Times New Roman"/>
          <w:noProof/>
          <w:color w:val="000000" w:themeColor="text1"/>
          <w:sz w:val="24"/>
        </w:rPr>
        <w:t>ncluso a niños, por insultos al presidente ha aumentado de forma espectacular. La falta de transparencia en cuanto a la propiedad de los medios de comunicación sigue suscitando dudas sobre la independencia de los editoriales. Los gitanos</w:t>
      </w:r>
      <w:r>
        <w:rPr>
          <w:rFonts w:ascii="Times New Roman" w:hAnsi="Times New Roman"/>
          <w:noProof/>
          <w:color w:val="000000" w:themeColor="text1"/>
          <w:sz w:val="24"/>
          <w:vertAlign w:val="superscript"/>
        </w:rPr>
        <w:footnoteReference w:id="9"/>
      </w:r>
      <w:r>
        <w:rPr>
          <w:rFonts w:ascii="Times New Roman" w:hAnsi="Times New Roman"/>
          <w:noProof/>
          <w:color w:val="000000" w:themeColor="text1"/>
          <w:sz w:val="24"/>
        </w:rPr>
        <w:t>, que siguen tenie</w:t>
      </w:r>
      <w:r>
        <w:rPr>
          <w:rFonts w:ascii="Times New Roman" w:hAnsi="Times New Roman"/>
          <w:noProof/>
          <w:color w:val="000000" w:themeColor="text1"/>
          <w:sz w:val="24"/>
        </w:rPr>
        <w:t>ndo unas condiciones de vivienda deplorables, a menudo carecen de los servicios públicos básicos y dependen de las prestaciones sociales. Los proyectos de renovación urbana afectan principalmente a sus asentamientos, lo que obliga al desplazamiento de fami</w:t>
      </w:r>
      <w:r>
        <w:rPr>
          <w:rFonts w:ascii="Times New Roman" w:hAnsi="Times New Roman"/>
          <w:noProof/>
          <w:color w:val="000000" w:themeColor="text1"/>
          <w:sz w:val="24"/>
        </w:rPr>
        <w:t>lias enteras. Es preciso mejorar la protección de los derechos de los grupos más vulnerables y de las personas pertenecientes a minorías. La violencia de género, la discriminación, la incitación al odio contra las minorías, los delitos de odio y las violac</w:t>
      </w:r>
      <w:r>
        <w:rPr>
          <w:rFonts w:ascii="Times New Roman" w:hAnsi="Times New Roman"/>
          <w:noProof/>
          <w:color w:val="000000" w:themeColor="text1"/>
          <w:sz w:val="24"/>
        </w:rPr>
        <w:t xml:space="preserve">iones de los derechos humanos de las personas LGBTI todavía son fuente de gran preocupación. </w:t>
      </w:r>
    </w:p>
    <w:p w:rsidR="00D96FAD" w:rsidRDefault="00E3669E">
      <w:pPr>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Turquía ha acogido con satisfacción los renovados esfuerzos de las Naciones Unidas para consultar a las partes interesadas acerca de la posible reanudación de las</w:t>
      </w:r>
      <w:r>
        <w:rPr>
          <w:rFonts w:ascii="Times New Roman" w:hAnsi="Times New Roman"/>
          <w:noProof/>
          <w:color w:val="000000" w:themeColor="text1"/>
          <w:sz w:val="24"/>
        </w:rPr>
        <w:t xml:space="preserve"> negociaciones con respecto a Chipre. Las medidas y declaraciones con las que Turquía cuestiona el derecho de la República de Chipre a explotar los recursos de hidrocarburos en su zona económica exclusiva han provocado el aumento de las tensiones en la reg</w:t>
      </w:r>
      <w:r>
        <w:rPr>
          <w:rFonts w:ascii="Times New Roman" w:hAnsi="Times New Roman"/>
          <w:noProof/>
          <w:color w:val="000000" w:themeColor="text1"/>
          <w:sz w:val="24"/>
        </w:rPr>
        <w:t>ión relacionadas con las perspectivas de la exploración de hidrocarburos frente a las costas de Chipre. En mayo de 2019, las tensiones aumentaron nuevamente después de que Turquía enviara una plataforma de perforación escoltada por buques militares a la zo</w:t>
      </w:r>
      <w:r>
        <w:rPr>
          <w:rFonts w:ascii="Times New Roman" w:hAnsi="Times New Roman"/>
          <w:noProof/>
          <w:color w:val="000000" w:themeColor="text1"/>
          <w:sz w:val="24"/>
        </w:rPr>
        <w:t xml:space="preserve">na económica exclusiva de la República de Chipre. </w:t>
      </w:r>
      <w:r>
        <w:rPr>
          <w:rFonts w:ascii="Times New Roman" w:hAnsi="Times New Roman"/>
          <w:noProof/>
          <w:sz w:val="24"/>
        </w:rPr>
        <w:t xml:space="preserve">La Comisión recuerda la Declaración del Consejo Europeo de marzo de 2018 en la que se condenaban enérgicamente las continuas acciones ilegales de Turquía en el Mediterráneo oriental y el mar Egeo. </w:t>
      </w:r>
      <w:r>
        <w:rPr>
          <w:rFonts w:ascii="Times New Roman" w:hAnsi="Times New Roman"/>
          <w:noProof/>
          <w:color w:val="000000" w:themeColor="text1"/>
          <w:sz w:val="24"/>
        </w:rPr>
        <w:t>Asimismo,</w:t>
      </w:r>
      <w:r>
        <w:rPr>
          <w:rFonts w:ascii="Times New Roman" w:hAnsi="Times New Roman"/>
          <w:noProof/>
          <w:color w:val="000000" w:themeColor="text1"/>
          <w:sz w:val="24"/>
        </w:rPr>
        <w:t xml:space="preserve"> se recordaba la obligación de Turquía de respetar el Derecho internacional y las relaciones de buena vecindad, y se pedía al país que respetara los derechos soberanos de Chipre a explorar y explotar sus recursos naturales de conformidad con el Derecho int</w:t>
      </w:r>
      <w:r>
        <w:rPr>
          <w:rFonts w:ascii="Times New Roman" w:hAnsi="Times New Roman"/>
          <w:noProof/>
          <w:color w:val="000000" w:themeColor="text1"/>
          <w:sz w:val="24"/>
        </w:rPr>
        <w:t xml:space="preserve">ernacional y de la UE. </w:t>
      </w:r>
      <w:r>
        <w:rPr>
          <w:rFonts w:ascii="Times New Roman" w:hAnsi="Times New Roman"/>
          <w:noProof/>
          <w:sz w:val="24"/>
        </w:rPr>
        <w:t>En marzo de 2019, la UE pidió a Turquía que no llevara a cabo ninguna actuación ilegal de este tipo, ante las cuales respondería adecuadamente y en plena solidaridad con Chipre.</w:t>
      </w:r>
    </w:p>
    <w:p w:rsidR="00D96FAD" w:rsidRDefault="00E3669E">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La UE ha insistido en repetidas ocasiones en los derech</w:t>
      </w:r>
      <w:r>
        <w:rPr>
          <w:rFonts w:ascii="Times New Roman" w:hAnsi="Times New Roman"/>
          <w:noProof/>
          <w:color w:val="000000" w:themeColor="text1"/>
          <w:sz w:val="24"/>
        </w:rPr>
        <w:t>os soberanos de los Estados miembros de la UE, que incluyen el derecho a celebrar acuerdos bilaterales y a explorar y explotar sus recursos naturales de conformidad con el acervo de la UE y con el Derecho internacional, incluida la Convención de las Nacion</w:t>
      </w:r>
      <w:r>
        <w:rPr>
          <w:rFonts w:ascii="Times New Roman" w:hAnsi="Times New Roman"/>
          <w:noProof/>
          <w:color w:val="000000" w:themeColor="text1"/>
          <w:sz w:val="24"/>
        </w:rPr>
        <w:t>es Unidas sobre el Derecho del Mar. Sin embargo, Turquía aún no ha cumplido su obligación de garantizar la aplicación plena y no discriminatoria del Protocolo adicional del Acuerdo de Asociación UE-Turquía ni ha eliminado todos los obstáculos a la libre ci</w:t>
      </w:r>
      <w:r>
        <w:rPr>
          <w:rFonts w:ascii="Times New Roman" w:hAnsi="Times New Roman"/>
          <w:noProof/>
          <w:color w:val="000000" w:themeColor="text1"/>
          <w:sz w:val="24"/>
        </w:rPr>
        <w:t>rculación de mercancías, incluidas las restricciones en los enlaces directos de transporte con Chipre. No ha habido progresos en la normalización de las relaciones bilaterales con la República de Chipre.</w:t>
      </w:r>
    </w:p>
    <w:p w:rsidR="00D96FAD" w:rsidRDefault="00E3669E">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La cooperación operativa con Grecia en materia de mi</w:t>
      </w:r>
      <w:r>
        <w:rPr>
          <w:rFonts w:ascii="Times New Roman" w:hAnsi="Times New Roman"/>
          <w:noProof/>
          <w:color w:val="000000" w:themeColor="text1"/>
          <w:sz w:val="24"/>
        </w:rPr>
        <w:t>gración ha seguido avanzando. Sin embargo, las tensiones en el mar Egeo y en el Mediterráneo oriental no han favorecido unas buenas relaciones de vecindad y han socavado la estabilidad y seguridad de la región. Han mejorado las relaciones bilaterales con v</w:t>
      </w:r>
      <w:r>
        <w:rPr>
          <w:rFonts w:ascii="Times New Roman" w:hAnsi="Times New Roman"/>
          <w:noProof/>
          <w:color w:val="000000" w:themeColor="text1"/>
          <w:sz w:val="24"/>
        </w:rPr>
        <w:t>arios Estados miembros de la UE, en particular con Austria, Alemania y los Países Bajos. En efecto, los Países Bajos y Turquía han normalizado sus relaciones. Se han producido violaciones reiteradas y crecientes de las aguas territoriales y los espacios aé</w:t>
      </w:r>
      <w:r>
        <w:rPr>
          <w:rFonts w:ascii="Times New Roman" w:hAnsi="Times New Roman"/>
          <w:noProof/>
          <w:color w:val="000000" w:themeColor="text1"/>
          <w:sz w:val="24"/>
        </w:rPr>
        <w:t>reos de Grecia y Chipre por parte de Turquía. Otro motivo de grave preocupación fue la detención durante seis meses de dos soldados griegos que habían estado patrullando la frontera terrestre, pero las relaciones mejoraron significativamente tras la libera</w:t>
      </w:r>
      <w:r>
        <w:rPr>
          <w:rFonts w:ascii="Times New Roman" w:hAnsi="Times New Roman"/>
          <w:noProof/>
          <w:color w:val="000000" w:themeColor="text1"/>
          <w:sz w:val="24"/>
        </w:rPr>
        <w:t xml:space="preserve">ción de los soldados en agosto de 2018 y la visita del primer ministro griego a Turquía en febrero. </w:t>
      </w:r>
    </w:p>
    <w:p w:rsidR="00D96FAD" w:rsidRDefault="00E3669E">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En este contexto, la UE ha manifestado una vez más su honda preocupación y ha instado a Turquía a evitar todo tipo de amenaza o actuación dirigida contra u</w:t>
      </w:r>
      <w:r>
        <w:rPr>
          <w:rFonts w:ascii="Times New Roman" w:hAnsi="Times New Roman"/>
          <w:noProof/>
          <w:color w:val="000000" w:themeColor="text1"/>
          <w:sz w:val="24"/>
        </w:rPr>
        <w:t xml:space="preserve">n Estado miembro, así como toda fuente de fricción o intervenciones que puedan dañar las relaciones de buena vecindad y la resolución pacífica de controversias. </w:t>
      </w:r>
    </w:p>
    <w:p w:rsidR="00D96FAD" w:rsidRDefault="00E3669E">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En cuanto a los </w:t>
      </w:r>
      <w:r>
        <w:rPr>
          <w:rFonts w:ascii="Times New Roman" w:hAnsi="Times New Roman"/>
          <w:b/>
          <w:noProof/>
          <w:color w:val="000000" w:themeColor="text1"/>
          <w:sz w:val="24"/>
        </w:rPr>
        <w:t>criterios económicos</w:t>
      </w:r>
      <w:r>
        <w:rPr>
          <w:rFonts w:ascii="Times New Roman" w:hAnsi="Times New Roman"/>
          <w:noProof/>
          <w:color w:val="000000" w:themeColor="text1"/>
          <w:sz w:val="24"/>
        </w:rPr>
        <w:t>, ha continuado el grave retroceso de la economía turca, l</w:t>
      </w:r>
      <w:r>
        <w:rPr>
          <w:rFonts w:ascii="Times New Roman" w:hAnsi="Times New Roman"/>
          <w:noProof/>
          <w:color w:val="000000" w:themeColor="text1"/>
          <w:sz w:val="24"/>
        </w:rPr>
        <w:t>o que aumenta la preocupación acerca de la viabilidad de la economía de mercado del país. En 2018, el acusado deterioro de las condiciones de la financiación externa puso al descubierto las vulnerabilidades gestadas durante años. En respuesta, las autorida</w:t>
      </w:r>
      <w:r>
        <w:rPr>
          <w:rFonts w:ascii="Times New Roman" w:hAnsi="Times New Roman"/>
          <w:noProof/>
          <w:color w:val="000000" w:themeColor="text1"/>
          <w:sz w:val="24"/>
        </w:rPr>
        <w:t>des turcas tomaron una serie de medidas políticas que han influido negativamente en el funcionamiento de los mercados, sobre todo, al interferir en la formación de los precios e introducir restricciones al uso de divisas extranjeras. Se han agudizado las p</w:t>
      </w:r>
      <w:r>
        <w:rPr>
          <w:rFonts w:ascii="Times New Roman" w:hAnsi="Times New Roman"/>
          <w:noProof/>
          <w:color w:val="000000" w:themeColor="text1"/>
          <w:sz w:val="24"/>
        </w:rPr>
        <w:t>reocupaciones relativas a la independencia de las principales instituciones económicas. El déficit por cuenta corriente alcanzó su máximo en el primer semestre de 2018, antes de sufrir una fuerte corrección como consecuencia del debilitamiento de la econom</w:t>
      </w:r>
      <w:r>
        <w:rPr>
          <w:rFonts w:ascii="Times New Roman" w:hAnsi="Times New Roman"/>
          <w:noProof/>
          <w:color w:val="000000" w:themeColor="text1"/>
          <w:sz w:val="24"/>
        </w:rPr>
        <w:t>ía y la caída de la lira. La tasa de inflación superó con creces el límite superior del margen de fluctuación tras la crisis monetaria y años de fuerte crecimiento del crédito, gran expansión monetaria y bajos tipos reales de interés. No se ha progresado e</w:t>
      </w:r>
      <w:r>
        <w:rPr>
          <w:rFonts w:ascii="Times New Roman" w:hAnsi="Times New Roman"/>
          <w:noProof/>
          <w:color w:val="000000" w:themeColor="text1"/>
          <w:sz w:val="24"/>
        </w:rPr>
        <w:t>n cuanto al incremento de la transparencia de las ayudas estatales.</w:t>
      </w:r>
    </w:p>
    <w:p w:rsidR="00D96FAD" w:rsidRDefault="00E3669E">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Turquía ha progresado en cierta medida y tiene un buen nivel de preparación para hacer frente a las presiones competitivas y las fuerzas del mercado dentro de la UE. Turquía está bien inte</w:t>
      </w:r>
      <w:r>
        <w:rPr>
          <w:rFonts w:ascii="Times New Roman" w:hAnsi="Times New Roman"/>
          <w:noProof/>
          <w:color w:val="000000" w:themeColor="text1"/>
          <w:sz w:val="24"/>
        </w:rPr>
        <w:t xml:space="preserve">grada en el mercado de la UE desde el punto de vista tanto del comercio como de la inversión. Se han introducido mejoras en el sector de la energía, y ha habido algunos avances en materia de gasto en investigación y desarrollo, educación y capital físico. </w:t>
      </w:r>
      <w:r>
        <w:rPr>
          <w:rFonts w:ascii="Times New Roman" w:hAnsi="Times New Roman"/>
          <w:noProof/>
          <w:color w:val="000000" w:themeColor="text1"/>
          <w:sz w:val="24"/>
        </w:rPr>
        <w:t xml:space="preserve">No obstante, persisten problemas relacionados con la calidad de la educación y la igualdad de género. </w:t>
      </w:r>
    </w:p>
    <w:p w:rsidR="00D96FAD" w:rsidRDefault="00E3669E">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Por lo que se refiere a su </w:t>
      </w:r>
      <w:r>
        <w:rPr>
          <w:rFonts w:ascii="Times New Roman" w:hAnsi="Times New Roman"/>
          <w:b/>
          <w:noProof/>
          <w:color w:val="000000" w:themeColor="text1"/>
          <w:sz w:val="24"/>
        </w:rPr>
        <w:t>capacidad para asumir las obligaciones de la adhesión</w:t>
      </w:r>
      <w:r>
        <w:rPr>
          <w:rFonts w:ascii="Times New Roman" w:hAnsi="Times New Roman"/>
          <w:noProof/>
          <w:color w:val="000000" w:themeColor="text1"/>
          <w:sz w:val="24"/>
        </w:rPr>
        <w:t>, Turquía ha avanzado en su adaptación al acervo, si bien a un ritmo redu</w:t>
      </w:r>
      <w:r>
        <w:rPr>
          <w:rFonts w:ascii="Times New Roman" w:hAnsi="Times New Roman"/>
          <w:noProof/>
          <w:color w:val="000000" w:themeColor="text1"/>
          <w:sz w:val="24"/>
        </w:rPr>
        <w:t>cido. Se han producido nuevos casos de retroceso en relación con una serie de aspectos clave en los ámbitos de la libre circulación de capitales, la contratación pública, la competencia, la sociedad de la información, la política económica y monetaria, y l</w:t>
      </w:r>
      <w:r>
        <w:rPr>
          <w:rFonts w:ascii="Times New Roman" w:hAnsi="Times New Roman"/>
          <w:noProof/>
          <w:color w:val="000000" w:themeColor="text1"/>
          <w:sz w:val="24"/>
        </w:rPr>
        <w:t>as relaciones exteriores. Turquía está bastante avanzada en los ámbitos del Derecho de sociedades, las redes transeuropeas, y la ciencia y la investigación, y ha alcanzado un buen nivel de preparación en los ámbitos de la libre circulación de mercancías, e</w:t>
      </w:r>
      <w:r>
        <w:rPr>
          <w:rFonts w:ascii="Times New Roman" w:hAnsi="Times New Roman"/>
          <w:noProof/>
          <w:color w:val="000000" w:themeColor="text1"/>
          <w:sz w:val="24"/>
        </w:rPr>
        <w:t>l Derecho de propiedad intelectual, los servicios financieros, la política empresarial e industrial, la protección de los consumidores y la salud, la unión aduanera y el control financiero. La preparación de Turquía en materia de contratación pública es mo</w:t>
      </w:r>
      <w:r>
        <w:rPr>
          <w:rFonts w:ascii="Times New Roman" w:hAnsi="Times New Roman"/>
          <w:noProof/>
          <w:color w:val="000000" w:themeColor="text1"/>
          <w:sz w:val="24"/>
        </w:rPr>
        <w:t>derada, ya que persisten importantes lagunas en su adaptación al acervo. Turquía también está moderadamente preparada en materia de libre circulación de capitales, estadísticas, energía, fiscalidad, unión económica y monetaria, política regional, educación</w:t>
      </w:r>
      <w:r>
        <w:rPr>
          <w:rFonts w:ascii="Times New Roman" w:hAnsi="Times New Roman"/>
          <w:noProof/>
          <w:color w:val="000000" w:themeColor="text1"/>
          <w:sz w:val="24"/>
        </w:rPr>
        <w:t xml:space="preserve"> y cultura, PESC y política de transporte, todos ellos ámbitos en los que aún se requieren esfuerzos considerables. Hay otra serie de ámbitos en los que Turquía ha alcanzado un cierto grado de preparación, pero sigue siendo necesario que el país formule y </w:t>
      </w:r>
      <w:r>
        <w:rPr>
          <w:rFonts w:ascii="Times New Roman" w:hAnsi="Times New Roman"/>
          <w:noProof/>
          <w:color w:val="000000" w:themeColor="text1"/>
          <w:sz w:val="24"/>
        </w:rPr>
        <w:t>aplique políticas más ambiciosas y mejor coordinadas, a saber, en materia de competencia, agricultura, seguridad alimentaria, política veterinaria y fitosanitaria, política social y empleo, medio ambiente y cambio climático. En todos los ámbitos es necesar</w:t>
      </w:r>
      <w:r>
        <w:rPr>
          <w:rFonts w:ascii="Times New Roman" w:hAnsi="Times New Roman"/>
          <w:noProof/>
          <w:color w:val="000000" w:themeColor="text1"/>
          <w:sz w:val="24"/>
        </w:rPr>
        <w:t>io prestar una mayor atención al cumplimiento de la legislación, y en muchos se requieren más avances significativos para lograr la armonización legislativa con el acervo de la UE, reforzar la independencia de las autoridades reguladoras y crear las capaci</w:t>
      </w:r>
      <w:r>
        <w:rPr>
          <w:rFonts w:ascii="Times New Roman" w:hAnsi="Times New Roman"/>
          <w:noProof/>
          <w:color w:val="000000" w:themeColor="text1"/>
          <w:sz w:val="24"/>
        </w:rPr>
        <w:t>dades administrativas necesarias.</w:t>
      </w:r>
    </w:p>
    <w:p w:rsidR="00D96FAD" w:rsidRDefault="00E3669E">
      <w:pPr>
        <w:keepNext/>
        <w:spacing w:before="360" w:after="120" w:line="240" w:lineRule="auto"/>
        <w:jc w:val="both"/>
        <w:rPr>
          <w:rFonts w:ascii="Times New Roman" w:hAnsi="Times New Roman" w:cs="Times New Roman"/>
          <w:b/>
          <w:noProof/>
          <w:sz w:val="24"/>
          <w:szCs w:val="24"/>
        </w:rPr>
      </w:pPr>
      <w:r>
        <w:rPr>
          <w:rFonts w:ascii="Times New Roman" w:hAnsi="Times New Roman"/>
          <w:b/>
          <w:noProof/>
          <w:sz w:val="24"/>
        </w:rPr>
        <w:t>Montenegro</w:t>
      </w:r>
    </w:p>
    <w:p w:rsidR="00D96FAD" w:rsidRDefault="00E3669E">
      <w:pPr>
        <w:spacing w:after="12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 xml:space="preserve">Con respecto a los </w:t>
      </w:r>
      <w:r>
        <w:rPr>
          <w:rFonts w:ascii="Times New Roman" w:hAnsi="Times New Roman"/>
          <w:b/>
          <w:noProof/>
          <w:color w:val="000000" w:themeColor="text1"/>
          <w:sz w:val="24"/>
        </w:rPr>
        <w:t>criterios políticos</w:t>
      </w:r>
      <w:r>
        <w:rPr>
          <w:rFonts w:ascii="Times New Roman" w:hAnsi="Times New Roman"/>
          <w:noProof/>
          <w:color w:val="000000" w:themeColor="text1"/>
          <w:sz w:val="24"/>
        </w:rPr>
        <w:t xml:space="preserve">, el período de referencia ha seguido estando caracterizado por el bajo nivel de confianza en el marco electoral, que debe revisarse de forma exhaustiva e inclusiva. </w:t>
      </w:r>
      <w:r>
        <w:rPr>
          <w:rFonts w:ascii="Times New Roman" w:hAnsi="Times New Roman"/>
          <w:noProof/>
          <w:sz w:val="24"/>
        </w:rPr>
        <w:t xml:space="preserve">Para </w:t>
      </w:r>
      <w:r>
        <w:rPr>
          <w:rFonts w:ascii="Times New Roman" w:hAnsi="Times New Roman"/>
          <w:noProof/>
          <w:sz w:val="24"/>
        </w:rPr>
        <w:t>este y otros propósitos se creó en otoño de 2018 una comisión parlamentaria temporal sobre la reforma de la legislación electoral y de otro tipo.</w:t>
      </w:r>
      <w:r>
        <w:rPr>
          <w:rFonts w:ascii="Times New Roman" w:hAnsi="Times New Roman"/>
          <w:noProof/>
          <w:color w:val="000000" w:themeColor="text1"/>
          <w:sz w:val="24"/>
        </w:rPr>
        <w:t xml:space="preserve"> Sin embargo, aún debe ofrecer resultados dentro de su ambicioso mandato. Durante el período de referencia, se </w:t>
      </w:r>
      <w:r>
        <w:rPr>
          <w:rFonts w:ascii="Times New Roman" w:hAnsi="Times New Roman"/>
          <w:noProof/>
          <w:color w:val="000000" w:themeColor="text1"/>
          <w:sz w:val="24"/>
        </w:rPr>
        <w:t>celebraron elecciones presidenciales y locales en once municipios y un municipio urbano. Las elecciones locales han ido teniendo lugar de forma continua, lo que ha dificultado la observación internacional y ha dejado un amplio margen para denuncias de irre</w:t>
      </w:r>
      <w:r>
        <w:rPr>
          <w:rFonts w:ascii="Times New Roman" w:hAnsi="Times New Roman"/>
          <w:noProof/>
          <w:color w:val="000000" w:themeColor="text1"/>
          <w:sz w:val="24"/>
        </w:rPr>
        <w:t>gularidades que no pueden evaluarse de forma independiente.</w:t>
      </w:r>
    </w:p>
    <w:p w:rsidR="00D96FAD" w:rsidRDefault="00E3669E">
      <w:pPr>
        <w:spacing w:after="12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El panorama político sigue estando fragmentado, polarizado y caracterizado por la falta de un auténtico diálogo político. Se ha avanzado poco a lo largo de 2018 en lo referente al restablecimiento</w:t>
      </w:r>
      <w:r>
        <w:rPr>
          <w:rFonts w:ascii="Times New Roman" w:hAnsi="Times New Roman"/>
          <w:noProof/>
          <w:color w:val="000000" w:themeColor="text1"/>
          <w:sz w:val="24"/>
        </w:rPr>
        <w:t xml:space="preserve"> del diálogo político en el Parlamento, con el retorno temporal y parcial de la mayoría de los partidos de la oposición al Parlamento y la creación de la comisión parlamentaria temporal. No obstante, a raíz de la detención de un diputado de la oposición a </w:t>
      </w:r>
      <w:r>
        <w:rPr>
          <w:rFonts w:ascii="Times New Roman" w:hAnsi="Times New Roman"/>
          <w:noProof/>
          <w:color w:val="000000" w:themeColor="text1"/>
          <w:sz w:val="24"/>
        </w:rPr>
        <w:t>finales de 2018 y de las acusaciones de corrupción y de financiación ilegal de partidos políticos (el «asunto de los sobres») a principios de 2019, gran parte de la oposición volvió a boicotear el Parlamento. Estas acusaciones también dieron lugar a la mov</w:t>
      </w:r>
      <w:r>
        <w:rPr>
          <w:rFonts w:ascii="Times New Roman" w:hAnsi="Times New Roman"/>
          <w:noProof/>
          <w:color w:val="000000" w:themeColor="text1"/>
          <w:sz w:val="24"/>
        </w:rPr>
        <w:t xml:space="preserve">ilización de los ciudadanos a través de manifestaciones periódicas en las calles, intentos de diálogo político extraparlamentario y la petición por parte de la oposición de que se formara un Gobierno técnico. </w:t>
      </w:r>
    </w:p>
    <w:p w:rsidR="00D96FAD" w:rsidRDefault="00E3669E">
      <w:pPr>
        <w:spacing w:after="12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Lograr que el debate político vuelva al Parlam</w:t>
      </w:r>
      <w:r>
        <w:rPr>
          <w:rFonts w:ascii="Times New Roman" w:hAnsi="Times New Roman"/>
          <w:noProof/>
          <w:color w:val="000000" w:themeColor="text1"/>
          <w:sz w:val="24"/>
        </w:rPr>
        <w:t>ento es responsabilidad de todos los actores políticos. Se requiere una participación activa y constructiva de todas las partes para reforzar la rendición de cuentas parlamentaria, la supervisión del ejecutivo y el control democrático, y mejorar la calidad</w:t>
      </w:r>
      <w:r>
        <w:rPr>
          <w:rFonts w:ascii="Times New Roman" w:hAnsi="Times New Roman"/>
          <w:noProof/>
          <w:color w:val="000000" w:themeColor="text1"/>
          <w:sz w:val="24"/>
        </w:rPr>
        <w:t xml:space="preserve"> de la legislación. No ha habido nuevos avances en el seguimiento político y judicial de la presunta malversación de fondos públicos para fines partidistas en 2012. Por lo que se refiere a las recientes acusaciones, el Ministerio Fiscal inició la investiga</w:t>
      </w:r>
      <w:r>
        <w:rPr>
          <w:rFonts w:ascii="Times New Roman" w:hAnsi="Times New Roman"/>
          <w:noProof/>
          <w:color w:val="000000" w:themeColor="text1"/>
          <w:sz w:val="24"/>
        </w:rPr>
        <w:t>ción de algunas de ellas, y la Agencia Anticorrupción multó al partido político expuesto por recibir una donación ilegal en efectivo. Estas acusaciones requieren una respuesta institucional creíble, independiente y eficaz.</w:t>
      </w:r>
    </w:p>
    <w:p w:rsidR="00D96FAD" w:rsidRDefault="00E3669E">
      <w:pPr>
        <w:spacing w:after="12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Por lo que respecta a la gobernan</w:t>
      </w:r>
      <w:r>
        <w:rPr>
          <w:rFonts w:ascii="Times New Roman" w:hAnsi="Times New Roman"/>
          <w:noProof/>
          <w:color w:val="000000" w:themeColor="text1"/>
          <w:sz w:val="24"/>
        </w:rPr>
        <w:t>za, es necesario reforzar la transparencia, la participación de las partes interesadas y la capacidad del Gobierno para introducir reformas. Sería conveniente establecer un nuevo marco jurídico y una nueva metodología en materia de planificación estratégic</w:t>
      </w:r>
      <w:r>
        <w:rPr>
          <w:rFonts w:ascii="Times New Roman" w:hAnsi="Times New Roman"/>
          <w:noProof/>
          <w:color w:val="000000" w:themeColor="text1"/>
          <w:sz w:val="24"/>
        </w:rPr>
        <w:t>a que ayudaran a mejorar la calidad de dicha planificación, así como el seguimiento y la ejecución. El entorno jurídico, institucional y financiero en el que operan las organizaciones de la sociedad civil ha mejorado en general. Sin embargo, aún está por g</w:t>
      </w:r>
      <w:r>
        <w:rPr>
          <w:rFonts w:ascii="Times New Roman" w:hAnsi="Times New Roman"/>
          <w:noProof/>
          <w:color w:val="000000" w:themeColor="text1"/>
          <w:sz w:val="24"/>
        </w:rPr>
        <w:t>arantizar en la práctica la verdadera inclusión de las organizaciones de la sociedad civil en el proceso de formulación de políticas.</w:t>
      </w:r>
    </w:p>
    <w:p w:rsidR="00D96FAD" w:rsidRDefault="00E3669E">
      <w:pPr>
        <w:spacing w:after="12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 xml:space="preserve">Montenegro está moderadamente preparado en lo que respecta a la reforma de su </w:t>
      </w:r>
      <w:r>
        <w:rPr>
          <w:rFonts w:ascii="Times New Roman" w:hAnsi="Times New Roman"/>
          <w:b/>
          <w:noProof/>
          <w:color w:val="000000" w:themeColor="text1"/>
          <w:sz w:val="24"/>
        </w:rPr>
        <w:t>Administración Pública</w:t>
      </w:r>
      <w:r>
        <w:rPr>
          <w:rFonts w:ascii="Times New Roman" w:hAnsi="Times New Roman"/>
          <w:noProof/>
          <w:color w:val="000000" w:themeColor="text1"/>
          <w:sz w:val="24"/>
        </w:rPr>
        <w:t xml:space="preserve">. En conjunto, se han </w:t>
      </w:r>
      <w:r>
        <w:rPr>
          <w:rFonts w:ascii="Times New Roman" w:hAnsi="Times New Roman"/>
          <w:noProof/>
          <w:color w:val="000000" w:themeColor="text1"/>
          <w:sz w:val="24"/>
        </w:rPr>
        <w:t>registrado algunos avances. Los progresos han sido notables</w:t>
      </w:r>
      <w:r>
        <w:rPr>
          <w:rFonts w:ascii="Times New Roman" w:hAnsi="Times New Roman"/>
          <w:noProof/>
          <w:sz w:val="24"/>
        </w:rPr>
        <w:t xml:space="preserve"> especialmente en relación con el marco a medio plazo para la formulación de políticas, la contratación basada en los méritos y la racionalización de la organización de la Administración del Estado</w:t>
      </w:r>
      <w:r>
        <w:rPr>
          <w:rFonts w:ascii="Times New Roman" w:hAnsi="Times New Roman"/>
          <w:noProof/>
          <w:sz w:val="24"/>
        </w:rPr>
        <w:t>.</w:t>
      </w:r>
      <w:r>
        <w:rPr>
          <w:rFonts w:ascii="Times New Roman" w:hAnsi="Times New Roman"/>
          <w:noProof/>
          <w:color w:val="000000" w:themeColor="text1"/>
          <w:sz w:val="24"/>
        </w:rPr>
        <w:t xml:space="preserve"> Sin embargo, todavía se requiere una firme voluntad política para resolver de manera efectiva las cuestiones relacionadas con la despolitización de la función pública y la optimización de la Administración del Estado, la formulación de políticas integrad</w:t>
      </w:r>
      <w:r>
        <w:rPr>
          <w:rFonts w:ascii="Times New Roman" w:hAnsi="Times New Roman"/>
          <w:noProof/>
          <w:color w:val="000000" w:themeColor="text1"/>
          <w:sz w:val="24"/>
        </w:rPr>
        <w:t>oras y basadas en datos reales, la delegación de la toma de decisiones y la rendición de cuentas de los gestores.</w:t>
      </w:r>
    </w:p>
    <w:p w:rsidR="00D96FAD" w:rsidRDefault="00E3669E">
      <w:pPr>
        <w:spacing w:after="12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 xml:space="preserve">El </w:t>
      </w:r>
      <w:r>
        <w:rPr>
          <w:rFonts w:ascii="Times New Roman" w:hAnsi="Times New Roman"/>
          <w:b/>
          <w:noProof/>
          <w:color w:val="000000" w:themeColor="text1"/>
          <w:sz w:val="24"/>
        </w:rPr>
        <w:t>sistema judicial</w:t>
      </w:r>
      <w:r>
        <w:rPr>
          <w:rFonts w:ascii="Times New Roman" w:hAnsi="Times New Roman"/>
          <w:noProof/>
          <w:color w:val="000000" w:themeColor="text1"/>
          <w:sz w:val="24"/>
        </w:rPr>
        <w:t xml:space="preserve"> de Montenegro está moderadamente preparado, y se han realizado algunos avances en este ámbito. El marco legislativo destin</w:t>
      </w:r>
      <w:r>
        <w:rPr>
          <w:rFonts w:ascii="Times New Roman" w:hAnsi="Times New Roman"/>
          <w:noProof/>
          <w:color w:val="000000" w:themeColor="text1"/>
          <w:sz w:val="24"/>
        </w:rPr>
        <w:t xml:space="preserve">ado a dotar al poder judicial de mayor independencia y profesionalidad aún no se ha aplicado plenamente. Se ha reforzado la capacidad institucional. </w:t>
      </w:r>
    </w:p>
    <w:p w:rsidR="00D96FAD" w:rsidRDefault="00E3669E">
      <w:pPr>
        <w:spacing w:after="12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 xml:space="preserve">Montenegro ha alcanzado un cierto grado de preparación en el ámbito de la </w:t>
      </w:r>
      <w:r>
        <w:rPr>
          <w:rFonts w:ascii="Times New Roman" w:hAnsi="Times New Roman"/>
          <w:b/>
          <w:noProof/>
          <w:color w:val="000000" w:themeColor="text1"/>
          <w:sz w:val="24"/>
        </w:rPr>
        <w:t>lucha contra la corrupción</w:t>
      </w:r>
      <w:r>
        <w:rPr>
          <w:rFonts w:ascii="Times New Roman" w:hAnsi="Times New Roman"/>
          <w:noProof/>
          <w:color w:val="000000" w:themeColor="text1"/>
          <w:sz w:val="24"/>
        </w:rPr>
        <w:t>. Dura</w:t>
      </w:r>
      <w:r>
        <w:rPr>
          <w:rFonts w:ascii="Times New Roman" w:hAnsi="Times New Roman"/>
          <w:noProof/>
          <w:color w:val="000000" w:themeColor="text1"/>
          <w:sz w:val="24"/>
        </w:rPr>
        <w:t>nte el período de referencia se han registrado pequeños avances. No obstante, la corrupción está generalizada en muchos ámbitos y sigue siendo un motivo de preocupación. Si bien la capacidad operativa de las instituciones ha mejorado, todas las institucion</w:t>
      </w:r>
      <w:r>
        <w:rPr>
          <w:rFonts w:ascii="Times New Roman" w:hAnsi="Times New Roman"/>
          <w:noProof/>
          <w:color w:val="000000" w:themeColor="text1"/>
          <w:sz w:val="24"/>
        </w:rPr>
        <w:t>es deberían dar muestras de una actitud más proactiva. Todavía no se ha hecho frente a las amenazas a la credibilidad, la independencia y la fijación de prioridades de la Agencia Anticorrupción. Aún deben mejorar las investigaciones financieras y la incaut</w:t>
      </w:r>
      <w:r>
        <w:rPr>
          <w:rFonts w:ascii="Times New Roman" w:hAnsi="Times New Roman"/>
          <w:noProof/>
          <w:color w:val="000000" w:themeColor="text1"/>
          <w:sz w:val="24"/>
        </w:rPr>
        <w:t xml:space="preserve">ación y el decomiso de activos. Ya se ha logrado una base inicial de investigaciones, enjuiciamientos y condenas firmes en casos de corrupción de alto nivel, pero </w:t>
      </w:r>
      <w:r>
        <w:rPr>
          <w:rFonts w:ascii="Times New Roman" w:hAnsi="Times New Roman"/>
          <w:noProof/>
          <w:sz w:val="24"/>
        </w:rPr>
        <w:t>la respuesta de la justicia penal contra este tipo de corrupción sigue siendo demasiado limit</w:t>
      </w:r>
      <w:r>
        <w:rPr>
          <w:rFonts w:ascii="Times New Roman" w:hAnsi="Times New Roman"/>
          <w:noProof/>
          <w:sz w:val="24"/>
        </w:rPr>
        <w:t>ada</w:t>
      </w:r>
      <w:r>
        <w:rPr>
          <w:rFonts w:ascii="Times New Roman" w:hAnsi="Times New Roman"/>
          <w:noProof/>
          <w:color w:val="000000" w:themeColor="text1"/>
          <w:sz w:val="24"/>
        </w:rPr>
        <w:t>. Solo se podrá seguir mejorando a este respecto si se logra un entorno en el que las instituciones sean independientes, estén a salvo de cualquier influencia indebida y tengan incentivos para hacer pleno uso de sus competencias.</w:t>
      </w:r>
    </w:p>
    <w:p w:rsidR="00D96FAD" w:rsidRDefault="00E3669E">
      <w:pPr>
        <w:spacing w:after="12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 xml:space="preserve">En el caso de la </w:t>
      </w:r>
      <w:r>
        <w:rPr>
          <w:rFonts w:ascii="Times New Roman" w:hAnsi="Times New Roman"/>
          <w:b/>
          <w:noProof/>
          <w:color w:val="000000" w:themeColor="text1"/>
          <w:sz w:val="24"/>
        </w:rPr>
        <w:t xml:space="preserve">lucha </w:t>
      </w:r>
      <w:r>
        <w:rPr>
          <w:rFonts w:ascii="Times New Roman" w:hAnsi="Times New Roman"/>
          <w:b/>
          <w:noProof/>
          <w:color w:val="000000" w:themeColor="text1"/>
          <w:sz w:val="24"/>
        </w:rPr>
        <w:t>contra la delincuencia organizada</w:t>
      </w:r>
      <w:r>
        <w:rPr>
          <w:rFonts w:ascii="Times New Roman" w:hAnsi="Times New Roman"/>
          <w:noProof/>
          <w:color w:val="000000" w:themeColor="text1"/>
          <w:sz w:val="24"/>
        </w:rPr>
        <w:t>, Montenegro sigue estando moderadamente preparado. Se han registrado algunos progresos en la cooperación judicial y en determinados ámbitos de la lucha contra la delincuencia organizada. Se ha logrado iniciar una trayector</w:t>
      </w:r>
      <w:r>
        <w:rPr>
          <w:rFonts w:ascii="Times New Roman" w:hAnsi="Times New Roman"/>
          <w:noProof/>
          <w:color w:val="000000" w:themeColor="text1"/>
          <w:sz w:val="24"/>
        </w:rPr>
        <w:t>ia de investigaciones sobre blanqueo de capitales, investigaciones financieras e incautaciones temporales de productos del delito. El refuerzo de la cooperación policial internacional está dando resultados, como ilustran una serie de importantes operacione</w:t>
      </w:r>
      <w:r>
        <w:rPr>
          <w:rFonts w:ascii="Times New Roman" w:hAnsi="Times New Roman"/>
          <w:noProof/>
          <w:color w:val="000000" w:themeColor="text1"/>
          <w:sz w:val="24"/>
        </w:rPr>
        <w:t>s internacionales, detenciones e incautaciones de droga. Sin embargo, se necesitan más resultados para constituir un historial convincente en relación con los tipos más complejos de delincuencia organizada, en los que entran en juego intereses creados a ni</w:t>
      </w:r>
      <w:r>
        <w:rPr>
          <w:rFonts w:ascii="Times New Roman" w:hAnsi="Times New Roman"/>
          <w:noProof/>
          <w:color w:val="000000" w:themeColor="text1"/>
          <w:sz w:val="24"/>
        </w:rPr>
        <w:t xml:space="preserve">vel local, en particular, el blanqueo de capitales, la trata de seres humanos y el contrabando de tabaco, así como el decomiso de los productos del delito. </w:t>
      </w:r>
    </w:p>
    <w:p w:rsidR="00D96FAD" w:rsidRDefault="00E3669E">
      <w:pPr>
        <w:spacing w:after="12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 xml:space="preserve">En materia de </w:t>
      </w:r>
      <w:r>
        <w:rPr>
          <w:rFonts w:ascii="Times New Roman" w:hAnsi="Times New Roman"/>
          <w:b/>
          <w:noProof/>
          <w:color w:val="000000" w:themeColor="text1"/>
          <w:sz w:val="24"/>
        </w:rPr>
        <w:t>derechos fundamentales</w:t>
      </w:r>
      <w:r>
        <w:rPr>
          <w:rFonts w:ascii="Times New Roman" w:hAnsi="Times New Roman"/>
          <w:noProof/>
          <w:color w:val="000000" w:themeColor="text1"/>
          <w:sz w:val="24"/>
        </w:rPr>
        <w:t>, Montenegro ha seguido adaptando su legislación a las normas d</w:t>
      </w:r>
      <w:r>
        <w:rPr>
          <w:rFonts w:ascii="Times New Roman" w:hAnsi="Times New Roman"/>
          <w:noProof/>
          <w:color w:val="000000" w:themeColor="text1"/>
          <w:sz w:val="24"/>
        </w:rPr>
        <w:t>e la UE. Ha mejorado la capacidad tanto de la oficina del Defensor del Pueblo como del Mecanismo Nacional de Prevención, pero es preciso seguir trabajando en el refuerzo del marco institucional y la protección efectiva de los derechos humanos. Montenegro d</w:t>
      </w:r>
      <w:r>
        <w:rPr>
          <w:rFonts w:ascii="Times New Roman" w:hAnsi="Times New Roman"/>
          <w:noProof/>
          <w:color w:val="000000" w:themeColor="text1"/>
          <w:sz w:val="24"/>
        </w:rPr>
        <w:t>ebe velar por que existan mecanismos institucionales adecuados para proteger a los grupos vulnerables frente a la discriminación. La aplicación de la legislación sigue siendo débil, y es necesario incrementar la capacidad institucional en materia de derech</w:t>
      </w:r>
      <w:r>
        <w:rPr>
          <w:rFonts w:ascii="Times New Roman" w:hAnsi="Times New Roman"/>
          <w:noProof/>
          <w:color w:val="000000" w:themeColor="text1"/>
          <w:sz w:val="24"/>
        </w:rPr>
        <w:t xml:space="preserve">os humanos. Las minorías gitana y egipcia siguen siendo las comunidades más vulnerables y discriminadas. La violencia de género y la violencia contra los menores aún constituyen una grave preocupación. </w:t>
      </w:r>
    </w:p>
    <w:p w:rsidR="00D96FAD" w:rsidRDefault="00E3669E">
      <w:pPr>
        <w:spacing w:after="12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Montenegro ha alcanzado un cierto nivel de preparació</w:t>
      </w:r>
      <w:r>
        <w:rPr>
          <w:rFonts w:ascii="Times New Roman" w:hAnsi="Times New Roman"/>
          <w:noProof/>
          <w:color w:val="000000" w:themeColor="text1"/>
          <w:sz w:val="24"/>
        </w:rPr>
        <w:t xml:space="preserve">n en el ámbito de la </w:t>
      </w:r>
      <w:r>
        <w:rPr>
          <w:rFonts w:ascii="Times New Roman" w:hAnsi="Times New Roman"/>
          <w:b/>
          <w:noProof/>
          <w:color w:val="000000" w:themeColor="text1"/>
          <w:sz w:val="24"/>
        </w:rPr>
        <w:t>libertad de expresión</w:t>
      </w:r>
      <w:r>
        <w:rPr>
          <w:rFonts w:ascii="Times New Roman" w:hAnsi="Times New Roman"/>
          <w:noProof/>
          <w:color w:val="000000" w:themeColor="text1"/>
          <w:sz w:val="24"/>
        </w:rPr>
        <w:t xml:space="preserve">, pero no ha habido progresos durante el período de referencia. Los avances en relación con las investigaciones de casos de violencia contra periodistas han sido muy escasos. Las recientes injerencias políticas en </w:t>
      </w:r>
      <w:r>
        <w:rPr>
          <w:rFonts w:ascii="Times New Roman" w:hAnsi="Times New Roman"/>
          <w:noProof/>
          <w:color w:val="000000" w:themeColor="text1"/>
          <w:sz w:val="24"/>
        </w:rPr>
        <w:t>el Consejo nacional del servicio público de radiodifusión y la Agencia de Medios de Comunicación Electrónicos son motivo de grave preocupación. El panorama de los medios de comunicación sigue estando muy polarizado, y persisten las dificultades para concie</w:t>
      </w:r>
      <w:r>
        <w:rPr>
          <w:rFonts w:ascii="Times New Roman" w:hAnsi="Times New Roman"/>
          <w:noProof/>
          <w:color w:val="000000" w:themeColor="text1"/>
          <w:sz w:val="24"/>
        </w:rPr>
        <w:t xml:space="preserve">nciar sobre el papel de la prensa libre. Los mecanismos de autorregulación aún son débiles. </w:t>
      </w:r>
    </w:p>
    <w:p w:rsidR="00D96FAD" w:rsidRDefault="00E3669E">
      <w:pPr>
        <w:spacing w:after="12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 xml:space="preserve">Por lo que se refiere a los </w:t>
      </w:r>
      <w:r>
        <w:rPr>
          <w:rFonts w:ascii="Times New Roman" w:hAnsi="Times New Roman"/>
          <w:b/>
          <w:noProof/>
          <w:color w:val="000000" w:themeColor="text1"/>
          <w:sz w:val="24"/>
        </w:rPr>
        <w:t>criterios económicos</w:t>
      </w:r>
      <w:r>
        <w:rPr>
          <w:rFonts w:ascii="Times New Roman" w:hAnsi="Times New Roman"/>
          <w:noProof/>
          <w:color w:val="000000" w:themeColor="text1"/>
          <w:sz w:val="24"/>
        </w:rPr>
        <w:t>, Montenegro ha hecho algunos progresos y está moderadamente preparado en cuanto al desarrollo de una economía de m</w:t>
      </w:r>
      <w:r>
        <w:rPr>
          <w:rFonts w:ascii="Times New Roman" w:hAnsi="Times New Roman"/>
          <w:noProof/>
          <w:color w:val="000000" w:themeColor="text1"/>
          <w:sz w:val="24"/>
        </w:rPr>
        <w:t>ercado viable. La economía ha seguido creciendo a un ritmo firme, y han mejorado los resultados del mercado laboral, aunque la tasa de desempleo se ha mantenido elevada. A pesar de la dinámica positiva de las exportaciones, el déficit por cuenta corriente,</w:t>
      </w:r>
      <w:r>
        <w:rPr>
          <w:rFonts w:ascii="Times New Roman" w:hAnsi="Times New Roman"/>
          <w:noProof/>
          <w:color w:val="000000" w:themeColor="text1"/>
          <w:sz w:val="24"/>
        </w:rPr>
        <w:t xml:space="preserve"> alimentado por la fuerte demanda interna, ha seguido siendo muy elevado y solo se ha financiado parcialmente mediante entradas netas de inversión extranjera directa. Los coeficientes de solvencia y liquidez del sector financiero han mejorado, pero las est</w:t>
      </w:r>
      <w:r>
        <w:rPr>
          <w:rFonts w:ascii="Times New Roman" w:hAnsi="Times New Roman"/>
          <w:noProof/>
          <w:color w:val="000000" w:themeColor="text1"/>
          <w:sz w:val="24"/>
        </w:rPr>
        <w:t>rictas condiciones de préstamo todavía obstaculizan el acceso a la financiación para las pequeñas empresas. Los esfuerzos de saneamiento presupuestario continuaron a lo largo de 2018, pero no se consiguió el objetivo de déficit presupuestario, y la deuda p</w:t>
      </w:r>
      <w:r>
        <w:rPr>
          <w:rFonts w:ascii="Times New Roman" w:hAnsi="Times New Roman"/>
          <w:noProof/>
          <w:color w:val="000000" w:themeColor="text1"/>
          <w:sz w:val="24"/>
        </w:rPr>
        <w:t xml:space="preserve">ública alcanzó un nuevo récord, en parte debido a las necesidades de financiación para un gran proyecto de autopistas, financiado con un préstamo chino. El desarrollo del sector privado sigue estando limitado por las deficiencias en el entorno empresarial </w:t>
      </w:r>
      <w:r>
        <w:rPr>
          <w:rFonts w:ascii="Times New Roman" w:hAnsi="Times New Roman"/>
          <w:noProof/>
          <w:color w:val="000000" w:themeColor="text1"/>
          <w:sz w:val="24"/>
        </w:rPr>
        <w:t>y en el poder judicial, así como por la gran prevalencia de la economía informal, lo que refleja la escasa capacidad de ejecución que tienen las instituciones estatales clave responsables de velar por el respeto del Estado de Derecho y la competencia en el</w:t>
      </w:r>
      <w:r>
        <w:rPr>
          <w:rFonts w:ascii="Times New Roman" w:hAnsi="Times New Roman"/>
          <w:noProof/>
          <w:color w:val="000000" w:themeColor="text1"/>
          <w:sz w:val="24"/>
        </w:rPr>
        <w:t xml:space="preserve"> mercado. </w:t>
      </w:r>
    </w:p>
    <w:p w:rsidR="00D96FAD" w:rsidRDefault="00E3669E">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 xml:space="preserve">Montenegro ha realizado algunos avances y está moderadamente preparado en lo que respecta a su capacidad para hacer frente a la presión competitiva y las fuerzas del mercado en la Unión. El desarrollo de infraestructuras en una serie de ámbitos </w:t>
      </w:r>
      <w:r>
        <w:rPr>
          <w:rFonts w:ascii="Times New Roman" w:hAnsi="Times New Roman"/>
          <w:noProof/>
          <w:color w:val="000000" w:themeColor="text1"/>
          <w:sz w:val="24"/>
        </w:rPr>
        <w:t>está estableciendo gradualmente las condiciones previas para una mayor competitividad económica. Sin embargo, se necesitan más esfuerzos dirigidos a mejorar el desarrollo del capital humano y reducir el desajuste entre los resultados educativos y las neces</w:t>
      </w:r>
      <w:r>
        <w:rPr>
          <w:rFonts w:ascii="Times New Roman" w:hAnsi="Times New Roman"/>
          <w:noProof/>
          <w:color w:val="000000" w:themeColor="text1"/>
          <w:sz w:val="24"/>
        </w:rPr>
        <w:t xml:space="preserve">idades del mercado de trabajo. Las empresas locales deben crecer e intensificar sus esfuerzos para mejorar su competitividad a escala internacional. </w:t>
      </w:r>
    </w:p>
    <w:p w:rsidR="00D96FAD" w:rsidRDefault="00E3669E">
      <w:pPr>
        <w:spacing w:after="120" w:line="240" w:lineRule="auto"/>
        <w:jc w:val="both"/>
        <w:rPr>
          <w:rFonts w:ascii="Times New Roman" w:hAnsi="Times New Roman"/>
          <w:noProof/>
          <w:color w:val="000000" w:themeColor="text1"/>
          <w:sz w:val="24"/>
        </w:rPr>
      </w:pPr>
      <w:r>
        <w:rPr>
          <w:rFonts w:ascii="Times New Roman" w:hAnsi="Times New Roman"/>
          <w:noProof/>
          <w:color w:val="000000" w:themeColor="text1"/>
          <w:sz w:val="24"/>
        </w:rPr>
        <w:t xml:space="preserve">En lo referente a </w:t>
      </w:r>
      <w:r>
        <w:rPr>
          <w:rFonts w:ascii="Times New Roman" w:hAnsi="Times New Roman"/>
          <w:b/>
          <w:noProof/>
          <w:color w:val="000000" w:themeColor="text1"/>
          <w:sz w:val="24"/>
        </w:rPr>
        <w:t>las relaciones de buena vecindad y la cooperación regional</w:t>
      </w:r>
      <w:r>
        <w:rPr>
          <w:rFonts w:ascii="Times New Roman" w:hAnsi="Times New Roman"/>
          <w:noProof/>
          <w:color w:val="000000" w:themeColor="text1"/>
          <w:sz w:val="24"/>
        </w:rPr>
        <w:t>, Montenegro ha mantenido un c</w:t>
      </w:r>
      <w:r>
        <w:rPr>
          <w:rFonts w:ascii="Times New Roman" w:hAnsi="Times New Roman"/>
          <w:noProof/>
          <w:color w:val="000000" w:themeColor="text1"/>
          <w:sz w:val="24"/>
        </w:rPr>
        <w:t xml:space="preserve">ompromiso constructivo en cuanto a las relaciones bilaterales con otros países candidatos y con los Estados miembros de la UE de su vecindad, y sigue participando activamente en la cooperación regional. </w:t>
      </w:r>
    </w:p>
    <w:p w:rsidR="00D96FAD" w:rsidRDefault="00E3669E">
      <w:pPr>
        <w:spacing w:after="120" w:line="240" w:lineRule="auto"/>
        <w:jc w:val="both"/>
        <w:rPr>
          <w:rFonts w:ascii="Times New Roman" w:eastAsia="Calibri" w:hAnsi="Times New Roman"/>
          <w:noProof/>
          <w:color w:val="000000" w:themeColor="text1"/>
          <w:sz w:val="24"/>
        </w:rPr>
      </w:pPr>
      <w:r>
        <w:rPr>
          <w:rFonts w:ascii="Times New Roman" w:hAnsi="Times New Roman"/>
          <w:noProof/>
          <w:color w:val="000000" w:themeColor="text1"/>
          <w:sz w:val="24"/>
        </w:rPr>
        <w:t xml:space="preserve">En relación con su </w:t>
      </w:r>
      <w:r>
        <w:rPr>
          <w:rFonts w:ascii="Times New Roman" w:hAnsi="Times New Roman"/>
          <w:b/>
          <w:noProof/>
          <w:color w:val="000000" w:themeColor="text1"/>
          <w:sz w:val="24"/>
        </w:rPr>
        <w:t xml:space="preserve">capacidad para asumir las </w:t>
      </w:r>
      <w:r>
        <w:rPr>
          <w:rFonts w:ascii="Times New Roman" w:hAnsi="Times New Roman"/>
          <w:b/>
          <w:noProof/>
          <w:color w:val="000000" w:themeColor="text1"/>
          <w:sz w:val="24"/>
        </w:rPr>
        <w:t>obligaciones de la adhesión</w:t>
      </w:r>
      <w:r>
        <w:rPr>
          <w:rFonts w:ascii="Times New Roman" w:hAnsi="Times New Roman"/>
          <w:noProof/>
          <w:color w:val="000000" w:themeColor="text1"/>
          <w:sz w:val="24"/>
        </w:rPr>
        <w:t>, Montenegro ha llevado a cabo una importante labor de adaptación al acervo y de preparación para su aplicación en la mayoría de los ámbitos. El país ha alcanzado un buen nivel de preparación en ámbitos como el Derecho de socieda</w:t>
      </w:r>
      <w:r>
        <w:rPr>
          <w:rFonts w:ascii="Times New Roman" w:hAnsi="Times New Roman"/>
          <w:noProof/>
          <w:color w:val="000000" w:themeColor="text1"/>
          <w:sz w:val="24"/>
        </w:rPr>
        <w:t>des, el Derecho de propiedad intelectual, la energía y la política exterior, de seguridad y de defensa. Está moderadamente preparado en muchos capítulos, como la libre circulación de mercancías, la política de competencia, la agricultura y el desarrollo ru</w:t>
      </w:r>
      <w:r>
        <w:rPr>
          <w:rFonts w:ascii="Times New Roman" w:hAnsi="Times New Roman"/>
          <w:noProof/>
          <w:color w:val="000000" w:themeColor="text1"/>
          <w:sz w:val="24"/>
        </w:rPr>
        <w:t>ral, la seguridad alimentaria, la política veterinaria y fitosanitaria, y la política empresarial e industrial. Montenegro tiene un cierto nivel de preparación en ámbitos como el medio ambiente, el cambio climático, la política social y el empleo. Se han r</w:t>
      </w:r>
      <w:r>
        <w:rPr>
          <w:rFonts w:ascii="Times New Roman" w:hAnsi="Times New Roman"/>
          <w:noProof/>
          <w:color w:val="000000" w:themeColor="text1"/>
          <w:sz w:val="24"/>
        </w:rPr>
        <w:t>ealizado avances notables en los ámbitos del derecho de establecimiento y la libre prestación de servicios, el Derecho de propiedad intelectual, la agricultura y el desarrollo rural, la seguridad alimentaria, y la política veterinaria y fitosanitaria. De c</w:t>
      </w:r>
      <w:r>
        <w:rPr>
          <w:rFonts w:ascii="Times New Roman" w:hAnsi="Times New Roman"/>
          <w:noProof/>
          <w:color w:val="000000" w:themeColor="text1"/>
          <w:sz w:val="24"/>
        </w:rPr>
        <w:t>ara al futuro, Montenegro debe centrarse, en particular, en la política de competencia, el medio ambiente y el cambio climático, y la contratación pública. El refuerzo de la capacidad administrativa para garantizar la aplicación del acervo sigue constituye</w:t>
      </w:r>
      <w:r>
        <w:rPr>
          <w:rFonts w:ascii="Times New Roman" w:hAnsi="Times New Roman"/>
          <w:noProof/>
          <w:color w:val="000000" w:themeColor="text1"/>
          <w:sz w:val="24"/>
        </w:rPr>
        <w:t xml:space="preserve">ndo un desafío importante para este país. Montenegro ha seguido alineándose con el conjunto de las posiciones y declaraciones de política exterior y de seguridad común de la UE. </w:t>
      </w:r>
    </w:p>
    <w:p w:rsidR="00D96FAD" w:rsidRDefault="00E3669E">
      <w:pPr>
        <w:spacing w:after="120" w:line="240" w:lineRule="auto"/>
        <w:jc w:val="both"/>
        <w:rPr>
          <w:rFonts w:ascii="Times New Roman" w:eastAsia="Calibri" w:hAnsi="Times New Roman"/>
          <w:bCs/>
          <w:noProof/>
          <w:color w:val="000000" w:themeColor="text1"/>
          <w:sz w:val="24"/>
        </w:rPr>
      </w:pPr>
      <w:r>
        <w:rPr>
          <w:rFonts w:ascii="Times New Roman" w:hAnsi="Times New Roman"/>
          <w:noProof/>
          <w:color w:val="000000" w:themeColor="text1"/>
          <w:sz w:val="24"/>
        </w:rPr>
        <w:t xml:space="preserve">En materia de </w:t>
      </w:r>
      <w:r>
        <w:rPr>
          <w:rFonts w:ascii="Times New Roman" w:hAnsi="Times New Roman"/>
          <w:b/>
          <w:noProof/>
          <w:color w:val="000000" w:themeColor="text1"/>
          <w:sz w:val="24"/>
        </w:rPr>
        <w:t>migración</w:t>
      </w:r>
      <w:r>
        <w:rPr>
          <w:rFonts w:ascii="Times New Roman" w:hAnsi="Times New Roman"/>
          <w:noProof/>
          <w:color w:val="000000" w:themeColor="text1"/>
          <w:sz w:val="24"/>
        </w:rPr>
        <w:t xml:space="preserve">, Montenegro se ha visto afectado por un fuerte </w:t>
      </w:r>
      <w:r>
        <w:rPr>
          <w:rFonts w:ascii="Times New Roman" w:hAnsi="Times New Roman"/>
          <w:noProof/>
          <w:color w:val="000000" w:themeColor="text1"/>
          <w:sz w:val="24"/>
        </w:rPr>
        <w:t>aumento de la migración irregular debido al desplazamiento parcial del flujo migratorio regional hacia la denominada «ruta costera», que atraviesa Albania, Montenegro y Bosnia y Herzegovina. En 2018, las autoridades montenegrinas detuvieron a 4 753 migrant</w:t>
      </w:r>
      <w:r>
        <w:rPr>
          <w:rFonts w:ascii="Times New Roman" w:hAnsi="Times New Roman"/>
          <w:noProof/>
          <w:color w:val="000000" w:themeColor="text1"/>
          <w:sz w:val="24"/>
        </w:rPr>
        <w:t xml:space="preserve">es irregulares (un incremento del 460 % con respecto a 2017), lo que sometió a una enorme presión las capacidades administrativas y de acogida del país. El marco jurídico se reforzó con la entrada en vigor de un importante paquete jurídico sobre migración </w:t>
      </w:r>
      <w:r>
        <w:rPr>
          <w:rFonts w:ascii="Times New Roman" w:hAnsi="Times New Roman"/>
          <w:noProof/>
          <w:color w:val="000000" w:themeColor="text1"/>
          <w:sz w:val="24"/>
        </w:rPr>
        <w:t>y asilo, y, además, se adoptaron algunas medidas para aumentar la capacidad de acogida y la capacidad operativa. Se han firmado importantes acuerdos de cooperación fronteriza con los países vecinos, y se ha rubricado el Acuerdo sobre el Estatuto de la Guar</w:t>
      </w:r>
      <w:r>
        <w:rPr>
          <w:rFonts w:ascii="Times New Roman" w:hAnsi="Times New Roman"/>
          <w:noProof/>
          <w:color w:val="000000" w:themeColor="text1"/>
          <w:sz w:val="24"/>
        </w:rPr>
        <w:t>dia Europea de Fronteras y Costas con la UE. De cara al próximo período de referencia, Montenegro debe reforzar en mayor medida su capacidad para afrontar los flujos migratorios mixtos y la cuestión de la integración de los refugiados, así como destinar má</w:t>
      </w:r>
      <w:r>
        <w:rPr>
          <w:rFonts w:ascii="Times New Roman" w:hAnsi="Times New Roman"/>
          <w:noProof/>
          <w:color w:val="000000" w:themeColor="text1"/>
          <w:sz w:val="24"/>
        </w:rPr>
        <w:t>s recursos humanos y materiales a la gestión de las fronteras y al sistema de registro de migrantes.</w:t>
      </w:r>
    </w:p>
    <w:p w:rsidR="00D96FAD" w:rsidRDefault="00E3669E">
      <w:pPr>
        <w:keepNext/>
        <w:spacing w:before="360" w:after="120" w:line="240" w:lineRule="auto"/>
        <w:jc w:val="both"/>
        <w:rPr>
          <w:rFonts w:ascii="Times New Roman" w:hAnsi="Times New Roman" w:cs="Times New Roman"/>
          <w:b/>
          <w:noProof/>
          <w:sz w:val="24"/>
          <w:szCs w:val="24"/>
        </w:rPr>
      </w:pPr>
      <w:r>
        <w:rPr>
          <w:rFonts w:ascii="Times New Roman" w:hAnsi="Times New Roman"/>
          <w:b/>
          <w:noProof/>
          <w:sz w:val="24"/>
        </w:rPr>
        <w:t>Serbia</w:t>
      </w:r>
    </w:p>
    <w:p w:rsidR="00D96FAD" w:rsidRDefault="00E3669E">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 xml:space="preserve">Por lo que se refiere a los </w:t>
      </w:r>
      <w:r>
        <w:rPr>
          <w:rFonts w:ascii="Times New Roman" w:hAnsi="Times New Roman"/>
          <w:b/>
          <w:noProof/>
          <w:color w:val="000000" w:themeColor="text1"/>
          <w:sz w:val="24"/>
        </w:rPr>
        <w:t>criterios políticos</w:t>
      </w:r>
      <w:r>
        <w:rPr>
          <w:rFonts w:ascii="Times New Roman" w:hAnsi="Times New Roman"/>
          <w:noProof/>
          <w:color w:val="000000" w:themeColor="text1"/>
          <w:sz w:val="24"/>
        </w:rPr>
        <w:t>, es urgente crear un entorno más propicio para que se dé un auténtico debate entre los diferentes pa</w:t>
      </w:r>
      <w:r>
        <w:rPr>
          <w:rFonts w:ascii="Times New Roman" w:hAnsi="Times New Roman"/>
          <w:noProof/>
          <w:color w:val="000000" w:themeColor="text1"/>
          <w:sz w:val="24"/>
        </w:rPr>
        <w:t>rtidos que permita forjar un amplio consenso proeuropeo, que es vital para que el país progrese en su trayectoria europea. Varios partidos de la oposición empezaron a boicotear el Parlamento a principios de 2019. Las prácticas parlamentarias de la coalició</w:t>
      </w:r>
      <w:r>
        <w:rPr>
          <w:rFonts w:ascii="Times New Roman" w:hAnsi="Times New Roman"/>
          <w:noProof/>
          <w:color w:val="000000" w:themeColor="text1"/>
          <w:sz w:val="24"/>
        </w:rPr>
        <w:t xml:space="preserve">n en el poder han provocado el deterioro del debate y el control legislativos y han minado la supervisión del poder ejecutivo por parte del Parlamento. </w:t>
      </w:r>
    </w:p>
    <w:p w:rsidR="00D96FAD" w:rsidRDefault="00E3669E">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En diciembre de 2018, en respuesta a la agresión que sufrió el dirigente de un partido de la oposición,</w:t>
      </w:r>
      <w:r>
        <w:rPr>
          <w:rFonts w:ascii="Times New Roman" w:hAnsi="Times New Roman"/>
          <w:noProof/>
          <w:color w:val="000000" w:themeColor="text1"/>
          <w:sz w:val="24"/>
        </w:rPr>
        <w:t xml:space="preserve"> empezaron a organizarse manifestaciones semanales contra el Gobierno en Belgrado. Las manifestaciones, generalmente pacíficas, en las que se piden la libertad de los medios de comunicación y unas elecciones libres y justas han ido aumentando con el tiempo</w:t>
      </w:r>
      <w:r>
        <w:rPr>
          <w:rFonts w:ascii="Times New Roman" w:hAnsi="Times New Roman"/>
          <w:noProof/>
          <w:color w:val="000000" w:themeColor="text1"/>
          <w:sz w:val="24"/>
        </w:rPr>
        <w:t>. Varios partidos de la oposición han anunciado su intención de boicotear las elecciones parlamentarias a menos que efectivamente se celebren unas elecciones libres y justas. Así pues, es preciso que Serbia aborde con carácter prioritario la totalidad de l</w:t>
      </w:r>
      <w:r>
        <w:rPr>
          <w:rFonts w:ascii="Times New Roman" w:hAnsi="Times New Roman"/>
          <w:noProof/>
          <w:color w:val="000000" w:themeColor="text1"/>
          <w:sz w:val="24"/>
        </w:rPr>
        <w:t xml:space="preserve">as recomendaciones relativas a las elecciones formuladas por los observadores internacionales. </w:t>
      </w:r>
    </w:p>
    <w:p w:rsidR="00D96FAD" w:rsidRDefault="00E3669E">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 xml:space="preserve">Serbia está moderadamente preparada en materia de reforma de la </w:t>
      </w:r>
      <w:r>
        <w:rPr>
          <w:rFonts w:ascii="Times New Roman" w:hAnsi="Times New Roman"/>
          <w:b/>
          <w:noProof/>
          <w:color w:val="000000" w:themeColor="text1"/>
          <w:sz w:val="24"/>
        </w:rPr>
        <w:t>Administración Pública</w:t>
      </w:r>
      <w:r>
        <w:rPr>
          <w:rFonts w:ascii="Times New Roman" w:hAnsi="Times New Roman"/>
          <w:noProof/>
          <w:color w:val="000000" w:themeColor="text1"/>
          <w:sz w:val="24"/>
        </w:rPr>
        <w:t>. Se han logrado algunos avances en el ámbito de la prestación de servicio</w:t>
      </w:r>
      <w:r>
        <w:rPr>
          <w:rFonts w:ascii="Times New Roman" w:hAnsi="Times New Roman"/>
          <w:noProof/>
          <w:color w:val="000000" w:themeColor="text1"/>
          <w:sz w:val="24"/>
        </w:rPr>
        <w:t>s y con la adopción de varias leyes nuevas. La injerencia política en el nombramiento de altos directivos sigue siendo un problema preocupante, sobre todo por lo que se refiere al número excesivo de cargos interinos. La capacidad de Serbia para atraer y re</w:t>
      </w:r>
      <w:r>
        <w:rPr>
          <w:rFonts w:ascii="Times New Roman" w:hAnsi="Times New Roman"/>
          <w:noProof/>
          <w:color w:val="000000" w:themeColor="text1"/>
          <w:sz w:val="24"/>
        </w:rPr>
        <w:t xml:space="preserve">tener a personal cualificado en las Administraciones que se ocupan de las cuestiones de la UE es crucial. Aún está pendiente el establecimiento de un sistema coordinado de seguimiento y notificación de la estrategia de reforma de la Administración Pública </w:t>
      </w:r>
      <w:r>
        <w:rPr>
          <w:rFonts w:ascii="Times New Roman" w:hAnsi="Times New Roman"/>
          <w:noProof/>
          <w:color w:val="000000" w:themeColor="text1"/>
          <w:sz w:val="24"/>
        </w:rPr>
        <w:t xml:space="preserve">y del programa de reforma de la gestión de las finanzas públicas. </w:t>
      </w:r>
    </w:p>
    <w:p w:rsidR="00D96FAD" w:rsidRDefault="00E3669E">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 xml:space="preserve">El </w:t>
      </w:r>
      <w:r>
        <w:rPr>
          <w:rFonts w:ascii="Times New Roman" w:hAnsi="Times New Roman"/>
          <w:b/>
          <w:noProof/>
          <w:color w:val="000000" w:themeColor="text1"/>
          <w:sz w:val="24"/>
        </w:rPr>
        <w:t>sistema judicial</w:t>
      </w:r>
      <w:r>
        <w:rPr>
          <w:rFonts w:ascii="Times New Roman" w:hAnsi="Times New Roman"/>
          <w:noProof/>
          <w:color w:val="000000" w:themeColor="text1"/>
          <w:sz w:val="24"/>
        </w:rPr>
        <w:t xml:space="preserve"> de Serbia tiene cierto grado de preparación. Se han hecho algunos avances durante el período de referencia. Las recomendaciones del año anterior solo se han abordado par</w:t>
      </w:r>
      <w:r>
        <w:rPr>
          <w:rFonts w:ascii="Times New Roman" w:hAnsi="Times New Roman"/>
          <w:noProof/>
          <w:color w:val="000000" w:themeColor="text1"/>
          <w:sz w:val="24"/>
        </w:rPr>
        <w:t>cialmente. Se han realizado algunos progresos en cuanto a la reducción del número de asuntos de ejecución antiguos y el seguimiento de las medidas destinadas a armonizar la práctica judicial. Está en curso el proceso de reforma constitucional, cuyo objetiv</w:t>
      </w:r>
      <w:r>
        <w:rPr>
          <w:rFonts w:ascii="Times New Roman" w:hAnsi="Times New Roman"/>
          <w:noProof/>
          <w:color w:val="000000" w:themeColor="text1"/>
          <w:sz w:val="24"/>
        </w:rPr>
        <w:t>o es adaptar la Constitución a las normas europeas para el poder judicial. Además de la adopción de las reformas constitucionales, es necesario revisar el sistema de nombramiento y evaluación de jueces y fiscales con miras a garantizar que la selección y l</w:t>
      </w:r>
      <w:r>
        <w:rPr>
          <w:rFonts w:ascii="Times New Roman" w:hAnsi="Times New Roman"/>
          <w:noProof/>
          <w:color w:val="000000" w:themeColor="text1"/>
          <w:sz w:val="24"/>
        </w:rPr>
        <w:t>a carrera profesional en el ámbito judicial se basen únicamente en los méritos. En la actualidad, el alcance de la influencia política sigue siendo motivo de preocupación.</w:t>
      </w:r>
    </w:p>
    <w:p w:rsidR="00D96FAD" w:rsidRDefault="00E3669E">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 xml:space="preserve">Serbia tiene un cierto nivel de preparación en el ámbito de la </w:t>
      </w:r>
      <w:r>
        <w:rPr>
          <w:rFonts w:ascii="Times New Roman" w:hAnsi="Times New Roman"/>
          <w:b/>
          <w:noProof/>
          <w:color w:val="000000" w:themeColor="text1"/>
          <w:sz w:val="24"/>
        </w:rPr>
        <w:t>lucha contra la corru</w:t>
      </w:r>
      <w:r>
        <w:rPr>
          <w:rFonts w:ascii="Times New Roman" w:hAnsi="Times New Roman"/>
          <w:b/>
          <w:noProof/>
          <w:color w:val="000000" w:themeColor="text1"/>
          <w:sz w:val="24"/>
        </w:rPr>
        <w:t>pción</w:t>
      </w:r>
      <w:r>
        <w:rPr>
          <w:rFonts w:ascii="Times New Roman" w:hAnsi="Times New Roman"/>
          <w:noProof/>
          <w:color w:val="000000" w:themeColor="text1"/>
          <w:sz w:val="24"/>
        </w:rPr>
        <w:t>. Los progresos han sido escasos. No hay ninguna repercusión medible de las reformas destinadas a prevenir la corrupción. La revisión de la Ley Anticorrupción (también conocida como «Ley sobre la Agencia Anticorrupción») se ha adoptado en mayo de 2019</w:t>
      </w:r>
      <w:r>
        <w:rPr>
          <w:rFonts w:ascii="Times New Roman" w:hAnsi="Times New Roman"/>
          <w:noProof/>
          <w:color w:val="000000" w:themeColor="text1"/>
          <w:sz w:val="24"/>
        </w:rPr>
        <w:t>. Respecto de la represión de la corrupción, ya se está aplicando la Ley sobre la Organización y las Competencias del Ejecutivo en la Represión de la Delincuencia Organizada, el Terrorismo y la Corrupción, que entró en vigor en marzo de 2018, pero aún es d</w:t>
      </w:r>
      <w:r>
        <w:rPr>
          <w:rFonts w:ascii="Times New Roman" w:hAnsi="Times New Roman"/>
          <w:noProof/>
          <w:color w:val="000000" w:themeColor="text1"/>
          <w:sz w:val="24"/>
        </w:rPr>
        <w:t>emasiado pronto para evaluar plenamente su repercusión. Las autoridades policiales y judiciales todavía tienen que demostrar que son realmente capaces de llevar a cabo enjuiciamientos independientes en el plano operativo y sentenciar casos de corrupción de</w:t>
      </w:r>
      <w:r>
        <w:rPr>
          <w:rFonts w:ascii="Times New Roman" w:hAnsi="Times New Roman"/>
          <w:noProof/>
          <w:color w:val="000000" w:themeColor="text1"/>
          <w:sz w:val="24"/>
        </w:rPr>
        <w:t xml:space="preserve"> alto nivel. En general, la corrupción predomina en muchos ámbitos y sigue siendo un motivo de preocupación. </w:t>
      </w:r>
    </w:p>
    <w:p w:rsidR="00D96FAD" w:rsidRDefault="00E3669E">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 xml:space="preserve">Serbia tiene cierto grado de preparación en el ámbito de la </w:t>
      </w:r>
      <w:r>
        <w:rPr>
          <w:rFonts w:ascii="Times New Roman" w:hAnsi="Times New Roman"/>
          <w:b/>
          <w:noProof/>
          <w:color w:val="000000" w:themeColor="text1"/>
          <w:sz w:val="24"/>
        </w:rPr>
        <w:t>lucha contra la delincuencia organizada</w:t>
      </w:r>
      <w:r>
        <w:rPr>
          <w:rFonts w:ascii="Times New Roman" w:hAnsi="Times New Roman"/>
          <w:noProof/>
          <w:color w:val="000000" w:themeColor="text1"/>
          <w:sz w:val="24"/>
        </w:rPr>
        <w:t>. Se han hecho algunos progresos durante el per</w:t>
      </w:r>
      <w:r>
        <w:rPr>
          <w:rFonts w:ascii="Times New Roman" w:hAnsi="Times New Roman"/>
          <w:noProof/>
          <w:color w:val="000000" w:themeColor="text1"/>
          <w:sz w:val="24"/>
        </w:rPr>
        <w:t>íodo de referencia. Serbia ha comenzado a aplicar el nuevo capítulo económico del Código Penal y la Ley sobre la Organización y las Competencias de las Autoridades Estatales en la Lucha contra la Delincuencia Organizada, el Terrorismo y la Corrupción, y ha</w:t>
      </w:r>
      <w:r>
        <w:rPr>
          <w:rFonts w:ascii="Times New Roman" w:hAnsi="Times New Roman"/>
          <w:noProof/>
          <w:color w:val="000000" w:themeColor="text1"/>
          <w:sz w:val="24"/>
        </w:rPr>
        <w:t xml:space="preserve"> adoptado una estrategia en materia de ciberdelincuencia para el período 2019-2023. Sin embargo, no se ha avanzado en el cumplimiento de las recomendaciones del informe anterior. Serbia todavía tiene que constituir un historial convincente de investigacion</w:t>
      </w:r>
      <w:r>
        <w:rPr>
          <w:rFonts w:ascii="Times New Roman" w:hAnsi="Times New Roman"/>
          <w:noProof/>
          <w:color w:val="000000" w:themeColor="text1"/>
          <w:sz w:val="24"/>
        </w:rPr>
        <w:t>es eficaces, enjuiciamientos y condenas firmes en casos de delincuencia organizada, y, en particular, investigaciones financieras que lleven a la constitución de un historial de inmovilización y decomiso de activos de origen delictivo. El número de condena</w:t>
      </w:r>
      <w:r>
        <w:rPr>
          <w:rFonts w:ascii="Times New Roman" w:hAnsi="Times New Roman"/>
          <w:noProof/>
          <w:color w:val="000000" w:themeColor="text1"/>
          <w:sz w:val="24"/>
        </w:rPr>
        <w:t xml:space="preserve">s por delincuencia organizada (especialmente en el ámbito de la lucha contra la trata de seres humanos) sigue siendo bajo. </w:t>
      </w:r>
    </w:p>
    <w:p w:rsidR="00D96FAD" w:rsidRDefault="00E3669E">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 xml:space="preserve">El marco legislativo e institucional para la defensa de los </w:t>
      </w:r>
      <w:r>
        <w:rPr>
          <w:rFonts w:ascii="Times New Roman" w:hAnsi="Times New Roman"/>
          <w:b/>
          <w:noProof/>
          <w:color w:val="000000" w:themeColor="text1"/>
          <w:sz w:val="24"/>
        </w:rPr>
        <w:t>derechos fundamentales</w:t>
      </w:r>
      <w:r>
        <w:rPr>
          <w:rFonts w:ascii="Times New Roman" w:hAnsi="Times New Roman"/>
          <w:noProof/>
          <w:color w:val="000000" w:themeColor="text1"/>
          <w:sz w:val="24"/>
        </w:rPr>
        <w:t xml:space="preserve"> está en gran medida establecido. Se han adoptado </w:t>
      </w:r>
      <w:r>
        <w:rPr>
          <w:rFonts w:ascii="Times New Roman" w:hAnsi="Times New Roman"/>
          <w:noProof/>
          <w:color w:val="000000" w:themeColor="text1"/>
          <w:sz w:val="24"/>
        </w:rPr>
        <w:t>modificaciones destinadas a mejorar el marco legislativo en relación con las minorías nacionales. Es preciso garantizar la aplicación coherente y eficiente de la legislación y las políticas. Aunque Serbia ya tiene un cierto nivel de preparación en lo refer</w:t>
      </w:r>
      <w:r>
        <w:rPr>
          <w:rFonts w:ascii="Times New Roman" w:hAnsi="Times New Roman"/>
          <w:noProof/>
          <w:color w:val="000000" w:themeColor="text1"/>
          <w:sz w:val="24"/>
        </w:rPr>
        <w:t xml:space="preserve">ente a la </w:t>
      </w:r>
      <w:r>
        <w:rPr>
          <w:rFonts w:ascii="Times New Roman" w:hAnsi="Times New Roman"/>
          <w:b/>
          <w:noProof/>
          <w:color w:val="000000" w:themeColor="text1"/>
          <w:sz w:val="24"/>
        </w:rPr>
        <w:t>libertad de expresión</w:t>
      </w:r>
      <w:r>
        <w:rPr>
          <w:rFonts w:ascii="Times New Roman" w:hAnsi="Times New Roman"/>
          <w:noProof/>
          <w:color w:val="000000" w:themeColor="text1"/>
          <w:sz w:val="24"/>
        </w:rPr>
        <w:t>, no se ha registrado ningún avance en este ámbito.</w:t>
      </w:r>
      <w:r>
        <w:rPr>
          <w:rFonts w:ascii="Times New Roman" w:hAnsi="Times New Roman"/>
          <w:b/>
          <w:noProof/>
          <w:color w:val="000000" w:themeColor="text1"/>
          <w:sz w:val="24"/>
        </w:rPr>
        <w:t xml:space="preserve"> </w:t>
      </w:r>
      <w:r>
        <w:rPr>
          <w:rFonts w:ascii="Times New Roman" w:hAnsi="Times New Roman"/>
          <w:noProof/>
          <w:color w:val="000000" w:themeColor="text1"/>
          <w:sz w:val="24"/>
        </w:rPr>
        <w:t>Esa falta de progresos se ha convertido en una cuestión muy preocupante. Hay una nueva estrategia para los medios de comunicación que se preparó de manera transparente e inc</w:t>
      </w:r>
      <w:r>
        <w:rPr>
          <w:rFonts w:ascii="Times New Roman" w:hAnsi="Times New Roman"/>
          <w:noProof/>
          <w:color w:val="000000" w:themeColor="text1"/>
          <w:sz w:val="24"/>
        </w:rPr>
        <w:t>lusiva, si bien aún debe adoptarse y aplicarse. Serbia ha de introducir medidas más firmes para proteger los derechos de las personas que sufren discriminación, en particular las personas LGBTI, las personas con discapacidades, aquellas con VIH/SIDA y otra</w:t>
      </w:r>
      <w:r>
        <w:rPr>
          <w:rFonts w:ascii="Times New Roman" w:hAnsi="Times New Roman"/>
          <w:noProof/>
          <w:color w:val="000000" w:themeColor="text1"/>
          <w:sz w:val="24"/>
        </w:rPr>
        <w:t xml:space="preserve">s personas vulnerables. </w:t>
      </w:r>
    </w:p>
    <w:p w:rsidR="00D96FAD" w:rsidRDefault="00E3669E">
      <w:pPr>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 xml:space="preserve">Por lo que se refiere a los </w:t>
      </w:r>
      <w:r>
        <w:rPr>
          <w:rFonts w:ascii="Times New Roman" w:hAnsi="Times New Roman"/>
          <w:b/>
          <w:noProof/>
          <w:color w:val="000000" w:themeColor="text1"/>
          <w:sz w:val="24"/>
        </w:rPr>
        <w:t>criterios económicos</w:t>
      </w:r>
      <w:r>
        <w:rPr>
          <w:rFonts w:ascii="Times New Roman" w:hAnsi="Times New Roman"/>
          <w:noProof/>
          <w:color w:val="000000" w:themeColor="text1"/>
          <w:sz w:val="24"/>
        </w:rPr>
        <w:t>, Serbia ha hecho algunos avances y está moderadamente preparada en cuanto al desarrollo de una economía de mercado viable. Los desequilibrios externos se están acentuando, pero la fi</w:t>
      </w:r>
      <w:r>
        <w:rPr>
          <w:rFonts w:ascii="Times New Roman" w:hAnsi="Times New Roman"/>
          <w:noProof/>
          <w:color w:val="000000" w:themeColor="text1"/>
          <w:sz w:val="24"/>
        </w:rPr>
        <w:t xml:space="preserve">nanciación se ha mantenido en buena forma. Las presiones sobre los precios se han mantenido moderadas y la inflación se ha contenido. Los importantes ajustes presupuestarios de años anteriores han mejorado significativamente la sostenibilidad de la deuda. </w:t>
      </w:r>
      <w:r>
        <w:rPr>
          <w:rFonts w:ascii="Times New Roman" w:hAnsi="Times New Roman"/>
          <w:noProof/>
          <w:color w:val="000000" w:themeColor="text1"/>
          <w:sz w:val="24"/>
        </w:rPr>
        <w:t>La estabilidad del sector financiero se ha preservado, y el mercado de trabajo ha ofrecido mejores resultados, a excepción de la tasa de actividad de los jóvenes, que ha decaído. Las grandes reformas estructurales de la Administración Pública, la Administr</w:t>
      </w:r>
      <w:r>
        <w:rPr>
          <w:rFonts w:ascii="Times New Roman" w:hAnsi="Times New Roman"/>
          <w:noProof/>
          <w:color w:val="000000" w:themeColor="text1"/>
          <w:sz w:val="24"/>
        </w:rPr>
        <w:t>ación tributaria y las empresas de propiedad estatal han avanzado a un ritmo lento, con la consiguiente prolongación de la ineficiencia arrastrada del pasado. Las autoridades están abordando con lentitud las deficiencias en el marco presupuestario y su gob</w:t>
      </w:r>
      <w:r>
        <w:rPr>
          <w:rFonts w:ascii="Times New Roman" w:hAnsi="Times New Roman"/>
          <w:noProof/>
          <w:color w:val="000000" w:themeColor="text1"/>
          <w:sz w:val="24"/>
        </w:rPr>
        <w:t>ernanza. El Estado sigue teniendo una fuerte presencia en la economía, y el sector privado está poco desarrollado y padece las deficiencias en el Estado de Derecho y en el respeto de una competencia leal.</w:t>
      </w:r>
    </w:p>
    <w:p w:rsidR="00D96FAD" w:rsidRDefault="00E3669E">
      <w:pPr>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Serbia ha hecho algunos progresos y está moderadame</w:t>
      </w:r>
      <w:r>
        <w:rPr>
          <w:rFonts w:ascii="Times New Roman" w:hAnsi="Times New Roman"/>
          <w:noProof/>
          <w:color w:val="000000" w:themeColor="text1"/>
          <w:sz w:val="24"/>
        </w:rPr>
        <w:t xml:space="preserve">nte preparada para hacer frente a la presión competitiva y las fuerzas del mercado en la Unión. La estructura de la economía ha seguido mejorando, y se ha mantenido un alto grado de integración económica con la UE. Sin embargo, a pesar de algunos avances, </w:t>
      </w:r>
      <w:r>
        <w:rPr>
          <w:rFonts w:ascii="Times New Roman" w:hAnsi="Times New Roman"/>
          <w:noProof/>
          <w:color w:val="000000" w:themeColor="text1"/>
          <w:sz w:val="24"/>
        </w:rPr>
        <w:t>la calidad, la equidad y la pertinencia de la educación y la formación no satisfacen plenamente las necesidades del mercado de trabajo. La inversión ha aumentado, pero, tras años de déficit de inversión, aún es insuficiente para suplir las carencias de inf</w:t>
      </w:r>
      <w:r>
        <w:rPr>
          <w:rFonts w:ascii="Times New Roman" w:hAnsi="Times New Roman"/>
          <w:noProof/>
          <w:color w:val="000000" w:themeColor="text1"/>
          <w:sz w:val="24"/>
        </w:rPr>
        <w:t>raestructura. Si bien el coste del endeudamiento para las pequeñas y medianas empresas ha disminuido recientemente, estas empresas todavía se enfrentan a varios retos, en particular, la volatilidad del entorno empresarial y una competencia desleal.</w:t>
      </w:r>
    </w:p>
    <w:p w:rsidR="00D96FAD" w:rsidRDefault="00E3669E">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Con car</w:t>
      </w:r>
      <w:r>
        <w:rPr>
          <w:rFonts w:ascii="Times New Roman" w:hAnsi="Times New Roman"/>
          <w:noProof/>
          <w:color w:val="000000" w:themeColor="text1"/>
          <w:sz w:val="24"/>
        </w:rPr>
        <w:t xml:space="preserve">ácter general, Serbia ha mantenido su compromiso en lo que respecta a las relaciones bilaterales con otros países candidatos y los Estados miembros de la UE de su vecindad, y sigue participando activamente en la </w:t>
      </w:r>
      <w:r>
        <w:rPr>
          <w:rFonts w:ascii="Times New Roman" w:hAnsi="Times New Roman"/>
          <w:b/>
          <w:noProof/>
          <w:color w:val="000000" w:themeColor="text1"/>
          <w:sz w:val="24"/>
        </w:rPr>
        <w:t>cooperación regional</w:t>
      </w:r>
      <w:r>
        <w:rPr>
          <w:rFonts w:ascii="Times New Roman" w:hAnsi="Times New Roman"/>
          <w:noProof/>
          <w:color w:val="000000" w:themeColor="text1"/>
          <w:sz w:val="24"/>
        </w:rPr>
        <w:t>. En cuanto a la concesi</w:t>
      </w:r>
      <w:r>
        <w:rPr>
          <w:rFonts w:ascii="Times New Roman" w:hAnsi="Times New Roman"/>
          <w:noProof/>
          <w:color w:val="000000" w:themeColor="text1"/>
          <w:sz w:val="24"/>
        </w:rPr>
        <w:t xml:space="preserve">ón de la sede de la Secretaría del Tratado de la Comunidad del Transporte, Serbia debe ahora redoblar sus esfuerzos a fin de garantizar que reúne las condiciones para asumir las actividades rápidamente. </w:t>
      </w:r>
    </w:p>
    <w:p w:rsidR="00D96FAD" w:rsidRDefault="00E3669E">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 xml:space="preserve">Por lo que respecta a la </w:t>
      </w:r>
      <w:r>
        <w:rPr>
          <w:rFonts w:ascii="Times New Roman" w:hAnsi="Times New Roman"/>
          <w:b/>
          <w:noProof/>
          <w:color w:val="000000" w:themeColor="text1"/>
          <w:sz w:val="24"/>
        </w:rPr>
        <w:t>normalización de las relaci</w:t>
      </w:r>
      <w:r>
        <w:rPr>
          <w:rFonts w:ascii="Times New Roman" w:hAnsi="Times New Roman"/>
          <w:b/>
          <w:noProof/>
          <w:color w:val="000000" w:themeColor="text1"/>
          <w:sz w:val="24"/>
        </w:rPr>
        <w:t>ones con Kosovo</w:t>
      </w:r>
      <w:r>
        <w:rPr>
          <w:rFonts w:ascii="Times New Roman" w:hAnsi="Times New Roman"/>
          <w:noProof/>
          <w:color w:val="000000" w:themeColor="text1"/>
          <w:sz w:val="24"/>
        </w:rPr>
        <w:t>, Serbia ha seguido participando en el diálogo y se ha mostrado comedida en su respuesta a la introducción de los aranceles. No obstante, Serbia ha de hacer esfuerzos sustanciales, en particular, en lo referente a sus relaciones internaciona</w:t>
      </w:r>
      <w:r>
        <w:rPr>
          <w:rFonts w:ascii="Times New Roman" w:hAnsi="Times New Roman"/>
          <w:noProof/>
          <w:color w:val="000000" w:themeColor="text1"/>
          <w:sz w:val="24"/>
        </w:rPr>
        <w:t>les, con miras a crear un entorno propicio para la celebración de un acuerdo jurídicamente vinculante con Kosovo. Es urgente y crucial que se celebre tal acuerdo para que Serbia y Kosovo puedan avanzar en sus respectivas trayectorias hacia la adhesión a la</w:t>
      </w:r>
      <w:r>
        <w:rPr>
          <w:rFonts w:ascii="Times New Roman" w:hAnsi="Times New Roman"/>
          <w:noProof/>
          <w:color w:val="000000" w:themeColor="text1"/>
          <w:sz w:val="24"/>
        </w:rPr>
        <w:t xml:space="preserve"> UE.</w:t>
      </w:r>
    </w:p>
    <w:p w:rsidR="00D96FAD" w:rsidRDefault="00E3669E">
      <w:pPr>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 xml:space="preserve">Por lo que se refiere a su </w:t>
      </w:r>
      <w:r>
        <w:rPr>
          <w:rFonts w:ascii="Times New Roman" w:hAnsi="Times New Roman"/>
          <w:b/>
          <w:noProof/>
          <w:color w:val="000000" w:themeColor="text1"/>
          <w:sz w:val="24"/>
        </w:rPr>
        <w:t>capacidad para asumir las obligaciones de la adhesión</w:t>
      </w:r>
      <w:r>
        <w:rPr>
          <w:rFonts w:ascii="Times New Roman" w:hAnsi="Times New Roman"/>
          <w:noProof/>
          <w:color w:val="000000" w:themeColor="text1"/>
          <w:sz w:val="24"/>
        </w:rPr>
        <w:t xml:space="preserve">, Serbia ha continuado trabajando en la adaptación de su legislación al acervo de la UE en todos los ámbitos. Unos recursos financieros y humanos adecuados y unos sólidos </w:t>
      </w:r>
      <w:r>
        <w:rPr>
          <w:rFonts w:ascii="Times New Roman" w:hAnsi="Times New Roman"/>
          <w:noProof/>
          <w:color w:val="000000" w:themeColor="text1"/>
          <w:sz w:val="24"/>
        </w:rPr>
        <w:t>marcos estratégicos serán cruciales para el ritmo de las reformas. Serbia tiene un buen nivel de preparación en determinados ámbitos, como el Derecho de sociedades, la propiedad intelectual, la política de transporte, la ciencia y la investigación, la educ</w:t>
      </w:r>
      <w:r>
        <w:rPr>
          <w:rFonts w:ascii="Times New Roman" w:hAnsi="Times New Roman"/>
          <w:noProof/>
          <w:color w:val="000000" w:themeColor="text1"/>
          <w:sz w:val="24"/>
        </w:rPr>
        <w:t>ación y la cultura, y las aduanas. Serbia ha mejorado la vinculación entre sus planes de inversión y la ejecución presupuestaria, pero aún tiene que poner en marcha un mecanismo único que permita determinar el grado de prioridad de todas las inversiones co</w:t>
      </w:r>
      <w:r>
        <w:rPr>
          <w:rFonts w:ascii="Times New Roman" w:hAnsi="Times New Roman"/>
          <w:noProof/>
          <w:color w:val="000000" w:themeColor="text1"/>
          <w:sz w:val="24"/>
        </w:rPr>
        <w:t>n independencia de la fuente de financiación, de conformidad con el programa gubernamental de reforma de la gestión de las finanzas públicas. Serbia está moderadamente preparada en ámbitos como la contratación pública, las estadísticas, las relaciones exte</w:t>
      </w:r>
      <w:r>
        <w:rPr>
          <w:rFonts w:ascii="Times New Roman" w:hAnsi="Times New Roman"/>
          <w:noProof/>
          <w:color w:val="000000" w:themeColor="text1"/>
          <w:sz w:val="24"/>
        </w:rPr>
        <w:t>riores, la política social y el empleo, la política monetaria y los servicios financieros. Serbia ha seguido avanzando a buen ritmo en el ámbito de la agricultura y en lo que respecta a la adaptación al acervo de la UE en materia de transporte, mientras qu</w:t>
      </w:r>
      <w:r>
        <w:rPr>
          <w:rFonts w:ascii="Times New Roman" w:hAnsi="Times New Roman"/>
          <w:noProof/>
          <w:color w:val="000000" w:themeColor="text1"/>
          <w:sz w:val="24"/>
        </w:rPr>
        <w:t xml:space="preserve">e en el ámbito de la energía los progresos han sido escasos. Aún no se ha prestado suficiente atención a los ámbitos del medio ambiente y el cambio climático. </w:t>
      </w:r>
    </w:p>
    <w:p w:rsidR="00D96FAD" w:rsidRDefault="00E3669E">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Serbia debe abordar, con carácter prioritario, los puntos de incumplimiento del AEA, en particul</w:t>
      </w:r>
      <w:r>
        <w:rPr>
          <w:rFonts w:ascii="Times New Roman" w:hAnsi="Times New Roman"/>
          <w:noProof/>
          <w:color w:val="000000" w:themeColor="text1"/>
          <w:sz w:val="24"/>
        </w:rPr>
        <w:t>ar, en relación con el control de las ayudas estatales, la discriminación fiscal de las bebidas espirituosas importadas y la restricción de la competencia en el sistema de pago mediante tarjeta. Serbia ha de ir adaptando progresivamente su política exterio</w:t>
      </w:r>
      <w:r>
        <w:rPr>
          <w:rFonts w:ascii="Times New Roman" w:hAnsi="Times New Roman"/>
          <w:noProof/>
          <w:color w:val="000000" w:themeColor="text1"/>
          <w:sz w:val="24"/>
        </w:rPr>
        <w:t xml:space="preserve">r y de seguridad a la política exterior y de seguridad común de la Unión Europea en el período previo a la adhesión. </w:t>
      </w:r>
    </w:p>
    <w:p w:rsidR="00D96FAD" w:rsidRDefault="00E3669E">
      <w:pPr>
        <w:autoSpaceDE w:val="0"/>
        <w:autoSpaceDN w:val="0"/>
        <w:adjustRightInd w:val="0"/>
        <w:spacing w:after="120" w:line="240" w:lineRule="auto"/>
        <w:jc w:val="both"/>
        <w:rPr>
          <w:rFonts w:ascii="Times New Roman" w:eastAsia="Calibri" w:hAnsi="Times New Roman" w:cs="Times New Roman"/>
          <w:noProof/>
          <w:color w:val="000000" w:themeColor="text1"/>
          <w:sz w:val="24"/>
          <w:szCs w:val="24"/>
        </w:rPr>
      </w:pPr>
      <w:r>
        <w:rPr>
          <w:rFonts w:ascii="Times New Roman" w:hAnsi="Times New Roman"/>
          <w:noProof/>
          <w:color w:val="000000" w:themeColor="text1"/>
          <w:sz w:val="24"/>
        </w:rPr>
        <w:t xml:space="preserve">Serbia ha seguido gestionando los efectos de los </w:t>
      </w:r>
      <w:r>
        <w:rPr>
          <w:rFonts w:ascii="Times New Roman" w:hAnsi="Times New Roman"/>
          <w:b/>
          <w:noProof/>
          <w:color w:val="000000" w:themeColor="text1"/>
          <w:sz w:val="24"/>
        </w:rPr>
        <w:t>flujos migratorios mixtos</w:t>
      </w:r>
      <w:r>
        <w:rPr>
          <w:rFonts w:ascii="Times New Roman" w:hAnsi="Times New Roman"/>
          <w:noProof/>
          <w:color w:val="000000" w:themeColor="text1"/>
          <w:sz w:val="24"/>
        </w:rPr>
        <w:t xml:space="preserve"> hacia la UE, que se han estabilizado a lo largo de 2018. Ha hecho algunos progresos en la aplicación de la estrategia de gestión integrada de las fronteras. Se ha rubricado el Acuerdo sobre el Estatuto de la Guardia Europea de Fronteras y Costas con la UE</w:t>
      </w:r>
      <w:r>
        <w:rPr>
          <w:rFonts w:ascii="Times New Roman" w:hAnsi="Times New Roman"/>
          <w:noProof/>
          <w:color w:val="000000" w:themeColor="text1"/>
          <w:sz w:val="24"/>
        </w:rPr>
        <w:t>. Ya se han adoptado la estrategia y el plan de acción de lucha contra la migración irregular. Serbia debe respetar la obligación de readmisión de nacionales de terceros países en virtud del Acuerdo sobre readmisión UE-Serbia. Además, es preciso que Serbia</w:t>
      </w:r>
      <w:r>
        <w:rPr>
          <w:rFonts w:ascii="Times New Roman" w:hAnsi="Times New Roman"/>
          <w:noProof/>
          <w:color w:val="000000" w:themeColor="text1"/>
          <w:sz w:val="24"/>
        </w:rPr>
        <w:t xml:space="preserve"> deje de apartarse de la política de visados de la UE.</w:t>
      </w:r>
    </w:p>
    <w:p w:rsidR="00D96FAD" w:rsidRDefault="00E3669E">
      <w:pPr>
        <w:keepNext/>
        <w:spacing w:before="360" w:after="120" w:line="240" w:lineRule="auto"/>
        <w:jc w:val="both"/>
        <w:rPr>
          <w:rFonts w:ascii="Times New Roman" w:hAnsi="Times New Roman" w:cs="Times New Roman"/>
          <w:b/>
          <w:noProof/>
          <w:sz w:val="24"/>
          <w:szCs w:val="24"/>
        </w:rPr>
      </w:pPr>
      <w:r>
        <w:rPr>
          <w:rFonts w:ascii="Times New Roman" w:hAnsi="Times New Roman"/>
          <w:b/>
          <w:noProof/>
          <w:sz w:val="24"/>
        </w:rPr>
        <w:t>Macedonia del Norte</w:t>
      </w:r>
    </w:p>
    <w:p w:rsidR="00D96FAD" w:rsidRDefault="00E3669E">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Con respecto a los </w:t>
      </w:r>
      <w:r>
        <w:rPr>
          <w:rFonts w:ascii="Times New Roman" w:hAnsi="Times New Roman"/>
          <w:b/>
          <w:noProof/>
          <w:sz w:val="24"/>
        </w:rPr>
        <w:t>criterios políticos</w:t>
      </w:r>
      <w:r>
        <w:rPr>
          <w:rFonts w:ascii="Times New Roman" w:hAnsi="Times New Roman"/>
          <w:noProof/>
          <w:sz w:val="24"/>
        </w:rPr>
        <w:t xml:space="preserve">, Macedonia del Norte ha mantenido un ritmo constante de aplicación de las reformas de la UE a lo largo del período de referencia. El Gobierno </w:t>
      </w:r>
      <w:r>
        <w:rPr>
          <w:rFonts w:ascii="Times New Roman" w:hAnsi="Times New Roman"/>
          <w:noProof/>
          <w:sz w:val="24"/>
        </w:rPr>
        <w:t>ha tomado medidas para restaurar el sistema de contrapoderes institucionales y reforzar la democracia y el Estado de Derecho. El país ha seguido experimentando cambios fundamentales con un clima político inclusivo y abierto. El país ha seguido logrando res</w:t>
      </w:r>
      <w:r>
        <w:rPr>
          <w:rFonts w:ascii="Times New Roman" w:hAnsi="Times New Roman"/>
          <w:noProof/>
          <w:sz w:val="24"/>
        </w:rPr>
        <w:t>ultados tangibles en ámbitos clave recogidos en las Conclusiones del Consejo, como el poder judicial, la lucha contra la corrupción y la delincuencia organizada, la reforma de los servicios de inteligencia y la Administración Pública. La cultura de comprom</w:t>
      </w:r>
      <w:r>
        <w:rPr>
          <w:rFonts w:ascii="Times New Roman" w:hAnsi="Times New Roman"/>
          <w:noProof/>
          <w:sz w:val="24"/>
        </w:rPr>
        <w:t xml:space="preserve">iso en el panorama político ha mejorado gracias a los esfuerzos del Gobierno por llegar a todas las partes interesadas, incluidas la oposición y la sociedad civil, de una manera integradora y transparente. Tras la firma del histórico acuerdo alcanzado con </w:t>
      </w:r>
      <w:r>
        <w:rPr>
          <w:rFonts w:ascii="Times New Roman" w:hAnsi="Times New Roman"/>
          <w:noProof/>
          <w:sz w:val="24"/>
        </w:rPr>
        <w:t xml:space="preserve">Grecia en junio de 2018 (también conocido como el «Acuerdo de Prespa»), se organizó un referéndum consultivo en septiembre de 2018 a través del cual una mayoría abrumadora de los votantes apoyó la adhesión a la UE y a la OTAN al aceptar dicho acuerdo. Las </w:t>
      </w:r>
      <w:r>
        <w:rPr>
          <w:rFonts w:ascii="Times New Roman" w:hAnsi="Times New Roman"/>
          <w:noProof/>
          <w:sz w:val="24"/>
        </w:rPr>
        <w:t>elecciones presidenciales estuvieron bien organizadas, y se respetaron las libertades fundamentales, de modo que los ciudadanos pudieron elegir los candidatos con conocimiento de causa. El Parlamento ha mejorado su funcionamiento como foro para el mantenim</w:t>
      </w:r>
      <w:r>
        <w:rPr>
          <w:rFonts w:ascii="Times New Roman" w:hAnsi="Times New Roman"/>
          <w:noProof/>
          <w:sz w:val="24"/>
        </w:rPr>
        <w:t xml:space="preserve">iento de un diálogo político constructivo y ha reforzado sus funciones legislativa y de supervisión, en particular, limitando el recurso a procedimientos acelerados. </w:t>
      </w:r>
    </w:p>
    <w:p w:rsidR="00D96FAD" w:rsidRDefault="00E3669E">
      <w:pPr>
        <w:spacing w:after="120" w:line="240" w:lineRule="auto"/>
        <w:jc w:val="both"/>
        <w:rPr>
          <w:rFonts w:ascii="Times New Roman" w:hAnsi="Times New Roman" w:cs="Times New Roman"/>
          <w:noProof/>
          <w:sz w:val="24"/>
          <w:szCs w:val="24"/>
        </w:rPr>
      </w:pPr>
      <w:r>
        <w:rPr>
          <w:rFonts w:ascii="Times New Roman" w:hAnsi="Times New Roman"/>
          <w:noProof/>
          <w:sz w:val="24"/>
        </w:rPr>
        <w:t>La situación interétnica se ha mantenido en general tranquila, a pesar de algunas tension</w:t>
      </w:r>
      <w:r>
        <w:rPr>
          <w:rFonts w:ascii="Times New Roman" w:hAnsi="Times New Roman"/>
          <w:noProof/>
          <w:sz w:val="24"/>
        </w:rPr>
        <w:t>es ocasionales. El Gobierno ha proseguido su compromiso de aumentar la confianza entre las comunidades. El Acuerdo Marco de Ohrid, que puso fin al conflicto de 2001 y proporciona el marco para preservar el carácter multiétnico de la sociedad, se menciona e</w:t>
      </w:r>
      <w:r>
        <w:rPr>
          <w:rFonts w:ascii="Times New Roman" w:hAnsi="Times New Roman"/>
          <w:noProof/>
          <w:sz w:val="24"/>
        </w:rPr>
        <w:t xml:space="preserve">n el preámbulo de la Constitución y se sigue aplicando. </w:t>
      </w:r>
    </w:p>
    <w:p w:rsidR="00D96FAD" w:rsidRDefault="00E3669E">
      <w:pPr>
        <w:spacing w:after="120" w:line="240" w:lineRule="auto"/>
        <w:jc w:val="both"/>
        <w:rPr>
          <w:rFonts w:ascii="Times New Roman" w:hAnsi="Times New Roman" w:cs="Times New Roman"/>
          <w:noProof/>
          <w:sz w:val="24"/>
          <w:szCs w:val="24"/>
        </w:rPr>
      </w:pPr>
      <w:r>
        <w:rPr>
          <w:rFonts w:ascii="Times New Roman" w:hAnsi="Times New Roman"/>
          <w:noProof/>
          <w:sz w:val="24"/>
        </w:rPr>
        <w:t>El clima en el que ejercen su actividad las organizaciones de la sociedad civil ha seguido mejorando. La sociedad civil ha continuado desempeñando un papel constructivo a la hora de apoyar los proces</w:t>
      </w:r>
      <w:r>
        <w:rPr>
          <w:rFonts w:ascii="Times New Roman" w:hAnsi="Times New Roman"/>
          <w:noProof/>
          <w:sz w:val="24"/>
        </w:rPr>
        <w:t>os democráticos. Se han adoptado documentos estratégicos que proporcionan orientaciones sobre la cooperación entre el Gobierno y la sociedad civil. Tanto los agentes gubernamentales como los no gubernamentales deben esforzarse en lograr un proceso de consu</w:t>
      </w:r>
      <w:r>
        <w:rPr>
          <w:rFonts w:ascii="Times New Roman" w:hAnsi="Times New Roman"/>
          <w:noProof/>
          <w:sz w:val="24"/>
        </w:rPr>
        <w:t>lta verdaderamente significativo.</w:t>
      </w:r>
    </w:p>
    <w:p w:rsidR="00D96FAD" w:rsidRDefault="00E3669E">
      <w:pPr>
        <w:spacing w:after="120" w:line="240" w:lineRule="auto"/>
        <w:jc w:val="both"/>
        <w:rPr>
          <w:rFonts w:ascii="Times New Roman" w:hAnsi="Times New Roman" w:cs="Times New Roman"/>
          <w:noProof/>
          <w:sz w:val="24"/>
          <w:szCs w:val="24"/>
        </w:rPr>
      </w:pPr>
      <w:r>
        <w:rPr>
          <w:rFonts w:ascii="Times New Roman" w:hAnsi="Times New Roman"/>
          <w:noProof/>
          <w:sz w:val="24"/>
        </w:rPr>
        <w:t>En cuanto a la reforma de los servicios de inteligencia, Macedonia del Norte ha avanzado considerablemente. Tras la reforma del sistema de interceptación de las comunicaciones, la nueva Agencia Técnica Operativa está en pl</w:t>
      </w:r>
      <w:r>
        <w:rPr>
          <w:rFonts w:ascii="Times New Roman" w:hAnsi="Times New Roman"/>
          <w:noProof/>
          <w:sz w:val="24"/>
        </w:rPr>
        <w:t>eno funcionamiento. Asimismo, el país ha emprendido la reforma de sus servicios de inteligencia con la colaboración de la OTAN y otros socios. Se ha elegido un modelo y se ha adoptado el marco jurídico para la creación de una nueva Agencia Nacional de Segu</w:t>
      </w:r>
      <w:r>
        <w:rPr>
          <w:rFonts w:ascii="Times New Roman" w:hAnsi="Times New Roman"/>
          <w:noProof/>
          <w:sz w:val="24"/>
        </w:rPr>
        <w:t>ridad.</w:t>
      </w:r>
    </w:p>
    <w:p w:rsidR="00D96FAD" w:rsidRDefault="00E3669E">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Macedonia del Norte está moderadamente preparada en lo que respecta a la reforma de su </w:t>
      </w:r>
      <w:r>
        <w:rPr>
          <w:rFonts w:ascii="Times New Roman" w:hAnsi="Times New Roman"/>
          <w:b/>
          <w:noProof/>
          <w:sz w:val="24"/>
        </w:rPr>
        <w:t>Administración Pública</w:t>
      </w:r>
      <w:r>
        <w:rPr>
          <w:rFonts w:ascii="Times New Roman" w:hAnsi="Times New Roman"/>
          <w:noProof/>
          <w:sz w:val="24"/>
        </w:rPr>
        <w:t>. Se ha avanzado mucho, especialmente con la aplicación del marco estratégico de la reforma de la Administración Pública, la mejora de las c</w:t>
      </w:r>
      <w:r>
        <w:rPr>
          <w:rFonts w:ascii="Times New Roman" w:hAnsi="Times New Roman"/>
          <w:noProof/>
          <w:sz w:val="24"/>
        </w:rPr>
        <w:t>onsultas públicas y una mayor transparencia en la formulación de políticas y en el ámbito de la formulación y la coordinación de las políticas. Se han tomado medidas para hacer frente a los casos de presuntos nombramientos politizados. Sin embargo, se requ</w:t>
      </w:r>
      <w:r>
        <w:rPr>
          <w:rFonts w:ascii="Times New Roman" w:hAnsi="Times New Roman"/>
          <w:noProof/>
          <w:sz w:val="24"/>
        </w:rPr>
        <w:t>ieren esfuerzos adicionales para mejorar la rendición de cuentas de la Administración y evitar su politización. El respeto de los principios de transparencia, mérito y representación equitativa sigue siendo esencial.</w:t>
      </w:r>
    </w:p>
    <w:p w:rsidR="00D96FAD" w:rsidRDefault="00E3669E">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El </w:t>
      </w:r>
      <w:r>
        <w:rPr>
          <w:rFonts w:ascii="Times New Roman" w:hAnsi="Times New Roman"/>
          <w:b/>
          <w:noProof/>
          <w:sz w:val="24"/>
        </w:rPr>
        <w:t>sistema judicial</w:t>
      </w:r>
      <w:r>
        <w:rPr>
          <w:rFonts w:ascii="Times New Roman" w:hAnsi="Times New Roman"/>
          <w:noProof/>
          <w:sz w:val="24"/>
        </w:rPr>
        <w:t xml:space="preserve"> del país ha alcanza</w:t>
      </w:r>
      <w:r>
        <w:rPr>
          <w:rFonts w:ascii="Times New Roman" w:hAnsi="Times New Roman"/>
          <w:noProof/>
          <w:sz w:val="24"/>
        </w:rPr>
        <w:t>do un cierto nivel de preparación / está moderadamente preparado, y se ha avanzado bastante a la hora de abordar las «prioridades de reforma urgentes» y las recomendaciones tanto de la Comisión de Venecia como del Grupo de expertos de alto nivel sobre prob</w:t>
      </w:r>
      <w:r>
        <w:rPr>
          <w:rFonts w:ascii="Times New Roman" w:hAnsi="Times New Roman"/>
          <w:noProof/>
          <w:sz w:val="24"/>
        </w:rPr>
        <w:t>lemas sistémicos relacionados con el Estado de Derecho. El país ha demostrado que mantiene la determinación de mejorar el sistema judicial, y la aplicación del nuevo marco jurídico constituye una base sólida para seguir avanzando. Se ha elaborado una nueva</w:t>
      </w:r>
      <w:r>
        <w:rPr>
          <w:rFonts w:ascii="Times New Roman" w:hAnsi="Times New Roman"/>
          <w:noProof/>
          <w:sz w:val="24"/>
        </w:rPr>
        <w:t xml:space="preserve"> ley sobre el Ministerio Fiscal cuyo objetivo es integrar la Fiscalía Especial en el sistema. Los órganos jurisdiccionales han dictado sentencias en ciertos casos de gran repercusión denunciados por la Fiscalía Especial. Más allá de los cambios jurídicos, </w:t>
      </w:r>
      <w:r>
        <w:rPr>
          <w:rFonts w:ascii="Times New Roman" w:hAnsi="Times New Roman"/>
          <w:noProof/>
          <w:sz w:val="24"/>
        </w:rPr>
        <w:t>todas las instituciones judiciales deben demostrar su ejemplaridad y contribuir, mediante esfuerzos adicionales, a restablecer la confianza de los ciudadanos en el sistema judicial.</w:t>
      </w:r>
    </w:p>
    <w:p w:rsidR="00D96FAD" w:rsidRDefault="00E3669E">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Por lo que respecta a la </w:t>
      </w:r>
      <w:r>
        <w:rPr>
          <w:rFonts w:ascii="Times New Roman" w:hAnsi="Times New Roman"/>
          <w:b/>
          <w:noProof/>
          <w:sz w:val="24"/>
        </w:rPr>
        <w:t>lucha contra la corrupción</w:t>
      </w:r>
      <w:r>
        <w:rPr>
          <w:rFonts w:ascii="Times New Roman" w:hAnsi="Times New Roman"/>
          <w:noProof/>
          <w:sz w:val="24"/>
        </w:rPr>
        <w:t>, Macedonia del Norte t</w:t>
      </w:r>
      <w:r>
        <w:rPr>
          <w:rFonts w:ascii="Times New Roman" w:hAnsi="Times New Roman"/>
          <w:noProof/>
          <w:sz w:val="24"/>
        </w:rPr>
        <w:t>iene un cierto grado de preparación. Se han logrado avances notables gracias a la consolidación de un historial de investigación, procesamiento y enjuiciamiento de casos de corrupción de alto nivel y mediante cambios en el marco legislativo. A este respect</w:t>
      </w:r>
      <w:r>
        <w:rPr>
          <w:rFonts w:ascii="Times New Roman" w:hAnsi="Times New Roman"/>
          <w:noProof/>
          <w:sz w:val="24"/>
        </w:rPr>
        <w:t>o, el nuevo marco jurídico para prevenir la corrupción ha mejorado, y el nombramiento de los nuevos miembros de la Comisión Estatal para la Prevención de la Corrupción ha sido mucho más transparente que en años anteriores. La Comisión ha dado pasos importa</w:t>
      </w:r>
      <w:r>
        <w:rPr>
          <w:rFonts w:ascii="Times New Roman" w:hAnsi="Times New Roman"/>
          <w:noProof/>
          <w:sz w:val="24"/>
        </w:rPr>
        <w:t>ntes para luchar contra la corrupción de forma proactiva, contando con la participación de altos funcionarios de todo el espectro político.</w:t>
      </w:r>
      <w:r>
        <w:rPr>
          <w:rFonts w:ascii="Times New Roman" w:hAnsi="Times New Roman"/>
          <w:i/>
          <w:noProof/>
          <w:sz w:val="24"/>
        </w:rPr>
        <w:t xml:space="preserve"> </w:t>
      </w:r>
      <w:r>
        <w:rPr>
          <w:rFonts w:ascii="Times New Roman" w:hAnsi="Times New Roman"/>
          <w:noProof/>
          <w:sz w:val="24"/>
        </w:rPr>
        <w:t>La Fiscalía Especial ha confirmado su papel de liderazgo con respecto a la investigación y el enjuiciamiento de caso</w:t>
      </w:r>
      <w:r>
        <w:rPr>
          <w:rFonts w:ascii="Times New Roman" w:hAnsi="Times New Roman"/>
          <w:noProof/>
          <w:sz w:val="24"/>
        </w:rPr>
        <w:t>s de corrupción de alto nivel. Las autoridades deben redoblar sus esfuerzos para demostrar que la lucha contra la corrupción es una prioridad nacional a todos los niveles. No obstante, la corrupción está generalizada en muchos ámbitos y sigue siendo un mot</w:t>
      </w:r>
      <w:r>
        <w:rPr>
          <w:rFonts w:ascii="Times New Roman" w:hAnsi="Times New Roman"/>
          <w:noProof/>
          <w:sz w:val="24"/>
        </w:rPr>
        <w:t>ivo de preocupación.</w:t>
      </w:r>
    </w:p>
    <w:p w:rsidR="00D96FAD" w:rsidRDefault="00E3669E">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En cuanto a la </w:t>
      </w:r>
      <w:r>
        <w:rPr>
          <w:rFonts w:ascii="Times New Roman" w:hAnsi="Times New Roman"/>
          <w:b/>
          <w:noProof/>
          <w:sz w:val="24"/>
        </w:rPr>
        <w:t>lucha contra la delincuencia organizada</w:t>
      </w:r>
      <w:r>
        <w:rPr>
          <w:rFonts w:ascii="Times New Roman" w:hAnsi="Times New Roman"/>
          <w:noProof/>
          <w:sz w:val="24"/>
        </w:rPr>
        <w:t xml:space="preserve">, el país tiene un cierto grado de preparación. El marco legislativo se ajusta en líneas generales a las normas europeas, y los esfuerzos para aplicar estrategias contra la </w:t>
      </w:r>
      <w:r>
        <w:rPr>
          <w:rFonts w:ascii="Times New Roman" w:hAnsi="Times New Roman"/>
          <w:noProof/>
          <w:sz w:val="24"/>
        </w:rPr>
        <w:t>delincuencia organizada y medir activamente su repercusión han de continuar. También se han registrado algunos avances en lo referente al cumplimiento de las recomendaciones de los últimos años sobre la mejora del historial de resultados, el refuerzo de la</w:t>
      </w:r>
      <w:r>
        <w:rPr>
          <w:rFonts w:ascii="Times New Roman" w:hAnsi="Times New Roman"/>
          <w:noProof/>
          <w:sz w:val="24"/>
        </w:rPr>
        <w:t xml:space="preserve"> cooperación policial y la mejora sustancial de la capacidad operativa para luchar contra la trata de seres humanos. Se han hecho nuevos progresos en el plano operativo mediante la mejora de la eficacia del Centro Nacional de Coordinación para la Lucha con</w:t>
      </w:r>
      <w:r>
        <w:rPr>
          <w:rFonts w:ascii="Times New Roman" w:hAnsi="Times New Roman"/>
          <w:noProof/>
          <w:sz w:val="24"/>
        </w:rPr>
        <w:t>tra la Delincuencia Organizada y la participación en operaciones conjuntas con los Estados miembros de la UE y los países vecinos.</w:t>
      </w:r>
    </w:p>
    <w:p w:rsidR="00D96FAD" w:rsidRDefault="00E3669E">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El marco jurídico para la protección de los </w:t>
      </w:r>
      <w:r>
        <w:rPr>
          <w:rFonts w:ascii="Times New Roman" w:hAnsi="Times New Roman"/>
          <w:b/>
          <w:noProof/>
          <w:sz w:val="24"/>
        </w:rPr>
        <w:t>derechos fundamentales</w:t>
      </w:r>
      <w:r>
        <w:rPr>
          <w:rFonts w:ascii="Times New Roman" w:hAnsi="Times New Roman"/>
          <w:noProof/>
          <w:sz w:val="24"/>
        </w:rPr>
        <w:t xml:space="preserve"> se ajusta en gran medida a las normas europeas, y el país </w:t>
      </w:r>
      <w:r>
        <w:rPr>
          <w:rFonts w:ascii="Times New Roman" w:hAnsi="Times New Roman"/>
          <w:noProof/>
          <w:sz w:val="24"/>
        </w:rPr>
        <w:t>ha avanzado a buen ritmo. Ha logrado aumentar la protección contra los delitos de odio y la discriminación mediante modificaciones del Código Penal y la adopción de la Ley de prevención y protección contra la discriminación. También ha adoptado una ambicio</w:t>
      </w:r>
      <w:r>
        <w:rPr>
          <w:rFonts w:ascii="Times New Roman" w:hAnsi="Times New Roman"/>
          <w:noProof/>
          <w:sz w:val="24"/>
        </w:rPr>
        <w:t>sa estrategia de desinstitucionalización y, además, ha plasmado sus objetivos para combatir la violencia contra las mujeres en un plan de acción destinado a aplicar el Convenio de Estambul. Sin embargo, el mecanismo de supervisión externa de la policía tod</w:t>
      </w:r>
      <w:r>
        <w:rPr>
          <w:rFonts w:ascii="Times New Roman" w:hAnsi="Times New Roman"/>
          <w:noProof/>
          <w:sz w:val="24"/>
        </w:rPr>
        <w:t xml:space="preserve">avía no está plenamente operativo, y el país debe seguir trabajando en el recurso a penas sustitutivas y a la libertad vigilada. Asimismo, el país debe esforzarse más en difundir y abordar de manera coherente las recomendaciones de los organismos europeos </w:t>
      </w:r>
      <w:r>
        <w:rPr>
          <w:rFonts w:ascii="Times New Roman" w:hAnsi="Times New Roman"/>
          <w:noProof/>
          <w:sz w:val="24"/>
        </w:rPr>
        <w:t>e internacionales de derechos humanos, en particular por lo que respecta al trato que se dispensa a las personas detenidas, las mujeres y las personas con discapacidad. El país tiene un cierto nivel de preparación / está moderadamente preparado en el ámbit</w:t>
      </w:r>
      <w:r>
        <w:rPr>
          <w:rFonts w:ascii="Times New Roman" w:hAnsi="Times New Roman"/>
          <w:noProof/>
          <w:sz w:val="24"/>
        </w:rPr>
        <w:t xml:space="preserve">o de la </w:t>
      </w:r>
      <w:r>
        <w:rPr>
          <w:rFonts w:ascii="Times New Roman" w:hAnsi="Times New Roman"/>
          <w:b/>
          <w:noProof/>
          <w:sz w:val="24"/>
        </w:rPr>
        <w:t>libertad de expresión</w:t>
      </w:r>
      <w:r>
        <w:rPr>
          <w:rFonts w:ascii="Times New Roman" w:hAnsi="Times New Roman"/>
          <w:noProof/>
          <w:sz w:val="24"/>
        </w:rPr>
        <w:t>, y ha avanzado bastante a lo largo del último año. El clima de libertad de los medios de comunicación y libertad de expresión ha seguido mejorando. Es esencial que los funcionarios y las élites políticas muestren un mayor nive</w:t>
      </w:r>
      <w:r>
        <w:rPr>
          <w:rFonts w:ascii="Times New Roman" w:hAnsi="Times New Roman"/>
          <w:noProof/>
          <w:sz w:val="24"/>
        </w:rPr>
        <w:t>l de tolerancia hacia las críticas, lo que ayudará a sustentar la libertad de expresión. El país no debe dejar de esforzarse en mejorar la independencia y las normas profesionales del organismo público de radiodifusión, así como su sostenibilidad financier</w:t>
      </w:r>
      <w:r>
        <w:rPr>
          <w:rFonts w:ascii="Times New Roman" w:hAnsi="Times New Roman"/>
          <w:noProof/>
          <w:sz w:val="24"/>
        </w:rPr>
        <w:t>a. Se han adoptado modificaciones de la Ley de medios de comunicación sonora y audiovisual, y su aplicación requerirá un firme compromiso político para garantizar la profesionalidad, el respeto de los principios de transparencia, nombramientos basados en e</w:t>
      </w:r>
      <w:r>
        <w:rPr>
          <w:rFonts w:ascii="Times New Roman" w:hAnsi="Times New Roman"/>
          <w:noProof/>
          <w:sz w:val="24"/>
        </w:rPr>
        <w:t>l mérito y representación equitativa.</w:t>
      </w:r>
    </w:p>
    <w:p w:rsidR="00D96FAD" w:rsidRDefault="00E3669E">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Con respecto a la </w:t>
      </w:r>
      <w:r>
        <w:rPr>
          <w:rFonts w:ascii="Times New Roman" w:hAnsi="Times New Roman"/>
          <w:b/>
          <w:noProof/>
          <w:sz w:val="24"/>
        </w:rPr>
        <w:t>cooperación regional</w:t>
      </w:r>
      <w:r>
        <w:rPr>
          <w:rFonts w:ascii="Times New Roman" w:hAnsi="Times New Roman"/>
          <w:noProof/>
          <w:sz w:val="24"/>
        </w:rPr>
        <w:t>, el país ha mantenido buenas relaciones con otros países candidatos y ha participado activamente en las iniciativas regionales. Se han tomado medidas históricas para mejorar las r</w:t>
      </w:r>
      <w:r>
        <w:rPr>
          <w:rFonts w:ascii="Times New Roman" w:hAnsi="Times New Roman"/>
          <w:noProof/>
          <w:sz w:val="24"/>
        </w:rPr>
        <w:t>elaciones de buena vecindad, entre otras cosas a través de la entrada en vigor del Acuerdo de Prespa y su aplicación, que ha puesto fin a uno de los conflictos más antiguos de la región. La Comisión confía en que se mantenga la aplicación del tratado bilat</w:t>
      </w:r>
      <w:r>
        <w:rPr>
          <w:rFonts w:ascii="Times New Roman" w:hAnsi="Times New Roman"/>
          <w:noProof/>
          <w:sz w:val="24"/>
        </w:rPr>
        <w:t xml:space="preserve">eral con Bulgaria. </w:t>
      </w:r>
    </w:p>
    <w:p w:rsidR="00D96FAD" w:rsidRDefault="00E3669E">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Por lo que se refiere a los </w:t>
      </w:r>
      <w:r>
        <w:rPr>
          <w:rFonts w:ascii="Times New Roman" w:hAnsi="Times New Roman"/>
          <w:b/>
          <w:noProof/>
          <w:sz w:val="24"/>
        </w:rPr>
        <w:t>criterios económicos</w:t>
      </w:r>
      <w:r>
        <w:rPr>
          <w:rFonts w:ascii="Times New Roman" w:hAnsi="Times New Roman"/>
          <w:noProof/>
          <w:sz w:val="24"/>
        </w:rPr>
        <w:t>, Macedonia del Norte ha hecho algunos avances y tiene un buen nivel de preparación en cuanto al desarrollo de una economía de mercado viable. El crecimiento económico se ha reanudado tras</w:t>
      </w:r>
      <w:r>
        <w:rPr>
          <w:rFonts w:ascii="Times New Roman" w:hAnsi="Times New Roman"/>
          <w:noProof/>
          <w:sz w:val="24"/>
        </w:rPr>
        <w:t xml:space="preserve"> un año de estancamiento, aunque la inversión se ha mantenido a un nivel moderado. El Gobierno ha tomado medidas para mejorar la gestión de las finanzas públicas y la transparencia. Ha adoptado reformas del impuesto sobre la renta y del sistema de pensione</w:t>
      </w:r>
      <w:r>
        <w:rPr>
          <w:rFonts w:ascii="Times New Roman" w:hAnsi="Times New Roman"/>
          <w:noProof/>
          <w:sz w:val="24"/>
        </w:rPr>
        <w:t>s. No obstante, la composición del gasto ha empeorado, y el saneamiento presupuestario debe ser más ambicioso para situar las finanzas públicas en una senda sostenible. El funcionamiento del mercado de trabajo se ve perjudicado por la persistencia de probl</w:t>
      </w:r>
      <w:r>
        <w:rPr>
          <w:rFonts w:ascii="Times New Roman" w:hAnsi="Times New Roman"/>
          <w:noProof/>
          <w:sz w:val="24"/>
        </w:rPr>
        <w:t xml:space="preserve">emas estructurales. La ejecución de los contratos y la gran economía informal siguen planteando problemas para el entorno empresarial. </w:t>
      </w:r>
    </w:p>
    <w:p w:rsidR="00D96FAD" w:rsidRDefault="00E3669E">
      <w:pPr>
        <w:spacing w:after="120" w:line="240" w:lineRule="auto"/>
        <w:jc w:val="both"/>
        <w:rPr>
          <w:rFonts w:ascii="Times New Roman" w:hAnsi="Times New Roman" w:cs="Times New Roman"/>
          <w:noProof/>
          <w:sz w:val="24"/>
          <w:szCs w:val="24"/>
        </w:rPr>
      </w:pPr>
      <w:r>
        <w:rPr>
          <w:rFonts w:ascii="Times New Roman" w:hAnsi="Times New Roman"/>
          <w:noProof/>
          <w:sz w:val="24"/>
        </w:rPr>
        <w:t>Macedonia del Norte ha registrado algunos avances y tiene un nivel moderado de preparación para hacer frente a las presi</w:t>
      </w:r>
      <w:r>
        <w:rPr>
          <w:rFonts w:ascii="Times New Roman" w:hAnsi="Times New Roman"/>
          <w:noProof/>
          <w:sz w:val="24"/>
        </w:rPr>
        <w:t>ones competitivas y las fuerzas del mercado dentro de la Unión. La integración con la UE en materia de comercio e inversión es ahora mayor. Las exportaciones y la producción manufacturera se han diversificado aún más hacia productos de mayor valor. Ahora b</w:t>
      </w:r>
      <w:r>
        <w:rPr>
          <w:rFonts w:ascii="Times New Roman" w:hAnsi="Times New Roman"/>
          <w:noProof/>
          <w:sz w:val="24"/>
        </w:rPr>
        <w:t>ien, la escasez de personal cualificado y la inadecuación entre las capacidades del personal disponible y las requeridas por las empresas —reflejo de las deficiencias de los planes de estudios— afectan negativamente a la productividad laboral y a la compet</w:t>
      </w:r>
      <w:r>
        <w:rPr>
          <w:rFonts w:ascii="Times New Roman" w:hAnsi="Times New Roman"/>
          <w:noProof/>
          <w:sz w:val="24"/>
        </w:rPr>
        <w:t>itividad de la economía. Sigue habiendo un déficit considerable de inversiones en infraestructuras públicas.</w:t>
      </w:r>
    </w:p>
    <w:p w:rsidR="00D96FAD" w:rsidRDefault="00E3669E">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Por lo que se refiere a su capacidad para </w:t>
      </w:r>
      <w:r>
        <w:rPr>
          <w:rFonts w:ascii="Times New Roman" w:hAnsi="Times New Roman"/>
          <w:b/>
          <w:noProof/>
          <w:sz w:val="24"/>
        </w:rPr>
        <w:t>asumir las obligaciones de la adhesión</w:t>
      </w:r>
      <w:r>
        <w:rPr>
          <w:rFonts w:ascii="Times New Roman" w:hAnsi="Times New Roman"/>
          <w:noProof/>
          <w:sz w:val="24"/>
        </w:rPr>
        <w:t>, el país está moderadamente preparado en la mayoría de los ámbitos</w:t>
      </w:r>
      <w:r>
        <w:rPr>
          <w:rFonts w:ascii="Times New Roman" w:hAnsi="Times New Roman"/>
          <w:noProof/>
          <w:sz w:val="24"/>
        </w:rPr>
        <w:t>, en particular, en los de competencia, contratación pública, transportes y energía. El país muestra un buen nivel de preparación en ámbitos como el Derecho de sociedades, la unión aduanera, las redes transeuropeas, y la ciencia y la investigación. Se requ</w:t>
      </w:r>
      <w:r>
        <w:rPr>
          <w:rFonts w:ascii="Times New Roman" w:hAnsi="Times New Roman"/>
          <w:noProof/>
          <w:sz w:val="24"/>
        </w:rPr>
        <w:t>ieren esfuerzos adicionales en todos los ámbitos y especialmente en aquellos pocos en los que el país todavía se encuentra en una fase inicial de preparación, como la libre circulación de trabajadores y las disposiciones financieras y presupuestarias. Tamb</w:t>
      </w:r>
      <w:r>
        <w:rPr>
          <w:rFonts w:ascii="Times New Roman" w:hAnsi="Times New Roman"/>
          <w:noProof/>
          <w:sz w:val="24"/>
        </w:rPr>
        <w:t>ién es preciso que el país dedique una mayor atención a la capacidad administrativa y la aplicación efectiva. El país ha seguido mejorando su armonización con las declaraciones de la UE y las decisiones del Consejo en materia de política exterior y de segu</w:t>
      </w:r>
      <w:r>
        <w:rPr>
          <w:rFonts w:ascii="Times New Roman" w:hAnsi="Times New Roman"/>
          <w:noProof/>
          <w:sz w:val="24"/>
        </w:rPr>
        <w:t>ridad común.</w:t>
      </w:r>
    </w:p>
    <w:p w:rsidR="00D96FAD" w:rsidRDefault="00E3669E">
      <w:pPr>
        <w:spacing w:after="120" w:line="240" w:lineRule="auto"/>
        <w:jc w:val="both"/>
        <w:rPr>
          <w:rFonts w:ascii="Times New Roman" w:hAnsi="Times New Roman" w:cs="Times New Roman"/>
          <w:noProof/>
          <w:sz w:val="24"/>
          <w:szCs w:val="24"/>
        </w:rPr>
      </w:pPr>
      <w:r>
        <w:rPr>
          <w:rFonts w:ascii="Times New Roman" w:hAnsi="Times New Roman"/>
          <w:noProof/>
          <w:sz w:val="24"/>
        </w:rPr>
        <w:t xml:space="preserve">Macedonia del Norte sigue desempeñando un papel activo y constructivo en la gestión de los </w:t>
      </w:r>
      <w:r>
        <w:rPr>
          <w:rFonts w:ascii="Times New Roman" w:hAnsi="Times New Roman"/>
          <w:b/>
          <w:noProof/>
          <w:sz w:val="24"/>
        </w:rPr>
        <w:t>flujos migratorios mixtos</w:t>
      </w:r>
      <w:r>
        <w:rPr>
          <w:rFonts w:ascii="Times New Roman" w:hAnsi="Times New Roman"/>
          <w:noProof/>
          <w:sz w:val="24"/>
        </w:rPr>
        <w:t>. Coopera eficazmente con los Estados miembros de la UE y los países vecinos. Han proseguido los considerables esfuerzos para g</w:t>
      </w:r>
      <w:r>
        <w:rPr>
          <w:rFonts w:ascii="Times New Roman" w:hAnsi="Times New Roman"/>
          <w:noProof/>
          <w:sz w:val="24"/>
        </w:rPr>
        <w:t>arantizar unas condiciones de vida y unos servicios básicos a todos los migrantes que permanecen en el país. Se mantiene la incertidumbre en cuanto al alcance y la estructura de los flujos migratorios. La falta de coherencia en el registro de los migrantes</w:t>
      </w:r>
      <w:r>
        <w:rPr>
          <w:rFonts w:ascii="Times New Roman" w:hAnsi="Times New Roman"/>
          <w:noProof/>
          <w:sz w:val="24"/>
        </w:rPr>
        <w:t xml:space="preserve"> detenidos en movimientos irregulares impide la elaboración periódica y adecuada de perfiles teniendo en cuenta la protección, así como la remisión a los mecanismos nacionales de protección. Se ha garantizado un control eficaz en las fronteras meridionales</w:t>
      </w:r>
      <w:r>
        <w:rPr>
          <w:rFonts w:ascii="Times New Roman" w:hAnsi="Times New Roman"/>
          <w:noProof/>
          <w:sz w:val="24"/>
        </w:rPr>
        <w:t xml:space="preserve">, en particular, mediante el envío a la frontera de agentes de los Estados miembros de la UE. Se ha rubricado el Acuerdo sobre el Estatuto de la Guardia Europea de Fronteras y Costas con la UE. Sin embargo, aún es necesario hacer frente al problema de las </w:t>
      </w:r>
      <w:r>
        <w:rPr>
          <w:rFonts w:ascii="Times New Roman" w:hAnsi="Times New Roman"/>
          <w:noProof/>
          <w:sz w:val="24"/>
        </w:rPr>
        <w:t xml:space="preserve">frecuentes actividades de contrabando en la frontera septentrional. El país sigue sometido a fuertes presiones debido a su situación geográfica. </w:t>
      </w:r>
    </w:p>
    <w:p w:rsidR="00D96FAD" w:rsidRDefault="00E3669E">
      <w:pPr>
        <w:keepNext/>
        <w:spacing w:before="360" w:after="120" w:line="240" w:lineRule="auto"/>
        <w:jc w:val="both"/>
        <w:rPr>
          <w:rFonts w:ascii="Times New Roman" w:hAnsi="Times New Roman" w:cs="Times New Roman"/>
          <w:b/>
          <w:noProof/>
          <w:sz w:val="24"/>
          <w:szCs w:val="24"/>
        </w:rPr>
      </w:pPr>
      <w:r>
        <w:rPr>
          <w:rFonts w:ascii="Times New Roman" w:hAnsi="Times New Roman"/>
          <w:b/>
          <w:noProof/>
          <w:sz w:val="24"/>
        </w:rPr>
        <w:t>Albania</w:t>
      </w:r>
    </w:p>
    <w:p w:rsidR="00D96FAD" w:rsidRDefault="00E3669E">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Con respecto a los </w:t>
      </w:r>
      <w:r>
        <w:rPr>
          <w:rFonts w:ascii="Times New Roman" w:hAnsi="Times New Roman"/>
          <w:b/>
          <w:noProof/>
          <w:color w:val="000000" w:themeColor="text1"/>
          <w:sz w:val="24"/>
        </w:rPr>
        <w:t>criterios políticos</w:t>
      </w:r>
      <w:r>
        <w:rPr>
          <w:rFonts w:ascii="Times New Roman" w:hAnsi="Times New Roman"/>
          <w:noProof/>
          <w:color w:val="000000" w:themeColor="text1"/>
          <w:sz w:val="24"/>
        </w:rPr>
        <w:t xml:space="preserve">, Albania ha seguido progresando en relación con su programa de </w:t>
      </w:r>
      <w:r>
        <w:rPr>
          <w:rFonts w:ascii="Times New Roman" w:hAnsi="Times New Roman"/>
          <w:noProof/>
          <w:color w:val="000000" w:themeColor="text1"/>
          <w:sz w:val="24"/>
        </w:rPr>
        <w:t>reformas de la UE a lo largo del período de referencia. Persiste la marcada polarización de la vida política. Las actividades parlamentarias se han visto afectadas por un prolongado boicot de los partidos de la oposición, que además renunciaron en bloque a</w:t>
      </w:r>
      <w:r>
        <w:rPr>
          <w:rFonts w:ascii="Times New Roman" w:hAnsi="Times New Roman"/>
          <w:noProof/>
          <w:color w:val="000000" w:themeColor="text1"/>
          <w:sz w:val="24"/>
        </w:rPr>
        <w:t xml:space="preserve"> sus mandatos parlamentarios en febrero de 2019. Más de la mitad de esos mandatos ya han sido reasignados por la Comisión Electoral Central, de manera que se mantiene el cuórum necesario para que el Parlamento pueda desempeñar sus funciones. Los principale</w:t>
      </w:r>
      <w:r>
        <w:rPr>
          <w:rFonts w:ascii="Times New Roman" w:hAnsi="Times New Roman"/>
          <w:noProof/>
          <w:color w:val="000000" w:themeColor="text1"/>
          <w:sz w:val="24"/>
        </w:rPr>
        <w:t>s partidos de la oposición han decidido no inscribirse para las elecciones locales, previstas para el 30 de junio de 2019. La desvinculación de los principales partidos de la oposición ha perjudicado los esfuerzos en favor de una reforma electoral bipartid</w:t>
      </w:r>
      <w:r>
        <w:rPr>
          <w:rFonts w:ascii="Times New Roman" w:hAnsi="Times New Roman"/>
          <w:noProof/>
          <w:color w:val="000000" w:themeColor="text1"/>
          <w:sz w:val="24"/>
        </w:rPr>
        <w:t>ista, a pesar del afán de la mayoría por avanzar. Los partidos de la oposición deben reintegrarse de forma constructiva a las instituciones democráticas.</w:t>
      </w:r>
    </w:p>
    <w:p w:rsidR="00D96FAD" w:rsidRDefault="00E3669E">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Albania está moderadamente preparada en lo que se refiere a la reforma de su </w:t>
      </w:r>
      <w:r>
        <w:rPr>
          <w:rFonts w:ascii="Times New Roman" w:hAnsi="Times New Roman"/>
          <w:b/>
          <w:noProof/>
          <w:color w:val="000000" w:themeColor="text1"/>
          <w:sz w:val="24"/>
        </w:rPr>
        <w:t>Administración Pública</w:t>
      </w:r>
      <w:r>
        <w:rPr>
          <w:rFonts w:ascii="Times New Roman" w:hAnsi="Times New Roman"/>
          <w:noProof/>
          <w:color w:val="000000" w:themeColor="text1"/>
          <w:sz w:val="24"/>
        </w:rPr>
        <w:t>. H</w:t>
      </w:r>
      <w:r>
        <w:rPr>
          <w:rFonts w:ascii="Times New Roman" w:hAnsi="Times New Roman"/>
          <w:noProof/>
          <w:color w:val="000000" w:themeColor="text1"/>
          <w:sz w:val="24"/>
        </w:rPr>
        <w:t>a proseguido la labor en varios ámbitos relacionados, lo que ha permitido ciertos progresos en cuanto a la eficiencia y la transparencia de la prestación de los servicios públicos, la mejora del marco regulador sobre evaluación del impacto de las políticas</w:t>
      </w:r>
      <w:r>
        <w:rPr>
          <w:rFonts w:ascii="Times New Roman" w:hAnsi="Times New Roman"/>
          <w:noProof/>
          <w:color w:val="000000" w:themeColor="text1"/>
          <w:sz w:val="24"/>
        </w:rPr>
        <w:t xml:space="preserve">, una mayor transparencia de los procedimientos de selección de personal, y el refuerzo general de la capacidad de la Administración para llevar a cabo procedimientos de selección para la función pública basados en el mérito. Debe seguirse avanzando en la </w:t>
      </w:r>
      <w:r>
        <w:rPr>
          <w:rFonts w:ascii="Times New Roman" w:hAnsi="Times New Roman"/>
          <w:noProof/>
          <w:color w:val="000000" w:themeColor="text1"/>
          <w:sz w:val="24"/>
        </w:rPr>
        <w:t>consolidación de estos logros, con el fin de garantizar una Administración Pública más eficiente, despolitizada y profesional.</w:t>
      </w:r>
    </w:p>
    <w:p w:rsidR="00D96FAD" w:rsidRDefault="00E3669E">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El </w:t>
      </w:r>
      <w:r>
        <w:rPr>
          <w:rFonts w:ascii="Times New Roman" w:hAnsi="Times New Roman"/>
          <w:b/>
          <w:noProof/>
          <w:color w:val="000000" w:themeColor="text1"/>
          <w:sz w:val="24"/>
        </w:rPr>
        <w:t>sistema judicial</w:t>
      </w:r>
      <w:r>
        <w:rPr>
          <w:rFonts w:ascii="Times New Roman" w:hAnsi="Times New Roman"/>
          <w:noProof/>
          <w:color w:val="000000" w:themeColor="text1"/>
          <w:sz w:val="24"/>
        </w:rPr>
        <w:t xml:space="preserve"> albano ha alcanzado un cierto grado de preparación. Se ha proseguido de forma constante la aplicación de la r</w:t>
      </w:r>
      <w:r>
        <w:rPr>
          <w:rFonts w:ascii="Times New Roman" w:hAnsi="Times New Roman"/>
          <w:noProof/>
          <w:color w:val="000000" w:themeColor="text1"/>
          <w:sz w:val="24"/>
        </w:rPr>
        <w:t>eforma global y exhaustiva de la justicia, lo que se ha traducido en avances satisfactorios en general. Se han creado las nuevas instituciones para el autogobierno del poder judicial, esto es, el Consejo Superior de Justicia, el Alto Consejo de la Fiscalía</w:t>
      </w:r>
      <w:r>
        <w:rPr>
          <w:rFonts w:ascii="Times New Roman" w:hAnsi="Times New Roman"/>
          <w:noProof/>
          <w:color w:val="000000" w:themeColor="text1"/>
          <w:sz w:val="24"/>
        </w:rPr>
        <w:t xml:space="preserve"> y el Consejo de Nombramientos en el ámbito de la Justicia, lo que constituye un paso decisivo para consolidar la independencia y la rendición de cuentas del poder judicial. La reevaluación temporal de jueces y fiscales (investigación de expedientes) ha id</w:t>
      </w:r>
      <w:r>
        <w:rPr>
          <w:rFonts w:ascii="Times New Roman" w:hAnsi="Times New Roman"/>
          <w:noProof/>
          <w:color w:val="000000" w:themeColor="text1"/>
          <w:sz w:val="24"/>
        </w:rPr>
        <w:t>o avanzando sin cesar y ya ha producido los primeros resultados tangibles. Con el auspicio de la Comisión Europea, la Operación de Vigilancia Internacional ha seguido supervisando el proceso. Se han tramitado más de 140 expedientes, proceso que ha dado lug</w:t>
      </w:r>
      <w:r>
        <w:rPr>
          <w:rFonts w:ascii="Times New Roman" w:hAnsi="Times New Roman"/>
          <w:noProof/>
          <w:color w:val="000000" w:themeColor="text1"/>
          <w:sz w:val="24"/>
        </w:rPr>
        <w:t>ar a la destitución o a la dimisión de 88 jueces y al mantenimiento de 53 jueces en su cargo. La mayoría de destituciones están relacionadas con asuntos de activos no justificados. Estos resultados concretos y creíbles han fortalecido significativamente el</w:t>
      </w:r>
      <w:r>
        <w:rPr>
          <w:rFonts w:ascii="Times New Roman" w:hAnsi="Times New Roman"/>
          <w:noProof/>
          <w:color w:val="000000" w:themeColor="text1"/>
          <w:sz w:val="24"/>
        </w:rPr>
        <w:t xml:space="preserve"> sector y consolidado la independencia, la imparcialidad, la profesionalidad y la rendición de cuentas del poder judicial.</w:t>
      </w:r>
    </w:p>
    <w:p w:rsidR="00D96FAD" w:rsidRDefault="00E3669E">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Albania tiene un cierto nivel de preparación en el ámbito de la </w:t>
      </w:r>
      <w:r>
        <w:rPr>
          <w:rFonts w:ascii="Times New Roman" w:hAnsi="Times New Roman"/>
          <w:b/>
          <w:noProof/>
          <w:color w:val="000000" w:themeColor="text1"/>
          <w:sz w:val="24"/>
        </w:rPr>
        <w:t>lucha contra la corrupción</w:t>
      </w:r>
      <w:r>
        <w:rPr>
          <w:rFonts w:ascii="Times New Roman" w:hAnsi="Times New Roman"/>
          <w:noProof/>
          <w:color w:val="000000" w:themeColor="text1"/>
          <w:sz w:val="24"/>
        </w:rPr>
        <w:t>. Se han hecho avances satisfactorios, espe</w:t>
      </w:r>
      <w:r>
        <w:rPr>
          <w:rFonts w:ascii="Times New Roman" w:hAnsi="Times New Roman"/>
          <w:noProof/>
          <w:color w:val="000000" w:themeColor="text1"/>
          <w:sz w:val="24"/>
        </w:rPr>
        <w:t xml:space="preserve">cialmente gracias a la adopción del nuevo Plan de Acción 2018-2020 para la aplicación de la estrategia intersectorial contra la corrupción, las modificaciones de la Ley sobre la declaración y la auditoría de activos, la Ley sobre contratación pública y la </w:t>
      </w:r>
      <w:r>
        <w:rPr>
          <w:rFonts w:ascii="Times New Roman" w:hAnsi="Times New Roman"/>
          <w:noProof/>
          <w:color w:val="000000" w:themeColor="text1"/>
          <w:sz w:val="24"/>
        </w:rPr>
        <w:t>adopción del Código de conducta de los diputados al Parlamento Europeo. La creación de un grupo de trabajo anticorrupción ha hecho que las investigaciones administrativas sean más proactivas. Se ha seguido mejorando el acceso directo a las bases de datos p</w:t>
      </w:r>
      <w:r>
        <w:rPr>
          <w:rFonts w:ascii="Times New Roman" w:hAnsi="Times New Roman"/>
          <w:noProof/>
          <w:color w:val="000000" w:themeColor="text1"/>
          <w:sz w:val="24"/>
        </w:rPr>
        <w:t>ara los fiscales y la policía. Se ha seguido avanzado a buen ritmo en cuanto a la obtención de resultados en la investigación, el procesamiento y el enjuiciamiento de casos de corrupción de alto nivel. Entre los resultados concretos de la lucha contra la c</w:t>
      </w:r>
      <w:r>
        <w:rPr>
          <w:rFonts w:ascii="Times New Roman" w:hAnsi="Times New Roman"/>
          <w:noProof/>
          <w:color w:val="000000" w:themeColor="text1"/>
          <w:sz w:val="24"/>
        </w:rPr>
        <w:t>orrupción destaca el proceso de investigación de expedientes, que ha dado lugar a la destitución de varios jueces de alto rango, en particular, del Tribunal Constitucional y del Tribunal Superior. La creación del Alto Consejo de la Fiscalía ha permitido in</w:t>
      </w:r>
      <w:r>
        <w:rPr>
          <w:rFonts w:ascii="Times New Roman" w:hAnsi="Times New Roman"/>
          <w:noProof/>
          <w:color w:val="000000" w:themeColor="text1"/>
          <w:sz w:val="24"/>
        </w:rPr>
        <w:t>iciar el proceso de creación de organismos especializados de lucha contra la corrupción (la Estructura Especial Contra la Corrupción y la Delincuencia Organizada, y la Oficina Nacional de Investigaciones). Una vez se concluya el proceso de investigación de</w:t>
      </w:r>
      <w:r>
        <w:rPr>
          <w:rFonts w:ascii="Times New Roman" w:hAnsi="Times New Roman"/>
          <w:noProof/>
          <w:color w:val="000000" w:themeColor="text1"/>
          <w:sz w:val="24"/>
        </w:rPr>
        <w:t xml:space="preserve"> los candidatos, los organismos empezarán a funcionar, lo que fortalecerá la capacidad global para investigar y perseguir la corrupción. No obstante, en general, la corrupción predomina en muchos ámbitos y sigue siendo un motivo de preocupación. </w:t>
      </w:r>
    </w:p>
    <w:p w:rsidR="00D96FAD" w:rsidRDefault="00E3669E">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Albania t</w:t>
      </w:r>
      <w:r>
        <w:rPr>
          <w:rFonts w:ascii="Times New Roman" w:hAnsi="Times New Roman"/>
          <w:noProof/>
          <w:color w:val="000000" w:themeColor="text1"/>
          <w:sz w:val="24"/>
        </w:rPr>
        <w:t xml:space="preserve">iene un cierto nivel de preparación en el ámbito de la </w:t>
      </w:r>
      <w:r>
        <w:rPr>
          <w:rFonts w:ascii="Times New Roman" w:hAnsi="Times New Roman"/>
          <w:b/>
          <w:noProof/>
          <w:color w:val="000000" w:themeColor="text1"/>
          <w:sz w:val="24"/>
        </w:rPr>
        <w:t>lucha contra la delincuencia organizada</w:t>
      </w:r>
      <w:r>
        <w:rPr>
          <w:rFonts w:ascii="Times New Roman" w:hAnsi="Times New Roman"/>
          <w:noProof/>
          <w:color w:val="000000" w:themeColor="text1"/>
          <w:sz w:val="24"/>
        </w:rPr>
        <w:t>. Se han intensificado las operaciones policiales de desarticulación de organizaciones delictivas. Varias de las operaciones han concluido con múltiples detencion</w:t>
      </w:r>
      <w:r>
        <w:rPr>
          <w:rFonts w:ascii="Times New Roman" w:hAnsi="Times New Roman"/>
          <w:noProof/>
          <w:color w:val="000000" w:themeColor="text1"/>
          <w:sz w:val="24"/>
        </w:rPr>
        <w:t>es y han dado lugar a una serie de importantes procesamientos y condenas. En efecto, estas operaciones se han traducido en la detención y el enjuiciamiento de conocidos dirigentes de grupos delictivos organizados.</w:t>
      </w:r>
      <w:r>
        <w:rPr>
          <w:rFonts w:ascii="Times New Roman" w:hAnsi="Times New Roman"/>
          <w:b/>
          <w:noProof/>
          <w:color w:val="000000" w:themeColor="text1"/>
          <w:sz w:val="24"/>
        </w:rPr>
        <w:t xml:space="preserve"> </w:t>
      </w:r>
      <w:r>
        <w:rPr>
          <w:rFonts w:ascii="Times New Roman" w:hAnsi="Times New Roman"/>
          <w:noProof/>
          <w:color w:val="000000" w:themeColor="text1"/>
          <w:sz w:val="24"/>
        </w:rPr>
        <w:t>La cooperación policial internacional, esp</w:t>
      </w:r>
      <w:r>
        <w:rPr>
          <w:rFonts w:ascii="Times New Roman" w:hAnsi="Times New Roman"/>
          <w:noProof/>
          <w:color w:val="000000" w:themeColor="text1"/>
          <w:sz w:val="24"/>
        </w:rPr>
        <w:t>ecialmente con los Estados miembros de la UE, también se ha intensificado, y gracias a ello se ha podido llevar a cabo un gran número de operaciones policiales a gran escala. En los últimos años, Albania ha demostrado su firme compromiso de luchar contra l</w:t>
      </w:r>
      <w:r>
        <w:rPr>
          <w:rFonts w:ascii="Times New Roman" w:hAnsi="Times New Roman"/>
          <w:noProof/>
          <w:color w:val="000000" w:themeColor="text1"/>
          <w:sz w:val="24"/>
        </w:rPr>
        <w:t xml:space="preserve">a producción y el tráfico de cannabis. Albania ha permitido la puesta en marcha de un mecanismo intrusivo de vigilancia por parte de un Estado miembro de la UE (vigilancia aérea de la </w:t>
      </w:r>
      <w:r>
        <w:rPr>
          <w:rFonts w:ascii="Times New Roman" w:hAnsi="Times New Roman"/>
          <w:i/>
          <w:noProof/>
          <w:color w:val="000000" w:themeColor="text1"/>
          <w:sz w:val="24"/>
        </w:rPr>
        <w:t>Guardia di Finanza</w:t>
      </w:r>
      <w:r>
        <w:rPr>
          <w:rFonts w:ascii="Times New Roman" w:hAnsi="Times New Roman"/>
          <w:noProof/>
          <w:color w:val="000000" w:themeColor="text1"/>
          <w:sz w:val="24"/>
        </w:rPr>
        <w:t xml:space="preserve"> italiana, cofinanciado por la UE). En las últimas dos</w:t>
      </w:r>
      <w:r>
        <w:rPr>
          <w:rFonts w:ascii="Times New Roman" w:hAnsi="Times New Roman"/>
          <w:noProof/>
          <w:color w:val="000000" w:themeColor="text1"/>
          <w:sz w:val="24"/>
        </w:rPr>
        <w:t xml:space="preserve"> </w:t>
      </w:r>
      <w:r>
        <w:rPr>
          <w:rFonts w:ascii="Times New Roman" w:hAnsi="Times New Roman"/>
          <w:noProof/>
          <w:color w:val="000000"/>
          <w:sz w:val="24"/>
        </w:rPr>
        <w:t>campañas agrarias</w:t>
      </w:r>
      <w:r>
        <w:rPr>
          <w:rFonts w:ascii="Times New Roman" w:hAnsi="Times New Roman"/>
          <w:noProof/>
          <w:color w:val="000000" w:themeColor="text1"/>
          <w:sz w:val="24"/>
        </w:rPr>
        <w:t>, la vigilancia aérea ha permitido comprobar que prácticamente no ha habido ninguna plantación de cannabis en Albania. Estos pasos representan avances tangibles en el cumplimiento de las recomendaciones de los últimos años sobre la mejora</w:t>
      </w:r>
      <w:r>
        <w:rPr>
          <w:rFonts w:ascii="Times New Roman" w:hAnsi="Times New Roman"/>
          <w:noProof/>
          <w:color w:val="000000" w:themeColor="text1"/>
          <w:sz w:val="24"/>
        </w:rPr>
        <w:t xml:space="preserve"> del historial de resultados. Aún deben proseguir los esfuerzos, en particular, por lo que respecta a la lucha contra el blanqueo de capitales y el decomiso de activos procedentes de delitos y de otros tipos de enriquecimiento sin causa. </w:t>
      </w:r>
    </w:p>
    <w:p w:rsidR="00D96FAD" w:rsidRDefault="00E3669E">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En cuanto a los </w:t>
      </w:r>
      <w:r>
        <w:rPr>
          <w:rFonts w:ascii="Times New Roman" w:hAnsi="Times New Roman"/>
          <w:b/>
          <w:noProof/>
          <w:color w:val="000000" w:themeColor="text1"/>
          <w:sz w:val="24"/>
        </w:rPr>
        <w:t>d</w:t>
      </w:r>
      <w:r>
        <w:rPr>
          <w:rFonts w:ascii="Times New Roman" w:hAnsi="Times New Roman"/>
          <w:b/>
          <w:noProof/>
          <w:color w:val="000000" w:themeColor="text1"/>
          <w:sz w:val="24"/>
        </w:rPr>
        <w:t>erechos fundamentales</w:t>
      </w:r>
      <w:r>
        <w:rPr>
          <w:rFonts w:ascii="Times New Roman" w:hAnsi="Times New Roman"/>
          <w:noProof/>
          <w:color w:val="000000" w:themeColor="text1"/>
          <w:sz w:val="24"/>
        </w:rPr>
        <w:t>, Albania observa en general los instrumentos internacionales de derechos humanos y ha desarrollado su marco jurídico en consonancia con las normas europeas. Durante el período de referencia, Albania se ha esforzado por cumplir las obl</w:t>
      </w:r>
      <w:r>
        <w:rPr>
          <w:rFonts w:ascii="Times New Roman" w:hAnsi="Times New Roman"/>
          <w:noProof/>
          <w:color w:val="000000" w:themeColor="text1"/>
          <w:sz w:val="24"/>
        </w:rPr>
        <w:t>igaciones derivadas de los instrumentos jurídicos internacionales. No obstante, es preciso reforzar la aplicación en general de estos instrumentos. Se ha mejorado el marco jurídico en los ámbitos de los derechos del niño y la violencia doméstica. En mayo d</w:t>
      </w:r>
      <w:r>
        <w:rPr>
          <w:rFonts w:ascii="Times New Roman" w:hAnsi="Times New Roman"/>
          <w:noProof/>
          <w:color w:val="000000" w:themeColor="text1"/>
          <w:sz w:val="24"/>
        </w:rPr>
        <w:t>e 2018, el Parlamento aprobó una nueva ley sobre vivienda social cuyo objetivo es consolidar la protección del derecho a la vivienda de los miembros más vulnerables de las comunidades gitana y egipcia</w:t>
      </w:r>
      <w:r>
        <w:rPr>
          <w:rStyle w:val="FootnoteReference"/>
          <w:rFonts w:ascii="Times New Roman" w:hAnsi="Times New Roman"/>
          <w:noProof/>
          <w:color w:val="000000" w:themeColor="text1"/>
          <w:sz w:val="24"/>
        </w:rPr>
        <w:footnoteReference w:id="10"/>
      </w:r>
      <w:r>
        <w:rPr>
          <w:rFonts w:ascii="Times New Roman" w:hAnsi="Times New Roman"/>
          <w:noProof/>
          <w:color w:val="000000" w:themeColor="text1"/>
          <w:sz w:val="24"/>
        </w:rPr>
        <w:t>. Se requieren más esfuerzos por lo que se refiere a la</w:t>
      </w:r>
      <w:r>
        <w:rPr>
          <w:rFonts w:ascii="Times New Roman" w:hAnsi="Times New Roman"/>
          <w:noProof/>
          <w:color w:val="000000" w:themeColor="text1"/>
          <w:sz w:val="24"/>
        </w:rPr>
        <w:t xml:space="preserve"> consolidación de los derechos de propiedad. En cuanto a la </w:t>
      </w:r>
      <w:r>
        <w:rPr>
          <w:rFonts w:ascii="Times New Roman" w:hAnsi="Times New Roman"/>
          <w:b/>
          <w:noProof/>
          <w:color w:val="000000" w:themeColor="text1"/>
          <w:sz w:val="24"/>
        </w:rPr>
        <w:t>libertad de expresión</w:t>
      </w:r>
      <w:r>
        <w:rPr>
          <w:rFonts w:ascii="Times New Roman" w:hAnsi="Times New Roman"/>
          <w:noProof/>
          <w:color w:val="000000" w:themeColor="text1"/>
          <w:sz w:val="24"/>
        </w:rPr>
        <w:t>, el marco legislativo es en su conjunto propicio para el ejercicio de esta libertad, pero su aplicación exige esfuerzos adicionales.</w:t>
      </w:r>
    </w:p>
    <w:p w:rsidR="00D96FAD" w:rsidRDefault="00E3669E">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Por lo que se refiere a los </w:t>
      </w:r>
      <w:r>
        <w:rPr>
          <w:rFonts w:ascii="Times New Roman" w:hAnsi="Times New Roman"/>
          <w:b/>
          <w:noProof/>
          <w:color w:val="000000" w:themeColor="text1"/>
          <w:sz w:val="24"/>
        </w:rPr>
        <w:t>criterios eco</w:t>
      </w:r>
      <w:r>
        <w:rPr>
          <w:rFonts w:ascii="Times New Roman" w:hAnsi="Times New Roman"/>
          <w:b/>
          <w:noProof/>
          <w:color w:val="000000" w:themeColor="text1"/>
          <w:sz w:val="24"/>
        </w:rPr>
        <w:t>nómicos</w:t>
      </w:r>
      <w:r>
        <w:rPr>
          <w:rFonts w:ascii="Times New Roman" w:hAnsi="Times New Roman"/>
          <w:noProof/>
          <w:color w:val="000000" w:themeColor="text1"/>
          <w:sz w:val="24"/>
        </w:rPr>
        <w:t>, Albania ha realizado algunos avances y está moderadamente preparada en cuanto al desarrollo de una economía de mercado viable. El crecimiento económico ha seguido aumentando y el desempleo ha disminuido, aunque aún es elevado. Las exportaciones ha</w:t>
      </w:r>
      <w:r>
        <w:rPr>
          <w:rFonts w:ascii="Times New Roman" w:hAnsi="Times New Roman"/>
          <w:noProof/>
          <w:color w:val="000000" w:themeColor="text1"/>
          <w:sz w:val="24"/>
        </w:rPr>
        <w:t>n registrado un fuerte crecimiento, y el déficit por cuenta corriente se ha reducido. La elevada proporción entre la deuda pública y el PIB ha seguido disminuyendo, pero el ritmo del saneamiento presupuestario todavía es lento. Los bancos han seguido reduc</w:t>
      </w:r>
      <w:r>
        <w:rPr>
          <w:rFonts w:ascii="Times New Roman" w:hAnsi="Times New Roman"/>
          <w:noProof/>
          <w:color w:val="000000" w:themeColor="text1"/>
          <w:sz w:val="24"/>
        </w:rPr>
        <w:t xml:space="preserve">iendo el número de préstamos </w:t>
      </w:r>
      <w:r>
        <w:rPr>
          <w:noProof/>
        </w:rPr>
        <w:t>dudosos y el uso de moneda extranjera. El sector bancario se ha mantenido estable, aunque el crecimiento del crédito a empresas no ha repuntado. Se han dado pasos para desarrollar el mercado financiero. El entorno empresarial s</w:t>
      </w:r>
      <w:r>
        <w:rPr>
          <w:noProof/>
        </w:rPr>
        <w:t>olo ha mejorado en algunos aspectos. Se espera que los avances en la aplicación de la reforma global del sistema judicial contribuyan a reforzar el entorno empresarial y atraer inversiones. Se han hecho algunos avances en lo referente al aumento de la part</w:t>
      </w:r>
      <w:r>
        <w:rPr>
          <w:noProof/>
        </w:rPr>
        <w:t>icipación en el mercado de trabajo y la calidad y eficacia de las instituciones y los servicios relacionados con él, pero la tasa de empleo y la participación en dicho mercado se mantienen bajas, y la economía informal aún es un importante proveedor de emp</w:t>
      </w:r>
      <w:r>
        <w:rPr>
          <w:noProof/>
        </w:rPr>
        <w:t>leo.</w:t>
      </w:r>
    </w:p>
    <w:p w:rsidR="00D96FAD" w:rsidRDefault="00E3669E">
      <w:pPr>
        <w:autoSpaceDE w:val="0"/>
        <w:autoSpaceDN w:val="0"/>
        <w:adjustRightInd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Albania ha realizado algunos progresos y tiene un cierto nivel de preparación en cuanto a la capacidad para hacer frente a las presiones competitivas y las fuerzas del mercado dentro de la Unión. Albania ha realizado algunos avances en materia de ener</w:t>
      </w:r>
      <w:r>
        <w:rPr>
          <w:rFonts w:ascii="Times New Roman" w:hAnsi="Times New Roman"/>
          <w:noProof/>
          <w:color w:val="000000" w:themeColor="text1"/>
          <w:sz w:val="24"/>
        </w:rPr>
        <w:t>gía, transporte y desarrollo de la infraestructura digital, pero la falta de conocimientos productivos, los bajos niveles educativos y las transferencias de tecnología dificultan la competitividad y la integración del país en las cadenas de valor internaci</w:t>
      </w:r>
      <w:r>
        <w:rPr>
          <w:rFonts w:ascii="Times New Roman" w:hAnsi="Times New Roman"/>
          <w:noProof/>
          <w:color w:val="000000" w:themeColor="text1"/>
          <w:sz w:val="24"/>
        </w:rPr>
        <w:t>onales. Las exportaciones y la integración regional son inferiores a las posibilidades existentes. Los esfuerzos dirigidos a mejorar la educación y la formación están dando algunos resultados, pero deben continuar las reformas, especialmente a fin de abord</w:t>
      </w:r>
      <w:r>
        <w:rPr>
          <w:rFonts w:ascii="Times New Roman" w:hAnsi="Times New Roman"/>
          <w:noProof/>
          <w:color w:val="000000" w:themeColor="text1"/>
          <w:sz w:val="24"/>
        </w:rPr>
        <w:t>ar mejor las zonas rurales y los grupos vulnerables. La capacidad de Albania para la investigación, el desarrollo y la innovación sigue siendo muy reducida.</w:t>
      </w:r>
    </w:p>
    <w:p w:rsidR="00D96FAD" w:rsidRDefault="00E3669E">
      <w:pPr>
        <w:autoSpaceDE w:val="0"/>
        <w:autoSpaceDN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En el caso de </w:t>
      </w:r>
      <w:r>
        <w:rPr>
          <w:rFonts w:ascii="Times New Roman" w:hAnsi="Times New Roman"/>
          <w:b/>
          <w:noProof/>
          <w:color w:val="000000" w:themeColor="text1"/>
          <w:sz w:val="24"/>
        </w:rPr>
        <w:t>las relaciones de buena vecindad y la cooperación regional</w:t>
      </w:r>
      <w:r>
        <w:rPr>
          <w:rFonts w:ascii="Times New Roman" w:hAnsi="Times New Roman"/>
          <w:noProof/>
          <w:color w:val="000000" w:themeColor="text1"/>
          <w:sz w:val="24"/>
        </w:rPr>
        <w:t>, Albania ha seguido partic</w:t>
      </w:r>
      <w:r>
        <w:rPr>
          <w:rFonts w:ascii="Times New Roman" w:hAnsi="Times New Roman"/>
          <w:noProof/>
          <w:color w:val="000000" w:themeColor="text1"/>
          <w:sz w:val="24"/>
        </w:rPr>
        <w:t>ipando activamente en la cooperación regional y mantiene relaciones de buena vecindad. Se han adoptado medidas importantes para tratar cuestiones bilaterales con Grecia.</w:t>
      </w:r>
    </w:p>
    <w:p w:rsidR="00D96FAD" w:rsidRDefault="00E3669E">
      <w:pPr>
        <w:autoSpaceDE w:val="0"/>
        <w:autoSpaceDN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Albania ha seguido adaptando su legislación a los requisitos de la UE en una serie de </w:t>
      </w:r>
      <w:r>
        <w:rPr>
          <w:rFonts w:ascii="Times New Roman" w:hAnsi="Times New Roman"/>
          <w:noProof/>
          <w:color w:val="000000" w:themeColor="text1"/>
          <w:sz w:val="24"/>
        </w:rPr>
        <w:t xml:space="preserve">ámbitos y ha mejorado así su </w:t>
      </w:r>
      <w:r>
        <w:rPr>
          <w:rFonts w:ascii="Times New Roman" w:hAnsi="Times New Roman"/>
          <w:b/>
          <w:noProof/>
          <w:color w:val="000000" w:themeColor="text1"/>
          <w:sz w:val="24"/>
        </w:rPr>
        <w:t>capacidad para asumir las obligaciones de la adhesión</w:t>
      </w:r>
      <w:r>
        <w:rPr>
          <w:rFonts w:ascii="Times New Roman" w:hAnsi="Times New Roman"/>
          <w:noProof/>
          <w:color w:val="000000" w:themeColor="text1"/>
          <w:sz w:val="24"/>
        </w:rPr>
        <w:t>. El país está moderadamente preparado en muchos ámbitos, como el control financiero, la educación y la cultura, y las estadísticas, y en otros tiene un cierto nivel de prepa</w:t>
      </w:r>
      <w:r>
        <w:rPr>
          <w:rFonts w:ascii="Times New Roman" w:hAnsi="Times New Roman"/>
          <w:noProof/>
          <w:color w:val="000000" w:themeColor="text1"/>
          <w:sz w:val="24"/>
        </w:rPr>
        <w:t>ración, en particular, en los ámbitos de la contratación pública y las redes transeuropeas. Albania deberá proseguir sus esfuerzos por lo que respecta a su preparación general para adoptar y aplicar el acervo de la UE. Para que haya un sistema de control i</w:t>
      </w:r>
      <w:r>
        <w:rPr>
          <w:rFonts w:ascii="Times New Roman" w:hAnsi="Times New Roman"/>
          <w:noProof/>
          <w:color w:val="000000" w:themeColor="text1"/>
          <w:sz w:val="24"/>
        </w:rPr>
        <w:t>nterno del sector público que funcione debidamente, sigue siendo fundamental adoptar una política global de control interno de las finanzas públicas y coordinar su aplicación con la actual reforma de la gestión de la Administración Pública y las finanzas p</w:t>
      </w:r>
      <w:r>
        <w:rPr>
          <w:rFonts w:ascii="Times New Roman" w:hAnsi="Times New Roman"/>
          <w:noProof/>
          <w:color w:val="000000" w:themeColor="text1"/>
          <w:sz w:val="24"/>
        </w:rPr>
        <w:t xml:space="preserve">úblicas. Albania debe seguir trabajando en el desarrollo de las redes de transporte y energía, así como las medidas correspondientes de reforma en materia de conectividad, también con el fin de mejorar la conectividad en toda la región. </w:t>
      </w:r>
    </w:p>
    <w:p w:rsidR="00D96FAD" w:rsidRDefault="00E3669E">
      <w:pPr>
        <w:autoSpaceDE w:val="0"/>
        <w:autoSpaceDN w:val="0"/>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Es preciso, por un</w:t>
      </w:r>
      <w:r>
        <w:rPr>
          <w:rFonts w:ascii="Times New Roman" w:hAnsi="Times New Roman"/>
          <w:noProof/>
          <w:color w:val="000000" w:themeColor="text1"/>
          <w:sz w:val="24"/>
        </w:rPr>
        <w:t>a parte, reforzar la capacidad administrativa y la profesionalidad de los organismos encargados de la aplicación del acervo, y, por otra, salvaguardar la independencia de los organismos reguladores. Sigue siendo esencial consolidar la transparencia y la re</w:t>
      </w:r>
      <w:r>
        <w:rPr>
          <w:rFonts w:ascii="Times New Roman" w:hAnsi="Times New Roman"/>
          <w:noProof/>
          <w:color w:val="000000" w:themeColor="text1"/>
          <w:sz w:val="24"/>
        </w:rPr>
        <w:t xml:space="preserve">ndición de cuentas, en particular, garantizando el funcionamiento eficaz, eficiente y transparente del sistema de contratación pública y la gestión de las finanzas públicas. Albania ha proseguido su plena armonización con las posiciones y declaraciones de </w:t>
      </w:r>
      <w:r>
        <w:rPr>
          <w:rFonts w:ascii="Times New Roman" w:hAnsi="Times New Roman"/>
          <w:noProof/>
          <w:color w:val="000000" w:themeColor="text1"/>
          <w:sz w:val="24"/>
        </w:rPr>
        <w:t>la política exterior y de seguridad común de la UE.</w:t>
      </w:r>
    </w:p>
    <w:p w:rsidR="00D96FAD" w:rsidRDefault="00E3669E">
      <w:pPr>
        <w:spacing w:after="120" w:line="240" w:lineRule="auto"/>
        <w:jc w:val="both"/>
        <w:rPr>
          <w:rFonts w:ascii="Times New Roman" w:hAnsi="Times New Roman" w:cs="Times New Roman"/>
          <w:noProof/>
          <w:color w:val="000000" w:themeColor="text1"/>
          <w:sz w:val="24"/>
          <w:szCs w:val="24"/>
        </w:rPr>
      </w:pPr>
      <w:r>
        <w:rPr>
          <w:rFonts w:ascii="Times New Roman" w:hAnsi="Times New Roman"/>
          <w:noProof/>
          <w:color w:val="000000" w:themeColor="text1"/>
          <w:sz w:val="24"/>
        </w:rPr>
        <w:t xml:space="preserve">Por lo que respecta a la </w:t>
      </w:r>
      <w:r>
        <w:rPr>
          <w:rFonts w:ascii="Times New Roman" w:hAnsi="Times New Roman"/>
          <w:b/>
          <w:noProof/>
          <w:color w:val="000000" w:themeColor="text1"/>
          <w:sz w:val="24"/>
        </w:rPr>
        <w:t>migración</w:t>
      </w:r>
      <w:r>
        <w:rPr>
          <w:rFonts w:ascii="Times New Roman" w:hAnsi="Times New Roman"/>
          <w:noProof/>
          <w:color w:val="000000" w:themeColor="text1"/>
          <w:sz w:val="24"/>
        </w:rPr>
        <w:t>, se han hecho algunos avances en cuanto a la mejora de la capacidad institucional en materia de gestión de fronteras y asilo.</w:t>
      </w:r>
      <w:r>
        <w:rPr>
          <w:rFonts w:ascii="Times New Roman" w:hAnsi="Times New Roman"/>
          <w:b/>
          <w:noProof/>
          <w:color w:val="000000" w:themeColor="text1"/>
          <w:sz w:val="24"/>
        </w:rPr>
        <w:t xml:space="preserve"> </w:t>
      </w:r>
      <w:r>
        <w:rPr>
          <w:rFonts w:ascii="Times New Roman" w:hAnsi="Times New Roman"/>
          <w:noProof/>
          <w:color w:val="000000" w:themeColor="text1"/>
          <w:sz w:val="24"/>
        </w:rPr>
        <w:t>Albania firmó en octubre de 2018 el Acuerdo</w:t>
      </w:r>
      <w:r>
        <w:rPr>
          <w:rFonts w:ascii="Times New Roman" w:hAnsi="Times New Roman"/>
          <w:noProof/>
          <w:color w:val="000000" w:themeColor="text1"/>
          <w:sz w:val="24"/>
        </w:rPr>
        <w:t xml:space="preserve"> sobre el Estatuto de la Guardia Europea de Fronteras y Costas con la UE.</w:t>
      </w:r>
      <w:r>
        <w:rPr>
          <w:rFonts w:ascii="Times New Roman" w:hAnsi="Times New Roman"/>
          <w:b/>
          <w:noProof/>
          <w:color w:val="000000" w:themeColor="text1"/>
          <w:sz w:val="24"/>
        </w:rPr>
        <w:t xml:space="preserve"> </w:t>
      </w:r>
      <w:r>
        <w:rPr>
          <w:rFonts w:ascii="Times New Roman" w:hAnsi="Times New Roman"/>
          <w:noProof/>
          <w:color w:val="000000" w:themeColor="text1"/>
          <w:sz w:val="24"/>
        </w:rPr>
        <w:t>Se reforzado en mayor medida la capacidad de acogida para hacer frente a los flujos migratorios mixtos. Si bien ha disminuido el número de solicitudes de asilo infundadas presentadas</w:t>
      </w:r>
      <w:r>
        <w:rPr>
          <w:rFonts w:ascii="Times New Roman" w:hAnsi="Times New Roman"/>
          <w:noProof/>
          <w:color w:val="000000" w:themeColor="text1"/>
          <w:sz w:val="24"/>
        </w:rPr>
        <w:t xml:space="preserve"> por nacionales albanos en la UE, la cifra sigue siendo elevada, por lo que no deben relajarse los esfuerzos en este sentido, así como para luchar contra el fenómeno de los menores no acompañados. </w:t>
      </w:r>
    </w:p>
    <w:p w:rsidR="00D96FAD" w:rsidRDefault="00E3669E">
      <w:pPr>
        <w:keepNext/>
        <w:spacing w:before="360" w:after="120" w:line="240" w:lineRule="auto"/>
        <w:jc w:val="both"/>
        <w:rPr>
          <w:rFonts w:ascii="Times New Roman" w:hAnsi="Times New Roman" w:cs="Times New Roman"/>
          <w:b/>
          <w:noProof/>
          <w:sz w:val="24"/>
          <w:szCs w:val="24"/>
        </w:rPr>
      </w:pPr>
      <w:r>
        <w:rPr>
          <w:rFonts w:ascii="Times New Roman" w:hAnsi="Times New Roman"/>
          <w:b/>
          <w:noProof/>
          <w:sz w:val="24"/>
        </w:rPr>
        <w:t>Kosovo</w:t>
      </w:r>
    </w:p>
    <w:p w:rsidR="00D96FAD" w:rsidRDefault="00E3669E">
      <w:pPr>
        <w:autoSpaceDE w:val="0"/>
        <w:autoSpaceDN w:val="0"/>
        <w:adjustRightInd w:val="0"/>
        <w:spacing w:after="120" w:line="240" w:lineRule="auto"/>
        <w:jc w:val="both"/>
        <w:rPr>
          <w:rFonts w:ascii="Times New Roman" w:eastAsia="Times New Roman" w:hAnsi="Times New Roman" w:cs="Times New Roman"/>
          <w:bCs/>
          <w:noProof/>
          <w:sz w:val="24"/>
          <w:szCs w:val="24"/>
        </w:rPr>
      </w:pPr>
      <w:r>
        <w:rPr>
          <w:rFonts w:ascii="Times New Roman" w:hAnsi="Times New Roman"/>
          <w:noProof/>
          <w:sz w:val="24"/>
        </w:rPr>
        <w:t xml:space="preserve">Por lo que se refiere a los </w:t>
      </w:r>
      <w:r>
        <w:rPr>
          <w:rFonts w:ascii="Times New Roman" w:hAnsi="Times New Roman"/>
          <w:b/>
          <w:noProof/>
          <w:sz w:val="24"/>
        </w:rPr>
        <w:t>criterios políticos</w:t>
      </w:r>
      <w:r>
        <w:rPr>
          <w:rFonts w:ascii="Times New Roman" w:hAnsi="Times New Roman"/>
          <w:noProof/>
          <w:sz w:val="24"/>
        </w:rPr>
        <w:t>, Kosovo ha avanzado en la aplicación de determinadas reformas clave en relación con la UE, en particular, respecto de la mejora del marco jurídico en los ámbitos del Estado de Derecho y la Administración Pública. No obstante, se ha adoptado una serie de m</w:t>
      </w:r>
      <w:r>
        <w:rPr>
          <w:rFonts w:ascii="Times New Roman" w:hAnsi="Times New Roman"/>
          <w:noProof/>
          <w:sz w:val="24"/>
        </w:rPr>
        <w:t xml:space="preserve">edidas y decisiones </w:t>
      </w:r>
      <w:r>
        <w:rPr>
          <w:rFonts w:ascii="Times New Roman" w:hAnsi="Times New Roman"/>
          <w:i/>
          <w:noProof/>
          <w:sz w:val="24"/>
        </w:rPr>
        <w:t>ad hoc</w:t>
      </w:r>
      <w:r>
        <w:rPr>
          <w:rFonts w:ascii="Times New Roman" w:hAnsi="Times New Roman"/>
          <w:noProof/>
          <w:sz w:val="24"/>
        </w:rPr>
        <w:t xml:space="preserve"> que no están en consonancia con los objetivos de reforma declarados por el Gobierno. El excesivo tamaño del Gobierno, así como un nuevo aumento del número de viceministros, sigue afectando a su credibilidad y eficacia.</w:t>
      </w:r>
    </w:p>
    <w:p w:rsidR="00D96FAD" w:rsidRDefault="00E3669E">
      <w:pPr>
        <w:autoSpaceDE w:val="0"/>
        <w:autoSpaceDN w:val="0"/>
        <w:adjustRightInd w:val="0"/>
        <w:spacing w:after="120" w:line="240" w:lineRule="auto"/>
        <w:jc w:val="both"/>
        <w:rPr>
          <w:rFonts w:ascii="Times New Roman" w:eastAsia="Times New Roman" w:hAnsi="Times New Roman" w:cs="Times New Roman"/>
          <w:bCs/>
          <w:noProof/>
          <w:sz w:val="24"/>
          <w:szCs w:val="24"/>
        </w:rPr>
      </w:pPr>
      <w:r>
        <w:rPr>
          <w:rFonts w:ascii="Times New Roman" w:hAnsi="Times New Roman"/>
          <w:noProof/>
          <w:sz w:val="24"/>
        </w:rPr>
        <w:t>La Asamble</w:t>
      </w:r>
      <w:r>
        <w:rPr>
          <w:rFonts w:ascii="Times New Roman" w:hAnsi="Times New Roman"/>
          <w:noProof/>
          <w:sz w:val="24"/>
        </w:rPr>
        <w:t>a ha podido reunir mayorías con respecto a algunas cuestiones estratégicas clave para Kosovo, como ponen de manifiesto la ratificación del acuerdo de delimitación de la frontera con Montenegro y la adopción de importantes reformas legislativas relacionadas</w:t>
      </w:r>
      <w:r>
        <w:rPr>
          <w:rFonts w:ascii="Times New Roman" w:hAnsi="Times New Roman"/>
          <w:noProof/>
          <w:sz w:val="24"/>
        </w:rPr>
        <w:t xml:space="preserve"> con la UE. Sin embargo, la Asamblea ha seguido desempeñando sus funciones en un contexto político muy polarizado, y persisten las deficiencias en su funcionamiento general, como lo demuestra, en particular, la frecuente falta de cuórum, que da lugar a ret</w:t>
      </w:r>
      <w:r>
        <w:rPr>
          <w:rFonts w:ascii="Times New Roman" w:hAnsi="Times New Roman"/>
          <w:noProof/>
          <w:sz w:val="24"/>
        </w:rPr>
        <w:t>rasos en la actividad legislativa.</w:t>
      </w:r>
    </w:p>
    <w:p w:rsidR="00D96FAD" w:rsidRDefault="00E3669E">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 xml:space="preserve">Apenas se ha avanzado en lo referente al seguimiento de las conclusiones y recomendaciones de la misión de observación electoral de la UE para las elecciones parlamentarias y municipales de 2017. </w:t>
      </w:r>
    </w:p>
    <w:p w:rsidR="00D96FAD" w:rsidRDefault="00E3669E">
      <w:pPr>
        <w:autoSpaceDE w:val="0"/>
        <w:autoSpaceDN w:val="0"/>
        <w:adjustRightInd w:val="0"/>
        <w:spacing w:after="120" w:line="240" w:lineRule="auto"/>
        <w:jc w:val="both"/>
        <w:rPr>
          <w:rFonts w:ascii="Times New Roman" w:eastAsia="Calibri" w:hAnsi="Times New Roman" w:cs="Times New Roman"/>
          <w:noProof/>
          <w:sz w:val="24"/>
          <w:szCs w:val="24"/>
        </w:rPr>
      </w:pPr>
      <w:r>
        <w:rPr>
          <w:rFonts w:ascii="Times New Roman" w:hAnsi="Times New Roman"/>
          <w:noProof/>
          <w:sz w:val="24"/>
        </w:rPr>
        <w:t>La situación en el norte</w:t>
      </w:r>
      <w:r>
        <w:rPr>
          <w:rFonts w:ascii="Times New Roman" w:hAnsi="Times New Roman"/>
          <w:noProof/>
          <w:sz w:val="24"/>
        </w:rPr>
        <w:t xml:space="preserve"> de Kosovo sigue siendo especialmente complicada.</w:t>
      </w:r>
    </w:p>
    <w:p w:rsidR="00D96FAD" w:rsidRDefault="00E3669E">
      <w:pPr>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sz w:val="24"/>
        </w:rPr>
        <w:t xml:space="preserve">Hay un cierto nivel de preparación en materia de </w:t>
      </w:r>
      <w:r>
        <w:rPr>
          <w:rFonts w:ascii="Times New Roman" w:hAnsi="Times New Roman"/>
          <w:b/>
          <w:noProof/>
          <w:sz w:val="24"/>
        </w:rPr>
        <w:t>reforma de la Administración Pública</w:t>
      </w:r>
      <w:r>
        <w:rPr>
          <w:rFonts w:ascii="Times New Roman" w:hAnsi="Times New Roman"/>
          <w:noProof/>
          <w:sz w:val="24"/>
        </w:rPr>
        <w:t>. En general, se han realizado algunos avances durante el período de referencia; sin embargo, es preciso trabajar con ahí</w:t>
      </w:r>
      <w:r>
        <w:rPr>
          <w:rFonts w:ascii="Times New Roman" w:hAnsi="Times New Roman"/>
          <w:noProof/>
          <w:sz w:val="24"/>
        </w:rPr>
        <w:t>nco para hacer frente al problema de la influencia de la política en la selección de altos funcionarios. Se ha avanzado mucho gracias a la adopción del paquete legislativo sobre el funcionamiento y la organización de la Administración Pública, sobre los fu</w:t>
      </w:r>
      <w:r>
        <w:rPr>
          <w:rFonts w:ascii="Times New Roman" w:hAnsi="Times New Roman"/>
          <w:noProof/>
          <w:sz w:val="24"/>
        </w:rPr>
        <w:t>ncionarios públicos y sobre los salarios. Otros logros son la adopción de directrices sobre planificación estratégica y el inicio de la aplicación del plan de acción sobre la racionalización de las agencias. La revisión del marco jurídico supone un paso im</w:t>
      </w:r>
      <w:r>
        <w:rPr>
          <w:rFonts w:ascii="Times New Roman" w:hAnsi="Times New Roman"/>
          <w:noProof/>
          <w:sz w:val="24"/>
        </w:rPr>
        <w:t>portante hacia la creación de una función pública moderna y profesional, y la mejora de la rendición de cuentas. Si bien la Ley de salarios introduce un régimen salarial más transparente y equitativo para los funcionarios públicos, se plantean dudas en cua</w:t>
      </w:r>
      <w:r>
        <w:rPr>
          <w:rFonts w:ascii="Times New Roman" w:hAnsi="Times New Roman"/>
          <w:noProof/>
          <w:sz w:val="24"/>
        </w:rPr>
        <w:t xml:space="preserve">nto a su repercusión presupuestaria a medio plazo. </w:t>
      </w:r>
    </w:p>
    <w:p w:rsidR="00D96FAD" w:rsidRDefault="00E3669E">
      <w:pPr>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sz w:val="24"/>
        </w:rPr>
        <w:t xml:space="preserve">El </w:t>
      </w:r>
      <w:r>
        <w:rPr>
          <w:rFonts w:ascii="Times New Roman" w:hAnsi="Times New Roman"/>
          <w:b/>
          <w:noProof/>
          <w:sz w:val="24"/>
        </w:rPr>
        <w:t>sistema judicial</w:t>
      </w:r>
      <w:r>
        <w:rPr>
          <w:rFonts w:ascii="Times New Roman" w:hAnsi="Times New Roman"/>
          <w:noProof/>
          <w:sz w:val="24"/>
        </w:rPr>
        <w:t xml:space="preserve"> de Kosovo se encuentra en una fase inicial. La adopción de la Ley sobre la responsabilidad disciplinaria de jueces y fiscales y la Ley sobre mediación han permitido hacer algunos progr</w:t>
      </w:r>
      <w:r>
        <w:rPr>
          <w:rFonts w:ascii="Times New Roman" w:hAnsi="Times New Roman"/>
          <w:noProof/>
          <w:sz w:val="24"/>
        </w:rPr>
        <w:t>esos, y se ha avanzado en la implantación de un sistema electrónico de gestión de casos. El número de empleados judiciales en las fiscalías y los órganos jurisdiccionales ha aumentado en 2018, también en la Fiscalía Especial. Si bien en 2017 se concluyó fo</w:t>
      </w:r>
      <w:r>
        <w:rPr>
          <w:rFonts w:ascii="Times New Roman" w:hAnsi="Times New Roman"/>
          <w:noProof/>
          <w:sz w:val="24"/>
        </w:rPr>
        <w:t>rmalmente el proceso de integración de los jueces y fiscales serbokosovares y su personal de apoyo en el sistema judicial de Kosovo, es necesario continuar la labor para garantizar la plena funcionalidad, en particular, en el caso del Tribunal de Apelación</w:t>
      </w:r>
      <w:r>
        <w:rPr>
          <w:rFonts w:ascii="Times New Roman" w:hAnsi="Times New Roman"/>
          <w:noProof/>
          <w:sz w:val="24"/>
        </w:rPr>
        <w:t xml:space="preserve">. El poder judicial sigue siendo vulnerable a injerencias políticas indebidas. La administración de justicia aún es lenta e ineficiente, y las instituciones del Estado de Derecho necesitan un apoyo continuado para desarrollar sus capacidades. </w:t>
      </w:r>
    </w:p>
    <w:p w:rsidR="00D96FAD" w:rsidRDefault="00E3669E">
      <w:pPr>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sz w:val="24"/>
        </w:rPr>
        <w:t>Kosovo se en</w:t>
      </w:r>
      <w:r>
        <w:rPr>
          <w:rFonts w:ascii="Times New Roman" w:hAnsi="Times New Roman"/>
          <w:noProof/>
          <w:sz w:val="24"/>
        </w:rPr>
        <w:t xml:space="preserve">cuentra en una fase inicial / tiene un cierto nivel de preparación en el ámbito de la </w:t>
      </w:r>
      <w:r>
        <w:rPr>
          <w:rFonts w:ascii="Times New Roman" w:hAnsi="Times New Roman"/>
          <w:b/>
          <w:noProof/>
          <w:sz w:val="24"/>
        </w:rPr>
        <w:t>lucha contra la corrupción</w:t>
      </w:r>
      <w:r>
        <w:rPr>
          <w:rFonts w:ascii="Times New Roman" w:hAnsi="Times New Roman"/>
          <w:noProof/>
          <w:sz w:val="24"/>
        </w:rPr>
        <w:t>. Kosovo ha realizado algunos avances a través de importantes reformas legislativas en el ámbito del Estado de Derecho y en lo tocante a la inve</w:t>
      </w:r>
      <w:r>
        <w:rPr>
          <w:rFonts w:ascii="Times New Roman" w:hAnsi="Times New Roman"/>
          <w:noProof/>
          <w:sz w:val="24"/>
        </w:rPr>
        <w:t xml:space="preserve">stigación y el enjuiciamiento de casos de alto nivel. También se han registrado avances en la incautación de activos, aunque el número de decomisos sigue siendo bajo. La corrupción está muy extendida y sigue siendo motivo de preocupación. </w:t>
      </w:r>
    </w:p>
    <w:p w:rsidR="00D96FAD" w:rsidRDefault="00E3669E">
      <w:pPr>
        <w:autoSpaceDE w:val="0"/>
        <w:autoSpaceDN w:val="0"/>
        <w:adjustRightInd w:val="0"/>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Kosovo se encuen</w:t>
      </w:r>
      <w:r>
        <w:rPr>
          <w:rFonts w:ascii="Times New Roman" w:hAnsi="Times New Roman"/>
          <w:noProof/>
          <w:sz w:val="24"/>
        </w:rPr>
        <w:t xml:space="preserve">tra en una fase inicial en la </w:t>
      </w:r>
      <w:r>
        <w:rPr>
          <w:rFonts w:ascii="Times New Roman" w:hAnsi="Times New Roman"/>
          <w:b/>
          <w:noProof/>
          <w:sz w:val="24"/>
        </w:rPr>
        <w:t>lucha contra la delincuencia organizada</w:t>
      </w:r>
      <w:r>
        <w:rPr>
          <w:rFonts w:ascii="Times New Roman" w:hAnsi="Times New Roman"/>
          <w:noProof/>
          <w:sz w:val="24"/>
        </w:rPr>
        <w:t>. Se han logrado algunos avances, en particular, a través de importantes reformas legislativas en el ámbito del Estado de Derecho, la investigación y el enjuiciamiento de casos de alto ni</w:t>
      </w:r>
      <w:r>
        <w:rPr>
          <w:rFonts w:ascii="Times New Roman" w:hAnsi="Times New Roman"/>
          <w:noProof/>
          <w:sz w:val="24"/>
        </w:rPr>
        <w:t>vel, y la inmovilización de activos. Sin embargo, se ha avanzado poco en el decomiso de activos, y el número de investigaciones financieras y condenas firmes sigue siendo bajo. Se necesitan medidas que garanticen estrictamente la ausencia de injerencias po</w:t>
      </w:r>
      <w:r>
        <w:rPr>
          <w:rFonts w:ascii="Times New Roman" w:hAnsi="Times New Roman"/>
          <w:noProof/>
          <w:sz w:val="24"/>
        </w:rPr>
        <w:t xml:space="preserve">líticas en las actividades operativas de los cuerpos y fuerzas de seguridad y la Fiscalía. La situación en el norte de Kosovo respecto a la delincuencia organizada sigue planteando problemas a los cuerpos y fuerzas de seguridad. </w:t>
      </w:r>
    </w:p>
    <w:p w:rsidR="00D96FAD" w:rsidRDefault="00E3669E">
      <w:pPr>
        <w:autoSpaceDE w:val="0"/>
        <w:autoSpaceDN w:val="0"/>
        <w:adjustRightInd w:val="0"/>
        <w:spacing w:after="120" w:line="240" w:lineRule="auto"/>
        <w:jc w:val="both"/>
        <w:rPr>
          <w:rFonts w:ascii="Times New Roman" w:hAnsi="Times New Roman" w:cs="Times New Roman"/>
          <w:b/>
          <w:noProof/>
          <w:sz w:val="24"/>
          <w:szCs w:val="24"/>
        </w:rPr>
      </w:pPr>
      <w:r>
        <w:rPr>
          <w:rFonts w:ascii="Times New Roman" w:hAnsi="Times New Roman"/>
          <w:noProof/>
          <w:sz w:val="24"/>
        </w:rPr>
        <w:t>Se ha avanzado en la lucha</w:t>
      </w:r>
      <w:r>
        <w:rPr>
          <w:rFonts w:ascii="Times New Roman" w:hAnsi="Times New Roman"/>
          <w:noProof/>
          <w:sz w:val="24"/>
        </w:rPr>
        <w:t xml:space="preserve"> contra el terrorismo, especialmente por lo que se refiere a la creación de mejores condiciones para la rehabilitación y la reintegración de los combatientes terroristas extranjeros y sus familias. Las autoridades kosovares tienen que actuar con mayor efic</w:t>
      </w:r>
      <w:r>
        <w:rPr>
          <w:rFonts w:ascii="Times New Roman" w:hAnsi="Times New Roman"/>
          <w:noProof/>
          <w:sz w:val="24"/>
        </w:rPr>
        <w:t>acia para combatir el blanqueo de capitales, y debe armonizarse la legislación pertinente con el acervo de la UE y las normas internacionales.</w:t>
      </w:r>
    </w:p>
    <w:p w:rsidR="00D96FAD" w:rsidRDefault="00E3669E">
      <w:pPr>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sz w:val="24"/>
        </w:rPr>
        <w:t xml:space="preserve">El marco jurídico garantiza de forma genérica la protección de los </w:t>
      </w:r>
      <w:r>
        <w:rPr>
          <w:rFonts w:ascii="Times New Roman" w:hAnsi="Times New Roman"/>
          <w:b/>
          <w:noProof/>
          <w:sz w:val="24"/>
        </w:rPr>
        <w:t>derechos humanos y fundamentales</w:t>
      </w:r>
      <w:r>
        <w:rPr>
          <w:rFonts w:ascii="Times New Roman" w:hAnsi="Times New Roman"/>
          <w:noProof/>
          <w:sz w:val="24"/>
        </w:rPr>
        <w:t>, en consonanc</w:t>
      </w:r>
      <w:r>
        <w:rPr>
          <w:rFonts w:ascii="Times New Roman" w:hAnsi="Times New Roman"/>
          <w:noProof/>
          <w:sz w:val="24"/>
        </w:rPr>
        <w:t>ia con las normas europeas. Sin embargo, la aplicación de la legislación y las estrategias en materia de derechos humanos se ve a menudo desvirtuada por la inadecuación de los recursos financieros y de otro tipo, especialmente en el ámbito local, por las d</w:t>
      </w:r>
      <w:r>
        <w:rPr>
          <w:rFonts w:ascii="Times New Roman" w:hAnsi="Times New Roman"/>
          <w:noProof/>
          <w:sz w:val="24"/>
        </w:rPr>
        <w:t>eficiencias en el establecimiento de prioridades políticas y por la falta de coordinación. Los mecanismos existentes para la coordinación y la aplicación de los derechos humanos no son eficaces. Sigue habiendo una gran dependencia de las donaciones extranj</w:t>
      </w:r>
      <w:r>
        <w:rPr>
          <w:rFonts w:ascii="Times New Roman" w:hAnsi="Times New Roman"/>
          <w:noProof/>
          <w:sz w:val="24"/>
        </w:rPr>
        <w:t>eras. Es preciso hacer más para garantizar el amparo efectivo de los derechos de las personas pertenecientes a minorías, en particular, los gitanos, los ashkalíes y las personas desplazadas; garantizar la igualdad de género en la práctica; establecer un si</w:t>
      </w:r>
      <w:r>
        <w:rPr>
          <w:rFonts w:ascii="Times New Roman" w:hAnsi="Times New Roman"/>
          <w:noProof/>
          <w:sz w:val="24"/>
        </w:rPr>
        <w:t xml:space="preserve">stema integrado de protección del menor, y avanzar en la protección del patrimonio cultural. Kosovo tiene un cierto nivel de preparación en el ámbito de la </w:t>
      </w:r>
      <w:r>
        <w:rPr>
          <w:rFonts w:ascii="Times New Roman" w:hAnsi="Times New Roman"/>
          <w:b/>
          <w:noProof/>
          <w:sz w:val="24"/>
        </w:rPr>
        <w:t>libertad de expresión</w:t>
      </w:r>
      <w:r>
        <w:rPr>
          <w:rFonts w:ascii="Times New Roman" w:hAnsi="Times New Roman"/>
          <w:noProof/>
          <w:sz w:val="24"/>
        </w:rPr>
        <w:t>, consagrada en la Constitución. Kosovo goza de un entorno mediático pluralista</w:t>
      </w:r>
      <w:r>
        <w:rPr>
          <w:rFonts w:ascii="Times New Roman" w:hAnsi="Times New Roman"/>
          <w:noProof/>
          <w:sz w:val="24"/>
        </w:rPr>
        <w:t xml:space="preserve"> y dinámico. Las instituciones del Estado de Derecho se preocupan cada vez más por hacer un seguimiento de las amenazas y las agresiones contra periodistas, y se ha observado una disminución del número de incidentes. Queda por adoptar una solución sostenib</w:t>
      </w:r>
      <w:r>
        <w:rPr>
          <w:rFonts w:ascii="Times New Roman" w:hAnsi="Times New Roman"/>
          <w:noProof/>
          <w:sz w:val="24"/>
        </w:rPr>
        <w:t>le para la financiación del organismo público de radiodifusión. Este organismo todavía es vulnerable a la presión y a la influencia políticas.</w:t>
      </w:r>
    </w:p>
    <w:p w:rsidR="00D96FAD" w:rsidRDefault="00E3669E">
      <w:pPr>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sz w:val="24"/>
        </w:rPr>
        <w:t xml:space="preserve">Por lo que se refiere a los </w:t>
      </w:r>
      <w:r>
        <w:rPr>
          <w:rFonts w:ascii="Times New Roman" w:hAnsi="Times New Roman"/>
          <w:b/>
          <w:noProof/>
          <w:sz w:val="24"/>
        </w:rPr>
        <w:t>criterios económicos</w:t>
      </w:r>
      <w:r>
        <w:rPr>
          <w:rFonts w:ascii="Times New Roman" w:hAnsi="Times New Roman"/>
          <w:noProof/>
          <w:sz w:val="24"/>
        </w:rPr>
        <w:t xml:space="preserve">, Kosovo se encuentra en una fase inicial y ha realizado algunos </w:t>
      </w:r>
      <w:r>
        <w:rPr>
          <w:rFonts w:ascii="Times New Roman" w:hAnsi="Times New Roman"/>
          <w:noProof/>
          <w:sz w:val="24"/>
        </w:rPr>
        <w:t>avances en cuanto al desarrollo de una economía de mercado viable. El crecimiento económico ha sido sólido, pero tan complicada situación del mercado de trabajo sigue siendo motivo de preocupación. El Gobierno se ha adherido a las normas presupuestarias, p</w:t>
      </w:r>
      <w:r>
        <w:rPr>
          <w:rFonts w:ascii="Times New Roman" w:hAnsi="Times New Roman"/>
          <w:noProof/>
          <w:sz w:val="24"/>
        </w:rPr>
        <w:t>ero las presiones sobre el gasto en relación con las prestaciones sociales destinadas a grupos específicos de la población y los salarios de los empleados públicos plantean riesgos para las finanzas públicas y obstaculizan el desarrollo del sector privado.</w:t>
      </w:r>
      <w:r>
        <w:rPr>
          <w:rFonts w:ascii="Times New Roman" w:hAnsi="Times New Roman"/>
          <w:noProof/>
          <w:sz w:val="24"/>
        </w:rPr>
        <w:t xml:space="preserve"> El entorno empresarial ha mejorado en cierta medida, pero persisten problemas como una economía informal muy extendida, un poder judicial lento e ineficiente, una gran prevalencia de la corrupción y unas instituciones del Estado de Derecho que, en general</w:t>
      </w:r>
      <w:r>
        <w:rPr>
          <w:rFonts w:ascii="Times New Roman" w:hAnsi="Times New Roman"/>
          <w:noProof/>
          <w:sz w:val="24"/>
        </w:rPr>
        <w:t>, son débiles. A pesar del fuerte crecimiento de las exportaciones de servicios, la diversificación de la economía ha avanzado a un ritmo lento.</w:t>
      </w:r>
    </w:p>
    <w:p w:rsidR="00D96FAD" w:rsidRDefault="00E3669E">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Kosovo se encuentra en una fase inicial y ha registrado algunos progresos en lo que respecta a su capacidad par</w:t>
      </w:r>
      <w:r>
        <w:rPr>
          <w:rFonts w:ascii="Times New Roman" w:hAnsi="Times New Roman"/>
          <w:noProof/>
          <w:sz w:val="24"/>
        </w:rPr>
        <w:t>a hacer frente a la presión competitiva y las fuerzas del mercado dentro de la UE. Kosovo ha hecho algunos progresos en la mejora de la infraestructura viaria, pero todavía hay importantes carencias en la infraestructura ferroviaria y de energía. Los progr</w:t>
      </w:r>
      <w:r>
        <w:rPr>
          <w:rFonts w:ascii="Times New Roman" w:hAnsi="Times New Roman"/>
          <w:noProof/>
          <w:sz w:val="24"/>
        </w:rPr>
        <w:t xml:space="preserve">esos han sido escasos en cuanto a garantizar un suministro estable de energía, y las pérdidas en el sector de la electricidad siguen siendo elevadas. Kosovo ha logrado algunos progresos en la digitalización de la economía. Se ha avanzado poco en la mejora </w:t>
      </w:r>
      <w:r>
        <w:rPr>
          <w:rFonts w:ascii="Times New Roman" w:hAnsi="Times New Roman"/>
          <w:noProof/>
          <w:sz w:val="24"/>
        </w:rPr>
        <w:t>de la calidad de la educación y en la búsqueda de una solución para el déficit de mano de obra cualificada. Los cambios estructurales van viendo la luz lentamente, y la economía aún depende en gran medida del sector del comercio nacional. El crecimiento de</w:t>
      </w:r>
      <w:r>
        <w:rPr>
          <w:rFonts w:ascii="Times New Roman" w:hAnsi="Times New Roman"/>
          <w:noProof/>
          <w:sz w:val="24"/>
        </w:rPr>
        <w:t xml:space="preserve"> las exportaciones se debe principalmente a las exportaciones de servicios a la diáspora; en cambio, la falta de diversificación de los productos dificulta el crecimiento de las exportaciones de bienes. </w:t>
      </w:r>
    </w:p>
    <w:p w:rsidR="00D96FAD" w:rsidRDefault="00E3669E">
      <w:pPr>
        <w:spacing w:after="120" w:line="240" w:lineRule="auto"/>
        <w:jc w:val="both"/>
        <w:rPr>
          <w:rFonts w:ascii="Times New Roman" w:eastAsia="Times New Roman" w:hAnsi="Times New Roman" w:cs="Times New Roman"/>
          <w:noProof/>
          <w:sz w:val="24"/>
          <w:szCs w:val="24"/>
        </w:rPr>
      </w:pPr>
      <w:r>
        <w:rPr>
          <w:rFonts w:ascii="Times New Roman" w:hAnsi="Times New Roman"/>
          <w:noProof/>
          <w:sz w:val="24"/>
        </w:rPr>
        <w:t xml:space="preserve">En el caso de las </w:t>
      </w:r>
      <w:r>
        <w:rPr>
          <w:rFonts w:ascii="Times New Roman" w:hAnsi="Times New Roman"/>
          <w:b/>
          <w:noProof/>
          <w:sz w:val="24"/>
        </w:rPr>
        <w:t>relaciones de buena vecindad</w:t>
      </w:r>
      <w:r>
        <w:rPr>
          <w:rFonts w:ascii="Times New Roman" w:hAnsi="Times New Roman"/>
          <w:noProof/>
          <w:sz w:val="24"/>
        </w:rPr>
        <w:t xml:space="preserve"> y la </w:t>
      </w:r>
      <w:r>
        <w:rPr>
          <w:rFonts w:ascii="Times New Roman" w:hAnsi="Times New Roman"/>
          <w:b/>
          <w:noProof/>
          <w:sz w:val="24"/>
        </w:rPr>
        <w:t>cooperación regional</w:t>
      </w:r>
      <w:r>
        <w:rPr>
          <w:rFonts w:ascii="Times New Roman" w:hAnsi="Times New Roman"/>
          <w:noProof/>
          <w:sz w:val="24"/>
        </w:rPr>
        <w:t xml:space="preserve">, Kosovo ha seguido participando en la mayoría de los foros regionales. No obstante, la decisión de Kosovo de imponer un arancel del 100 % a las importaciones procedentes de Serbia y de Bosnia y Herzegovina ha socavado los esfuerzos de </w:t>
      </w:r>
      <w:r>
        <w:rPr>
          <w:rFonts w:ascii="Times New Roman" w:hAnsi="Times New Roman"/>
          <w:noProof/>
          <w:sz w:val="24"/>
        </w:rPr>
        <w:t>cooperación regional.</w:t>
      </w:r>
    </w:p>
    <w:p w:rsidR="00D96FAD" w:rsidRDefault="00E3669E">
      <w:pPr>
        <w:spacing w:after="120" w:line="240" w:lineRule="auto"/>
        <w:jc w:val="both"/>
        <w:rPr>
          <w:rFonts w:ascii="Times New Roman" w:hAnsi="Times New Roman" w:cs="Times New Roman"/>
          <w:noProof/>
          <w:sz w:val="24"/>
          <w:szCs w:val="24"/>
        </w:rPr>
      </w:pPr>
      <w:r>
        <w:rPr>
          <w:rFonts w:ascii="Times New Roman" w:hAnsi="Times New Roman"/>
          <w:noProof/>
          <w:color w:val="000000" w:themeColor="text1"/>
          <w:sz w:val="24"/>
        </w:rPr>
        <w:t xml:space="preserve">En cuanto a la </w:t>
      </w:r>
      <w:r>
        <w:rPr>
          <w:rFonts w:ascii="Times New Roman" w:hAnsi="Times New Roman"/>
          <w:b/>
          <w:noProof/>
          <w:sz w:val="24"/>
        </w:rPr>
        <w:t>normalización de las relaciones con Serbia</w:t>
      </w:r>
      <w:r>
        <w:rPr>
          <w:rFonts w:ascii="Times New Roman" w:hAnsi="Times New Roman"/>
          <w:noProof/>
          <w:color w:val="000000" w:themeColor="text1"/>
          <w:sz w:val="24"/>
        </w:rPr>
        <w:t xml:space="preserve">, </w:t>
      </w:r>
      <w:r>
        <w:rPr>
          <w:rFonts w:ascii="Times New Roman" w:hAnsi="Times New Roman"/>
          <w:noProof/>
          <w:sz w:val="24"/>
        </w:rPr>
        <w:t>Kosovo ha seguido participando en el diálogo. Ahora bien, es preciso que el Gobierno de Kosovo retire los aranceles a las importaciones procedentes de Serbia y de Bosnia y Her</w:t>
      </w:r>
      <w:r>
        <w:rPr>
          <w:rFonts w:ascii="Times New Roman" w:hAnsi="Times New Roman"/>
          <w:noProof/>
          <w:sz w:val="24"/>
        </w:rPr>
        <w:t>zegovina. Kosovo debe esforzarse más en crear un entorno propicio para la celebración de un acuerdo jurídicamente vinculante con Serbia. Es urgente y crucial que se celebre tal acuerdo para que Kosovo y Serbia puedan avanzar en sus respectivas trayectorias</w:t>
      </w:r>
      <w:r>
        <w:rPr>
          <w:rFonts w:ascii="Times New Roman" w:hAnsi="Times New Roman"/>
          <w:noProof/>
          <w:sz w:val="24"/>
        </w:rPr>
        <w:t xml:space="preserve"> hacia la adhesión a la UE.</w:t>
      </w:r>
    </w:p>
    <w:p w:rsidR="00D96FAD" w:rsidRDefault="00E3669E">
      <w:pPr>
        <w:autoSpaceDE w:val="0"/>
        <w:autoSpaceDN w:val="0"/>
        <w:adjustRightInd w:val="0"/>
        <w:spacing w:after="120" w:line="240" w:lineRule="auto"/>
        <w:jc w:val="both"/>
        <w:rPr>
          <w:rFonts w:ascii="Times New Roman" w:hAnsi="Times New Roman" w:cs="Times New Roman"/>
          <w:noProof/>
          <w:sz w:val="24"/>
          <w:szCs w:val="24"/>
          <w:highlight w:val="lightGray"/>
        </w:rPr>
      </w:pPr>
      <w:r>
        <w:rPr>
          <w:rFonts w:ascii="Times New Roman" w:hAnsi="Times New Roman"/>
          <w:noProof/>
          <w:sz w:val="24"/>
        </w:rPr>
        <w:t xml:space="preserve">Por lo que respecta a la adaptación a las </w:t>
      </w:r>
      <w:r>
        <w:rPr>
          <w:rFonts w:ascii="Times New Roman" w:hAnsi="Times New Roman"/>
          <w:b/>
          <w:noProof/>
          <w:sz w:val="24"/>
        </w:rPr>
        <w:t>normas europeas</w:t>
      </w:r>
      <w:r>
        <w:rPr>
          <w:rFonts w:ascii="Times New Roman" w:hAnsi="Times New Roman"/>
          <w:noProof/>
          <w:sz w:val="24"/>
        </w:rPr>
        <w:t>, Kosovo ha alcanzado un cierto nivel de preparación. La adaptación legislativa ha proseguido en algunos ámbitos, pero la aplicación es escasa. Se han registrado algunos a</w:t>
      </w:r>
      <w:r>
        <w:rPr>
          <w:rFonts w:ascii="Times New Roman" w:hAnsi="Times New Roman"/>
          <w:noProof/>
          <w:sz w:val="24"/>
        </w:rPr>
        <w:t>vances en el ámbito de la libre circulación de mercancías, servicios y capitales, así como en los servicios financieros, la contratación pública y la competencia. Se ha avanzado mucho en materia de estadísticas y control financiero. En el ámbito de la fisc</w:t>
      </w:r>
      <w:r>
        <w:rPr>
          <w:rFonts w:ascii="Times New Roman" w:hAnsi="Times New Roman"/>
          <w:noProof/>
          <w:sz w:val="24"/>
        </w:rPr>
        <w:t>alidad y las aduanas, se han realizado algunos avances por lo que respecta a la recaudación de impuestos, la reducción de la economía sumergida o la aplicación de medidas aduaneras para la protección de los derechos de propiedad intelectual, pero Kosovo ha</w:t>
      </w:r>
      <w:r>
        <w:rPr>
          <w:rFonts w:ascii="Times New Roman" w:hAnsi="Times New Roman"/>
          <w:noProof/>
          <w:sz w:val="24"/>
        </w:rPr>
        <w:t xml:space="preserve"> de intensificar la lucha contra la economía informal y la evasión fiscal. También ha habido algunos progresos en las cuestiones medioambientales, pero la aplicación va con retraso. El sector de la energía sigue enfrentándose a graves desafíos, a pesar de </w:t>
      </w:r>
      <w:r>
        <w:rPr>
          <w:rFonts w:ascii="Times New Roman" w:hAnsi="Times New Roman"/>
          <w:noProof/>
          <w:sz w:val="24"/>
        </w:rPr>
        <w:t xml:space="preserve">haberse logrado algunos progresos, en particular, en materia de eficiencia energética. En general, Kosovo necesita mejorar su capacidad y coordinación administrativas en todos los ámbitos, a fin de garantizar la aplicación eficaz del acervo. </w:t>
      </w:r>
    </w:p>
    <w:p w:rsidR="00D96FAD" w:rsidRDefault="00E3669E">
      <w:pPr>
        <w:autoSpaceDE w:val="0"/>
        <w:autoSpaceDN w:val="0"/>
        <w:adjustRightInd w:val="0"/>
        <w:spacing w:after="120" w:line="240" w:lineRule="auto"/>
        <w:jc w:val="both"/>
        <w:rPr>
          <w:rFonts w:ascii="Times New Roman" w:hAnsi="Times New Roman" w:cs="Times New Roman"/>
          <w:noProof/>
          <w:sz w:val="24"/>
          <w:szCs w:val="24"/>
        </w:rPr>
      </w:pPr>
      <w:r>
        <w:rPr>
          <w:rFonts w:ascii="Times New Roman" w:hAnsi="Times New Roman"/>
          <w:noProof/>
          <w:sz w:val="24"/>
        </w:rPr>
        <w:t>Las autoridad</w:t>
      </w:r>
      <w:r>
        <w:rPr>
          <w:rFonts w:ascii="Times New Roman" w:hAnsi="Times New Roman"/>
          <w:noProof/>
          <w:sz w:val="24"/>
        </w:rPr>
        <w:t xml:space="preserve">es han avanzado en la gestión de la </w:t>
      </w:r>
      <w:r>
        <w:rPr>
          <w:rFonts w:ascii="Times New Roman" w:hAnsi="Times New Roman"/>
          <w:b/>
          <w:noProof/>
          <w:sz w:val="24"/>
        </w:rPr>
        <w:t>migración</w:t>
      </w:r>
      <w:r>
        <w:rPr>
          <w:rFonts w:ascii="Times New Roman" w:hAnsi="Times New Roman"/>
          <w:noProof/>
          <w:sz w:val="24"/>
        </w:rPr>
        <w:t xml:space="preserve"> regular e irregular. Estos esfuerzos deben proseguir y desarrollarse. A este respecto, Kosovo ha de establecer un mecanismo de retorno de los migrantes irregulares en consonancia con las normas y prácticas de l</w:t>
      </w:r>
      <w:r>
        <w:rPr>
          <w:rFonts w:ascii="Times New Roman" w:hAnsi="Times New Roman"/>
          <w:noProof/>
          <w:sz w:val="24"/>
        </w:rPr>
        <w:t>a UE. </w:t>
      </w:r>
    </w:p>
    <w:p w:rsidR="00D96FAD" w:rsidRDefault="00E3669E">
      <w:pPr>
        <w:pageBreakBefore/>
        <w:spacing w:after="120" w:line="240" w:lineRule="auto"/>
        <w:jc w:val="both"/>
        <w:rPr>
          <w:rFonts w:ascii="Times New Roman" w:hAnsi="Times New Roman" w:cs="Times New Roman"/>
          <w:b/>
          <w:noProof/>
          <w:sz w:val="24"/>
          <w:szCs w:val="24"/>
        </w:rPr>
      </w:pPr>
      <w:r>
        <w:rPr>
          <w:rFonts w:ascii="Times New Roman" w:hAnsi="Times New Roman"/>
          <w:b/>
          <w:noProof/>
          <w:sz w:val="24"/>
        </w:rPr>
        <w:t>ANEXO 3: Aplicación de la Estrategia de los Balcanes Occidentales y del Programa de Prioridades de Sofía: Refuerzo del compromiso de la UE</w:t>
      </w:r>
    </w:p>
    <w:p w:rsidR="00D96FAD" w:rsidRDefault="00E3669E">
      <w:pPr>
        <w:pStyle w:val="Default"/>
        <w:spacing w:after="120"/>
        <w:jc w:val="both"/>
        <w:rPr>
          <w:rFonts w:ascii="Times New Roman" w:eastAsia="Calibri" w:hAnsi="Times New Roman"/>
          <w:noProof/>
        </w:rPr>
      </w:pPr>
      <w:r>
        <w:rPr>
          <w:rFonts w:ascii="Times New Roman" w:hAnsi="Times New Roman"/>
          <w:noProof/>
        </w:rPr>
        <w:t>La Estrategia de los Balcanes Occidentales, adoptada el 6 de febrero de 2018, dio un nuevo impulso a las relac</w:t>
      </w:r>
      <w:r>
        <w:rPr>
          <w:rFonts w:ascii="Times New Roman" w:hAnsi="Times New Roman"/>
          <w:noProof/>
        </w:rPr>
        <w:t xml:space="preserve">iones entre la UE y esta región. La Estrategia se centra en aquellos ámbitos en los que se necesitan nuevas reformas y esfuerzos de los socios de los Balcanes Occidentales, así como en el apoyo reforzado de la UE a la región, que incluye cincuenta y siete </w:t>
      </w:r>
      <w:r>
        <w:rPr>
          <w:rFonts w:ascii="Times New Roman" w:hAnsi="Times New Roman"/>
          <w:noProof/>
        </w:rPr>
        <w:t xml:space="preserve">compromisos específicos agrupados en seis iniciativas emblemáticas. Una parte significativa de estas acciones fue posteriormente refrendada por los Estados miembros de la UE y los socios de los Balcanes Occidentales a través del Programa de Prioridades de </w:t>
      </w:r>
      <w:r>
        <w:rPr>
          <w:rFonts w:ascii="Times New Roman" w:hAnsi="Times New Roman"/>
          <w:noProof/>
        </w:rPr>
        <w:t xml:space="preserve">Sofía, adoptado en la Cumbre de Sofía de 17 de mayo de 2018. </w:t>
      </w:r>
    </w:p>
    <w:p w:rsidR="00D96FAD" w:rsidRDefault="00E3669E">
      <w:pPr>
        <w:pStyle w:val="Default"/>
        <w:spacing w:after="120"/>
        <w:jc w:val="both"/>
        <w:rPr>
          <w:rFonts w:ascii="Times New Roman" w:eastAsia="Calibri" w:hAnsi="Times New Roman"/>
          <w:noProof/>
        </w:rPr>
      </w:pPr>
      <w:r>
        <w:rPr>
          <w:rFonts w:ascii="Times New Roman" w:hAnsi="Times New Roman"/>
          <w:noProof/>
        </w:rPr>
        <w:t xml:space="preserve">Desde la adopción de la Estrategia, la Comisión se ha centrado en cumplir sus compromisos mediante un mayor compromiso político, reforzar los vínculos operativos entre los Balcanes Occidentales </w:t>
      </w:r>
      <w:r>
        <w:rPr>
          <w:rFonts w:ascii="Times New Roman" w:hAnsi="Times New Roman"/>
          <w:noProof/>
        </w:rPr>
        <w:t>y la UE y sus agencias, ampliar el acceso a la financiación y a la asistencia técnica, y reorientar la ayuda financiera de la UE en el marco del Instrumento de Ayuda Preadhesión (IPA), que, solo en 2018, ascendió a una dotación anual para los Balcanes Occi</w:t>
      </w:r>
      <w:r>
        <w:rPr>
          <w:rFonts w:ascii="Times New Roman" w:hAnsi="Times New Roman"/>
          <w:noProof/>
        </w:rPr>
        <w:t xml:space="preserve">dentales de más de 1 100 millones EUR. </w:t>
      </w:r>
    </w:p>
    <w:p w:rsidR="00D96FAD" w:rsidRDefault="00E3669E">
      <w:pPr>
        <w:pStyle w:val="Default"/>
        <w:spacing w:after="240"/>
        <w:jc w:val="both"/>
        <w:rPr>
          <w:rFonts w:ascii="Times New Roman" w:eastAsia="Calibri" w:hAnsi="Times New Roman"/>
          <w:noProof/>
        </w:rPr>
      </w:pPr>
      <w:r>
        <w:rPr>
          <w:rFonts w:ascii="Times New Roman" w:hAnsi="Times New Roman"/>
          <w:noProof/>
        </w:rPr>
        <w:t>En el primer año de aplicación de la Estrategia, se han realizado progresos en las seis iniciativas emblemáticas. La región ha recibido una atención política considerable. En mayo de 2018 tuvo lugar en Sofía la prime</w:t>
      </w:r>
      <w:r>
        <w:rPr>
          <w:rFonts w:ascii="Times New Roman" w:hAnsi="Times New Roman"/>
          <w:noProof/>
        </w:rPr>
        <w:t>ra cumbre UE-Balcanes Occidentales desde la de Salónica en 2003. El presidente del Consejo Europeo y el presidente de la Comisión Europea han visitado la región en repetidas ocasiones, y se han celebrado varias reuniones ministeriales y de alto nivel. Todo</w:t>
      </w:r>
      <w:r>
        <w:rPr>
          <w:rFonts w:ascii="Times New Roman" w:hAnsi="Times New Roman"/>
          <w:noProof/>
        </w:rPr>
        <w:t xml:space="preserve">s estos actos han estado dirigidos a reunir la voluntad política necesaria para dar un nuevo impulso a los procesos de reforma y consolidar la cooperación regional. </w:t>
      </w:r>
    </w:p>
    <w:p w:rsidR="00D96FAD" w:rsidRDefault="00E3669E">
      <w:pPr>
        <w:pStyle w:val="Default"/>
        <w:spacing w:after="120"/>
        <w:jc w:val="both"/>
        <w:rPr>
          <w:rFonts w:ascii="Times New Roman" w:eastAsia="Calibri" w:hAnsi="Times New Roman"/>
          <w:noProof/>
        </w:rPr>
      </w:pPr>
      <w:r>
        <w:rPr>
          <w:rFonts w:ascii="Times New Roman" w:hAnsi="Times New Roman"/>
          <w:noProof/>
        </w:rPr>
        <w:t xml:space="preserve">La </w:t>
      </w:r>
      <w:r>
        <w:rPr>
          <w:rFonts w:ascii="Times New Roman" w:hAnsi="Times New Roman"/>
          <w:b/>
          <w:noProof/>
        </w:rPr>
        <w:t>iniciativa emblemática 1, «Fortalecimiento del apoyo al Estado de Derecho»</w:t>
      </w:r>
      <w:r>
        <w:rPr>
          <w:rFonts w:ascii="Times New Roman" w:hAnsi="Times New Roman"/>
          <w:noProof/>
        </w:rPr>
        <w:t>, se centra e</w:t>
      </w:r>
      <w:r>
        <w:rPr>
          <w:rFonts w:ascii="Times New Roman" w:hAnsi="Times New Roman"/>
          <w:noProof/>
        </w:rPr>
        <w:t>n tres prioridades: un mejor seguimiento de las reformas judiciales, una asistencia técnica más específica en materia de cumplimiento del Derecho, y el refuerzo del apoyo a la sociedad civil, al activismo democrático y a los medios de comunicación independ</w:t>
      </w:r>
      <w:r>
        <w:rPr>
          <w:rFonts w:ascii="Times New Roman" w:hAnsi="Times New Roman"/>
          <w:noProof/>
        </w:rPr>
        <w:t>ientes. El Foro Ministerial sobre Justicia y Asuntos de Interior UE-Balcanes Occidentales, que tuvo lugar en Tirana en octubre de 2018, fue crucial para avanzar en este ámbito, en particular, por lo que respecta al refuerzo de la cooperación con las agenci</w:t>
      </w:r>
      <w:r>
        <w:rPr>
          <w:rFonts w:ascii="Times New Roman" w:hAnsi="Times New Roman"/>
          <w:noProof/>
        </w:rPr>
        <w:t xml:space="preserve">as de Justicia y Asuntos de Interior (JAI) de la UE y el diseño de indicadores adecuados para los sistemas judiciales. </w:t>
      </w:r>
    </w:p>
    <w:p w:rsidR="00D96FAD" w:rsidRDefault="00E3669E">
      <w:pPr>
        <w:pStyle w:val="Default"/>
        <w:spacing w:after="120"/>
        <w:jc w:val="both"/>
        <w:rPr>
          <w:rFonts w:ascii="Times New Roman" w:eastAsia="Calibri" w:hAnsi="Times New Roman"/>
          <w:noProof/>
        </w:rPr>
      </w:pPr>
      <w:r>
        <w:rPr>
          <w:rFonts w:ascii="Times New Roman" w:hAnsi="Times New Roman"/>
          <w:noProof/>
        </w:rPr>
        <w:t>En cuanto a la supervisión de las reformas judiciales, la Comisión ha pasado a aplicar un enfoque de misiones simultáneas sobre cuestion</w:t>
      </w:r>
      <w:r>
        <w:rPr>
          <w:rFonts w:ascii="Times New Roman" w:hAnsi="Times New Roman"/>
          <w:noProof/>
        </w:rPr>
        <w:t>es específicas en las seis Administraciones socias, en las que los altos funcionarios de las fuerzas y los cuerpos de seguridad de la UE se reúnen con sus homólogos («evaluaciones por pares»). En 2018 se concluyó una serie de evaluaciones sobre la ejecució</w:t>
      </w:r>
      <w:r>
        <w:rPr>
          <w:rFonts w:ascii="Times New Roman" w:hAnsi="Times New Roman"/>
          <w:noProof/>
        </w:rPr>
        <w:t xml:space="preserve">n de sentencias civiles y mercantiles, ya se está llevando a cabo otra serie de evaluaciones sobre contratación pública, y más adelante en 2019 está prevista una serie más sobre delincuencia organizada. La Comisión también está desarrollando nuevas formas </w:t>
      </w:r>
      <w:r>
        <w:rPr>
          <w:rFonts w:ascii="Times New Roman" w:hAnsi="Times New Roman"/>
          <w:noProof/>
        </w:rPr>
        <w:t>de recopilar datos más armonizados de los sistemas judiciales de los socios. Un resultado destacado a este respecto será un proyecto regional con la Organización para la Seguridad y la Cooperación en Europa (OSCE) sobre supervisión de juicios en materia de</w:t>
      </w:r>
      <w:r>
        <w:rPr>
          <w:rFonts w:ascii="Times New Roman" w:hAnsi="Times New Roman"/>
          <w:noProof/>
        </w:rPr>
        <w:t xml:space="preserve"> corrupción y delincuencia organizada. Se ha celebrado un acuerdo con el Banco Mundial para que lleve a cabo una serie de encuestas sobre justicia a nivel regional, y la Comisión Europea para la Eficacia de la Justicia del Consejo de Europa (CEPEJ) ayudará</w:t>
      </w:r>
      <w:r>
        <w:rPr>
          <w:rFonts w:ascii="Times New Roman" w:hAnsi="Times New Roman"/>
          <w:noProof/>
        </w:rPr>
        <w:t xml:space="preserve"> a la recogida de datos armonizados de la región. </w:t>
      </w:r>
    </w:p>
    <w:p w:rsidR="00D96FAD" w:rsidRDefault="00E3669E">
      <w:pPr>
        <w:pStyle w:val="Default"/>
        <w:spacing w:after="120"/>
        <w:jc w:val="both"/>
        <w:rPr>
          <w:rFonts w:ascii="Times New Roman" w:eastAsia="Calibri" w:hAnsi="Times New Roman"/>
          <w:noProof/>
        </w:rPr>
      </w:pPr>
      <w:r>
        <w:rPr>
          <w:rFonts w:ascii="Times New Roman" w:hAnsi="Times New Roman"/>
          <w:noProof/>
        </w:rPr>
        <w:t>La Comisión también ha emprendido una forma de asistencia técnica más personalizada, a saber, misiones de asesoramiento, centradas en las reformas judiciales y en la lucha contra la delincuencia organizada</w:t>
      </w:r>
      <w:r>
        <w:rPr>
          <w:rFonts w:ascii="Times New Roman" w:hAnsi="Times New Roman"/>
          <w:noProof/>
        </w:rPr>
        <w:t xml:space="preserve"> y la corrupción. Actualmente se están llevando a cabo dos misiones de este tipo en Montenegro y en Albania, otras dos comenzarán en 2019 en Kosovo y en Bosnia y Herzegovina, y hay prevista una más en Macedonia del Norte y, posiblemente, otra en Serbia.</w:t>
      </w:r>
    </w:p>
    <w:p w:rsidR="00D96FAD" w:rsidRDefault="00E3669E">
      <w:pPr>
        <w:pStyle w:val="Default"/>
        <w:spacing w:after="240"/>
        <w:jc w:val="both"/>
        <w:rPr>
          <w:rFonts w:ascii="Times New Roman" w:eastAsia="Calibri" w:hAnsi="Times New Roman"/>
          <w:noProof/>
        </w:rPr>
      </w:pPr>
      <w:r>
        <w:rPr>
          <w:rFonts w:ascii="Times New Roman" w:hAnsi="Times New Roman"/>
          <w:noProof/>
        </w:rPr>
        <w:t>As</w:t>
      </w:r>
      <w:r>
        <w:rPr>
          <w:rFonts w:ascii="Times New Roman" w:hAnsi="Times New Roman"/>
          <w:noProof/>
        </w:rPr>
        <w:t>imismo, la Comisión está colaborando estrechamente con la Dotación Europea para la Democracia (DED) para brindar apoyo a las plataformas de medios de comunicación independientes, a la sociedad civil y a los activistas en favor de la democracia. Gracias a l</w:t>
      </w:r>
      <w:r>
        <w:rPr>
          <w:rFonts w:ascii="Times New Roman" w:hAnsi="Times New Roman"/>
          <w:noProof/>
        </w:rPr>
        <w:t>a ayuda adicional de la UE de 6 millones EUR, el Fondo pudo ampliar sus operaciones a los Balcanes Occidentales en 2018 y financiar catorce nuevas subvenciones en este ámbito.</w:t>
      </w:r>
    </w:p>
    <w:p w:rsidR="00D96FAD" w:rsidRDefault="00E3669E">
      <w:pPr>
        <w:pStyle w:val="Default"/>
        <w:spacing w:after="120"/>
        <w:jc w:val="both"/>
        <w:rPr>
          <w:rFonts w:ascii="Times New Roman" w:eastAsia="Calibri" w:hAnsi="Times New Roman"/>
          <w:noProof/>
        </w:rPr>
      </w:pPr>
      <w:r>
        <w:rPr>
          <w:rFonts w:ascii="Times New Roman" w:hAnsi="Times New Roman"/>
          <w:noProof/>
        </w:rPr>
        <w:t xml:space="preserve">La </w:t>
      </w:r>
      <w:r>
        <w:rPr>
          <w:rFonts w:ascii="Times New Roman" w:hAnsi="Times New Roman"/>
          <w:b/>
          <w:noProof/>
        </w:rPr>
        <w:t xml:space="preserve">iniciativa emblemática 2, «Refuerzo del compromiso en materia de seguridad y </w:t>
      </w:r>
      <w:r>
        <w:rPr>
          <w:rFonts w:ascii="Times New Roman" w:hAnsi="Times New Roman"/>
          <w:b/>
          <w:noProof/>
        </w:rPr>
        <w:t>migración»</w:t>
      </w:r>
      <w:r>
        <w:rPr>
          <w:rFonts w:ascii="Times New Roman" w:hAnsi="Times New Roman"/>
          <w:noProof/>
        </w:rPr>
        <w:t xml:space="preserve">, se refiere, por una parte, al compromiso con la región para hacer frente a las amenazas para la seguridad común, en particular, el terrorismo, el extremismo violento, la radicalización, la delincuencia organizada, la trata de seres humanos, el </w:t>
      </w:r>
      <w:r>
        <w:rPr>
          <w:rFonts w:ascii="Times New Roman" w:hAnsi="Times New Roman"/>
          <w:noProof/>
        </w:rPr>
        <w:t>tráfico de armas y las amenazas híbridas, y, por otra, a la capacitación de los socios para que puedan afrontar los desafíos relacionados con la migración y la seguridad. Esta línea de actuación se vio refrendada en las reuniones ministeriales celebradas e</w:t>
      </w:r>
      <w:r>
        <w:rPr>
          <w:rFonts w:ascii="Times New Roman" w:hAnsi="Times New Roman"/>
          <w:noProof/>
        </w:rPr>
        <w:t>n Londres, en julio de 2018, y en Tirana, en octubre del mismo año, ambas fundamentales a efectos de establecer una cooperación más estrecha en materia de seguridad, arsenales de armas y planificación de las medidas conjuntas de lucha contra el terrorismo.</w:t>
      </w:r>
    </w:p>
    <w:p w:rsidR="00D96FAD" w:rsidRDefault="00E3669E">
      <w:pPr>
        <w:pStyle w:val="Default"/>
        <w:spacing w:after="120"/>
        <w:jc w:val="both"/>
        <w:rPr>
          <w:rFonts w:ascii="Times New Roman" w:eastAsia="Calibri" w:hAnsi="Times New Roman"/>
          <w:noProof/>
        </w:rPr>
      </w:pPr>
      <w:r>
        <w:rPr>
          <w:rFonts w:ascii="Times New Roman" w:hAnsi="Times New Roman"/>
          <w:noProof/>
        </w:rPr>
        <w:t>La Comisión y los seis socios de los Balcanes Occidentales acordaron un Plan de Acción Conjunto en materia de Lucha Contra el Terrorismo en el Foro Ministerial sobre Justicia y Asuntos de Interior UE-Balcanes Occidentales de Tirana. Ahora, la Comisión est</w:t>
      </w:r>
      <w:r>
        <w:rPr>
          <w:rFonts w:ascii="Times New Roman" w:hAnsi="Times New Roman"/>
          <w:noProof/>
        </w:rPr>
        <w:t>á facilitando la elaboración de planes de acción específicos por país, en consonancia con las prioridades regionales. Por otra parte, la Comisión ha creado una red regional de coordinadores nacionales para la prevención del extremismo violento, que celebró</w:t>
      </w:r>
      <w:r>
        <w:rPr>
          <w:rFonts w:ascii="Times New Roman" w:hAnsi="Times New Roman"/>
          <w:noProof/>
        </w:rPr>
        <w:t xml:space="preserve"> dos reuniones en 2018 y una en marzo de 2019. </w:t>
      </w:r>
    </w:p>
    <w:p w:rsidR="00D96FAD" w:rsidRDefault="00E3669E">
      <w:pPr>
        <w:pStyle w:val="Default"/>
        <w:spacing w:after="120"/>
        <w:jc w:val="both"/>
        <w:rPr>
          <w:rFonts w:ascii="Times New Roman" w:eastAsia="Calibri" w:hAnsi="Times New Roman"/>
          <w:noProof/>
        </w:rPr>
      </w:pPr>
      <w:r>
        <w:rPr>
          <w:rFonts w:ascii="Times New Roman" w:hAnsi="Times New Roman"/>
          <w:noProof/>
        </w:rPr>
        <w:t>La Comisión está ultimando la revisión de su Plan de Acción 2015-2019 sobre el Tráfico de Armas de Fuego entre la UE y Europa Sudoriental. La UE ha asignado financiación específica de la línea presupuestaria correspondiente a la PESC para respaldar la apli</w:t>
      </w:r>
      <w:r>
        <w:rPr>
          <w:rFonts w:ascii="Times New Roman" w:hAnsi="Times New Roman"/>
          <w:noProof/>
        </w:rPr>
        <w:t xml:space="preserve">cación de la Hoja de Ruta Regional sobre Armas Pequeñas y Ligeras (APAL), adoptada en la reunión de ministros del Interior celebrada en Londres en julio de 2018. </w:t>
      </w:r>
    </w:p>
    <w:p w:rsidR="00D96FAD" w:rsidRDefault="00E3669E">
      <w:pPr>
        <w:pStyle w:val="Default"/>
        <w:spacing w:after="120"/>
        <w:jc w:val="both"/>
        <w:rPr>
          <w:rFonts w:ascii="Times New Roman" w:eastAsia="Calibri" w:hAnsi="Times New Roman"/>
          <w:noProof/>
        </w:rPr>
      </w:pPr>
      <w:r>
        <w:rPr>
          <w:rFonts w:ascii="Times New Roman" w:hAnsi="Times New Roman"/>
          <w:noProof/>
        </w:rPr>
        <w:t>La UE se ha puesto en contacto con los socios de los Balcanes Occidentales para que participe</w:t>
      </w:r>
      <w:r>
        <w:rPr>
          <w:rFonts w:ascii="Times New Roman" w:hAnsi="Times New Roman"/>
          <w:noProof/>
        </w:rPr>
        <w:t>n en el ciclo de políticas de la UE contra la delincuencia grave y organizada, así como en la preparación y ejecución de los correspondientes planes de acción anuales. Por su parte, el SEAE ha aumentado la frecuencia de las reuniones de diálogo sobre polít</w:t>
      </w:r>
      <w:r>
        <w:rPr>
          <w:rFonts w:ascii="Times New Roman" w:hAnsi="Times New Roman"/>
          <w:noProof/>
        </w:rPr>
        <w:t>ica exterior y de seguridad común con los Balcanes Occidentes, a fin de fomentar una mayor armonización de la región con las posiciones comunes de la UE. Además, el SEAE se ha puesto en contacto con todos los socios de los Balcanes Occidentales para que pa</w:t>
      </w:r>
      <w:r>
        <w:rPr>
          <w:rFonts w:ascii="Times New Roman" w:hAnsi="Times New Roman"/>
          <w:noProof/>
        </w:rPr>
        <w:t xml:space="preserve">rticipen en encuestas sobre las amenazas híbridas con el objetivo de determinar sus puntos vulnerables y orientar mejor la asistencia de la UE. Hasta el momento, se han iniciado las encuestas con cuatro socios. </w:t>
      </w:r>
    </w:p>
    <w:p w:rsidR="00D96FAD" w:rsidRDefault="00E3669E">
      <w:pPr>
        <w:pStyle w:val="Default"/>
        <w:spacing w:after="120"/>
        <w:jc w:val="both"/>
        <w:rPr>
          <w:rFonts w:ascii="Times New Roman" w:eastAsia="Calibri" w:hAnsi="Times New Roman"/>
          <w:noProof/>
        </w:rPr>
      </w:pPr>
      <w:r>
        <w:rPr>
          <w:rFonts w:ascii="Times New Roman" w:hAnsi="Times New Roman"/>
          <w:noProof/>
        </w:rPr>
        <w:t>En materia de migración, la Comisión, con la</w:t>
      </w:r>
      <w:r>
        <w:rPr>
          <w:rFonts w:ascii="Times New Roman" w:hAnsi="Times New Roman"/>
          <w:noProof/>
        </w:rPr>
        <w:t xml:space="preserve"> colaboración de las agencias de la UE y las organizaciones internacionales pertinentes, sigue llevando a cabo ambiciosos proyectos relacionados con la gestión de la migración, con miras a desarrollar la capacidad de los socios para gestionar los flujos mi</w:t>
      </w:r>
      <w:r>
        <w:rPr>
          <w:rFonts w:ascii="Times New Roman" w:hAnsi="Times New Roman"/>
          <w:noProof/>
        </w:rPr>
        <w:t>xtos de migración y establecer procedimientos de asilo, mecanismos de retorno y un intercambio de información. La Comisión también ha emprendido iniciativas para coordinar mejor el trabajo de los funcionarios de enlace del ámbito de la migración destinados</w:t>
      </w:r>
      <w:r>
        <w:rPr>
          <w:rFonts w:ascii="Times New Roman" w:hAnsi="Times New Roman"/>
          <w:noProof/>
        </w:rPr>
        <w:t xml:space="preserve"> en la región y mejorar el intercambio de información operativa. </w:t>
      </w:r>
    </w:p>
    <w:p w:rsidR="00D96FAD" w:rsidRDefault="00E3669E">
      <w:pPr>
        <w:pStyle w:val="Default"/>
        <w:spacing w:after="120"/>
        <w:jc w:val="both"/>
        <w:rPr>
          <w:rFonts w:ascii="Times New Roman" w:eastAsia="Calibri" w:hAnsi="Times New Roman"/>
          <w:noProof/>
        </w:rPr>
      </w:pPr>
      <w:r>
        <w:rPr>
          <w:rFonts w:ascii="Times New Roman" w:hAnsi="Times New Roman"/>
          <w:noProof/>
        </w:rPr>
        <w:t>Con el fin de lograr mejores sinergias en el ámbito de la seguridad y la migración, la Comisión se ha esforzado en facilitar una mayor participación de las agencias JAI en los Balcanes Occid</w:t>
      </w:r>
      <w:r>
        <w:rPr>
          <w:rFonts w:ascii="Times New Roman" w:hAnsi="Times New Roman"/>
          <w:noProof/>
        </w:rPr>
        <w:t>entales. A este respecto, se ha firmado un acuerdo de colaboración con el Observatorio Europeo de las Drogas y las Toxicomanías (OEDT), se ha firmado un acuerdo de cooperación entre Eurojust y Albania (a semejanza de los ya vigentes con Montenegro y Macedo</w:t>
      </w:r>
      <w:r>
        <w:rPr>
          <w:rFonts w:ascii="Times New Roman" w:hAnsi="Times New Roman"/>
          <w:noProof/>
        </w:rPr>
        <w:t>nia del Norte) y se han concluido las negociaciones relativas al Acuerdo sobre el Estatuto de la Guardia Europea de Fronteras y Costas con los cinco países de la región que comparten frontera con la UE. El acuerdo con Albania ha entrado en vigor, y ya se h</w:t>
      </w:r>
      <w:r>
        <w:rPr>
          <w:rFonts w:ascii="Times New Roman" w:hAnsi="Times New Roman"/>
          <w:noProof/>
        </w:rPr>
        <w:t>a enviado a los primeros guardias de fronteras. Por último, con el fin de coordinar mejor la labor de las agencias participantes, la Comisión ha creado un grupo de trabajo de agencias JAI de la UE para respaldar el trabajo en los Balcanes Occidentales.</w:t>
      </w:r>
    </w:p>
    <w:p w:rsidR="00D96FAD" w:rsidRDefault="00E3669E">
      <w:pPr>
        <w:pStyle w:val="Default"/>
        <w:spacing w:after="240"/>
        <w:jc w:val="both"/>
        <w:rPr>
          <w:rFonts w:ascii="Times New Roman" w:eastAsia="Calibri" w:hAnsi="Times New Roman"/>
          <w:noProof/>
        </w:rPr>
      </w:pPr>
      <w:r>
        <w:rPr>
          <w:rFonts w:ascii="Times New Roman" w:hAnsi="Times New Roman"/>
          <w:noProof/>
        </w:rPr>
        <w:t xml:space="preserve">La </w:t>
      </w:r>
      <w:r>
        <w:rPr>
          <w:rFonts w:ascii="Times New Roman" w:hAnsi="Times New Roman"/>
          <w:noProof/>
        </w:rPr>
        <w:t>dotación total en 2018 para acciones relacionadas con el Estado de Derecho, la seguridad y la migración ascendió a más de 145 millones EUR.</w:t>
      </w:r>
    </w:p>
    <w:p w:rsidR="00D96FAD" w:rsidRDefault="00E3669E">
      <w:pPr>
        <w:pStyle w:val="Default"/>
        <w:spacing w:before="120" w:after="120"/>
        <w:jc w:val="both"/>
        <w:rPr>
          <w:rFonts w:ascii="Times New Roman" w:eastAsia="Calibri" w:hAnsi="Times New Roman"/>
          <w:noProof/>
        </w:rPr>
      </w:pPr>
      <w:r>
        <w:rPr>
          <w:rFonts w:ascii="Times New Roman" w:hAnsi="Times New Roman"/>
          <w:noProof/>
        </w:rPr>
        <w:t xml:space="preserve">La </w:t>
      </w:r>
      <w:r>
        <w:rPr>
          <w:rFonts w:ascii="Times New Roman" w:hAnsi="Times New Roman"/>
          <w:b/>
          <w:noProof/>
        </w:rPr>
        <w:t>iniciativa emblemática 3, «Apoyo al desarrollo socioeconómico»</w:t>
      </w:r>
      <w:r>
        <w:rPr>
          <w:rFonts w:ascii="Times New Roman" w:hAnsi="Times New Roman"/>
          <w:noProof/>
        </w:rPr>
        <w:t>, se centra en fomentar los progresos en la realiza</w:t>
      </w:r>
      <w:r>
        <w:rPr>
          <w:rFonts w:ascii="Times New Roman" w:hAnsi="Times New Roman"/>
          <w:noProof/>
        </w:rPr>
        <w:t xml:space="preserve">ción del Espacio Económico Regional (EER), adaptar los marcos de inversión existentes para estimular la inversión en la región, hacer un uso más estratégico de los programas de reforma económica, y brindar apoyo a la educación y las reformas sociales. Las </w:t>
      </w:r>
      <w:r>
        <w:rPr>
          <w:rFonts w:ascii="Times New Roman" w:hAnsi="Times New Roman"/>
          <w:noProof/>
        </w:rPr>
        <w:t>reuniones de los ministros de Economía en Viena, en julio de 2018, y de los ministros de Educación en Bruselas, en junio del mismo año, constituyeron importantes catalizadores de los progresos realizados en relación con esta iniciativa emblemática, en part</w:t>
      </w:r>
      <w:r>
        <w:rPr>
          <w:rFonts w:ascii="Times New Roman" w:hAnsi="Times New Roman"/>
          <w:noProof/>
        </w:rPr>
        <w:t>icular, en lo que se refiere a la realización del EER y a diversas iniciativas en el ámbito de la formación profesional, la movilidad de los estudiantes y el reconocimiento de las cualificaciones. En 2019, la UE también tiene previsto organizar reuniones s</w:t>
      </w:r>
      <w:r>
        <w:rPr>
          <w:rFonts w:ascii="Times New Roman" w:hAnsi="Times New Roman"/>
          <w:noProof/>
        </w:rPr>
        <w:t>istemáticas con los ministros de Empleo de los Balcanes Occidentales.</w:t>
      </w:r>
    </w:p>
    <w:p w:rsidR="00D96FAD" w:rsidRDefault="00E3669E">
      <w:pPr>
        <w:pStyle w:val="Default"/>
        <w:spacing w:after="120"/>
        <w:jc w:val="both"/>
        <w:rPr>
          <w:rFonts w:ascii="Times New Roman" w:eastAsia="Calibri" w:hAnsi="Times New Roman"/>
          <w:noProof/>
        </w:rPr>
      </w:pPr>
      <w:r>
        <w:rPr>
          <w:rFonts w:ascii="Times New Roman" w:hAnsi="Times New Roman"/>
          <w:noProof/>
        </w:rPr>
        <w:t xml:space="preserve">La Comisión, junto con el Consejo de Cooperación Regional, ha seguido trabajando para facilitar la aplicación del Plan de Acción Plurianual del EER. Entre los logros más significativos </w:t>
      </w:r>
      <w:r>
        <w:rPr>
          <w:rFonts w:ascii="Times New Roman" w:hAnsi="Times New Roman"/>
          <w:noProof/>
        </w:rPr>
        <w:t>en este ámbito, destacan la entrada en vigor del Protocolo adicional 5 del Acuerdo Centroeuropeo de Libre Comercio (ACELC) sobre facilitación del comercio en abril de 2018, la aprobación del Programa Regional de Reforma de la Inversión y la puesta en march</w:t>
      </w:r>
      <w:r>
        <w:rPr>
          <w:rFonts w:ascii="Times New Roman" w:hAnsi="Times New Roman"/>
          <w:noProof/>
        </w:rPr>
        <w:t>a de un programa regional para la diversificación y la integración de los mercados financieros. Se han finalizado las negociaciones sobre la liberalización del comercio de servicios, y han comenzado las relativas a la movilidad de los profesionales de la r</w:t>
      </w:r>
      <w:r>
        <w:rPr>
          <w:rFonts w:ascii="Times New Roman" w:hAnsi="Times New Roman"/>
          <w:noProof/>
        </w:rPr>
        <w:t>egión.</w:t>
      </w:r>
    </w:p>
    <w:p w:rsidR="00D96FAD" w:rsidRDefault="00E3669E">
      <w:pPr>
        <w:pStyle w:val="Default"/>
        <w:spacing w:after="120"/>
        <w:jc w:val="both"/>
        <w:rPr>
          <w:rFonts w:ascii="Times New Roman" w:eastAsia="Calibri" w:hAnsi="Times New Roman"/>
          <w:noProof/>
        </w:rPr>
      </w:pPr>
      <w:r>
        <w:rPr>
          <w:rFonts w:ascii="Times New Roman" w:hAnsi="Times New Roman"/>
          <w:noProof/>
        </w:rPr>
        <w:t xml:space="preserve">La ampliación, tanto estratégica como financiera, del Marco de Inversión para los Balcanes Occidentales (MIBO) está en curso. En 2018 se concluyó una revisión intermedia que se había llevado a cabo para servir de guía de cara a dicha ampliación, y, </w:t>
      </w:r>
      <w:r>
        <w:rPr>
          <w:rFonts w:ascii="Times New Roman" w:hAnsi="Times New Roman"/>
          <w:noProof/>
        </w:rPr>
        <w:t>en diciembre de 2018, la Agencia Francesa de Desarrollo (AFD) se convirtió en institución financiera internacional (IFI) participante en el MIBO, seguida por el Grupo del Banco Mundial, que se unió en abril de 2019. La creación de la Garantía de los Balcan</w:t>
      </w:r>
      <w:r>
        <w:rPr>
          <w:rFonts w:ascii="Times New Roman" w:hAnsi="Times New Roman"/>
          <w:noProof/>
        </w:rPr>
        <w:t xml:space="preserve">es Occidentales, destinada a atraer la inversión privada en la región, está avanzando gracias a la conclusión de la evaluación </w:t>
      </w:r>
      <w:r>
        <w:rPr>
          <w:rFonts w:ascii="Times New Roman" w:hAnsi="Times New Roman"/>
          <w:i/>
          <w:noProof/>
        </w:rPr>
        <w:t>ex ante</w:t>
      </w:r>
      <w:r>
        <w:rPr>
          <w:rFonts w:ascii="Times New Roman" w:hAnsi="Times New Roman"/>
          <w:noProof/>
        </w:rPr>
        <w:t xml:space="preserve"> en 2018 y el inicio del diálogo con las instituciones financieras internacionales. </w:t>
      </w:r>
    </w:p>
    <w:p w:rsidR="00D96FAD" w:rsidRDefault="00E3669E">
      <w:pPr>
        <w:pStyle w:val="Default"/>
        <w:spacing w:after="120"/>
        <w:jc w:val="both"/>
        <w:rPr>
          <w:rFonts w:ascii="Times New Roman" w:eastAsia="Calibri" w:hAnsi="Times New Roman"/>
          <w:noProof/>
        </w:rPr>
      </w:pPr>
      <w:r>
        <w:rPr>
          <w:rFonts w:ascii="Times New Roman" w:hAnsi="Times New Roman"/>
          <w:noProof/>
        </w:rPr>
        <w:t>La Comisión también ha reforzado su a</w:t>
      </w:r>
      <w:r>
        <w:rPr>
          <w:rFonts w:ascii="Times New Roman" w:hAnsi="Times New Roman"/>
          <w:noProof/>
        </w:rPr>
        <w:t>poyo al desarrollo del sector privado, centrándose en las empresas emergentes y en el acceso a la financiación para los jóvenes emprendedores. Se ha puesto en marcha un nuevo programa regional de garantía juvenil de 10 millones EUR dirigido a reforzar la c</w:t>
      </w:r>
      <w:r>
        <w:rPr>
          <w:rFonts w:ascii="Times New Roman" w:hAnsi="Times New Roman"/>
          <w:noProof/>
        </w:rPr>
        <w:t>apacidad empresarial de los jóvenes y ofrecer oportunidades de empleo; este programa podría proporcionar hasta 80 millones EUR de financiación. En Serbia, la Comisión ha iniciado un programa de garantía similar de 20 millones EUR que se espera que logre mo</w:t>
      </w:r>
      <w:r>
        <w:rPr>
          <w:rFonts w:ascii="Times New Roman" w:hAnsi="Times New Roman"/>
          <w:noProof/>
        </w:rPr>
        <w:t>vilizar hasta 180 millones EUR en nuevos préstamos para empresas emergentes y empresas innovadoras serbias. Asimismo, la Comisión está adoptando medidas para ampliar a los Balcanes Occidentales el apoyo al desarrollo de estrategias de especialización intel</w:t>
      </w:r>
      <w:r>
        <w:rPr>
          <w:rFonts w:ascii="Times New Roman" w:hAnsi="Times New Roman"/>
          <w:noProof/>
        </w:rPr>
        <w:t>igente que actualmente solo ofrece a los Estados miembros.</w:t>
      </w:r>
    </w:p>
    <w:p w:rsidR="00D96FAD" w:rsidRDefault="00E3669E">
      <w:pPr>
        <w:pStyle w:val="Default"/>
        <w:spacing w:after="120"/>
        <w:jc w:val="both"/>
        <w:rPr>
          <w:rFonts w:ascii="Times New Roman" w:eastAsia="Calibri" w:hAnsi="Times New Roman"/>
          <w:noProof/>
        </w:rPr>
      </w:pPr>
      <w:r>
        <w:rPr>
          <w:rFonts w:ascii="Times New Roman" w:hAnsi="Times New Roman"/>
          <w:noProof/>
        </w:rPr>
        <w:t>La UE ha tomado medidas para aumentar el uso estratégico de los programas de reforma económica (PRE) de los socios armonizando su preparación con el Semestre Europeo. El seguimiento de las reformas</w:t>
      </w:r>
      <w:r>
        <w:rPr>
          <w:rFonts w:ascii="Times New Roman" w:hAnsi="Times New Roman"/>
          <w:noProof/>
        </w:rPr>
        <w:t xml:space="preserve"> sociales y en materia de empleo se ha reforzado a través del ejercicio del PRE, pero también mediante la instauración de una reunión ministerial anual entre la UE y los Balcanes Occidentales, que este año tendrá lugar en junio de 2019. Además, la ayuda ec</w:t>
      </w:r>
      <w:r>
        <w:rPr>
          <w:rFonts w:ascii="Times New Roman" w:hAnsi="Times New Roman"/>
          <w:noProof/>
        </w:rPr>
        <w:t>onómica de la UE destinada al empleo, la educación, la inclusión social y la salud se ha visto reforzada con varios programas bilaterales de asistencia nuevos, así como un programa de movilidad en la región para la educación y formación profesionales (EFP)</w:t>
      </w:r>
      <w:r>
        <w:rPr>
          <w:rFonts w:ascii="Times New Roman" w:hAnsi="Times New Roman"/>
          <w:noProof/>
        </w:rPr>
        <w:t>. La UE está aumentando poco a poco sus ayudas en el marco de Erasmus+ con el fin de duplicarlas de aquí a 2020.</w:t>
      </w:r>
    </w:p>
    <w:p w:rsidR="00D96FAD" w:rsidRDefault="00E3669E">
      <w:pPr>
        <w:pStyle w:val="Default"/>
        <w:spacing w:after="240"/>
        <w:jc w:val="both"/>
        <w:rPr>
          <w:rFonts w:ascii="Times New Roman" w:eastAsia="Calibri" w:hAnsi="Times New Roman"/>
          <w:noProof/>
        </w:rPr>
      </w:pPr>
      <w:r>
        <w:rPr>
          <w:rFonts w:ascii="Times New Roman" w:hAnsi="Times New Roman"/>
          <w:noProof/>
        </w:rPr>
        <w:t>La dotación total del IAP en 2018 para acciones relacionadas con la competitividad, el crecimiento y la educación ascendió a más de 260 millone</w:t>
      </w:r>
      <w:r>
        <w:rPr>
          <w:rFonts w:ascii="Times New Roman" w:hAnsi="Times New Roman"/>
          <w:noProof/>
        </w:rPr>
        <w:t>s EUR.</w:t>
      </w:r>
    </w:p>
    <w:p w:rsidR="00D96FAD" w:rsidRDefault="00E3669E">
      <w:pPr>
        <w:pStyle w:val="Default"/>
        <w:spacing w:after="120"/>
        <w:jc w:val="both"/>
        <w:rPr>
          <w:rFonts w:ascii="Times New Roman" w:eastAsia="Calibri" w:hAnsi="Times New Roman"/>
          <w:noProof/>
        </w:rPr>
      </w:pPr>
      <w:r>
        <w:rPr>
          <w:rFonts w:ascii="Times New Roman" w:hAnsi="Times New Roman"/>
          <w:noProof/>
        </w:rPr>
        <w:t xml:space="preserve">La </w:t>
      </w:r>
      <w:r>
        <w:rPr>
          <w:rFonts w:ascii="Times New Roman" w:hAnsi="Times New Roman"/>
          <w:b/>
          <w:noProof/>
        </w:rPr>
        <w:t>iniciativa emblemática 4, «Aumento de la conectividad»</w:t>
      </w:r>
      <w:r>
        <w:rPr>
          <w:rFonts w:ascii="Times New Roman" w:hAnsi="Times New Roman"/>
          <w:noProof/>
        </w:rPr>
        <w:t>, se centra en el desarrollo de vínculos en la región en los ámbitos del transporte y la energía con la finalidad de facilitar el comercio y fomentar el crecimiento económico. Las medidas prev</w:t>
      </w:r>
      <w:r>
        <w:rPr>
          <w:rFonts w:ascii="Times New Roman" w:hAnsi="Times New Roman"/>
          <w:noProof/>
        </w:rPr>
        <w:t xml:space="preserve">istas en el marco de esta iniciativa emblemática son la planificación de infraestructuras y la inversión en ellas, y la creación de un entorno regulador adecuado para la integración de los mercados regionales. </w:t>
      </w:r>
    </w:p>
    <w:p w:rsidR="00D96FAD" w:rsidRDefault="00E3669E">
      <w:pPr>
        <w:pStyle w:val="Default"/>
        <w:spacing w:after="120"/>
        <w:jc w:val="both"/>
        <w:rPr>
          <w:rFonts w:ascii="Times New Roman" w:eastAsia="Calibri" w:hAnsi="Times New Roman"/>
          <w:noProof/>
        </w:rPr>
      </w:pPr>
      <w:r>
        <w:rPr>
          <w:rFonts w:ascii="Times New Roman" w:hAnsi="Times New Roman"/>
          <w:noProof/>
        </w:rPr>
        <w:t>Las reuniones de los ministros de Transportes</w:t>
      </w:r>
      <w:r>
        <w:rPr>
          <w:rFonts w:ascii="Times New Roman" w:hAnsi="Times New Roman"/>
          <w:noProof/>
        </w:rPr>
        <w:t xml:space="preserve"> en Liubliana, en abril de 2018, y en Bruselas, en diciembre del mismo año, fueron cruciales para la adopción de una serie de declaraciones sobre la reforma del transporte, mientras que en la reunión de los ministros de Energía y Medio Ambiente en Podgoric</w:t>
      </w:r>
      <w:r>
        <w:rPr>
          <w:rFonts w:ascii="Times New Roman" w:hAnsi="Times New Roman"/>
          <w:noProof/>
        </w:rPr>
        <w:t>a se asistió a la adopción de una innovadora declaración sobre transición energética.</w:t>
      </w:r>
    </w:p>
    <w:p w:rsidR="00D96FAD" w:rsidRDefault="00E3669E">
      <w:pPr>
        <w:pStyle w:val="Default"/>
        <w:spacing w:after="120"/>
        <w:jc w:val="both"/>
        <w:rPr>
          <w:rFonts w:ascii="Times New Roman" w:eastAsia="Calibri" w:hAnsi="Times New Roman"/>
          <w:noProof/>
        </w:rPr>
      </w:pPr>
      <w:r>
        <w:rPr>
          <w:rFonts w:ascii="Times New Roman" w:hAnsi="Times New Roman"/>
          <w:noProof/>
        </w:rPr>
        <w:t>En el ámbito de la energía, la Comisión se está esforzando en facilitar la ampliación de la Unión de la Energía de la UE a los Balcanes Occidentales y la creación de un e</w:t>
      </w:r>
      <w:r>
        <w:rPr>
          <w:rFonts w:ascii="Times New Roman" w:hAnsi="Times New Roman"/>
          <w:noProof/>
        </w:rPr>
        <w:t xml:space="preserve">spacio regulador único en virtud del Tratado de la Comunidad de la Energía. Para seguir avanzando en este ámbito, será necesario lograr progresos en la parte pertinente del diálogo entre Belgrado y Pristina. </w:t>
      </w:r>
    </w:p>
    <w:p w:rsidR="00D96FAD" w:rsidRDefault="00E3669E">
      <w:pPr>
        <w:pStyle w:val="Default"/>
        <w:spacing w:after="120"/>
        <w:jc w:val="both"/>
        <w:rPr>
          <w:rFonts w:ascii="Times New Roman" w:eastAsia="Calibri" w:hAnsi="Times New Roman"/>
          <w:noProof/>
        </w:rPr>
      </w:pPr>
      <w:r>
        <w:rPr>
          <w:rFonts w:ascii="Times New Roman" w:hAnsi="Times New Roman"/>
          <w:noProof/>
        </w:rPr>
        <w:t>Un logro importante ha sido la firma de una dec</w:t>
      </w:r>
      <w:r>
        <w:rPr>
          <w:rFonts w:ascii="Times New Roman" w:hAnsi="Times New Roman"/>
          <w:noProof/>
        </w:rPr>
        <w:t>laración conjunta sobre la transición energética limpia a cargo de los ministros de Energía y Medio Ambiente de los Balcanes Occidentales en su reunión de febrero de 2019 en Podgorica. La Comisión ha destinado 30 millones EUR para subvenciones relacionadas</w:t>
      </w:r>
      <w:r>
        <w:rPr>
          <w:rFonts w:ascii="Times New Roman" w:hAnsi="Times New Roman"/>
          <w:noProof/>
        </w:rPr>
        <w:t xml:space="preserve"> con la eficiencia energética, además de los 50 millones EUR ya disponibles en el marco del instrumento regional de eficiencia energética (REEF). En 2018, la Comisión dio su apoyo a la firma del acuerdo para la construcción del interconector de gas entre B</w:t>
      </w:r>
      <w:r>
        <w:rPr>
          <w:rFonts w:ascii="Times New Roman" w:hAnsi="Times New Roman"/>
          <w:noProof/>
        </w:rPr>
        <w:t>ulgaria y Serbia, que se financiará en parte a través del IAP y el Fondo Europeo de Desarrollo Regional. En el ámbito del transporte, la Comisión ha seguido apoyando la aplicación del Tratado de la Comunidad del Transporte y el funcionamiento de su Secreta</w:t>
      </w:r>
      <w:r>
        <w:rPr>
          <w:rFonts w:ascii="Times New Roman" w:hAnsi="Times New Roman"/>
          <w:noProof/>
        </w:rPr>
        <w:t xml:space="preserve">ría. En particular, ya se han creado las instituciones de la Comunidad (Comité Director Regional y Consejo Ministerial), se ha firmado el acuerdo de sede con Serbia y se ha nombrado a un director en funciones (a principios de 2019). </w:t>
      </w:r>
    </w:p>
    <w:p w:rsidR="00D96FAD" w:rsidRDefault="00E3669E">
      <w:pPr>
        <w:pStyle w:val="Default"/>
        <w:spacing w:after="120"/>
        <w:jc w:val="both"/>
        <w:rPr>
          <w:rFonts w:ascii="Times New Roman" w:eastAsia="Calibri" w:hAnsi="Times New Roman"/>
          <w:noProof/>
        </w:rPr>
      </w:pPr>
      <w:r>
        <w:rPr>
          <w:rFonts w:ascii="Times New Roman" w:hAnsi="Times New Roman"/>
          <w:noProof/>
        </w:rPr>
        <w:t>La Comisión ha facilit</w:t>
      </w:r>
      <w:r>
        <w:rPr>
          <w:rFonts w:ascii="Times New Roman" w:hAnsi="Times New Roman"/>
          <w:noProof/>
        </w:rPr>
        <w:t>ado una declaración ministerial destinada a eliminar los obstáculos fronterizos mediante la integración de pasos fronterizos viales y ferroviarios. La declaración se basa en un estudio financiado por la UE en el que se señalaron treinta y dos pasos fronter</w:t>
      </w:r>
      <w:r>
        <w:rPr>
          <w:rFonts w:ascii="Times New Roman" w:hAnsi="Times New Roman"/>
          <w:noProof/>
        </w:rPr>
        <w:t xml:space="preserve">izos prioritarios de la región que podrían integrarse. Actualmente se están firmando los acuerdos bilaterales entre los países afectados con respecto a cada uno de los pasos. </w:t>
      </w:r>
    </w:p>
    <w:p w:rsidR="00D96FAD" w:rsidRDefault="00E3669E">
      <w:pPr>
        <w:pStyle w:val="Default"/>
        <w:spacing w:after="120"/>
        <w:jc w:val="both"/>
        <w:rPr>
          <w:rFonts w:ascii="Times New Roman" w:eastAsia="Calibri" w:hAnsi="Times New Roman"/>
          <w:noProof/>
        </w:rPr>
      </w:pPr>
      <w:r>
        <w:rPr>
          <w:rFonts w:ascii="Times New Roman" w:hAnsi="Times New Roman"/>
          <w:noProof/>
        </w:rPr>
        <w:t>Tras la adopción de las correspondientes declaraciones ministeriales en la reuni</w:t>
      </w:r>
      <w:r>
        <w:rPr>
          <w:rFonts w:ascii="Times New Roman" w:hAnsi="Times New Roman"/>
          <w:noProof/>
        </w:rPr>
        <w:t>ón ministerial de la RTE-T en Liubliana y la Cumbre de Sofía, la Comisión también está facilitando la preparación de una nueva estrategia ferroviaria regional y un plan de acción sobre seguridad vial cuyo objetivo es, en particular, reducir el número de ví</w:t>
      </w:r>
      <w:r>
        <w:rPr>
          <w:rFonts w:ascii="Times New Roman" w:hAnsi="Times New Roman"/>
          <w:noProof/>
        </w:rPr>
        <w:t xml:space="preserve">ctimas mortales en accidentes de tráfico mediante la eliminación de puntos negros. En 2018, la Comisión financió veinticuatro inspecciones de estos puntos negros por parte de expertos de Connecta. </w:t>
      </w:r>
    </w:p>
    <w:p w:rsidR="00D96FAD" w:rsidRDefault="00E3669E">
      <w:pPr>
        <w:pStyle w:val="Default"/>
        <w:spacing w:after="240"/>
        <w:jc w:val="both"/>
        <w:rPr>
          <w:rFonts w:ascii="Times New Roman" w:eastAsia="Calibri" w:hAnsi="Times New Roman"/>
          <w:noProof/>
        </w:rPr>
      </w:pPr>
      <w:r>
        <w:rPr>
          <w:rFonts w:ascii="Times New Roman" w:hAnsi="Times New Roman"/>
          <w:noProof/>
        </w:rPr>
        <w:t xml:space="preserve">En cuanto a la inversión en infraestructuras, el Marco de </w:t>
      </w:r>
      <w:r>
        <w:rPr>
          <w:rFonts w:ascii="Times New Roman" w:hAnsi="Times New Roman"/>
          <w:noProof/>
        </w:rPr>
        <w:t>Inversión para los Balcanes Occidentales siguió apoyando la agenda de conectividad en 2018. En la Cumbre de Sofía, la Comisión anunció que subvencionaría once nuevos proyectos de transporte (</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r>
        <w:rPr>
          <w:noProof/>
        </w:rPr>
        <w:t></w:t>
      </w:r>
    </w:p>
    <w:p w:rsidR="00D96FAD" w:rsidRDefault="00E3669E">
      <w:pPr>
        <w:pStyle w:val="Default"/>
        <w:spacing w:after="120"/>
        <w:jc w:val="both"/>
        <w:rPr>
          <w:rFonts w:ascii="Times New Roman" w:eastAsia="Calibri" w:hAnsi="Times New Roman"/>
          <w:noProof/>
        </w:rPr>
      </w:pPr>
      <w:r>
        <w:rPr>
          <w:rFonts w:ascii="Times New Roman" w:hAnsi="Times New Roman"/>
          <w:noProof/>
        </w:rPr>
        <w:t xml:space="preserve">La </w:t>
      </w:r>
      <w:r>
        <w:rPr>
          <w:rFonts w:ascii="Times New Roman" w:hAnsi="Times New Roman"/>
          <w:b/>
          <w:noProof/>
        </w:rPr>
        <w:t>i</w:t>
      </w:r>
      <w:r>
        <w:rPr>
          <w:rFonts w:ascii="Times New Roman" w:hAnsi="Times New Roman"/>
          <w:b/>
          <w:noProof/>
        </w:rPr>
        <w:t>niciativa emblemática 5, «Una Agenda Digital para los Balcanes Occidentales»</w:t>
      </w:r>
      <w:r>
        <w:rPr>
          <w:rFonts w:ascii="Times New Roman" w:hAnsi="Times New Roman"/>
          <w:noProof/>
        </w:rPr>
        <w:t>, se centra en el desarrollo de una economía y sociedad digitales en la región. La Agenda, basada en un documento de trabajo de los servicios de la Comisión en el que se exponen la</w:t>
      </w:r>
      <w:r>
        <w:rPr>
          <w:rFonts w:ascii="Times New Roman" w:hAnsi="Times New Roman"/>
          <w:noProof/>
        </w:rPr>
        <w:t>s iniciativas clave, se presentó en junio de 2018 en la Asamblea Digital anual de la UE. Asimismo, la Comisión ha puesto en marcha diálogos sobre tecnologías de la información y la comunicación (TIC) con los socios de los Balcanes Occidentales, en el marco</w:t>
      </w:r>
      <w:r>
        <w:rPr>
          <w:rFonts w:ascii="Times New Roman" w:hAnsi="Times New Roman"/>
          <w:noProof/>
        </w:rPr>
        <w:t xml:space="preserve"> de los cuales la comisaria de Economía y Sociedad Digitales ha visitado la mayoría de las capitales de la región.</w:t>
      </w:r>
    </w:p>
    <w:p w:rsidR="00D96FAD" w:rsidRDefault="00E3669E">
      <w:pPr>
        <w:pStyle w:val="Default"/>
        <w:spacing w:after="120"/>
        <w:jc w:val="both"/>
        <w:rPr>
          <w:rFonts w:ascii="Times New Roman" w:eastAsia="Calibri" w:hAnsi="Times New Roman"/>
          <w:noProof/>
        </w:rPr>
      </w:pPr>
      <w:r>
        <w:rPr>
          <w:rFonts w:ascii="Times New Roman" w:hAnsi="Times New Roman"/>
          <w:noProof/>
        </w:rPr>
        <w:t>Por otra parte, la Comisión ha apoyado firmemente las negociaciones relativas a un nuevo acuerdo regional sobre itinerancia que conlleva la s</w:t>
      </w:r>
      <w:r>
        <w:rPr>
          <w:rFonts w:ascii="Times New Roman" w:hAnsi="Times New Roman"/>
          <w:noProof/>
        </w:rPr>
        <w:t xml:space="preserve">upresión de las tarifas de itinerancia intrarregionales en los Balcanes Occidentales. Se adoptó en la reunión ministerial sobre el ámbito digital de abril de 2019 y entrará en vigor en julio de 2019. </w:t>
      </w:r>
    </w:p>
    <w:p w:rsidR="00D96FAD" w:rsidRDefault="00E3669E">
      <w:pPr>
        <w:pStyle w:val="Default"/>
        <w:spacing w:after="120"/>
        <w:jc w:val="both"/>
        <w:rPr>
          <w:rFonts w:ascii="Times New Roman" w:eastAsia="Calibri" w:hAnsi="Times New Roman"/>
          <w:noProof/>
        </w:rPr>
      </w:pPr>
      <w:r>
        <w:rPr>
          <w:rFonts w:ascii="Times New Roman" w:hAnsi="Times New Roman"/>
          <w:noProof/>
        </w:rPr>
        <w:t>La Comisión ha destinado 30 millones EUR en el marco de</w:t>
      </w:r>
      <w:r>
        <w:rPr>
          <w:rFonts w:ascii="Times New Roman" w:hAnsi="Times New Roman"/>
          <w:noProof/>
        </w:rPr>
        <w:t xml:space="preserve">l MIBO a la asistencia técnica para la preparación de inversiones en conectividad de banda ancha, y otros 8 millones EUR a una iniciativa regional de desarrollo de la ciberseguridad. </w:t>
      </w:r>
    </w:p>
    <w:p w:rsidR="00D96FAD" w:rsidRDefault="00E3669E">
      <w:pPr>
        <w:pStyle w:val="Default"/>
        <w:spacing w:after="120"/>
        <w:jc w:val="both"/>
        <w:rPr>
          <w:rFonts w:ascii="Times New Roman" w:eastAsia="Calibri" w:hAnsi="Times New Roman"/>
          <w:noProof/>
        </w:rPr>
      </w:pPr>
      <w:r>
        <w:rPr>
          <w:rFonts w:ascii="Times New Roman" w:hAnsi="Times New Roman"/>
          <w:noProof/>
        </w:rPr>
        <w:t xml:space="preserve">La UE también está trabajando para abrir el acceso de los socios de los </w:t>
      </w:r>
      <w:r>
        <w:rPr>
          <w:rFonts w:ascii="Times New Roman" w:hAnsi="Times New Roman"/>
          <w:noProof/>
        </w:rPr>
        <w:t>Balcanes Occidentales a diversos foros y grupos europeos. En particular, se ha incluido a los socios como observadores en el Grupo Europeo de Reguladores Encargados de los Servicios de Comunicación Audiovisual (ERGA) y en el Grupo de Alto Nivel del Mercado</w:t>
      </w:r>
      <w:r>
        <w:rPr>
          <w:rFonts w:ascii="Times New Roman" w:hAnsi="Times New Roman"/>
          <w:noProof/>
        </w:rPr>
        <w:t xml:space="preserve"> Único Digital (DSM HLG). También se les ha invitado como observadores al Organismo de Reguladores Europeos de las Comunicaciones Electrónicas (ORECE).</w:t>
      </w:r>
    </w:p>
    <w:p w:rsidR="00D96FAD" w:rsidRDefault="00E3669E">
      <w:pPr>
        <w:pStyle w:val="Default"/>
        <w:spacing w:after="120"/>
        <w:jc w:val="both"/>
        <w:rPr>
          <w:rFonts w:ascii="Times New Roman" w:eastAsia="Calibri" w:hAnsi="Times New Roman"/>
          <w:noProof/>
        </w:rPr>
      </w:pPr>
      <w:r>
        <w:rPr>
          <w:rFonts w:ascii="Times New Roman" w:hAnsi="Times New Roman"/>
          <w:noProof/>
        </w:rPr>
        <w:t>Por último, la Comisión está implicando a los socios en diversas iniciativas de la UE en el ámbito de la</w:t>
      </w:r>
      <w:r>
        <w:rPr>
          <w:rFonts w:ascii="Times New Roman" w:hAnsi="Times New Roman"/>
          <w:noProof/>
        </w:rPr>
        <w:t>s competencias digitales, la administración electrónica y la sanidad electrónica. Entre ellas figuran la red de Oficinas de Desarrollo de la Banda Ancha, el programa de prácticas «Oportunidad Digital», el programa ISA2 de los embajadores de la Semana de la</w:t>
      </w:r>
      <w:r>
        <w:rPr>
          <w:rFonts w:ascii="Times New Roman" w:hAnsi="Times New Roman"/>
          <w:noProof/>
        </w:rPr>
        <w:t xml:space="preserve"> Programación de la UE, la red de sanidad electrónica («eHealth»), la Alianza Europea de Inteligencia Artificial y el Observatorio y el Foro de la Cadena de Bloques de la UE. </w:t>
      </w:r>
    </w:p>
    <w:p w:rsidR="00D96FAD" w:rsidRDefault="00E3669E">
      <w:pPr>
        <w:pStyle w:val="Default"/>
        <w:jc w:val="both"/>
        <w:rPr>
          <w:rFonts w:ascii="Times New Roman" w:eastAsia="Calibri" w:hAnsi="Times New Roman"/>
          <w:noProof/>
        </w:rPr>
      </w:pPr>
      <w:r>
        <w:rPr>
          <w:rFonts w:ascii="Times New Roman" w:hAnsi="Times New Roman"/>
          <w:noProof/>
        </w:rPr>
        <w:t>La dotación total del IAP en 2018 para las medidas relacionadas con la conectivi</w:t>
      </w:r>
      <w:r>
        <w:rPr>
          <w:rFonts w:ascii="Times New Roman" w:hAnsi="Times New Roman"/>
          <w:noProof/>
        </w:rPr>
        <w:t xml:space="preserve">dad en el transporte, la energía y el sector digital ascendió a 450 millones EUR. </w:t>
      </w:r>
    </w:p>
    <w:p w:rsidR="00D96FAD" w:rsidRDefault="00E3669E">
      <w:pPr>
        <w:pStyle w:val="Default"/>
        <w:spacing w:before="120"/>
        <w:jc w:val="both"/>
        <w:rPr>
          <w:rFonts w:ascii="Times New Roman" w:eastAsia="Calibri" w:hAnsi="Times New Roman"/>
          <w:noProof/>
        </w:rPr>
      </w:pPr>
      <w:r>
        <w:rPr>
          <w:rFonts w:ascii="Times New Roman" w:hAnsi="Times New Roman"/>
          <w:noProof/>
        </w:rPr>
        <w:t xml:space="preserve">La </w:t>
      </w:r>
      <w:r>
        <w:rPr>
          <w:rFonts w:ascii="Times New Roman" w:hAnsi="Times New Roman"/>
          <w:b/>
          <w:noProof/>
        </w:rPr>
        <w:t>iniciativa emblemática 6, «Apoyo a la reconciliación y a las relaciones de buena vecindad»</w:t>
      </w:r>
      <w:r>
        <w:rPr>
          <w:rFonts w:ascii="Times New Roman" w:hAnsi="Times New Roman"/>
          <w:noProof/>
        </w:rPr>
        <w:t>, se centra en fomentar una paz sostenible y duradera en la región trabajando en</w:t>
      </w:r>
      <w:r>
        <w:rPr>
          <w:rFonts w:ascii="Times New Roman" w:hAnsi="Times New Roman"/>
          <w:noProof/>
        </w:rPr>
        <w:t xml:space="preserve"> torno a tres temas: gestionar la herencia del pasado, recuperar las relaciones interpersonales entre las comunidades y reforzar la cooperación en los ámbitos de interés mutuo. Estos asuntos figuran sistemáticamente en el orden del día de las reuniones de </w:t>
      </w:r>
      <w:r>
        <w:rPr>
          <w:rFonts w:ascii="Times New Roman" w:hAnsi="Times New Roman"/>
          <w:noProof/>
        </w:rPr>
        <w:t xml:space="preserve">los ministros de Asuntos Exteriores de los Balcanes Occidentales y también de una serie de reuniones de alto nivel sobre cuestiones bilaterales iniciadas por la Presidencia austriaca en 2018. </w:t>
      </w:r>
    </w:p>
    <w:p w:rsidR="00D96FAD" w:rsidRDefault="00E3669E">
      <w:pPr>
        <w:pStyle w:val="Default"/>
        <w:spacing w:after="120"/>
        <w:jc w:val="both"/>
        <w:rPr>
          <w:rFonts w:ascii="Times New Roman" w:eastAsia="Calibri" w:hAnsi="Times New Roman"/>
          <w:noProof/>
        </w:rPr>
      </w:pPr>
      <w:r>
        <w:rPr>
          <w:rFonts w:ascii="Times New Roman" w:hAnsi="Times New Roman"/>
          <w:noProof/>
        </w:rPr>
        <w:t>La Comisión sigue apoyando el Mecanismo Residual Internacional de los Tribunales Penales y el Tribunal Especial para Kosovo. Junto a la Comisión Internacional sobre Desaparecidos y el Comité Internacional de la Cruz Roja, la Comisión respalda los esfuerzos</w:t>
      </w:r>
      <w:r>
        <w:rPr>
          <w:rFonts w:ascii="Times New Roman" w:hAnsi="Times New Roman"/>
          <w:noProof/>
        </w:rPr>
        <w:t xml:space="preserve"> para resolver los casos pendientes de personas desaparecidas y atender las necesidades de sus familias. La Comisión también ha reforzado su apoyo a la creación de una comisión regional de esclarecimiento de la verdad. </w:t>
      </w:r>
    </w:p>
    <w:p w:rsidR="00D96FAD" w:rsidRDefault="00E3669E">
      <w:pPr>
        <w:pStyle w:val="Default"/>
        <w:spacing w:after="120"/>
        <w:jc w:val="both"/>
        <w:rPr>
          <w:rFonts w:ascii="Times New Roman" w:eastAsia="Calibri" w:hAnsi="Times New Roman"/>
          <w:noProof/>
        </w:rPr>
      </w:pPr>
      <w:r>
        <w:rPr>
          <w:rFonts w:ascii="Times New Roman" w:hAnsi="Times New Roman"/>
          <w:noProof/>
        </w:rPr>
        <w:t>La UE proporciona ayuda financiera a</w:t>
      </w:r>
      <w:r>
        <w:rPr>
          <w:rFonts w:ascii="Times New Roman" w:hAnsi="Times New Roman"/>
          <w:noProof/>
        </w:rPr>
        <w:t xml:space="preserve"> la Oficina Regional de Cooperación Juvenil, que constituye un importante instrumento para aumentar la movilidad y la cooperación entre los jóvenes. El Laboratorio sobre la juventud de los Balcanes Occidentales se puso en marcha con la intención de capacit</w:t>
      </w:r>
      <w:r>
        <w:rPr>
          <w:rFonts w:ascii="Times New Roman" w:hAnsi="Times New Roman"/>
          <w:noProof/>
        </w:rPr>
        <w:t xml:space="preserve">ar a los jóvenes para contribuir a la formulación de políticas. Se ha reforzado el apoyo a la cooperación entre las industrias culturales y creativas en el marco del programa «Europa Creativa». </w:t>
      </w:r>
    </w:p>
    <w:p w:rsidR="00D96FAD" w:rsidRDefault="00E3669E">
      <w:pPr>
        <w:pStyle w:val="Default"/>
        <w:spacing w:after="120"/>
        <w:jc w:val="both"/>
        <w:rPr>
          <w:rFonts w:ascii="Times New Roman" w:eastAsia="Calibri" w:hAnsi="Times New Roman"/>
          <w:noProof/>
        </w:rPr>
      </w:pPr>
      <w:r>
        <w:rPr>
          <w:rFonts w:ascii="Times New Roman" w:hAnsi="Times New Roman"/>
          <w:noProof/>
        </w:rPr>
        <w:t>Además de las diversas medidas plurinacionales en apoyo de la</w:t>
      </w:r>
      <w:r>
        <w:rPr>
          <w:rFonts w:ascii="Times New Roman" w:hAnsi="Times New Roman"/>
          <w:noProof/>
        </w:rPr>
        <w:t xml:space="preserve"> cooperación regional, el Programa de Cooperación Transfronteriza (PCT) está haciendo posible la realización de proyectos conjuntos y específicos de interés común relacionados con aspectos como la gestión de los recursos naturales, el turismo y la cultura.</w:t>
      </w:r>
      <w:r>
        <w:rPr>
          <w:rFonts w:ascii="Times New Roman" w:hAnsi="Times New Roman"/>
          <w:noProof/>
        </w:rPr>
        <w:t xml:space="preserve"> El apoyo global de la UE a las reformas institucionales y socioeconómicas contribuye a restaurar la confianza de los ciudadanos y las comunidades y, por tanto, a fomentar un entorno propicio a la reconciliación. </w:t>
      </w:r>
    </w:p>
    <w:p w:rsidR="00D96FAD" w:rsidRDefault="00E3669E">
      <w:pPr>
        <w:pStyle w:val="Default"/>
        <w:spacing w:after="240"/>
        <w:jc w:val="both"/>
        <w:rPr>
          <w:rFonts w:ascii="Times New Roman" w:eastAsia="Calibri" w:hAnsi="Times New Roman"/>
          <w:noProof/>
        </w:rPr>
      </w:pPr>
      <w:r>
        <w:rPr>
          <w:rFonts w:ascii="Times New Roman" w:hAnsi="Times New Roman"/>
          <w:noProof/>
        </w:rPr>
        <w:t xml:space="preserve">La dotación total del IAP en 2018 para el </w:t>
      </w:r>
      <w:r>
        <w:rPr>
          <w:rFonts w:ascii="Times New Roman" w:hAnsi="Times New Roman"/>
          <w:noProof/>
        </w:rPr>
        <w:t>apoyo a las relaciones de buena vecindad y la reconciliación se situó cerca de los 80 millones EUR.</w:t>
      </w:r>
    </w:p>
    <w:p w:rsidR="00D96FAD" w:rsidRDefault="00E3669E">
      <w:pPr>
        <w:pStyle w:val="Default"/>
        <w:spacing w:after="120"/>
        <w:jc w:val="both"/>
        <w:rPr>
          <w:rFonts w:ascii="Times New Roman" w:hAnsi="Times New Roman"/>
          <w:b/>
          <w:noProof/>
        </w:rPr>
      </w:pPr>
      <w:r>
        <w:rPr>
          <w:rFonts w:ascii="Times New Roman" w:hAnsi="Times New Roman"/>
          <w:noProof/>
        </w:rPr>
        <w:t>En los próximos años, la Comisión proseguirá su labor basándose en los logros mencionados de las seis iniciativas emblemáticas con el fin de cumplir íntegra</w:t>
      </w:r>
      <w:r>
        <w:rPr>
          <w:rFonts w:ascii="Times New Roman" w:hAnsi="Times New Roman"/>
          <w:noProof/>
        </w:rPr>
        <w:t>mente los compromisos asumidos en la Estrategia de los Balcanes Occidentales. Seguiremos manteniendo implicados e informados a los socios y a los Estados miembros a través del diálogo político, evaluaciones periódicas y reuniones de trabajo específicas. La</w:t>
      </w:r>
      <w:r>
        <w:rPr>
          <w:rFonts w:ascii="Times New Roman" w:hAnsi="Times New Roman"/>
          <w:noProof/>
        </w:rPr>
        <w:t xml:space="preserve"> dedicación constante y la cooperación regional constructiva de los socios de los Balcanes Occidentales serán decisivas para la consecución de los ambiciosos objetivos de la Estrategia y su plan de acción.</w:t>
      </w:r>
    </w:p>
    <w:p w:rsidR="00D96FAD" w:rsidRDefault="00D96FAD">
      <w:pPr>
        <w:pStyle w:val="Default"/>
        <w:spacing w:before="120" w:after="120"/>
        <w:jc w:val="both"/>
        <w:rPr>
          <w:rFonts w:ascii="Times New Roman" w:eastAsia="Calibri" w:hAnsi="Times New Roman"/>
          <w:noProof/>
        </w:rPr>
      </w:pPr>
    </w:p>
    <w:p w:rsidR="00D96FAD" w:rsidRDefault="00D96FAD">
      <w:pPr>
        <w:pStyle w:val="Default"/>
        <w:spacing w:after="120"/>
        <w:jc w:val="both"/>
        <w:rPr>
          <w:rFonts w:ascii="Times New Roman" w:hAnsi="Times New Roman"/>
          <w:b/>
          <w:noProof/>
        </w:rPr>
        <w:sectPr w:rsidR="00D96FAD">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start="1"/>
          <w:cols w:space="708"/>
          <w:docGrid w:linePitch="360"/>
        </w:sectPr>
      </w:pPr>
    </w:p>
    <w:p w:rsidR="00D96FAD" w:rsidRDefault="00E3669E">
      <w:pPr>
        <w:pStyle w:val="Default"/>
        <w:spacing w:after="120"/>
        <w:jc w:val="both"/>
        <w:rPr>
          <w:rFonts w:ascii="Times New Roman" w:hAnsi="Times New Roman"/>
          <w:b/>
          <w:noProof/>
        </w:rPr>
      </w:pPr>
      <w:r>
        <w:rPr>
          <w:rFonts w:ascii="Times New Roman" w:hAnsi="Times New Roman"/>
          <w:b/>
          <w:noProof/>
        </w:rPr>
        <w:t>ANEXO 4: Estadísticas clave</w:t>
      </w:r>
    </w:p>
    <w:tbl>
      <w:tblPr>
        <w:tblW w:w="15840" w:type="dxa"/>
        <w:tblInd w:w="-492" w:type="dxa"/>
        <w:tblLayout w:type="fixed"/>
        <w:tblLook w:val="0000" w:firstRow="0" w:lastRow="0" w:firstColumn="0" w:lastColumn="0" w:noHBand="0" w:noVBand="0"/>
      </w:tblPr>
      <w:tblGrid>
        <w:gridCol w:w="33"/>
        <w:gridCol w:w="2367"/>
        <w:gridCol w:w="600"/>
        <w:gridCol w:w="720"/>
        <w:gridCol w:w="840"/>
        <w:gridCol w:w="840"/>
        <w:gridCol w:w="750"/>
        <w:gridCol w:w="839"/>
        <w:gridCol w:w="811"/>
        <w:gridCol w:w="839"/>
        <w:gridCol w:w="750"/>
        <w:gridCol w:w="811"/>
        <w:gridCol w:w="839"/>
        <w:gridCol w:w="839"/>
        <w:gridCol w:w="722"/>
        <w:gridCol w:w="616"/>
        <w:gridCol w:w="104"/>
        <w:gridCol w:w="746"/>
        <w:gridCol w:w="94"/>
        <w:gridCol w:w="757"/>
        <w:gridCol w:w="83"/>
        <w:gridCol w:w="768"/>
        <w:gridCol w:w="72"/>
      </w:tblGrid>
      <w:tr w:rsidR="00D96FAD">
        <w:trPr>
          <w:gridBefore w:val="1"/>
          <w:gridAfter w:val="1"/>
          <w:wBefore w:w="33" w:type="dxa"/>
          <w:wAfter w:w="72" w:type="dxa"/>
          <w:trHeight w:val="216"/>
        </w:trPr>
        <w:tc>
          <w:tcPr>
            <w:tcW w:w="13183" w:type="dxa"/>
            <w:gridSpan w:val="15"/>
            <w:tcBorders>
              <w:top w:val="nil"/>
              <w:left w:val="nil"/>
              <w:bottom w:val="nil"/>
              <w:right w:val="nil"/>
            </w:tcBorders>
          </w:tcPr>
          <w:p w:rsidR="00D96FAD" w:rsidRDefault="00E3669E">
            <w:pPr>
              <w:autoSpaceDE w:val="0"/>
              <w:autoSpaceDN w:val="0"/>
              <w:adjustRightInd w:val="0"/>
              <w:spacing w:after="0"/>
              <w:rPr>
                <w:rFonts w:ascii="Arial" w:hAnsi="Arial" w:cs="Arial"/>
                <w:b/>
                <w:bCs/>
                <w:noProof/>
                <w:color w:val="000000"/>
                <w:sz w:val="16"/>
                <w:szCs w:val="16"/>
              </w:rPr>
            </w:pPr>
            <w:r>
              <w:rPr>
                <w:rFonts w:ascii="Arial" w:hAnsi="Arial"/>
                <w:b/>
                <w:noProof/>
                <w:color w:val="000000"/>
                <w:sz w:val="16"/>
              </w:rPr>
              <w:t>DATOS ESTADÍSTICOS (a 29.4.2019)</w:t>
            </w:r>
          </w:p>
          <w:p w:rsidR="00D96FAD" w:rsidRDefault="00D96FAD">
            <w:pPr>
              <w:autoSpaceDE w:val="0"/>
              <w:autoSpaceDN w:val="0"/>
              <w:adjustRightInd w:val="0"/>
              <w:spacing w:after="0"/>
              <w:jc w:val="right"/>
              <w:rPr>
                <w:rFonts w:ascii="Arial" w:hAnsi="Arial" w:cs="Arial"/>
                <w:noProof/>
                <w:color w:val="000000"/>
                <w:sz w:val="16"/>
                <w:szCs w:val="16"/>
              </w:rPr>
            </w:pPr>
          </w:p>
          <w:p w:rsidR="00D96FAD" w:rsidRDefault="00D96FAD">
            <w:pPr>
              <w:autoSpaceDE w:val="0"/>
              <w:autoSpaceDN w:val="0"/>
              <w:adjustRightInd w:val="0"/>
              <w:spacing w:after="0"/>
              <w:jc w:val="right"/>
              <w:rPr>
                <w:rFonts w:ascii="Arial" w:hAnsi="Arial" w:cs="Arial"/>
                <w:noProof/>
                <w:color w:val="000000"/>
                <w:sz w:val="16"/>
                <w:szCs w:val="16"/>
              </w:rPr>
            </w:pPr>
          </w:p>
        </w:tc>
        <w:tc>
          <w:tcPr>
            <w:tcW w:w="850" w:type="dxa"/>
            <w:gridSpan w:val="2"/>
            <w:tcBorders>
              <w:top w:val="nil"/>
              <w:left w:val="nil"/>
              <w:bottom w:val="nil"/>
              <w:right w:val="nil"/>
            </w:tcBorders>
          </w:tcPr>
          <w:p w:rsidR="00D96FAD" w:rsidRDefault="00D96FAD">
            <w:pPr>
              <w:autoSpaceDE w:val="0"/>
              <w:autoSpaceDN w:val="0"/>
              <w:adjustRightInd w:val="0"/>
              <w:spacing w:after="0"/>
              <w:jc w:val="right"/>
              <w:rPr>
                <w:rFonts w:ascii="Arial" w:hAnsi="Arial" w:cs="Arial"/>
                <w:noProof/>
                <w:color w:val="000000"/>
                <w:sz w:val="16"/>
                <w:szCs w:val="16"/>
              </w:rPr>
            </w:pPr>
          </w:p>
        </w:tc>
        <w:tc>
          <w:tcPr>
            <w:tcW w:w="851" w:type="dxa"/>
            <w:gridSpan w:val="2"/>
            <w:tcBorders>
              <w:top w:val="nil"/>
              <w:left w:val="nil"/>
              <w:bottom w:val="nil"/>
              <w:right w:val="nil"/>
            </w:tcBorders>
          </w:tcPr>
          <w:p w:rsidR="00D96FAD" w:rsidRDefault="00D96FAD">
            <w:pPr>
              <w:autoSpaceDE w:val="0"/>
              <w:autoSpaceDN w:val="0"/>
              <w:adjustRightInd w:val="0"/>
              <w:spacing w:after="0"/>
              <w:jc w:val="right"/>
              <w:rPr>
                <w:rFonts w:ascii="Arial" w:hAnsi="Arial" w:cs="Arial"/>
                <w:noProof/>
                <w:color w:val="000000"/>
                <w:sz w:val="16"/>
                <w:szCs w:val="16"/>
              </w:rPr>
            </w:pPr>
          </w:p>
        </w:tc>
        <w:tc>
          <w:tcPr>
            <w:tcW w:w="851" w:type="dxa"/>
            <w:gridSpan w:val="2"/>
            <w:tcBorders>
              <w:top w:val="nil"/>
              <w:left w:val="nil"/>
              <w:bottom w:val="nil"/>
              <w:right w:val="nil"/>
            </w:tcBorders>
          </w:tcPr>
          <w:p w:rsidR="00D96FAD" w:rsidRDefault="00D96FAD">
            <w:pPr>
              <w:autoSpaceDE w:val="0"/>
              <w:autoSpaceDN w:val="0"/>
              <w:adjustRightInd w:val="0"/>
              <w:spacing w:after="0"/>
              <w:jc w:val="right"/>
              <w:rPr>
                <w:rFonts w:ascii="Arial" w:hAnsi="Arial" w:cs="Arial"/>
                <w:noProof/>
                <w:color w:val="000000"/>
                <w:sz w:val="16"/>
                <w:szCs w:val="16"/>
              </w:rPr>
            </w:pPr>
          </w:p>
        </w:tc>
      </w:tr>
      <w:tr w:rsidR="00D96FAD">
        <w:tblPrEx>
          <w:tblLook w:val="04A0" w:firstRow="1" w:lastRow="0" w:firstColumn="1" w:lastColumn="0" w:noHBand="0" w:noVBand="1"/>
        </w:tblPrEx>
        <w:trPr>
          <w:trHeight w:val="225"/>
        </w:trPr>
        <w:tc>
          <w:tcPr>
            <w:tcW w:w="24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FAD" w:rsidRDefault="00E3669E">
            <w:pPr>
              <w:spacing w:after="0"/>
              <w:rPr>
                <w:rFonts w:ascii="Arial" w:hAnsi="Arial" w:cs="Arial"/>
                <w:noProof/>
                <w:sz w:val="16"/>
                <w:szCs w:val="16"/>
              </w:rPr>
            </w:pPr>
            <w:r>
              <w:rPr>
                <w:rFonts w:ascii="Arial" w:hAnsi="Arial"/>
                <w:b/>
                <w:noProof/>
                <w:color w:val="000000"/>
                <w:sz w:val="16"/>
              </w:rPr>
              <w:t>Demografía</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FAD" w:rsidRDefault="00E3669E">
            <w:pPr>
              <w:spacing w:after="0"/>
              <w:rPr>
                <w:rFonts w:ascii="Arial" w:hAnsi="Arial" w:cs="Arial"/>
                <w:noProof/>
                <w:sz w:val="16"/>
                <w:szCs w:val="16"/>
              </w:rPr>
            </w:pPr>
            <w:r>
              <w:rPr>
                <w:rFonts w:ascii="Arial" w:hAnsi="Arial"/>
                <w:noProof/>
                <w:sz w:val="16"/>
              </w:rPr>
              <w:t> </w:t>
            </w:r>
            <w:r>
              <w:rPr>
                <w:rFonts w:ascii="Arial" w:hAnsi="Arial"/>
                <w:noProof/>
                <w:color w:val="000000"/>
                <w:sz w:val="16"/>
              </w:rPr>
              <w:t>Nota</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D96FAD" w:rsidRDefault="00E3669E">
            <w:pPr>
              <w:spacing w:after="0"/>
              <w:jc w:val="center"/>
              <w:rPr>
                <w:rFonts w:ascii="Arial" w:hAnsi="Arial" w:cs="Arial"/>
                <w:noProof/>
                <w:sz w:val="16"/>
                <w:szCs w:val="16"/>
              </w:rPr>
            </w:pPr>
            <w:r>
              <w:rPr>
                <w:rFonts w:ascii="Arial" w:hAnsi="Arial"/>
                <w:noProof/>
                <w:sz w:val="16"/>
              </w:rPr>
              <w:t>Montenegro</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rsidR="00D96FAD" w:rsidRDefault="00E3669E">
            <w:pPr>
              <w:spacing w:after="0"/>
              <w:jc w:val="center"/>
              <w:rPr>
                <w:rFonts w:ascii="Arial" w:hAnsi="Arial" w:cs="Arial"/>
                <w:noProof/>
                <w:sz w:val="16"/>
                <w:szCs w:val="16"/>
              </w:rPr>
            </w:pPr>
            <w:r>
              <w:rPr>
                <w:rFonts w:ascii="Arial" w:hAnsi="Arial"/>
                <w:noProof/>
                <w:sz w:val="16"/>
              </w:rPr>
              <w:t>Macedonia del Norte</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D96FAD" w:rsidRDefault="00E3669E">
            <w:pPr>
              <w:spacing w:after="0"/>
              <w:jc w:val="center"/>
              <w:rPr>
                <w:rFonts w:ascii="Arial" w:hAnsi="Arial" w:cs="Arial"/>
                <w:noProof/>
                <w:sz w:val="16"/>
                <w:szCs w:val="16"/>
              </w:rPr>
            </w:pPr>
            <w:r>
              <w:rPr>
                <w:rFonts w:ascii="Arial" w:hAnsi="Arial"/>
                <w:noProof/>
                <w:sz w:val="16"/>
              </w:rPr>
              <w:t>Albania</w:t>
            </w:r>
          </w:p>
        </w:tc>
        <w:tc>
          <w:tcPr>
            <w:tcW w:w="1589" w:type="dxa"/>
            <w:gridSpan w:val="2"/>
            <w:tcBorders>
              <w:top w:val="single" w:sz="4" w:space="0" w:color="auto"/>
              <w:left w:val="nil"/>
              <w:bottom w:val="single" w:sz="4" w:space="0" w:color="auto"/>
              <w:right w:val="single" w:sz="4" w:space="0" w:color="auto"/>
            </w:tcBorders>
            <w:shd w:val="clear" w:color="auto" w:fill="auto"/>
            <w:vAlign w:val="center"/>
            <w:hideMark/>
          </w:tcPr>
          <w:p w:rsidR="00D96FAD" w:rsidRDefault="00E3669E">
            <w:pPr>
              <w:spacing w:after="0"/>
              <w:jc w:val="center"/>
              <w:rPr>
                <w:rFonts w:ascii="Arial" w:hAnsi="Arial" w:cs="Arial"/>
                <w:noProof/>
                <w:sz w:val="16"/>
                <w:szCs w:val="16"/>
              </w:rPr>
            </w:pPr>
            <w:r>
              <w:rPr>
                <w:rFonts w:ascii="Arial" w:hAnsi="Arial"/>
                <w:noProof/>
                <w:sz w:val="16"/>
              </w:rPr>
              <w:t>Serbia</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D96FAD" w:rsidRDefault="00E3669E">
            <w:pPr>
              <w:spacing w:after="0"/>
              <w:jc w:val="center"/>
              <w:rPr>
                <w:rFonts w:ascii="Arial" w:hAnsi="Arial" w:cs="Arial"/>
                <w:noProof/>
                <w:sz w:val="16"/>
                <w:szCs w:val="16"/>
              </w:rPr>
            </w:pPr>
            <w:r>
              <w:rPr>
                <w:rFonts w:ascii="Arial" w:hAnsi="Arial"/>
                <w:noProof/>
                <w:sz w:val="16"/>
              </w:rPr>
              <w:t>Turquía</w:t>
            </w:r>
          </w:p>
        </w:tc>
        <w:tc>
          <w:tcPr>
            <w:tcW w:w="1561" w:type="dxa"/>
            <w:gridSpan w:val="2"/>
            <w:tcBorders>
              <w:top w:val="single" w:sz="4" w:space="0" w:color="auto"/>
              <w:left w:val="nil"/>
              <w:bottom w:val="single" w:sz="4" w:space="0" w:color="auto"/>
              <w:right w:val="single" w:sz="4" w:space="0" w:color="auto"/>
            </w:tcBorders>
            <w:shd w:val="clear" w:color="auto" w:fill="auto"/>
            <w:vAlign w:val="center"/>
            <w:hideMark/>
          </w:tcPr>
          <w:p w:rsidR="00D96FAD" w:rsidRDefault="00E3669E">
            <w:pPr>
              <w:spacing w:after="0"/>
              <w:jc w:val="center"/>
              <w:rPr>
                <w:rFonts w:ascii="Arial" w:hAnsi="Arial" w:cs="Arial"/>
                <w:noProof/>
                <w:sz w:val="16"/>
                <w:szCs w:val="16"/>
              </w:rPr>
            </w:pPr>
            <w:r>
              <w:rPr>
                <w:rFonts w:ascii="Arial" w:hAnsi="Arial"/>
                <w:noProof/>
                <w:sz w:val="16"/>
              </w:rPr>
              <w:t>Bosnia y</w:t>
            </w:r>
            <w:r>
              <w:rPr>
                <w:rFonts w:ascii="Arial" w:hAnsi="Arial" w:cs="Arial"/>
                <w:noProof/>
                <w:sz w:val="16"/>
                <w:szCs w:val="16"/>
              </w:rPr>
              <w:br/>
            </w:r>
            <w:r>
              <w:rPr>
                <w:rFonts w:ascii="Arial" w:hAnsi="Arial"/>
                <w:noProof/>
                <w:sz w:val="16"/>
              </w:rPr>
              <w:t>Herzegovina</w:t>
            </w:r>
          </w:p>
        </w:tc>
        <w:tc>
          <w:tcPr>
            <w:tcW w:w="1560" w:type="dxa"/>
            <w:gridSpan w:val="4"/>
            <w:tcBorders>
              <w:top w:val="single" w:sz="4" w:space="0" w:color="auto"/>
              <w:left w:val="nil"/>
              <w:bottom w:val="single" w:sz="4" w:space="0" w:color="auto"/>
              <w:right w:val="single" w:sz="4" w:space="0" w:color="auto"/>
            </w:tcBorders>
            <w:shd w:val="clear" w:color="auto" w:fill="auto"/>
            <w:vAlign w:val="center"/>
            <w:hideMark/>
          </w:tcPr>
          <w:p w:rsidR="00D96FAD" w:rsidRDefault="00E3669E">
            <w:pPr>
              <w:spacing w:after="0"/>
              <w:jc w:val="center"/>
              <w:rPr>
                <w:rFonts w:ascii="Arial" w:hAnsi="Arial" w:cs="Arial"/>
                <w:noProof/>
                <w:sz w:val="16"/>
                <w:szCs w:val="16"/>
              </w:rPr>
            </w:pPr>
            <w:r>
              <w:rPr>
                <w:rFonts w:ascii="Arial" w:hAnsi="Arial"/>
                <w:noProof/>
                <w:sz w:val="16"/>
              </w:rPr>
              <w:t>Kosovo*</w:t>
            </w:r>
          </w:p>
        </w:tc>
        <w:tc>
          <w:tcPr>
            <w:tcW w:w="1680" w:type="dxa"/>
            <w:gridSpan w:val="4"/>
            <w:tcBorders>
              <w:top w:val="single" w:sz="4" w:space="0" w:color="auto"/>
              <w:left w:val="nil"/>
              <w:bottom w:val="single" w:sz="4" w:space="0" w:color="auto"/>
              <w:right w:val="single" w:sz="4" w:space="0" w:color="auto"/>
            </w:tcBorders>
            <w:shd w:val="clear" w:color="auto" w:fill="auto"/>
            <w:vAlign w:val="center"/>
            <w:hideMark/>
          </w:tcPr>
          <w:p w:rsidR="00D96FAD" w:rsidRDefault="00E3669E">
            <w:pPr>
              <w:spacing w:after="0"/>
              <w:jc w:val="center"/>
              <w:rPr>
                <w:rFonts w:ascii="Arial" w:hAnsi="Arial" w:cs="Arial"/>
                <w:noProof/>
                <w:sz w:val="16"/>
                <w:szCs w:val="16"/>
              </w:rPr>
            </w:pPr>
            <w:r>
              <w:rPr>
                <w:rFonts w:ascii="Arial" w:hAnsi="Arial"/>
                <w:noProof/>
                <w:sz w:val="16"/>
              </w:rPr>
              <w:t>EU-28</w:t>
            </w:r>
          </w:p>
        </w:tc>
      </w:tr>
      <w:tr w:rsidR="00D96FAD">
        <w:tblPrEx>
          <w:tblLook w:val="04A0" w:firstRow="1" w:lastRow="0" w:firstColumn="1" w:lastColumn="0" w:noHBand="0" w:noVBand="1"/>
        </w:tblPrEx>
        <w:trPr>
          <w:trHeight w:val="225"/>
        </w:trPr>
        <w:tc>
          <w:tcPr>
            <w:tcW w:w="2400" w:type="dxa"/>
            <w:gridSpan w:val="2"/>
            <w:vMerge/>
            <w:tcBorders>
              <w:top w:val="single" w:sz="4" w:space="0" w:color="auto"/>
              <w:left w:val="single" w:sz="4" w:space="0" w:color="auto"/>
              <w:bottom w:val="single" w:sz="4" w:space="0" w:color="auto"/>
              <w:right w:val="single" w:sz="4" w:space="0" w:color="auto"/>
            </w:tcBorders>
            <w:vAlign w:val="center"/>
            <w:hideMark/>
          </w:tcPr>
          <w:p w:rsidR="00D96FAD" w:rsidRDefault="00D96FAD">
            <w:pPr>
              <w:spacing w:after="0"/>
              <w:rPr>
                <w:rFonts w:ascii="Arial" w:hAnsi="Arial" w:cs="Arial"/>
                <w:noProof/>
                <w:sz w:val="16"/>
                <w:szCs w:val="16"/>
              </w:rPr>
            </w:pPr>
          </w:p>
        </w:tc>
        <w:tc>
          <w:tcPr>
            <w:tcW w:w="600" w:type="dxa"/>
            <w:vMerge/>
            <w:tcBorders>
              <w:left w:val="single" w:sz="4" w:space="0" w:color="auto"/>
              <w:bottom w:val="single" w:sz="4" w:space="0" w:color="auto"/>
              <w:right w:val="single" w:sz="4" w:space="0" w:color="auto"/>
            </w:tcBorders>
            <w:shd w:val="clear" w:color="auto" w:fill="auto"/>
            <w:noWrap/>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11"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11"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22"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720" w:type="dxa"/>
            <w:gridSpan w:val="2"/>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gridSpan w:val="2"/>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r>
      <w:tr w:rsidR="00D96FAD">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Población total (en miles)</w:t>
            </w:r>
          </w:p>
        </w:tc>
        <w:tc>
          <w:tcPr>
            <w:tcW w:w="600" w:type="dxa"/>
            <w:tcBorders>
              <w:top w:val="nil"/>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622,2</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622,4</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2 071,3</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2 073,7</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2 875,6</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2 876,6</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7 076,4</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7 040,3</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78 741</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79 815</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3 516,0</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3 509,7</w:t>
            </w:r>
          </w:p>
        </w:tc>
        <w:tc>
          <w:tcPr>
            <w:tcW w:w="720" w:type="dxa"/>
            <w:gridSpan w:val="2"/>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1 771,6</w:t>
            </w:r>
          </w:p>
        </w:tc>
        <w:tc>
          <w:tcPr>
            <w:tcW w:w="840" w:type="dxa"/>
            <w:gridSpan w:val="2"/>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1 785,5</w:t>
            </w:r>
          </w:p>
        </w:tc>
        <w:tc>
          <w:tcPr>
            <w:tcW w:w="840" w:type="dxa"/>
            <w:gridSpan w:val="2"/>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510 182p</w:t>
            </w:r>
          </w:p>
        </w:tc>
        <w:tc>
          <w:tcPr>
            <w:tcW w:w="840" w:type="dxa"/>
            <w:gridSpan w:val="2"/>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511 373bp</w:t>
            </w:r>
          </w:p>
        </w:tc>
      </w:tr>
      <w:tr w:rsidR="00D96FAD">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Porce</w:t>
            </w:r>
            <w:r>
              <w:rPr>
                <w:rFonts w:ascii="Arial" w:hAnsi="Arial"/>
                <w:noProof/>
                <w:color w:val="000000"/>
                <w:sz w:val="16"/>
              </w:rPr>
              <w:t>ntaje de la población total entre 15 y 64 años (en %)</w:t>
            </w:r>
          </w:p>
        </w:tc>
        <w:tc>
          <w:tcPr>
            <w:tcW w:w="600" w:type="dxa"/>
            <w:tcBorders>
              <w:top w:val="nil"/>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67,6</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67,4</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 </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70,2</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68,7</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68,7</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66,6</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66,3</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67,8</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65,6p</w:t>
            </w:r>
          </w:p>
        </w:tc>
        <w:tc>
          <w:tcPr>
            <w:tcW w:w="840" w:type="dxa"/>
            <w:gridSpan w:val="2"/>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66,8</w:t>
            </w:r>
          </w:p>
        </w:tc>
        <w:tc>
          <w:tcPr>
            <w:tcW w:w="840" w:type="dxa"/>
            <w:gridSpan w:val="2"/>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65,3</w:t>
            </w:r>
          </w:p>
        </w:tc>
        <w:tc>
          <w:tcPr>
            <w:tcW w:w="840" w:type="dxa"/>
            <w:gridSpan w:val="2"/>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65,0b</w:t>
            </w:r>
          </w:p>
        </w:tc>
      </w:tr>
      <w:tr w:rsidR="00D96FAD">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 xml:space="preserve">Tasa </w:t>
            </w:r>
            <w:r>
              <w:rPr>
                <w:rFonts w:ascii="Arial" w:hAnsi="Arial"/>
                <w:noProof/>
                <w:color w:val="000000"/>
                <w:sz w:val="16"/>
              </w:rPr>
              <w:t>bruta de crecimiento natural de la población (por 1 000 habitantes)</w:t>
            </w:r>
          </w:p>
        </w:tc>
        <w:tc>
          <w:tcPr>
            <w:tcW w:w="600" w:type="dxa"/>
            <w:tcBorders>
              <w:top w:val="nil"/>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0,7</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-5,5</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11,2</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10,8</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-1,8p</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w:t>
            </w:r>
          </w:p>
        </w:tc>
        <w:tc>
          <w:tcPr>
            <w:tcW w:w="720" w:type="dxa"/>
            <w:gridSpan w:val="2"/>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8,4p</w:t>
            </w:r>
          </w:p>
        </w:tc>
        <w:tc>
          <w:tcPr>
            <w:tcW w:w="840" w:type="dxa"/>
            <w:gridSpan w:val="2"/>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8,2</w:t>
            </w:r>
          </w:p>
        </w:tc>
        <w:tc>
          <w:tcPr>
            <w:tcW w:w="840" w:type="dxa"/>
            <w:gridSpan w:val="2"/>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0,0p</w:t>
            </w:r>
          </w:p>
        </w:tc>
        <w:tc>
          <w:tcPr>
            <w:tcW w:w="840" w:type="dxa"/>
            <w:gridSpan w:val="2"/>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-0,4bp</w:t>
            </w:r>
          </w:p>
        </w:tc>
      </w:tr>
      <w:tr w:rsidR="00D96FAD">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Esper</w:t>
            </w:r>
            <w:r>
              <w:rPr>
                <w:rFonts w:ascii="Arial" w:hAnsi="Arial"/>
                <w:noProof/>
                <w:color w:val="000000"/>
                <w:sz w:val="16"/>
              </w:rPr>
              <w:t xml:space="preserve">anza de vida al nacer de los hombres (en años) </w:t>
            </w:r>
          </w:p>
        </w:tc>
        <w:tc>
          <w:tcPr>
            <w:tcW w:w="600" w:type="dxa"/>
            <w:tcBorders>
              <w:top w:val="nil"/>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74,1</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73,9</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73,4</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74,1</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77,1</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77,1</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73,2</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73,1</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75,4</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75,7</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75,9p</w:t>
            </w:r>
          </w:p>
        </w:tc>
        <w:tc>
          <w:tcPr>
            <w:tcW w:w="840" w:type="dxa"/>
            <w:gridSpan w:val="2"/>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78,2</w:t>
            </w:r>
          </w:p>
        </w:tc>
        <w:tc>
          <w:tcPr>
            <w:tcW w:w="840" w:type="dxa"/>
            <w:gridSpan w:val="2"/>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78,3b</w:t>
            </w:r>
          </w:p>
        </w:tc>
      </w:tr>
      <w:tr w:rsidR="00D96FAD">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Esper</w:t>
            </w:r>
            <w:r>
              <w:rPr>
                <w:rFonts w:ascii="Arial" w:hAnsi="Arial"/>
                <w:noProof/>
                <w:color w:val="000000"/>
                <w:sz w:val="16"/>
              </w:rPr>
              <w:t xml:space="preserve">anza de vida al nacer de las mujeres (en años) </w:t>
            </w:r>
          </w:p>
        </w:tc>
        <w:tc>
          <w:tcPr>
            <w:tcW w:w="600" w:type="dxa"/>
            <w:tcBorders>
              <w:top w:val="nil"/>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78,9</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79,2</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77,5</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77,9</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80,1</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80,1</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78,3</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78,1</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81</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81,3</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gridSpan w:val="2"/>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81,6p</w:t>
            </w:r>
          </w:p>
        </w:tc>
        <w:tc>
          <w:tcPr>
            <w:tcW w:w="840" w:type="dxa"/>
            <w:gridSpan w:val="2"/>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gridSpan w:val="2"/>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83,6</w:t>
            </w:r>
          </w:p>
        </w:tc>
        <w:tc>
          <w:tcPr>
            <w:tcW w:w="840" w:type="dxa"/>
            <w:gridSpan w:val="2"/>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83,5b</w:t>
            </w:r>
          </w:p>
        </w:tc>
      </w:tr>
      <w:tr w:rsidR="00D96FAD">
        <w:tblPrEx>
          <w:tblLook w:val="04A0" w:firstRow="1" w:lastRow="0" w:firstColumn="1" w:lastColumn="0" w:noHBand="0" w:noVBand="1"/>
        </w:tblPrEx>
        <w:trPr>
          <w:trHeight w:val="225"/>
        </w:trPr>
        <w:tc>
          <w:tcPr>
            <w:tcW w:w="2400" w:type="dxa"/>
            <w:gridSpan w:val="2"/>
            <w:tcBorders>
              <w:top w:val="nil"/>
              <w:left w:val="nil"/>
              <w:bottom w:val="single" w:sz="4" w:space="0" w:color="auto"/>
              <w:right w:val="nil"/>
            </w:tcBorders>
            <w:shd w:val="clear" w:color="auto" w:fill="auto"/>
            <w:hideMark/>
          </w:tcPr>
          <w:p w:rsidR="00D96FAD" w:rsidRDefault="00D96FAD">
            <w:pPr>
              <w:autoSpaceDE w:val="0"/>
              <w:autoSpaceDN w:val="0"/>
              <w:adjustRightInd w:val="0"/>
              <w:spacing w:after="0"/>
              <w:rPr>
                <w:rFonts w:ascii="Arial" w:hAnsi="Arial" w:cs="Arial"/>
                <w:noProof/>
                <w:color w:val="000000"/>
                <w:sz w:val="16"/>
                <w:szCs w:val="16"/>
              </w:rPr>
            </w:pPr>
          </w:p>
        </w:tc>
        <w:tc>
          <w:tcPr>
            <w:tcW w:w="600" w:type="dxa"/>
            <w:tcBorders>
              <w:top w:val="nil"/>
              <w:left w:val="nil"/>
              <w:bottom w:val="nil"/>
              <w:right w:val="nil"/>
            </w:tcBorders>
            <w:shd w:val="clear" w:color="auto" w:fill="auto"/>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center"/>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center"/>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center"/>
              <w:rPr>
                <w:rFonts w:ascii="Arial" w:hAnsi="Arial" w:cs="Arial"/>
                <w:noProof/>
                <w:color w:val="000000"/>
                <w:sz w:val="16"/>
                <w:szCs w:val="16"/>
              </w:rPr>
            </w:pPr>
          </w:p>
        </w:tc>
        <w:tc>
          <w:tcPr>
            <w:tcW w:w="750"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center"/>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center"/>
              <w:rPr>
                <w:rFonts w:ascii="Arial" w:hAnsi="Arial" w:cs="Arial"/>
                <w:noProof/>
                <w:color w:val="000000"/>
                <w:sz w:val="16"/>
                <w:szCs w:val="16"/>
              </w:rPr>
            </w:pPr>
          </w:p>
        </w:tc>
        <w:tc>
          <w:tcPr>
            <w:tcW w:w="811"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center"/>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center"/>
              <w:rPr>
                <w:rFonts w:ascii="Arial" w:hAnsi="Arial" w:cs="Arial"/>
                <w:noProof/>
                <w:color w:val="000000"/>
                <w:sz w:val="16"/>
                <w:szCs w:val="16"/>
              </w:rPr>
            </w:pPr>
          </w:p>
        </w:tc>
        <w:tc>
          <w:tcPr>
            <w:tcW w:w="750"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center"/>
              <w:rPr>
                <w:rFonts w:ascii="Arial" w:hAnsi="Arial" w:cs="Arial"/>
                <w:noProof/>
                <w:color w:val="000000"/>
                <w:sz w:val="16"/>
                <w:szCs w:val="16"/>
              </w:rPr>
            </w:pPr>
          </w:p>
        </w:tc>
        <w:tc>
          <w:tcPr>
            <w:tcW w:w="811"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center"/>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center"/>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center"/>
              <w:rPr>
                <w:rFonts w:ascii="Arial" w:hAnsi="Arial" w:cs="Arial"/>
                <w:noProof/>
                <w:color w:val="000000"/>
                <w:sz w:val="16"/>
                <w:szCs w:val="16"/>
              </w:rPr>
            </w:pPr>
          </w:p>
        </w:tc>
        <w:tc>
          <w:tcPr>
            <w:tcW w:w="722"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center"/>
              <w:rPr>
                <w:rFonts w:ascii="Arial" w:hAnsi="Arial" w:cs="Arial"/>
                <w:noProof/>
                <w:color w:val="000000"/>
                <w:sz w:val="16"/>
                <w:szCs w:val="16"/>
              </w:rPr>
            </w:pPr>
          </w:p>
        </w:tc>
        <w:tc>
          <w:tcPr>
            <w:tcW w:w="720" w:type="dxa"/>
            <w:gridSpan w:val="2"/>
            <w:tcBorders>
              <w:top w:val="nil"/>
              <w:left w:val="nil"/>
              <w:bottom w:val="nil"/>
              <w:right w:val="nil"/>
            </w:tcBorders>
            <w:shd w:val="clear" w:color="auto" w:fill="auto"/>
            <w:noWrap/>
            <w:hideMark/>
          </w:tcPr>
          <w:p w:rsidR="00D96FAD" w:rsidRDefault="00D96FAD">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rsidR="00D96FAD" w:rsidRDefault="00D96FAD">
            <w:pPr>
              <w:autoSpaceDE w:val="0"/>
              <w:autoSpaceDN w:val="0"/>
              <w:adjustRightInd w:val="0"/>
              <w:spacing w:after="0"/>
              <w:jc w:val="center"/>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40" w:type="dxa"/>
            <w:gridSpan w:val="2"/>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r>
      <w:tr w:rsidR="00D96FAD">
        <w:tblPrEx>
          <w:tblLook w:val="04A0" w:firstRow="1" w:lastRow="0" w:firstColumn="1" w:lastColumn="0" w:noHBand="0" w:noVBand="1"/>
        </w:tblPrEx>
        <w:trPr>
          <w:trHeight w:val="225"/>
        </w:trPr>
        <w:tc>
          <w:tcPr>
            <w:tcW w:w="2400" w:type="dxa"/>
            <w:gridSpan w:val="2"/>
            <w:tcBorders>
              <w:top w:val="single" w:sz="4" w:space="0" w:color="auto"/>
              <w:left w:val="single" w:sz="4" w:space="0" w:color="auto"/>
              <w:bottom w:val="single" w:sz="4" w:space="0" w:color="auto"/>
              <w:right w:val="nil"/>
            </w:tcBorders>
            <w:shd w:val="clear" w:color="auto" w:fill="auto"/>
            <w:noWrap/>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b/>
                <w:noProof/>
                <w:color w:val="000000"/>
                <w:sz w:val="16"/>
              </w:rPr>
              <w:t>Mercado de trabajo</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Nota</w:t>
            </w:r>
          </w:p>
        </w:tc>
        <w:tc>
          <w:tcPr>
            <w:tcW w:w="720"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11"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11"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22"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720" w:type="dxa"/>
            <w:gridSpan w:val="2"/>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gridSpan w:val="2"/>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gridSpan w:val="2"/>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r>
      <w:tr w:rsidR="00D96FAD">
        <w:tblPrEx>
          <w:tblLook w:val="04A0" w:firstRow="1" w:lastRow="0" w:firstColumn="1" w:lastColumn="0" w:noHBand="0" w:noVBand="1"/>
        </w:tblPrEx>
        <w:trPr>
          <w:trHeight w:val="90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Índice de actividad económica de las personas de 20 a 64 años: proporción de la población de 20 a 64 años económicamente activa (en %)</w:t>
            </w:r>
          </w:p>
        </w:tc>
        <w:tc>
          <w:tcPr>
            <w:tcW w:w="60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1)</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69,1</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69,3</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69,6</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70,3</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73,3e</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73,9</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70,0</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71,2</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60,9</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61,9</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58,8</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58,4</w:t>
            </w:r>
          </w:p>
        </w:tc>
        <w:tc>
          <w:tcPr>
            <w:tcW w:w="720" w:type="dxa"/>
            <w:gridSpan w:val="2"/>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44,0</w:t>
            </w:r>
          </w:p>
        </w:tc>
        <w:tc>
          <w:tcPr>
            <w:tcW w:w="840" w:type="dxa"/>
            <w:gridSpan w:val="2"/>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49,0</w:t>
            </w:r>
          </w:p>
        </w:tc>
        <w:tc>
          <w:tcPr>
            <w:tcW w:w="840" w:type="dxa"/>
            <w:gridSpan w:val="2"/>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77,6</w:t>
            </w:r>
          </w:p>
        </w:tc>
        <w:tc>
          <w:tcPr>
            <w:tcW w:w="840" w:type="dxa"/>
            <w:gridSpan w:val="2"/>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78,0</w:t>
            </w:r>
          </w:p>
        </w:tc>
      </w:tr>
      <w:tr w:rsidR="00D96FAD">
        <w:tblPrEx>
          <w:tblLook w:val="04A0" w:firstRow="1" w:lastRow="0" w:firstColumn="1" w:lastColumn="0" w:noHBand="0" w:noVBand="1"/>
        </w:tblPrEx>
        <w:trPr>
          <w:trHeight w:val="900"/>
        </w:trPr>
        <w:tc>
          <w:tcPr>
            <w:tcW w:w="2400" w:type="dxa"/>
            <w:gridSpan w:val="2"/>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 xml:space="preserve">Índice de actividad </w:t>
            </w:r>
            <w:r>
              <w:rPr>
                <w:rFonts w:ascii="Arial" w:hAnsi="Arial"/>
                <w:noProof/>
                <w:color w:val="000000"/>
                <w:sz w:val="16"/>
              </w:rPr>
              <w:t>económica de los hombres de 20 a 64 años: proporción de la población masculina de 20 a 64 años económicamente activa (en %)</w:t>
            </w:r>
          </w:p>
        </w:tc>
        <w:tc>
          <w:tcPr>
            <w:tcW w:w="60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1)</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76,7</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77,0</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83,8</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84,4</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82,5e</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84,3</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78,0</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78,8</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83,3</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83,7</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72,0</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71,3</w:t>
            </w:r>
          </w:p>
        </w:tc>
        <w:tc>
          <w:tcPr>
            <w:tcW w:w="720" w:type="dxa"/>
            <w:gridSpan w:val="2"/>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66,8</w:t>
            </w:r>
          </w:p>
        </w:tc>
        <w:tc>
          <w:tcPr>
            <w:tcW w:w="840" w:type="dxa"/>
            <w:gridSpan w:val="2"/>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75,1</w:t>
            </w:r>
          </w:p>
        </w:tc>
        <w:tc>
          <w:tcPr>
            <w:tcW w:w="840" w:type="dxa"/>
            <w:gridSpan w:val="2"/>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83,7</w:t>
            </w:r>
          </w:p>
        </w:tc>
        <w:tc>
          <w:tcPr>
            <w:tcW w:w="840" w:type="dxa"/>
            <w:gridSpan w:val="2"/>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84,1</w:t>
            </w:r>
          </w:p>
        </w:tc>
      </w:tr>
      <w:tr w:rsidR="00D96FAD">
        <w:tblPrEx>
          <w:tblLook w:val="04A0" w:firstRow="1" w:lastRow="0" w:firstColumn="1" w:lastColumn="0" w:noHBand="0" w:noVBand="1"/>
        </w:tblPrEx>
        <w:trPr>
          <w:trHeight w:val="900"/>
        </w:trPr>
        <w:tc>
          <w:tcPr>
            <w:tcW w:w="2400" w:type="dxa"/>
            <w:gridSpan w:val="2"/>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Índic</w:t>
            </w:r>
            <w:r>
              <w:rPr>
                <w:rFonts w:ascii="Arial" w:hAnsi="Arial"/>
                <w:noProof/>
                <w:color w:val="000000"/>
                <w:sz w:val="16"/>
              </w:rPr>
              <w:t>e de actividad económica de las mujeres de 20 a 64 años: proporción de la población femenina de 20 a 64 años económicamente activa (en %)</w:t>
            </w:r>
          </w:p>
        </w:tc>
        <w:tc>
          <w:tcPr>
            <w:tcW w:w="60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1)</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61,6</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61,7</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54,9</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55,7</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64,2e</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63,5</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62,0</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63,6</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38,5</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40,0</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45,3</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45,6</w:t>
            </w:r>
          </w:p>
        </w:tc>
        <w:tc>
          <w:tcPr>
            <w:tcW w:w="720" w:type="dxa"/>
            <w:gridSpan w:val="2"/>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20,9</w:t>
            </w:r>
          </w:p>
        </w:tc>
        <w:tc>
          <w:tcPr>
            <w:tcW w:w="840" w:type="dxa"/>
            <w:gridSpan w:val="2"/>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22,6</w:t>
            </w:r>
          </w:p>
        </w:tc>
        <w:tc>
          <w:tcPr>
            <w:tcW w:w="840" w:type="dxa"/>
            <w:gridSpan w:val="2"/>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71,4</w:t>
            </w:r>
          </w:p>
        </w:tc>
        <w:tc>
          <w:tcPr>
            <w:tcW w:w="840" w:type="dxa"/>
            <w:gridSpan w:val="2"/>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72,0</w:t>
            </w:r>
          </w:p>
        </w:tc>
      </w:tr>
      <w:tr w:rsidR="00D96FAD">
        <w:tblPrEx>
          <w:tblLook w:val="04A0" w:firstRow="1" w:lastRow="0" w:firstColumn="1" w:lastColumn="0" w:noHBand="0" w:noVBand="1"/>
        </w:tblPrEx>
        <w:trPr>
          <w:trHeight w:val="450"/>
        </w:trPr>
        <w:tc>
          <w:tcPr>
            <w:tcW w:w="2400" w:type="dxa"/>
            <w:gridSpan w:val="2"/>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Tasas</w:t>
            </w:r>
            <w:r>
              <w:rPr>
                <w:rFonts w:ascii="Arial" w:hAnsi="Arial"/>
                <w:noProof/>
                <w:color w:val="000000"/>
                <w:sz w:val="16"/>
              </w:rPr>
              <w:t xml:space="preserve"> de empleo de las personas de 20 a 64 años (en % de la población)</w:t>
            </w:r>
          </w:p>
        </w:tc>
        <w:tc>
          <w:tcPr>
            <w:tcW w:w="600" w:type="dxa"/>
            <w:tcBorders>
              <w:top w:val="nil"/>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b/>
                <w:bCs/>
                <w:noProof/>
                <w:color w:val="000000"/>
                <w:sz w:val="16"/>
                <w:szCs w:val="16"/>
              </w:rPr>
            </w:pPr>
          </w:p>
        </w:tc>
        <w:tc>
          <w:tcPr>
            <w:tcW w:w="750"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b/>
                <w:bCs/>
                <w:noProof/>
                <w:color w:val="000000"/>
                <w:sz w:val="16"/>
                <w:szCs w:val="16"/>
              </w:rPr>
            </w:pPr>
          </w:p>
        </w:tc>
        <w:tc>
          <w:tcPr>
            <w:tcW w:w="839"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b/>
                <w:bCs/>
                <w:noProof/>
                <w:color w:val="000000"/>
                <w:sz w:val="16"/>
                <w:szCs w:val="16"/>
              </w:rPr>
            </w:pPr>
          </w:p>
        </w:tc>
        <w:tc>
          <w:tcPr>
            <w:tcW w:w="811"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b/>
                <w:bCs/>
                <w:noProof/>
                <w:color w:val="000000"/>
                <w:sz w:val="16"/>
                <w:szCs w:val="16"/>
              </w:rPr>
            </w:pPr>
          </w:p>
        </w:tc>
        <w:tc>
          <w:tcPr>
            <w:tcW w:w="839"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b/>
                <w:bCs/>
                <w:noProof/>
                <w:color w:val="000000"/>
                <w:sz w:val="16"/>
                <w:szCs w:val="16"/>
              </w:rPr>
            </w:pPr>
          </w:p>
        </w:tc>
        <w:tc>
          <w:tcPr>
            <w:tcW w:w="750"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b/>
                <w:bCs/>
                <w:noProof/>
                <w:color w:val="000000"/>
                <w:sz w:val="16"/>
                <w:szCs w:val="16"/>
              </w:rPr>
            </w:pPr>
          </w:p>
        </w:tc>
        <w:tc>
          <w:tcPr>
            <w:tcW w:w="811"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b/>
                <w:bCs/>
                <w:noProof/>
                <w:color w:val="000000"/>
                <w:sz w:val="16"/>
                <w:szCs w:val="16"/>
              </w:rPr>
            </w:pPr>
          </w:p>
        </w:tc>
        <w:tc>
          <w:tcPr>
            <w:tcW w:w="839"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b/>
                <w:bCs/>
                <w:noProof/>
                <w:color w:val="000000"/>
                <w:sz w:val="16"/>
                <w:szCs w:val="16"/>
              </w:rPr>
            </w:pPr>
          </w:p>
        </w:tc>
        <w:tc>
          <w:tcPr>
            <w:tcW w:w="839"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b/>
                <w:bCs/>
                <w:noProof/>
                <w:color w:val="000000"/>
                <w:sz w:val="16"/>
                <w:szCs w:val="16"/>
              </w:rPr>
            </w:pPr>
          </w:p>
        </w:tc>
        <w:tc>
          <w:tcPr>
            <w:tcW w:w="722"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b/>
                <w:bCs/>
                <w:noProof/>
                <w:color w:val="000000"/>
                <w:sz w:val="16"/>
                <w:szCs w:val="16"/>
              </w:rPr>
            </w:pPr>
          </w:p>
        </w:tc>
        <w:tc>
          <w:tcPr>
            <w:tcW w:w="720" w:type="dxa"/>
            <w:gridSpan w:val="2"/>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b/>
                <w:bCs/>
                <w:noProof/>
                <w:color w:val="000000"/>
                <w:sz w:val="16"/>
                <w:szCs w:val="16"/>
              </w:rPr>
            </w:pPr>
          </w:p>
        </w:tc>
        <w:tc>
          <w:tcPr>
            <w:tcW w:w="840" w:type="dxa"/>
            <w:gridSpan w:val="2"/>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b/>
                <w:bCs/>
                <w:noProof/>
                <w:color w:val="000000"/>
                <w:sz w:val="16"/>
                <w:szCs w:val="16"/>
              </w:rPr>
            </w:pPr>
          </w:p>
        </w:tc>
        <w:tc>
          <w:tcPr>
            <w:tcW w:w="840" w:type="dxa"/>
            <w:gridSpan w:val="2"/>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b/>
                <w:bCs/>
                <w:noProof/>
                <w:color w:val="000000"/>
                <w:sz w:val="16"/>
                <w:szCs w:val="16"/>
              </w:rPr>
            </w:pPr>
          </w:p>
        </w:tc>
        <w:tc>
          <w:tcPr>
            <w:tcW w:w="840" w:type="dxa"/>
            <w:gridSpan w:val="2"/>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b/>
                <w:bCs/>
                <w:noProof/>
                <w:color w:val="000000"/>
                <w:sz w:val="16"/>
                <w:szCs w:val="16"/>
              </w:rPr>
            </w:pPr>
          </w:p>
        </w:tc>
      </w:tr>
      <w:tr w:rsidR="00D96FAD">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Total</w:t>
            </w:r>
          </w:p>
        </w:tc>
        <w:tc>
          <w:tcPr>
            <w:tcW w:w="600" w:type="dxa"/>
            <w:tcBorders>
              <w:top w:val="nil"/>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57,1</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58,2</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53,3</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54,8</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62,1e</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63,9</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59,1</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61,5</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54,3</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55,3</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44,2</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46,6</w:t>
            </w:r>
          </w:p>
        </w:tc>
        <w:tc>
          <w:tcPr>
            <w:tcW w:w="720" w:type="dxa"/>
            <w:gridSpan w:val="2"/>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32,3</w:t>
            </w:r>
          </w:p>
        </w:tc>
        <w:tc>
          <w:tcPr>
            <w:tcW w:w="840" w:type="dxa"/>
            <w:gridSpan w:val="2"/>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34,4</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71,1</w:t>
            </w:r>
          </w:p>
        </w:tc>
        <w:tc>
          <w:tcPr>
            <w:tcW w:w="840" w:type="dxa"/>
            <w:gridSpan w:val="2"/>
            <w:tcBorders>
              <w:top w:val="single" w:sz="4" w:space="0" w:color="auto"/>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72,2</w:t>
            </w:r>
          </w:p>
        </w:tc>
      </w:tr>
      <w:tr w:rsidR="00D96FAD">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Hombres</w:t>
            </w:r>
          </w:p>
        </w:tc>
        <w:tc>
          <w:tcPr>
            <w:tcW w:w="600" w:type="dxa"/>
            <w:tcBorders>
              <w:top w:val="nil"/>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63,0</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65,2</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63,7</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65,6</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69,4e</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72,1</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66,3</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68,5</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75,5</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76,1</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56,4</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58,1</w:t>
            </w:r>
          </w:p>
        </w:tc>
        <w:tc>
          <w:tcPr>
            <w:tcW w:w="720" w:type="dxa"/>
            <w:gridSpan w:val="2"/>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49,9</w:t>
            </w:r>
          </w:p>
        </w:tc>
        <w:tc>
          <w:tcPr>
            <w:tcW w:w="840" w:type="dxa"/>
            <w:gridSpan w:val="2"/>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54,0</w:t>
            </w:r>
          </w:p>
        </w:tc>
        <w:tc>
          <w:tcPr>
            <w:tcW w:w="840" w:type="dxa"/>
            <w:gridSpan w:val="2"/>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76,9</w:t>
            </w:r>
          </w:p>
        </w:tc>
        <w:tc>
          <w:tcPr>
            <w:tcW w:w="840" w:type="dxa"/>
            <w:gridSpan w:val="2"/>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78,0</w:t>
            </w:r>
          </w:p>
        </w:tc>
      </w:tr>
      <w:tr w:rsidR="00D96FAD">
        <w:tblPrEx>
          <w:tblLook w:val="04A0" w:firstRow="1" w:lastRow="0" w:firstColumn="1" w:lastColumn="0" w:noHBand="0" w:noVBand="1"/>
        </w:tblPrEx>
        <w:trPr>
          <w:trHeight w:val="225"/>
        </w:trPr>
        <w:tc>
          <w:tcPr>
            <w:tcW w:w="2400" w:type="dxa"/>
            <w:gridSpan w:val="2"/>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Mujer</w:t>
            </w:r>
            <w:r>
              <w:rPr>
                <w:rFonts w:ascii="Arial" w:hAnsi="Arial"/>
                <w:noProof/>
                <w:color w:val="000000"/>
                <w:sz w:val="16"/>
              </w:rPr>
              <w:t>es</w:t>
            </w:r>
          </w:p>
        </w:tc>
        <w:tc>
          <w:tcPr>
            <w:tcW w:w="600" w:type="dxa"/>
            <w:tcBorders>
              <w:top w:val="nil"/>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51,3</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51,4</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42,5</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43,7</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55e</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55,6</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51,9</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54,5</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33,2</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34,4</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32,0</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35,1</w:t>
            </w:r>
          </w:p>
        </w:tc>
        <w:tc>
          <w:tcPr>
            <w:tcW w:w="720" w:type="dxa"/>
            <w:gridSpan w:val="2"/>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14,6</w:t>
            </w:r>
          </w:p>
        </w:tc>
        <w:tc>
          <w:tcPr>
            <w:tcW w:w="840" w:type="dxa"/>
            <w:gridSpan w:val="2"/>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14,6</w:t>
            </w:r>
          </w:p>
        </w:tc>
        <w:tc>
          <w:tcPr>
            <w:tcW w:w="840" w:type="dxa"/>
            <w:gridSpan w:val="2"/>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65,3</w:t>
            </w:r>
          </w:p>
        </w:tc>
        <w:tc>
          <w:tcPr>
            <w:tcW w:w="840" w:type="dxa"/>
            <w:gridSpan w:val="2"/>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66,5</w:t>
            </w:r>
          </w:p>
        </w:tc>
      </w:tr>
    </w:tbl>
    <w:p w:rsidR="00D96FAD" w:rsidRDefault="00D96FAD">
      <w:pPr>
        <w:spacing w:after="0"/>
        <w:rPr>
          <w:noProof/>
        </w:rPr>
      </w:pPr>
    </w:p>
    <w:p w:rsidR="00D96FAD" w:rsidRDefault="00D96FAD">
      <w:pPr>
        <w:spacing w:after="0"/>
        <w:rPr>
          <w:noProof/>
        </w:rPr>
      </w:pPr>
    </w:p>
    <w:tbl>
      <w:tblPr>
        <w:tblW w:w="15840" w:type="dxa"/>
        <w:tblInd w:w="-492" w:type="dxa"/>
        <w:tblLayout w:type="fixed"/>
        <w:tblLook w:val="04A0" w:firstRow="1" w:lastRow="0" w:firstColumn="1" w:lastColumn="0" w:noHBand="0" w:noVBand="1"/>
      </w:tblPr>
      <w:tblGrid>
        <w:gridCol w:w="2400"/>
        <w:gridCol w:w="600"/>
        <w:gridCol w:w="720"/>
        <w:gridCol w:w="840"/>
        <w:gridCol w:w="840"/>
        <w:gridCol w:w="750"/>
        <w:gridCol w:w="839"/>
        <w:gridCol w:w="811"/>
        <w:gridCol w:w="839"/>
        <w:gridCol w:w="750"/>
        <w:gridCol w:w="811"/>
        <w:gridCol w:w="839"/>
        <w:gridCol w:w="839"/>
        <w:gridCol w:w="722"/>
        <w:gridCol w:w="720"/>
        <w:gridCol w:w="840"/>
        <w:gridCol w:w="840"/>
        <w:gridCol w:w="840"/>
      </w:tblGrid>
      <w:tr w:rsidR="00D96FAD">
        <w:trPr>
          <w:trHeight w:val="225"/>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FAD" w:rsidRDefault="00E3669E">
            <w:pPr>
              <w:spacing w:after="0"/>
              <w:rPr>
                <w:rFonts w:ascii="Arial" w:hAnsi="Arial" w:cs="Arial"/>
                <w:noProof/>
                <w:sz w:val="16"/>
                <w:szCs w:val="16"/>
              </w:rPr>
            </w:pPr>
            <w:r>
              <w:rPr>
                <w:rFonts w:ascii="Arial" w:hAnsi="Arial"/>
                <w:b/>
                <w:noProof/>
                <w:color w:val="000000"/>
                <w:sz w:val="16"/>
              </w:rPr>
              <w:t>Mercado de trabajo (continuación)</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FAD" w:rsidRDefault="00E3669E">
            <w:pPr>
              <w:spacing w:after="0"/>
              <w:rPr>
                <w:rFonts w:ascii="Arial" w:hAnsi="Arial" w:cs="Arial"/>
                <w:noProof/>
                <w:sz w:val="16"/>
                <w:szCs w:val="16"/>
              </w:rPr>
            </w:pPr>
            <w:r>
              <w:rPr>
                <w:rFonts w:ascii="Arial" w:hAnsi="Arial"/>
                <w:noProof/>
                <w:sz w:val="16"/>
              </w:rPr>
              <w:t> </w:t>
            </w:r>
            <w:r>
              <w:rPr>
                <w:rFonts w:ascii="Arial" w:hAnsi="Arial"/>
                <w:noProof/>
                <w:color w:val="000000"/>
                <w:sz w:val="16"/>
              </w:rPr>
              <w:t>Nota</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D96FAD" w:rsidRDefault="00E3669E">
            <w:pPr>
              <w:spacing w:after="0"/>
              <w:jc w:val="center"/>
              <w:rPr>
                <w:rFonts w:ascii="Arial" w:hAnsi="Arial" w:cs="Arial"/>
                <w:noProof/>
                <w:sz w:val="16"/>
                <w:szCs w:val="16"/>
              </w:rPr>
            </w:pPr>
            <w:r>
              <w:rPr>
                <w:rFonts w:ascii="Arial" w:hAnsi="Arial"/>
                <w:noProof/>
                <w:sz w:val="16"/>
              </w:rPr>
              <w:t>Montenegro</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rsidR="00D96FAD" w:rsidRDefault="00E3669E">
            <w:pPr>
              <w:spacing w:after="0"/>
              <w:jc w:val="center"/>
              <w:rPr>
                <w:rFonts w:ascii="Arial" w:hAnsi="Arial" w:cs="Arial"/>
                <w:noProof/>
                <w:sz w:val="16"/>
                <w:szCs w:val="16"/>
              </w:rPr>
            </w:pPr>
            <w:r>
              <w:rPr>
                <w:rFonts w:ascii="Arial" w:hAnsi="Arial"/>
                <w:noProof/>
                <w:sz w:val="16"/>
              </w:rPr>
              <w:t>Macedonia del Norte</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D96FAD" w:rsidRDefault="00E3669E">
            <w:pPr>
              <w:spacing w:after="0"/>
              <w:jc w:val="center"/>
              <w:rPr>
                <w:rFonts w:ascii="Arial" w:hAnsi="Arial" w:cs="Arial"/>
                <w:noProof/>
                <w:sz w:val="16"/>
                <w:szCs w:val="16"/>
              </w:rPr>
            </w:pPr>
            <w:r>
              <w:rPr>
                <w:rFonts w:ascii="Arial" w:hAnsi="Arial"/>
                <w:noProof/>
                <w:sz w:val="16"/>
              </w:rPr>
              <w:t>Albania</w:t>
            </w:r>
          </w:p>
        </w:tc>
        <w:tc>
          <w:tcPr>
            <w:tcW w:w="1589" w:type="dxa"/>
            <w:gridSpan w:val="2"/>
            <w:tcBorders>
              <w:top w:val="single" w:sz="4" w:space="0" w:color="auto"/>
              <w:left w:val="nil"/>
              <w:bottom w:val="single" w:sz="4" w:space="0" w:color="auto"/>
              <w:right w:val="single" w:sz="4" w:space="0" w:color="auto"/>
            </w:tcBorders>
            <w:shd w:val="clear" w:color="auto" w:fill="auto"/>
            <w:vAlign w:val="center"/>
            <w:hideMark/>
          </w:tcPr>
          <w:p w:rsidR="00D96FAD" w:rsidRDefault="00E3669E">
            <w:pPr>
              <w:spacing w:after="0"/>
              <w:jc w:val="center"/>
              <w:rPr>
                <w:rFonts w:ascii="Arial" w:hAnsi="Arial" w:cs="Arial"/>
                <w:noProof/>
                <w:sz w:val="16"/>
                <w:szCs w:val="16"/>
              </w:rPr>
            </w:pPr>
            <w:r>
              <w:rPr>
                <w:rFonts w:ascii="Arial" w:hAnsi="Arial"/>
                <w:noProof/>
                <w:sz w:val="16"/>
              </w:rPr>
              <w:t>Serbia</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D96FAD" w:rsidRDefault="00E3669E">
            <w:pPr>
              <w:spacing w:after="0"/>
              <w:jc w:val="center"/>
              <w:rPr>
                <w:rFonts w:ascii="Arial" w:hAnsi="Arial" w:cs="Arial"/>
                <w:noProof/>
                <w:sz w:val="16"/>
                <w:szCs w:val="16"/>
              </w:rPr>
            </w:pPr>
            <w:r>
              <w:rPr>
                <w:rFonts w:ascii="Arial" w:hAnsi="Arial"/>
                <w:noProof/>
                <w:sz w:val="16"/>
              </w:rPr>
              <w:t>Turquía</w:t>
            </w:r>
          </w:p>
        </w:tc>
        <w:tc>
          <w:tcPr>
            <w:tcW w:w="1561" w:type="dxa"/>
            <w:gridSpan w:val="2"/>
            <w:tcBorders>
              <w:top w:val="single" w:sz="4" w:space="0" w:color="auto"/>
              <w:left w:val="nil"/>
              <w:bottom w:val="single" w:sz="4" w:space="0" w:color="auto"/>
              <w:right w:val="single" w:sz="4" w:space="0" w:color="auto"/>
            </w:tcBorders>
            <w:shd w:val="clear" w:color="auto" w:fill="auto"/>
            <w:vAlign w:val="center"/>
            <w:hideMark/>
          </w:tcPr>
          <w:p w:rsidR="00D96FAD" w:rsidRDefault="00E3669E">
            <w:pPr>
              <w:spacing w:after="0"/>
              <w:jc w:val="center"/>
              <w:rPr>
                <w:rFonts w:ascii="Arial" w:hAnsi="Arial" w:cs="Arial"/>
                <w:noProof/>
                <w:sz w:val="16"/>
                <w:szCs w:val="16"/>
              </w:rPr>
            </w:pPr>
            <w:r>
              <w:rPr>
                <w:rFonts w:ascii="Arial" w:hAnsi="Arial"/>
                <w:noProof/>
                <w:sz w:val="16"/>
              </w:rPr>
              <w:t>Bosnia y</w:t>
            </w:r>
            <w:r>
              <w:rPr>
                <w:rFonts w:ascii="Arial" w:hAnsi="Arial" w:cs="Arial"/>
                <w:noProof/>
                <w:sz w:val="16"/>
                <w:szCs w:val="16"/>
              </w:rPr>
              <w:br/>
            </w:r>
            <w:r>
              <w:rPr>
                <w:rFonts w:ascii="Arial" w:hAnsi="Arial"/>
                <w:noProof/>
                <w:sz w:val="16"/>
              </w:rPr>
              <w:t>Herzegovina</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D96FAD" w:rsidRDefault="00E3669E">
            <w:pPr>
              <w:spacing w:after="0"/>
              <w:jc w:val="center"/>
              <w:rPr>
                <w:rFonts w:ascii="Arial" w:hAnsi="Arial" w:cs="Arial"/>
                <w:noProof/>
                <w:sz w:val="16"/>
                <w:szCs w:val="16"/>
              </w:rPr>
            </w:pPr>
            <w:r>
              <w:rPr>
                <w:rFonts w:ascii="Arial" w:hAnsi="Arial"/>
                <w:noProof/>
                <w:sz w:val="16"/>
              </w:rPr>
              <w:t>Kosovo*</w:t>
            </w:r>
          </w:p>
        </w:tc>
        <w:tc>
          <w:tcPr>
            <w:tcW w:w="1680" w:type="dxa"/>
            <w:gridSpan w:val="2"/>
            <w:tcBorders>
              <w:top w:val="single" w:sz="4" w:space="0" w:color="auto"/>
              <w:left w:val="nil"/>
              <w:bottom w:val="single" w:sz="4" w:space="0" w:color="auto"/>
              <w:right w:val="single" w:sz="4" w:space="0" w:color="auto"/>
            </w:tcBorders>
            <w:shd w:val="clear" w:color="auto" w:fill="auto"/>
            <w:vAlign w:val="center"/>
            <w:hideMark/>
          </w:tcPr>
          <w:p w:rsidR="00D96FAD" w:rsidRDefault="00E3669E">
            <w:pPr>
              <w:spacing w:after="0"/>
              <w:jc w:val="center"/>
              <w:rPr>
                <w:rFonts w:ascii="Arial" w:hAnsi="Arial" w:cs="Arial"/>
                <w:noProof/>
                <w:sz w:val="16"/>
                <w:szCs w:val="16"/>
              </w:rPr>
            </w:pPr>
            <w:r>
              <w:rPr>
                <w:rFonts w:ascii="Arial" w:hAnsi="Arial"/>
                <w:noProof/>
                <w:sz w:val="16"/>
              </w:rPr>
              <w:t>EU-28</w:t>
            </w:r>
          </w:p>
        </w:tc>
      </w:tr>
      <w:tr w:rsidR="00D96FAD">
        <w:trPr>
          <w:trHeight w:val="225"/>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D96FAD" w:rsidRDefault="00D96FAD">
            <w:pPr>
              <w:spacing w:after="0"/>
              <w:rPr>
                <w:rFonts w:ascii="Arial" w:hAnsi="Arial" w:cs="Arial"/>
                <w:noProof/>
                <w:sz w:val="16"/>
                <w:szCs w:val="16"/>
              </w:rPr>
            </w:pPr>
          </w:p>
        </w:tc>
        <w:tc>
          <w:tcPr>
            <w:tcW w:w="600" w:type="dxa"/>
            <w:vMerge/>
            <w:tcBorders>
              <w:left w:val="single" w:sz="4" w:space="0" w:color="auto"/>
              <w:bottom w:val="single" w:sz="4" w:space="0" w:color="auto"/>
              <w:right w:val="single" w:sz="4" w:space="0" w:color="auto"/>
            </w:tcBorders>
            <w:shd w:val="clear" w:color="auto" w:fill="auto"/>
            <w:noWrap/>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11"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11"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22"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72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r>
      <w:tr w:rsidR="00D96FAD">
        <w:trPr>
          <w:trHeight w:val="675"/>
        </w:trPr>
        <w:tc>
          <w:tcPr>
            <w:tcW w:w="2400" w:type="dxa"/>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Personas de entre 15 y 24 años que ni estudian, ni trabajan, ni reciben formación (en porcentaje de la población del grupo de edad)</w:t>
            </w:r>
          </w:p>
        </w:tc>
        <w:tc>
          <w:tcPr>
            <w:tcW w:w="600" w:type="dxa"/>
            <w:tcBorders>
              <w:top w:val="nil"/>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18,4</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16,7</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24,3</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24,9</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26,9e</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25,9</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17,7</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17,2</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24,0</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24,2</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26,4</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24,3</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30,1</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27,4</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11,6</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10,9</w:t>
            </w:r>
          </w:p>
        </w:tc>
      </w:tr>
      <w:tr w:rsidR="00D96FAD">
        <w:trPr>
          <w:trHeight w:val="675"/>
        </w:trPr>
        <w:tc>
          <w:tcPr>
            <w:tcW w:w="2400" w:type="dxa"/>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Perso</w:t>
            </w:r>
            <w:r>
              <w:rPr>
                <w:rFonts w:ascii="Arial" w:hAnsi="Arial"/>
                <w:noProof/>
                <w:color w:val="000000"/>
                <w:sz w:val="16"/>
              </w:rPr>
              <w:t>nas de entre 15 y 29 años que no estudian, trabajan ni reciben formación (en porcentaje de la población del grupo de edad)</w:t>
            </w:r>
          </w:p>
        </w:tc>
        <w:tc>
          <w:tcPr>
            <w:tcW w:w="600" w:type="dxa"/>
            <w:tcBorders>
              <w:top w:val="nil"/>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22,3</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21,4</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31,3</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31,1</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30e</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29,7</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22,3</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21,7</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27,8</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27,5</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31,4</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28,8</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37,3</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35,0</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14,2</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13,4</w:t>
            </w:r>
          </w:p>
        </w:tc>
      </w:tr>
      <w:tr w:rsidR="00D96FAD">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Emple</w:t>
            </w:r>
            <w:r>
              <w:rPr>
                <w:rFonts w:ascii="Arial" w:hAnsi="Arial"/>
                <w:noProof/>
                <w:color w:val="000000"/>
                <w:sz w:val="16"/>
              </w:rPr>
              <w:t>o por sectores principales</w:t>
            </w:r>
          </w:p>
        </w:tc>
        <w:tc>
          <w:tcPr>
            <w:tcW w:w="600" w:type="dxa"/>
            <w:tcBorders>
              <w:top w:val="nil"/>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center"/>
              <w:rPr>
                <w:rFonts w:ascii="Arial" w:hAnsi="Arial" w:cs="Arial"/>
                <w:noProof/>
                <w:color w:val="000000"/>
                <w:sz w:val="16"/>
                <w:szCs w:val="16"/>
              </w:rPr>
            </w:pPr>
          </w:p>
        </w:tc>
        <w:tc>
          <w:tcPr>
            <w:tcW w:w="840"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center"/>
              <w:rPr>
                <w:rFonts w:ascii="Arial" w:hAnsi="Arial" w:cs="Arial"/>
                <w:noProof/>
                <w:color w:val="000000"/>
                <w:sz w:val="16"/>
                <w:szCs w:val="16"/>
              </w:rPr>
            </w:pPr>
          </w:p>
        </w:tc>
        <w:tc>
          <w:tcPr>
            <w:tcW w:w="840"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center"/>
              <w:rPr>
                <w:rFonts w:ascii="Arial" w:hAnsi="Arial" w:cs="Arial"/>
                <w:b/>
                <w:bCs/>
                <w:noProof/>
                <w:color w:val="000000"/>
                <w:sz w:val="16"/>
                <w:szCs w:val="16"/>
              </w:rPr>
            </w:pPr>
          </w:p>
        </w:tc>
        <w:tc>
          <w:tcPr>
            <w:tcW w:w="750"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center"/>
              <w:rPr>
                <w:rFonts w:ascii="Arial" w:hAnsi="Arial" w:cs="Arial"/>
                <w:b/>
                <w:bCs/>
                <w:noProof/>
                <w:color w:val="000000"/>
                <w:sz w:val="16"/>
                <w:szCs w:val="16"/>
              </w:rPr>
            </w:pPr>
          </w:p>
        </w:tc>
        <w:tc>
          <w:tcPr>
            <w:tcW w:w="839"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center"/>
              <w:rPr>
                <w:rFonts w:ascii="Arial" w:hAnsi="Arial" w:cs="Arial"/>
                <w:b/>
                <w:bCs/>
                <w:noProof/>
                <w:color w:val="000000"/>
                <w:sz w:val="16"/>
                <w:szCs w:val="16"/>
              </w:rPr>
            </w:pPr>
          </w:p>
        </w:tc>
        <w:tc>
          <w:tcPr>
            <w:tcW w:w="811"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center"/>
              <w:rPr>
                <w:rFonts w:ascii="Arial" w:hAnsi="Arial" w:cs="Arial"/>
                <w:b/>
                <w:bCs/>
                <w:noProof/>
                <w:color w:val="000000"/>
                <w:sz w:val="16"/>
                <w:szCs w:val="16"/>
              </w:rPr>
            </w:pPr>
          </w:p>
        </w:tc>
        <w:tc>
          <w:tcPr>
            <w:tcW w:w="839"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center"/>
              <w:rPr>
                <w:rFonts w:ascii="Arial" w:hAnsi="Arial" w:cs="Arial"/>
                <w:b/>
                <w:bCs/>
                <w:noProof/>
                <w:color w:val="000000"/>
                <w:sz w:val="16"/>
                <w:szCs w:val="16"/>
              </w:rPr>
            </w:pPr>
          </w:p>
        </w:tc>
        <w:tc>
          <w:tcPr>
            <w:tcW w:w="750"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center"/>
              <w:rPr>
                <w:rFonts w:ascii="Arial" w:hAnsi="Arial" w:cs="Arial"/>
                <w:b/>
                <w:bCs/>
                <w:noProof/>
                <w:color w:val="000000"/>
                <w:sz w:val="16"/>
                <w:szCs w:val="16"/>
              </w:rPr>
            </w:pPr>
          </w:p>
        </w:tc>
        <w:tc>
          <w:tcPr>
            <w:tcW w:w="811"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center"/>
              <w:rPr>
                <w:rFonts w:ascii="Arial" w:hAnsi="Arial" w:cs="Arial"/>
                <w:b/>
                <w:bCs/>
                <w:noProof/>
                <w:color w:val="000000"/>
                <w:sz w:val="16"/>
                <w:szCs w:val="16"/>
              </w:rPr>
            </w:pPr>
          </w:p>
        </w:tc>
        <w:tc>
          <w:tcPr>
            <w:tcW w:w="839"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center"/>
              <w:rPr>
                <w:rFonts w:ascii="Arial" w:hAnsi="Arial" w:cs="Arial"/>
                <w:b/>
                <w:bCs/>
                <w:noProof/>
                <w:color w:val="000000"/>
                <w:sz w:val="16"/>
                <w:szCs w:val="16"/>
              </w:rPr>
            </w:pPr>
          </w:p>
        </w:tc>
        <w:tc>
          <w:tcPr>
            <w:tcW w:w="839"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center"/>
              <w:rPr>
                <w:rFonts w:ascii="Arial" w:hAnsi="Arial" w:cs="Arial"/>
                <w:b/>
                <w:bCs/>
                <w:noProof/>
                <w:color w:val="000000"/>
                <w:sz w:val="16"/>
                <w:szCs w:val="16"/>
              </w:rPr>
            </w:pPr>
          </w:p>
        </w:tc>
        <w:tc>
          <w:tcPr>
            <w:tcW w:w="722"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center"/>
              <w:rPr>
                <w:rFonts w:ascii="Arial" w:hAnsi="Arial" w:cs="Arial"/>
                <w:b/>
                <w:bCs/>
                <w:noProof/>
                <w:color w:val="000000"/>
                <w:sz w:val="16"/>
                <w:szCs w:val="16"/>
              </w:rPr>
            </w:pPr>
          </w:p>
        </w:tc>
        <w:tc>
          <w:tcPr>
            <w:tcW w:w="720"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center"/>
              <w:rPr>
                <w:rFonts w:ascii="Arial" w:hAnsi="Arial" w:cs="Arial"/>
                <w:b/>
                <w:bCs/>
                <w:noProof/>
                <w:color w:val="000000"/>
                <w:sz w:val="16"/>
                <w:szCs w:val="16"/>
              </w:rPr>
            </w:pPr>
          </w:p>
        </w:tc>
        <w:tc>
          <w:tcPr>
            <w:tcW w:w="840"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center"/>
              <w:rPr>
                <w:rFonts w:ascii="Arial" w:hAnsi="Arial" w:cs="Arial"/>
                <w:b/>
                <w:bCs/>
                <w:noProof/>
                <w:color w:val="000000"/>
                <w:sz w:val="16"/>
                <w:szCs w:val="16"/>
              </w:rPr>
            </w:pPr>
          </w:p>
        </w:tc>
        <w:tc>
          <w:tcPr>
            <w:tcW w:w="840"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r>
      <w:tr w:rsidR="00D96FAD">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Agricultura, ganadería y pesca (en %)</w:t>
            </w:r>
          </w:p>
        </w:tc>
        <w:tc>
          <w:tcPr>
            <w:tcW w:w="600" w:type="dxa"/>
            <w:tcBorders>
              <w:top w:val="nil"/>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7,9</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16,6</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16,2</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40,2e</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38,2e</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18,6</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17,2</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19,5</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19,4</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18,0</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18,9</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4,4</w:t>
            </w:r>
          </w:p>
        </w:tc>
        <w:tc>
          <w:tcPr>
            <w:tcW w:w="840" w:type="dxa"/>
            <w:tcBorders>
              <w:top w:val="single" w:sz="4" w:space="0" w:color="auto"/>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w:t>
            </w:r>
          </w:p>
        </w:tc>
        <w:tc>
          <w:tcPr>
            <w:tcW w:w="840" w:type="dxa"/>
            <w:tcBorders>
              <w:top w:val="single" w:sz="4" w:space="0" w:color="auto"/>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w:t>
            </w:r>
          </w:p>
        </w:tc>
      </w:tr>
      <w:tr w:rsidR="00D96FAD">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Industria (en %)</w:t>
            </w:r>
          </w:p>
        </w:tc>
        <w:tc>
          <w:tcPr>
            <w:tcW w:w="600" w:type="dxa"/>
            <w:tcBorders>
              <w:top w:val="nil"/>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9,8</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9,5</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23,1</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22,5</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12,8e</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12,5e</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20,2</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21,2</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19,5</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19,1</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22,7</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22,2</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18,0</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17,4</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17,3</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17,3</w:t>
            </w:r>
          </w:p>
        </w:tc>
      </w:tr>
      <w:tr w:rsidR="00D96FAD">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Const</w:t>
            </w:r>
            <w:r>
              <w:rPr>
                <w:rFonts w:ascii="Arial" w:hAnsi="Arial"/>
                <w:noProof/>
                <w:color w:val="000000"/>
                <w:sz w:val="16"/>
              </w:rPr>
              <w:t>rucción (en %)</w:t>
            </w:r>
          </w:p>
        </w:tc>
        <w:tc>
          <w:tcPr>
            <w:tcW w:w="600" w:type="dxa"/>
            <w:tcBorders>
              <w:top w:val="nil"/>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7,6</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6,5e</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6,9e</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4,1</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11,5</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12,9</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w:t>
            </w:r>
          </w:p>
        </w:tc>
      </w:tr>
      <w:tr w:rsidR="00D96FAD">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Servi</w:t>
            </w:r>
            <w:r>
              <w:rPr>
                <w:rFonts w:ascii="Arial" w:hAnsi="Arial"/>
                <w:noProof/>
                <w:color w:val="000000"/>
                <w:sz w:val="16"/>
              </w:rPr>
              <w:t>cios (en %)</w:t>
            </w:r>
          </w:p>
        </w:tc>
        <w:tc>
          <w:tcPr>
            <w:tcW w:w="600" w:type="dxa"/>
            <w:tcBorders>
              <w:top w:val="nil"/>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74,8</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75,0</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53,1</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54,1</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40,5e</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42,4e</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57,0</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57,5</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53,7</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54,1</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50,8</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51,6</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66,3</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65,3</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71,7</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71,7</w:t>
            </w:r>
          </w:p>
        </w:tc>
      </w:tr>
      <w:tr w:rsidR="00D96FAD">
        <w:trPr>
          <w:trHeight w:val="675"/>
        </w:trPr>
        <w:tc>
          <w:tcPr>
            <w:tcW w:w="2400" w:type="dxa"/>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Perso</w:t>
            </w:r>
            <w:r>
              <w:rPr>
                <w:rFonts w:ascii="Arial" w:hAnsi="Arial"/>
                <w:noProof/>
                <w:color w:val="000000"/>
                <w:sz w:val="16"/>
              </w:rPr>
              <w:t>nas empleadas en el sector público como porcentaje del empleo total, población de 20 a 64 años (en %)</w:t>
            </w:r>
          </w:p>
        </w:tc>
        <w:tc>
          <w:tcPr>
            <w:tcW w:w="60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2)</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31,2</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32,6</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15,6e</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16,4e</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28,3</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27,8</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13,8</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13,3</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17,8</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18,4</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30,8</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28,4</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rsidR="00D96FAD">
        <w:trPr>
          <w:trHeight w:val="675"/>
        </w:trPr>
        <w:tc>
          <w:tcPr>
            <w:tcW w:w="2400" w:type="dxa"/>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Perso</w:t>
            </w:r>
            <w:r>
              <w:rPr>
                <w:rFonts w:ascii="Arial" w:hAnsi="Arial"/>
                <w:noProof/>
                <w:color w:val="000000"/>
                <w:sz w:val="16"/>
              </w:rPr>
              <w:t>nas empleadas en el sector privado como porcentaje del empleo total, población de 20 a 64 años (en %)</w:t>
            </w:r>
          </w:p>
        </w:tc>
        <w:tc>
          <w:tcPr>
            <w:tcW w:w="60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2)</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47,0</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45,5</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84,4e</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83,6e</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71,7</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72,2</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86,2</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86,7</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82,2</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81,6</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69,2</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71,6</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rsidR="00D96FAD">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Tasas de desempleo (en % de la población activa)</w:t>
            </w:r>
          </w:p>
        </w:tc>
        <w:tc>
          <w:tcPr>
            <w:tcW w:w="600" w:type="dxa"/>
            <w:tcBorders>
              <w:top w:val="nil"/>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center"/>
              <w:rPr>
                <w:rFonts w:ascii="Arial" w:hAnsi="Arial" w:cs="Arial"/>
                <w:noProof/>
                <w:color w:val="000000"/>
                <w:sz w:val="16"/>
                <w:szCs w:val="16"/>
              </w:rPr>
            </w:pPr>
          </w:p>
        </w:tc>
        <w:tc>
          <w:tcPr>
            <w:tcW w:w="840"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center"/>
              <w:rPr>
                <w:rFonts w:ascii="Arial" w:hAnsi="Arial" w:cs="Arial"/>
                <w:noProof/>
                <w:color w:val="000000"/>
                <w:sz w:val="16"/>
                <w:szCs w:val="16"/>
              </w:rPr>
            </w:pPr>
          </w:p>
        </w:tc>
        <w:tc>
          <w:tcPr>
            <w:tcW w:w="840"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center"/>
              <w:rPr>
                <w:rFonts w:ascii="Arial" w:hAnsi="Arial" w:cs="Arial"/>
                <w:b/>
                <w:bCs/>
                <w:noProof/>
                <w:color w:val="000000"/>
                <w:sz w:val="16"/>
                <w:szCs w:val="16"/>
              </w:rPr>
            </w:pPr>
          </w:p>
        </w:tc>
        <w:tc>
          <w:tcPr>
            <w:tcW w:w="750"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center"/>
              <w:rPr>
                <w:rFonts w:ascii="Arial" w:hAnsi="Arial" w:cs="Arial"/>
                <w:b/>
                <w:bCs/>
                <w:noProof/>
                <w:color w:val="000000"/>
                <w:sz w:val="16"/>
                <w:szCs w:val="16"/>
              </w:rPr>
            </w:pPr>
          </w:p>
        </w:tc>
        <w:tc>
          <w:tcPr>
            <w:tcW w:w="839"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center"/>
              <w:rPr>
                <w:rFonts w:ascii="Arial" w:hAnsi="Arial" w:cs="Arial"/>
                <w:b/>
                <w:bCs/>
                <w:noProof/>
                <w:color w:val="000000"/>
                <w:sz w:val="16"/>
                <w:szCs w:val="16"/>
              </w:rPr>
            </w:pPr>
          </w:p>
        </w:tc>
        <w:tc>
          <w:tcPr>
            <w:tcW w:w="811"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center"/>
              <w:rPr>
                <w:rFonts w:ascii="Arial" w:hAnsi="Arial" w:cs="Arial"/>
                <w:b/>
                <w:bCs/>
                <w:noProof/>
                <w:color w:val="000000"/>
                <w:sz w:val="16"/>
                <w:szCs w:val="16"/>
              </w:rPr>
            </w:pPr>
          </w:p>
        </w:tc>
        <w:tc>
          <w:tcPr>
            <w:tcW w:w="839"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center"/>
              <w:rPr>
                <w:rFonts w:ascii="Arial" w:hAnsi="Arial" w:cs="Arial"/>
                <w:b/>
                <w:bCs/>
                <w:noProof/>
                <w:color w:val="000000"/>
                <w:sz w:val="16"/>
                <w:szCs w:val="16"/>
              </w:rPr>
            </w:pPr>
          </w:p>
        </w:tc>
        <w:tc>
          <w:tcPr>
            <w:tcW w:w="750"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center"/>
              <w:rPr>
                <w:rFonts w:ascii="Arial" w:hAnsi="Arial" w:cs="Arial"/>
                <w:b/>
                <w:bCs/>
                <w:noProof/>
                <w:color w:val="000000"/>
                <w:sz w:val="16"/>
                <w:szCs w:val="16"/>
              </w:rPr>
            </w:pPr>
          </w:p>
        </w:tc>
        <w:tc>
          <w:tcPr>
            <w:tcW w:w="811"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center"/>
              <w:rPr>
                <w:rFonts w:ascii="Arial" w:hAnsi="Arial" w:cs="Arial"/>
                <w:b/>
                <w:bCs/>
                <w:noProof/>
                <w:color w:val="000000"/>
                <w:sz w:val="16"/>
                <w:szCs w:val="16"/>
              </w:rPr>
            </w:pPr>
          </w:p>
        </w:tc>
        <w:tc>
          <w:tcPr>
            <w:tcW w:w="839"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center"/>
              <w:rPr>
                <w:rFonts w:ascii="Arial" w:hAnsi="Arial" w:cs="Arial"/>
                <w:b/>
                <w:bCs/>
                <w:noProof/>
                <w:color w:val="000000"/>
                <w:sz w:val="16"/>
                <w:szCs w:val="16"/>
              </w:rPr>
            </w:pPr>
          </w:p>
        </w:tc>
        <w:tc>
          <w:tcPr>
            <w:tcW w:w="839"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center"/>
              <w:rPr>
                <w:rFonts w:ascii="Arial" w:hAnsi="Arial" w:cs="Arial"/>
                <w:b/>
                <w:bCs/>
                <w:noProof/>
                <w:color w:val="000000"/>
                <w:sz w:val="16"/>
                <w:szCs w:val="16"/>
              </w:rPr>
            </w:pPr>
          </w:p>
        </w:tc>
        <w:tc>
          <w:tcPr>
            <w:tcW w:w="722"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center"/>
              <w:rPr>
                <w:rFonts w:ascii="Arial" w:hAnsi="Arial" w:cs="Arial"/>
                <w:b/>
                <w:bCs/>
                <w:noProof/>
                <w:color w:val="000000"/>
                <w:sz w:val="16"/>
                <w:szCs w:val="16"/>
              </w:rPr>
            </w:pPr>
          </w:p>
        </w:tc>
        <w:tc>
          <w:tcPr>
            <w:tcW w:w="720"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center"/>
              <w:rPr>
                <w:rFonts w:ascii="Arial" w:hAnsi="Arial" w:cs="Arial"/>
                <w:b/>
                <w:bCs/>
                <w:noProof/>
                <w:color w:val="000000"/>
                <w:sz w:val="16"/>
                <w:szCs w:val="16"/>
              </w:rPr>
            </w:pPr>
          </w:p>
        </w:tc>
        <w:tc>
          <w:tcPr>
            <w:tcW w:w="840"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center"/>
              <w:rPr>
                <w:rFonts w:ascii="Arial" w:hAnsi="Arial" w:cs="Arial"/>
                <w:b/>
                <w:bCs/>
                <w:noProof/>
                <w:color w:val="000000"/>
                <w:sz w:val="16"/>
                <w:szCs w:val="16"/>
              </w:rPr>
            </w:pPr>
          </w:p>
        </w:tc>
        <w:tc>
          <w:tcPr>
            <w:tcW w:w="840"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r>
      <w:tr w:rsidR="00D96FAD">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Total</w:t>
            </w:r>
          </w:p>
        </w:tc>
        <w:tc>
          <w:tcPr>
            <w:tcW w:w="60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1)</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17,8</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16,1</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23,7</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22,4</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15,2e</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13,7e</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15,4</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13,6</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10,9</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10,9</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25,5</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20,7</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27,5</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30,3</w:t>
            </w:r>
          </w:p>
        </w:tc>
        <w:tc>
          <w:tcPr>
            <w:tcW w:w="840" w:type="dxa"/>
            <w:tcBorders>
              <w:top w:val="single" w:sz="4" w:space="0" w:color="auto"/>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w:t>
            </w:r>
          </w:p>
        </w:tc>
        <w:tc>
          <w:tcPr>
            <w:tcW w:w="840" w:type="dxa"/>
            <w:tcBorders>
              <w:top w:val="single" w:sz="4" w:space="0" w:color="auto"/>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7,6</w:t>
            </w:r>
          </w:p>
        </w:tc>
      </w:tr>
      <w:tr w:rsidR="00D96FAD">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Hombres</w:t>
            </w:r>
          </w:p>
        </w:tc>
        <w:tc>
          <w:tcPr>
            <w:tcW w:w="60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1)</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18,3</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15,4</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24,4</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22,7</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15,9e</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14,6e</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14,8</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13,0</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9,6</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9,4</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22,6</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19,0</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26,2</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28,5</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w:t>
            </w:r>
          </w:p>
        </w:tc>
      </w:tr>
      <w:tr w:rsidR="00D96FAD">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Mujer</w:t>
            </w:r>
            <w:r>
              <w:rPr>
                <w:rFonts w:ascii="Arial" w:hAnsi="Arial"/>
                <w:noProof/>
                <w:color w:val="000000"/>
                <w:sz w:val="16"/>
              </w:rPr>
              <w:t>es</w:t>
            </w:r>
          </w:p>
        </w:tc>
        <w:tc>
          <w:tcPr>
            <w:tcW w:w="60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1)</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17,1</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16,9</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22,7</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21,8</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14,4e</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12,6e</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16,2</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14,4</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13,6</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13,9</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30,2</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23,3</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31,7</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36,4</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8,8</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7,9</w:t>
            </w:r>
          </w:p>
        </w:tc>
      </w:tr>
      <w:tr w:rsidR="00D96FAD">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Jóven</w:t>
            </w:r>
            <w:r>
              <w:rPr>
                <w:rFonts w:ascii="Arial" w:hAnsi="Arial"/>
                <w:noProof/>
                <w:color w:val="000000"/>
                <w:sz w:val="16"/>
              </w:rPr>
              <w:t>es de 15 a 24 años</w:t>
            </w:r>
          </w:p>
        </w:tc>
        <w:tc>
          <w:tcPr>
            <w:tcW w:w="60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1)</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35,9</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31,7</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48,2</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46,7</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36,5e</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31,9e</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34,9</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31,9</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19,5</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20,5</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54,3</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45,8</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52,4</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52,7</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18,7</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16,8</w:t>
            </w:r>
          </w:p>
        </w:tc>
      </w:tr>
      <w:tr w:rsidR="00D96FAD">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Desempleo de larga duración (&gt;12 meses)</w:t>
            </w:r>
          </w:p>
        </w:tc>
        <w:tc>
          <w:tcPr>
            <w:tcW w:w="60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1)</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13,4</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12,4</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19,2</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17,4</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10,1e</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8,9e</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10,0</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8,2</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21,7</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17,0</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18,0</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21,7</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w:t>
            </w:r>
          </w:p>
        </w:tc>
      </w:tr>
      <w:tr w:rsidR="00D96FAD">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Sueld</w:t>
            </w:r>
            <w:r>
              <w:rPr>
                <w:rFonts w:ascii="Arial" w:hAnsi="Arial"/>
                <w:noProof/>
                <w:color w:val="000000"/>
                <w:sz w:val="16"/>
              </w:rPr>
              <w:t>os y salarios nominales medios mensuales (en EUR)</w:t>
            </w:r>
          </w:p>
        </w:tc>
        <w:tc>
          <w:tcPr>
            <w:tcW w:w="60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3)</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499</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510</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363</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372</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397</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446</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516</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544</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607</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555</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429</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435</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bl>
    <w:p w:rsidR="00D96FAD" w:rsidRDefault="00D96FAD">
      <w:pPr>
        <w:spacing w:after="0"/>
        <w:rPr>
          <w:noProof/>
          <w:sz w:val="16"/>
        </w:rPr>
      </w:pPr>
      <w:bookmarkStart w:id="1" w:name="_GoBack"/>
      <w:bookmarkEnd w:id="1"/>
    </w:p>
    <w:tbl>
      <w:tblPr>
        <w:tblW w:w="15840" w:type="dxa"/>
        <w:tblInd w:w="-492" w:type="dxa"/>
        <w:tblLayout w:type="fixed"/>
        <w:tblLook w:val="04A0" w:firstRow="1" w:lastRow="0" w:firstColumn="1" w:lastColumn="0" w:noHBand="0" w:noVBand="1"/>
      </w:tblPr>
      <w:tblGrid>
        <w:gridCol w:w="2400"/>
        <w:gridCol w:w="600"/>
        <w:gridCol w:w="720"/>
        <w:gridCol w:w="840"/>
        <w:gridCol w:w="840"/>
        <w:gridCol w:w="750"/>
        <w:gridCol w:w="839"/>
        <w:gridCol w:w="811"/>
        <w:gridCol w:w="839"/>
        <w:gridCol w:w="750"/>
        <w:gridCol w:w="811"/>
        <w:gridCol w:w="839"/>
        <w:gridCol w:w="839"/>
        <w:gridCol w:w="722"/>
        <w:gridCol w:w="720"/>
        <w:gridCol w:w="840"/>
        <w:gridCol w:w="840"/>
        <w:gridCol w:w="840"/>
      </w:tblGrid>
      <w:tr w:rsidR="00D96FAD">
        <w:trPr>
          <w:trHeight w:val="225"/>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FAD" w:rsidRDefault="00E3669E">
            <w:pPr>
              <w:spacing w:after="0"/>
              <w:rPr>
                <w:rFonts w:ascii="Arial" w:hAnsi="Arial" w:cs="Arial"/>
                <w:noProof/>
                <w:sz w:val="16"/>
                <w:szCs w:val="16"/>
              </w:rPr>
            </w:pPr>
            <w:r>
              <w:rPr>
                <w:rFonts w:ascii="Arial" w:hAnsi="Arial"/>
                <w:b/>
                <w:noProof/>
                <w:color w:val="000000"/>
                <w:sz w:val="16"/>
              </w:rPr>
              <w:t>Edu</w:t>
            </w:r>
            <w:r>
              <w:rPr>
                <w:rFonts w:ascii="Arial" w:hAnsi="Arial"/>
                <w:b/>
                <w:noProof/>
                <w:color w:val="000000"/>
                <w:sz w:val="16"/>
              </w:rPr>
              <w:t>cación</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FAD" w:rsidRDefault="00E3669E">
            <w:pPr>
              <w:spacing w:after="0"/>
              <w:rPr>
                <w:rFonts w:ascii="Arial" w:hAnsi="Arial" w:cs="Arial"/>
                <w:noProof/>
                <w:sz w:val="16"/>
                <w:szCs w:val="16"/>
              </w:rPr>
            </w:pPr>
            <w:r>
              <w:rPr>
                <w:rFonts w:ascii="Arial" w:hAnsi="Arial"/>
                <w:noProof/>
                <w:sz w:val="16"/>
              </w:rPr>
              <w:t> </w:t>
            </w:r>
            <w:r>
              <w:rPr>
                <w:rFonts w:ascii="Arial" w:hAnsi="Arial"/>
                <w:noProof/>
                <w:color w:val="000000"/>
                <w:sz w:val="16"/>
              </w:rPr>
              <w:t>Nota</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D96FAD" w:rsidRDefault="00E3669E">
            <w:pPr>
              <w:spacing w:after="0"/>
              <w:jc w:val="center"/>
              <w:rPr>
                <w:rFonts w:ascii="Arial" w:hAnsi="Arial" w:cs="Arial"/>
                <w:noProof/>
                <w:sz w:val="16"/>
                <w:szCs w:val="16"/>
              </w:rPr>
            </w:pPr>
            <w:r>
              <w:rPr>
                <w:rFonts w:ascii="Arial" w:hAnsi="Arial"/>
                <w:noProof/>
                <w:sz w:val="16"/>
              </w:rPr>
              <w:t>Montenegro</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rsidR="00D96FAD" w:rsidRDefault="00E3669E">
            <w:pPr>
              <w:spacing w:after="0"/>
              <w:jc w:val="center"/>
              <w:rPr>
                <w:rFonts w:ascii="Arial" w:hAnsi="Arial" w:cs="Arial"/>
                <w:noProof/>
                <w:sz w:val="16"/>
                <w:szCs w:val="16"/>
              </w:rPr>
            </w:pPr>
            <w:r>
              <w:rPr>
                <w:rFonts w:ascii="Arial" w:hAnsi="Arial"/>
                <w:noProof/>
                <w:sz w:val="16"/>
              </w:rPr>
              <w:t>Macedonia del Norte</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D96FAD" w:rsidRDefault="00E3669E">
            <w:pPr>
              <w:spacing w:after="0"/>
              <w:jc w:val="center"/>
              <w:rPr>
                <w:rFonts w:ascii="Arial" w:hAnsi="Arial" w:cs="Arial"/>
                <w:noProof/>
                <w:sz w:val="16"/>
                <w:szCs w:val="16"/>
              </w:rPr>
            </w:pPr>
            <w:r>
              <w:rPr>
                <w:rFonts w:ascii="Arial" w:hAnsi="Arial"/>
                <w:noProof/>
                <w:sz w:val="16"/>
              </w:rPr>
              <w:t>Albania</w:t>
            </w:r>
          </w:p>
        </w:tc>
        <w:tc>
          <w:tcPr>
            <w:tcW w:w="1589" w:type="dxa"/>
            <w:gridSpan w:val="2"/>
            <w:tcBorders>
              <w:top w:val="single" w:sz="4" w:space="0" w:color="auto"/>
              <w:left w:val="nil"/>
              <w:bottom w:val="single" w:sz="4" w:space="0" w:color="auto"/>
              <w:right w:val="single" w:sz="4" w:space="0" w:color="auto"/>
            </w:tcBorders>
            <w:shd w:val="clear" w:color="auto" w:fill="auto"/>
            <w:vAlign w:val="center"/>
            <w:hideMark/>
          </w:tcPr>
          <w:p w:rsidR="00D96FAD" w:rsidRDefault="00E3669E">
            <w:pPr>
              <w:spacing w:after="0"/>
              <w:jc w:val="center"/>
              <w:rPr>
                <w:rFonts w:ascii="Arial" w:hAnsi="Arial" w:cs="Arial"/>
                <w:noProof/>
                <w:sz w:val="16"/>
                <w:szCs w:val="16"/>
              </w:rPr>
            </w:pPr>
            <w:r>
              <w:rPr>
                <w:rFonts w:ascii="Arial" w:hAnsi="Arial"/>
                <w:noProof/>
                <w:sz w:val="16"/>
              </w:rPr>
              <w:t>Serbia</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D96FAD" w:rsidRDefault="00E3669E">
            <w:pPr>
              <w:spacing w:after="0"/>
              <w:jc w:val="center"/>
              <w:rPr>
                <w:rFonts w:ascii="Arial" w:hAnsi="Arial" w:cs="Arial"/>
                <w:noProof/>
                <w:sz w:val="16"/>
                <w:szCs w:val="16"/>
              </w:rPr>
            </w:pPr>
            <w:r>
              <w:rPr>
                <w:rFonts w:ascii="Arial" w:hAnsi="Arial"/>
                <w:noProof/>
                <w:sz w:val="16"/>
              </w:rPr>
              <w:t>Turquía</w:t>
            </w:r>
          </w:p>
        </w:tc>
        <w:tc>
          <w:tcPr>
            <w:tcW w:w="1561" w:type="dxa"/>
            <w:gridSpan w:val="2"/>
            <w:tcBorders>
              <w:top w:val="single" w:sz="4" w:space="0" w:color="auto"/>
              <w:left w:val="nil"/>
              <w:bottom w:val="single" w:sz="4" w:space="0" w:color="auto"/>
              <w:right w:val="single" w:sz="4" w:space="0" w:color="auto"/>
            </w:tcBorders>
            <w:shd w:val="clear" w:color="auto" w:fill="auto"/>
            <w:vAlign w:val="center"/>
            <w:hideMark/>
          </w:tcPr>
          <w:p w:rsidR="00D96FAD" w:rsidRDefault="00E3669E">
            <w:pPr>
              <w:spacing w:after="0"/>
              <w:jc w:val="center"/>
              <w:rPr>
                <w:rFonts w:ascii="Arial" w:hAnsi="Arial" w:cs="Arial"/>
                <w:noProof/>
                <w:sz w:val="16"/>
                <w:szCs w:val="16"/>
              </w:rPr>
            </w:pPr>
            <w:r>
              <w:rPr>
                <w:rFonts w:ascii="Arial" w:hAnsi="Arial"/>
                <w:noProof/>
                <w:sz w:val="16"/>
              </w:rPr>
              <w:t>Bosnia y</w:t>
            </w:r>
            <w:r>
              <w:rPr>
                <w:rFonts w:ascii="Arial" w:hAnsi="Arial" w:cs="Arial"/>
                <w:noProof/>
                <w:sz w:val="16"/>
                <w:szCs w:val="16"/>
              </w:rPr>
              <w:br/>
            </w:r>
            <w:r>
              <w:rPr>
                <w:rFonts w:ascii="Arial" w:hAnsi="Arial"/>
                <w:noProof/>
                <w:sz w:val="16"/>
              </w:rPr>
              <w:t>Herzegovina</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D96FAD" w:rsidRDefault="00E3669E">
            <w:pPr>
              <w:spacing w:after="0"/>
              <w:jc w:val="center"/>
              <w:rPr>
                <w:rFonts w:ascii="Arial" w:hAnsi="Arial" w:cs="Arial"/>
                <w:noProof/>
                <w:sz w:val="16"/>
                <w:szCs w:val="16"/>
              </w:rPr>
            </w:pPr>
            <w:r>
              <w:rPr>
                <w:rFonts w:ascii="Arial" w:hAnsi="Arial"/>
                <w:noProof/>
                <w:sz w:val="16"/>
              </w:rPr>
              <w:t>Kosovo*</w:t>
            </w:r>
          </w:p>
        </w:tc>
        <w:tc>
          <w:tcPr>
            <w:tcW w:w="1680" w:type="dxa"/>
            <w:gridSpan w:val="2"/>
            <w:tcBorders>
              <w:top w:val="single" w:sz="4" w:space="0" w:color="auto"/>
              <w:left w:val="nil"/>
              <w:bottom w:val="single" w:sz="4" w:space="0" w:color="auto"/>
              <w:right w:val="single" w:sz="4" w:space="0" w:color="auto"/>
            </w:tcBorders>
            <w:shd w:val="clear" w:color="auto" w:fill="auto"/>
            <w:vAlign w:val="center"/>
            <w:hideMark/>
          </w:tcPr>
          <w:p w:rsidR="00D96FAD" w:rsidRDefault="00E3669E">
            <w:pPr>
              <w:spacing w:after="0"/>
              <w:jc w:val="center"/>
              <w:rPr>
                <w:rFonts w:ascii="Arial" w:hAnsi="Arial" w:cs="Arial"/>
                <w:noProof/>
                <w:sz w:val="16"/>
                <w:szCs w:val="16"/>
              </w:rPr>
            </w:pPr>
            <w:r>
              <w:rPr>
                <w:rFonts w:ascii="Arial" w:hAnsi="Arial"/>
                <w:noProof/>
                <w:sz w:val="16"/>
              </w:rPr>
              <w:t>EU-28</w:t>
            </w:r>
          </w:p>
        </w:tc>
      </w:tr>
      <w:tr w:rsidR="00D96FAD">
        <w:trPr>
          <w:trHeight w:val="225"/>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D96FAD" w:rsidRDefault="00D96FAD">
            <w:pPr>
              <w:spacing w:after="0"/>
              <w:rPr>
                <w:rFonts w:ascii="Arial" w:hAnsi="Arial" w:cs="Arial"/>
                <w:noProof/>
                <w:sz w:val="16"/>
                <w:szCs w:val="16"/>
              </w:rPr>
            </w:pPr>
          </w:p>
        </w:tc>
        <w:tc>
          <w:tcPr>
            <w:tcW w:w="600" w:type="dxa"/>
            <w:vMerge/>
            <w:tcBorders>
              <w:left w:val="single" w:sz="4" w:space="0" w:color="auto"/>
              <w:bottom w:val="single" w:sz="4" w:space="0" w:color="auto"/>
              <w:right w:val="single" w:sz="4" w:space="0" w:color="auto"/>
            </w:tcBorders>
            <w:shd w:val="clear" w:color="auto" w:fill="auto"/>
            <w:noWrap/>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11"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11"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22"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72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r>
      <w:tr w:rsidR="00D96FAD">
        <w:trPr>
          <w:trHeight w:val="1125"/>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Abandono prematuro de la educación y formación: porcentaje de la población de 18 a 24 años que ha cursado como máximo el primer ciclo de la enseñanza secundaria y que no sigue un programa de educación o formación (en %)</w:t>
            </w:r>
          </w:p>
        </w:tc>
        <w:tc>
          <w:tcPr>
            <w:tcW w:w="600" w:type="dxa"/>
            <w:tcBorders>
              <w:top w:val="nil"/>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5,5</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9,9</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8,5</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19,6e</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19,6</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34,3</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32,5</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4,9</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5,1</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12,7</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12,2</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10,7</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10,6</w:t>
            </w:r>
          </w:p>
        </w:tc>
      </w:tr>
      <w:tr w:rsidR="00D96FAD">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Gasto público en educación en relación con el PIB (en %)</w:t>
            </w:r>
          </w:p>
        </w:tc>
        <w:tc>
          <w:tcPr>
            <w:tcW w:w="600" w:type="dxa"/>
            <w:tcBorders>
              <w:top w:val="nil"/>
              <w:left w:val="nil"/>
              <w:bottom w:val="single" w:sz="4" w:space="0" w:color="auto"/>
              <w:right w:val="single" w:sz="4" w:space="0" w:color="auto"/>
            </w:tcBorders>
            <w:shd w:val="clear" w:color="auto" w:fill="auto"/>
            <w:noWrap/>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3,1p</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3,1p</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4,7</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4,6</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4,4</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rsidR="00D96FAD">
        <w:trPr>
          <w:trHeight w:val="675"/>
        </w:trPr>
        <w:tc>
          <w:tcPr>
            <w:tcW w:w="2400" w:type="dxa"/>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Porce</w:t>
            </w:r>
            <w:r>
              <w:rPr>
                <w:rFonts w:ascii="Arial" w:hAnsi="Arial"/>
                <w:noProof/>
                <w:color w:val="000000"/>
                <w:sz w:val="16"/>
              </w:rPr>
              <w:t>ntaje de la población de 20 a 24 años que ha cursado como máximo el primer ciclo de la enseñanza secundaria, total</w:t>
            </w:r>
          </w:p>
        </w:tc>
        <w:tc>
          <w:tcPr>
            <w:tcW w:w="600" w:type="dxa"/>
            <w:tcBorders>
              <w:top w:val="nil"/>
              <w:left w:val="nil"/>
              <w:bottom w:val="single" w:sz="4" w:space="0" w:color="auto"/>
              <w:right w:val="single" w:sz="4" w:space="0" w:color="auto"/>
            </w:tcBorders>
            <w:shd w:val="clear" w:color="auto" w:fill="auto"/>
            <w:noWrap/>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4,9</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12,0</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9,3</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43,9</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42,8</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5,8u</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6,1u</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14,6</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13,8</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16,8</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16,6</w:t>
            </w:r>
          </w:p>
        </w:tc>
      </w:tr>
      <w:tr w:rsidR="00D96FAD">
        <w:trPr>
          <w:trHeight w:val="675"/>
        </w:trPr>
        <w:tc>
          <w:tcPr>
            <w:tcW w:w="2400" w:type="dxa"/>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Porce</w:t>
            </w:r>
            <w:r>
              <w:rPr>
                <w:rFonts w:ascii="Arial" w:hAnsi="Arial"/>
                <w:noProof/>
                <w:color w:val="000000"/>
                <w:sz w:val="16"/>
              </w:rPr>
              <w:t>ntaje de la población de 20 a 24 años que ha cursado como máximo el primer ciclo de la enseñanza secundaria, hombres</w:t>
            </w:r>
          </w:p>
        </w:tc>
        <w:tc>
          <w:tcPr>
            <w:tcW w:w="600" w:type="dxa"/>
            <w:tcBorders>
              <w:top w:val="nil"/>
              <w:left w:val="nil"/>
              <w:bottom w:val="single" w:sz="4" w:space="0" w:color="auto"/>
              <w:right w:val="single" w:sz="4" w:space="0" w:color="auto"/>
            </w:tcBorders>
            <w:shd w:val="clear" w:color="auto" w:fill="auto"/>
            <w:noWrap/>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5,8</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4,9</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10,9</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8,8</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44,2</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42,9</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5,5u</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6,1u</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12,5</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12,8</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19,1</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19,1</w:t>
            </w:r>
          </w:p>
        </w:tc>
      </w:tr>
      <w:tr w:rsidR="00D96FAD">
        <w:trPr>
          <w:trHeight w:val="675"/>
        </w:trPr>
        <w:tc>
          <w:tcPr>
            <w:tcW w:w="2400" w:type="dxa"/>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Porce</w:t>
            </w:r>
            <w:r>
              <w:rPr>
                <w:rFonts w:ascii="Arial" w:hAnsi="Arial"/>
                <w:noProof/>
                <w:color w:val="000000"/>
                <w:sz w:val="16"/>
              </w:rPr>
              <w:t>ntaje de la población de 20 a 24 años que ha cursado como máximo el primer ciclo de la enseñanza secundaria, mujeres</w:t>
            </w:r>
          </w:p>
        </w:tc>
        <w:tc>
          <w:tcPr>
            <w:tcW w:w="600" w:type="dxa"/>
            <w:tcBorders>
              <w:top w:val="nil"/>
              <w:left w:val="nil"/>
              <w:bottom w:val="single" w:sz="4" w:space="0" w:color="auto"/>
              <w:right w:val="single" w:sz="4" w:space="0" w:color="auto"/>
            </w:tcBorders>
            <w:shd w:val="clear" w:color="auto" w:fill="auto"/>
            <w:noWrap/>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7,9</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4,9</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13,1</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9,8</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6,3</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43,7</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42,7</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6,3u</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6,2u</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17,0</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14,9</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14,4</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14,1</w:t>
            </w:r>
          </w:p>
        </w:tc>
      </w:tr>
      <w:tr w:rsidR="00D96FAD">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Porce</w:t>
            </w:r>
            <w:r>
              <w:rPr>
                <w:rFonts w:ascii="Arial" w:hAnsi="Arial"/>
                <w:noProof/>
                <w:color w:val="000000"/>
                <w:sz w:val="16"/>
              </w:rPr>
              <w:t>ntaje de la población de 20 a 24 años que ha cursado como máximo el segundo ciclo de la enseñanza secundaria o enseñanza postsecundaria no terciaria, total</w:t>
            </w:r>
          </w:p>
        </w:tc>
        <w:tc>
          <w:tcPr>
            <w:tcW w:w="600" w:type="dxa"/>
            <w:tcBorders>
              <w:top w:val="nil"/>
              <w:left w:val="nil"/>
              <w:bottom w:val="single" w:sz="4" w:space="0" w:color="auto"/>
              <w:right w:val="single" w:sz="4" w:space="0" w:color="auto"/>
            </w:tcBorders>
            <w:shd w:val="clear" w:color="auto" w:fill="auto"/>
            <w:noWrap/>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82,2</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86,9</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77,2</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80,3</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84,9</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85,0</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35,7</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36,1</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86,6</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86,9</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70,5</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70,8</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65,3</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65,1</w:t>
            </w:r>
          </w:p>
        </w:tc>
      </w:tr>
      <w:tr w:rsidR="00D96FAD">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Porce</w:t>
            </w:r>
            <w:r>
              <w:rPr>
                <w:rFonts w:ascii="Arial" w:hAnsi="Arial"/>
                <w:noProof/>
                <w:color w:val="000000"/>
                <w:sz w:val="16"/>
              </w:rPr>
              <w:t>ntaje de la población de 20 a 24 años que ha cursado como máximo el segundo ciclo de la enseñanza secundaria o enseñanza postsecundaria no terciaria, hombres</w:t>
            </w:r>
          </w:p>
        </w:tc>
        <w:tc>
          <w:tcPr>
            <w:tcW w:w="600" w:type="dxa"/>
            <w:tcBorders>
              <w:top w:val="nil"/>
              <w:left w:val="nil"/>
              <w:bottom w:val="single" w:sz="4" w:space="0" w:color="auto"/>
              <w:right w:val="single" w:sz="4" w:space="0" w:color="auto"/>
            </w:tcBorders>
            <w:shd w:val="clear" w:color="auto" w:fill="auto"/>
            <w:noWrap/>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86,9</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90,6</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82,5</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83,7</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86,3</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86,3</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38,3</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39,4</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89,0</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89,4</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74,5</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74,2</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66,1</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65,8</w:t>
            </w:r>
          </w:p>
        </w:tc>
      </w:tr>
      <w:tr w:rsidR="00D96FAD">
        <w:trPr>
          <w:trHeight w:val="675"/>
        </w:trPr>
        <w:tc>
          <w:tcPr>
            <w:tcW w:w="2400" w:type="dxa"/>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Porce</w:t>
            </w:r>
            <w:r>
              <w:rPr>
                <w:rFonts w:ascii="Arial" w:hAnsi="Arial"/>
                <w:noProof/>
                <w:color w:val="000000"/>
                <w:sz w:val="16"/>
              </w:rPr>
              <w:t>ntaje de la población de 20 a 24 años que ha cursado como máximo el segundo ciclo de la enseñanza secundaria o enseñanza postsecundaria no terciaria, mujeres</w:t>
            </w:r>
          </w:p>
        </w:tc>
        <w:tc>
          <w:tcPr>
            <w:tcW w:w="600" w:type="dxa"/>
            <w:tcBorders>
              <w:top w:val="nil"/>
              <w:left w:val="nil"/>
              <w:bottom w:val="single" w:sz="4" w:space="0" w:color="auto"/>
              <w:right w:val="single" w:sz="4" w:space="0" w:color="auto"/>
            </w:tcBorders>
            <w:shd w:val="clear" w:color="auto" w:fill="auto"/>
            <w:noWrap/>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77,2</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82,9</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71,8</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76,7</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83,3</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83,5</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33,3</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32,9</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83,7</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84,0</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66,0</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66,9</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64,4</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64,4</w:t>
            </w:r>
          </w:p>
        </w:tc>
      </w:tr>
      <w:tr w:rsidR="00D96FAD">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Porce</w:t>
            </w:r>
            <w:r>
              <w:rPr>
                <w:rFonts w:ascii="Arial" w:hAnsi="Arial"/>
                <w:noProof/>
                <w:color w:val="000000"/>
                <w:sz w:val="16"/>
              </w:rPr>
              <w:t>ntaje de la población de 30 a 34 años con educación superior, total</w:t>
            </w:r>
          </w:p>
        </w:tc>
        <w:tc>
          <w:tcPr>
            <w:tcW w:w="600" w:type="dxa"/>
            <w:tcBorders>
              <w:top w:val="nil"/>
              <w:left w:val="nil"/>
              <w:bottom w:val="single" w:sz="4" w:space="0" w:color="auto"/>
              <w:right w:val="single" w:sz="4" w:space="0" w:color="auto"/>
            </w:tcBorders>
            <w:shd w:val="clear" w:color="auto" w:fill="auto"/>
            <w:noWrap/>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33,9</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34,0</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29,1</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30,5</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20,9e</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23,5e</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29,9</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31,4</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26,5</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27,3</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23,1</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23,8</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19,1</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21,8</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39,0</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39,8</w:t>
            </w:r>
          </w:p>
        </w:tc>
      </w:tr>
      <w:tr w:rsidR="00D96FAD">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Porce</w:t>
            </w:r>
            <w:r>
              <w:rPr>
                <w:rFonts w:ascii="Arial" w:hAnsi="Arial"/>
                <w:noProof/>
                <w:color w:val="000000"/>
                <w:sz w:val="16"/>
              </w:rPr>
              <w:t>ntaje de la población de 30 a 34 años con educación superior, hombres</w:t>
            </w:r>
          </w:p>
        </w:tc>
        <w:tc>
          <w:tcPr>
            <w:tcW w:w="600" w:type="dxa"/>
            <w:tcBorders>
              <w:top w:val="nil"/>
              <w:left w:val="nil"/>
              <w:bottom w:val="single" w:sz="4" w:space="0" w:color="auto"/>
              <w:right w:val="single" w:sz="4" w:space="0" w:color="auto"/>
            </w:tcBorders>
            <w:shd w:val="clear" w:color="auto" w:fill="auto"/>
            <w:noWrap/>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31,8</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30,0</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24,5</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24,6</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18,0e</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21,1e</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24,7</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25,4</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28,3</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28,6</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16,6u</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19,4</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18,9</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22,4</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34,3</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34,8</w:t>
            </w:r>
          </w:p>
        </w:tc>
      </w:tr>
      <w:tr w:rsidR="00D96FAD">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Porce</w:t>
            </w:r>
            <w:r>
              <w:rPr>
                <w:rFonts w:ascii="Arial" w:hAnsi="Arial"/>
                <w:noProof/>
                <w:color w:val="000000"/>
                <w:sz w:val="16"/>
              </w:rPr>
              <w:t>ntaje de la población de 30 a 34 años con educación superior, mujeres</w:t>
            </w:r>
          </w:p>
        </w:tc>
        <w:tc>
          <w:tcPr>
            <w:tcW w:w="600" w:type="dxa"/>
            <w:tcBorders>
              <w:top w:val="nil"/>
              <w:left w:val="nil"/>
              <w:bottom w:val="single" w:sz="4" w:space="0" w:color="auto"/>
              <w:right w:val="single" w:sz="4" w:space="0" w:color="auto"/>
            </w:tcBorders>
            <w:shd w:val="clear" w:color="auto" w:fill="auto"/>
            <w:noWrap/>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35,9</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37,7</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33,8</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36,8</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23,9e</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26,0e</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35,3</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37,6</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24,6</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26,0</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29,4</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28,4</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19,4</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21,2</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43,8</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44,8</w:t>
            </w:r>
          </w:p>
        </w:tc>
      </w:tr>
    </w:tbl>
    <w:p w:rsidR="00D96FAD" w:rsidRDefault="00E3669E">
      <w:pPr>
        <w:spacing w:after="0"/>
        <w:rPr>
          <w:noProof/>
          <w:sz w:val="16"/>
        </w:rPr>
      </w:pPr>
      <w:r>
        <w:rPr>
          <w:noProof/>
        </w:rPr>
        <w:br w:type="page"/>
      </w:r>
    </w:p>
    <w:tbl>
      <w:tblPr>
        <w:tblW w:w="15840" w:type="dxa"/>
        <w:tblInd w:w="-492" w:type="dxa"/>
        <w:tblLayout w:type="fixed"/>
        <w:tblLook w:val="04A0" w:firstRow="1" w:lastRow="0" w:firstColumn="1" w:lastColumn="0" w:noHBand="0" w:noVBand="1"/>
      </w:tblPr>
      <w:tblGrid>
        <w:gridCol w:w="2400"/>
        <w:gridCol w:w="600"/>
        <w:gridCol w:w="720"/>
        <w:gridCol w:w="840"/>
        <w:gridCol w:w="840"/>
        <w:gridCol w:w="750"/>
        <w:gridCol w:w="839"/>
        <w:gridCol w:w="811"/>
        <w:gridCol w:w="839"/>
        <w:gridCol w:w="750"/>
        <w:gridCol w:w="811"/>
        <w:gridCol w:w="839"/>
        <w:gridCol w:w="839"/>
        <w:gridCol w:w="722"/>
        <w:gridCol w:w="720"/>
        <w:gridCol w:w="840"/>
        <w:gridCol w:w="840"/>
        <w:gridCol w:w="840"/>
      </w:tblGrid>
      <w:tr w:rsidR="00D96FAD">
        <w:trPr>
          <w:trHeight w:val="225"/>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FAD" w:rsidRDefault="00E3669E">
            <w:pPr>
              <w:spacing w:after="0"/>
              <w:rPr>
                <w:rFonts w:ascii="Arial" w:hAnsi="Arial" w:cs="Arial"/>
                <w:noProof/>
                <w:sz w:val="16"/>
                <w:szCs w:val="16"/>
              </w:rPr>
            </w:pPr>
            <w:r>
              <w:rPr>
                <w:rFonts w:ascii="Arial" w:hAnsi="Arial"/>
                <w:b/>
                <w:noProof/>
                <w:color w:val="000000"/>
                <w:sz w:val="16"/>
              </w:rPr>
              <w:t>Cuentas nacionales</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FAD" w:rsidRDefault="00E3669E">
            <w:pPr>
              <w:spacing w:after="0"/>
              <w:rPr>
                <w:rFonts w:ascii="Arial" w:hAnsi="Arial" w:cs="Arial"/>
                <w:noProof/>
                <w:sz w:val="16"/>
                <w:szCs w:val="16"/>
              </w:rPr>
            </w:pPr>
            <w:r>
              <w:rPr>
                <w:rFonts w:ascii="Arial" w:hAnsi="Arial"/>
                <w:noProof/>
                <w:sz w:val="16"/>
              </w:rPr>
              <w:t> </w:t>
            </w:r>
            <w:r>
              <w:rPr>
                <w:rFonts w:ascii="Arial" w:hAnsi="Arial"/>
                <w:noProof/>
                <w:color w:val="000000"/>
                <w:sz w:val="16"/>
              </w:rPr>
              <w:t>Nota</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D96FAD" w:rsidRDefault="00E3669E">
            <w:pPr>
              <w:spacing w:after="0"/>
              <w:jc w:val="center"/>
              <w:rPr>
                <w:rFonts w:ascii="Arial" w:hAnsi="Arial" w:cs="Arial"/>
                <w:noProof/>
                <w:sz w:val="16"/>
                <w:szCs w:val="16"/>
              </w:rPr>
            </w:pPr>
            <w:r>
              <w:rPr>
                <w:rFonts w:ascii="Arial" w:hAnsi="Arial"/>
                <w:noProof/>
                <w:sz w:val="16"/>
              </w:rPr>
              <w:t>Montenegro</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rsidR="00D96FAD" w:rsidRDefault="00E3669E">
            <w:pPr>
              <w:spacing w:after="0"/>
              <w:jc w:val="center"/>
              <w:rPr>
                <w:rFonts w:ascii="Arial" w:hAnsi="Arial" w:cs="Arial"/>
                <w:noProof/>
                <w:sz w:val="16"/>
                <w:szCs w:val="16"/>
              </w:rPr>
            </w:pPr>
            <w:r>
              <w:rPr>
                <w:rFonts w:ascii="Arial" w:hAnsi="Arial"/>
                <w:noProof/>
                <w:sz w:val="16"/>
              </w:rPr>
              <w:t>Macedonia del Norte</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D96FAD" w:rsidRDefault="00E3669E">
            <w:pPr>
              <w:spacing w:after="0"/>
              <w:jc w:val="center"/>
              <w:rPr>
                <w:rFonts w:ascii="Arial" w:hAnsi="Arial" w:cs="Arial"/>
                <w:noProof/>
                <w:sz w:val="16"/>
                <w:szCs w:val="16"/>
              </w:rPr>
            </w:pPr>
            <w:r>
              <w:rPr>
                <w:rFonts w:ascii="Arial" w:hAnsi="Arial"/>
                <w:noProof/>
                <w:sz w:val="16"/>
              </w:rPr>
              <w:t>Albania</w:t>
            </w:r>
          </w:p>
        </w:tc>
        <w:tc>
          <w:tcPr>
            <w:tcW w:w="1589" w:type="dxa"/>
            <w:gridSpan w:val="2"/>
            <w:tcBorders>
              <w:top w:val="single" w:sz="4" w:space="0" w:color="auto"/>
              <w:left w:val="nil"/>
              <w:bottom w:val="single" w:sz="4" w:space="0" w:color="auto"/>
              <w:right w:val="single" w:sz="4" w:space="0" w:color="auto"/>
            </w:tcBorders>
            <w:shd w:val="clear" w:color="auto" w:fill="auto"/>
            <w:vAlign w:val="center"/>
            <w:hideMark/>
          </w:tcPr>
          <w:p w:rsidR="00D96FAD" w:rsidRDefault="00E3669E">
            <w:pPr>
              <w:spacing w:after="0"/>
              <w:jc w:val="center"/>
              <w:rPr>
                <w:rFonts w:ascii="Arial" w:hAnsi="Arial" w:cs="Arial"/>
                <w:noProof/>
                <w:sz w:val="16"/>
                <w:szCs w:val="16"/>
              </w:rPr>
            </w:pPr>
            <w:r>
              <w:rPr>
                <w:rFonts w:ascii="Arial" w:hAnsi="Arial"/>
                <w:noProof/>
                <w:sz w:val="16"/>
              </w:rPr>
              <w:t>Serbia</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D96FAD" w:rsidRDefault="00E3669E">
            <w:pPr>
              <w:spacing w:after="0"/>
              <w:jc w:val="center"/>
              <w:rPr>
                <w:rFonts w:ascii="Arial" w:hAnsi="Arial" w:cs="Arial"/>
                <w:noProof/>
                <w:sz w:val="16"/>
                <w:szCs w:val="16"/>
              </w:rPr>
            </w:pPr>
            <w:r>
              <w:rPr>
                <w:rFonts w:ascii="Arial" w:hAnsi="Arial"/>
                <w:noProof/>
                <w:sz w:val="16"/>
              </w:rPr>
              <w:t>Turquía</w:t>
            </w:r>
          </w:p>
        </w:tc>
        <w:tc>
          <w:tcPr>
            <w:tcW w:w="1561" w:type="dxa"/>
            <w:gridSpan w:val="2"/>
            <w:tcBorders>
              <w:top w:val="single" w:sz="4" w:space="0" w:color="auto"/>
              <w:left w:val="nil"/>
              <w:bottom w:val="single" w:sz="4" w:space="0" w:color="auto"/>
              <w:right w:val="single" w:sz="4" w:space="0" w:color="auto"/>
            </w:tcBorders>
            <w:shd w:val="clear" w:color="auto" w:fill="auto"/>
            <w:vAlign w:val="center"/>
            <w:hideMark/>
          </w:tcPr>
          <w:p w:rsidR="00D96FAD" w:rsidRDefault="00E3669E">
            <w:pPr>
              <w:spacing w:after="0"/>
              <w:jc w:val="center"/>
              <w:rPr>
                <w:rFonts w:ascii="Arial" w:hAnsi="Arial" w:cs="Arial"/>
                <w:noProof/>
                <w:sz w:val="16"/>
                <w:szCs w:val="16"/>
              </w:rPr>
            </w:pPr>
            <w:r>
              <w:rPr>
                <w:rFonts w:ascii="Arial" w:hAnsi="Arial"/>
                <w:noProof/>
                <w:sz w:val="16"/>
              </w:rPr>
              <w:t>Bosnia y</w:t>
            </w:r>
            <w:r>
              <w:rPr>
                <w:rFonts w:ascii="Arial" w:hAnsi="Arial" w:cs="Arial"/>
                <w:noProof/>
                <w:sz w:val="16"/>
                <w:szCs w:val="16"/>
              </w:rPr>
              <w:br/>
            </w:r>
            <w:r>
              <w:rPr>
                <w:rFonts w:ascii="Arial" w:hAnsi="Arial"/>
                <w:noProof/>
                <w:sz w:val="16"/>
              </w:rPr>
              <w:t>Herzegovina</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D96FAD" w:rsidRDefault="00E3669E">
            <w:pPr>
              <w:spacing w:after="0"/>
              <w:jc w:val="center"/>
              <w:rPr>
                <w:rFonts w:ascii="Arial" w:hAnsi="Arial" w:cs="Arial"/>
                <w:noProof/>
                <w:sz w:val="16"/>
                <w:szCs w:val="16"/>
              </w:rPr>
            </w:pPr>
            <w:r>
              <w:rPr>
                <w:rFonts w:ascii="Arial" w:hAnsi="Arial"/>
                <w:noProof/>
                <w:sz w:val="16"/>
              </w:rPr>
              <w:t>Kosovo*</w:t>
            </w:r>
          </w:p>
        </w:tc>
        <w:tc>
          <w:tcPr>
            <w:tcW w:w="1680" w:type="dxa"/>
            <w:gridSpan w:val="2"/>
            <w:tcBorders>
              <w:top w:val="single" w:sz="4" w:space="0" w:color="auto"/>
              <w:left w:val="nil"/>
              <w:bottom w:val="single" w:sz="4" w:space="0" w:color="auto"/>
              <w:right w:val="single" w:sz="4" w:space="0" w:color="auto"/>
            </w:tcBorders>
            <w:shd w:val="clear" w:color="auto" w:fill="auto"/>
            <w:vAlign w:val="center"/>
            <w:hideMark/>
          </w:tcPr>
          <w:p w:rsidR="00D96FAD" w:rsidRDefault="00E3669E">
            <w:pPr>
              <w:spacing w:after="0"/>
              <w:jc w:val="center"/>
              <w:rPr>
                <w:rFonts w:ascii="Arial" w:hAnsi="Arial" w:cs="Arial"/>
                <w:noProof/>
                <w:sz w:val="16"/>
                <w:szCs w:val="16"/>
              </w:rPr>
            </w:pPr>
            <w:r>
              <w:rPr>
                <w:rFonts w:ascii="Arial" w:hAnsi="Arial"/>
                <w:noProof/>
                <w:sz w:val="16"/>
              </w:rPr>
              <w:t>EU-28</w:t>
            </w:r>
          </w:p>
        </w:tc>
      </w:tr>
      <w:tr w:rsidR="00D96FAD">
        <w:trPr>
          <w:trHeight w:val="225"/>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D96FAD" w:rsidRDefault="00D96FAD">
            <w:pPr>
              <w:spacing w:after="0"/>
              <w:rPr>
                <w:rFonts w:ascii="Arial" w:hAnsi="Arial" w:cs="Arial"/>
                <w:noProof/>
                <w:sz w:val="16"/>
                <w:szCs w:val="16"/>
              </w:rPr>
            </w:pPr>
          </w:p>
        </w:tc>
        <w:tc>
          <w:tcPr>
            <w:tcW w:w="600" w:type="dxa"/>
            <w:vMerge/>
            <w:tcBorders>
              <w:left w:val="single" w:sz="4" w:space="0" w:color="auto"/>
              <w:bottom w:val="single" w:sz="4" w:space="0" w:color="auto"/>
              <w:right w:val="single" w:sz="4" w:space="0" w:color="auto"/>
            </w:tcBorders>
            <w:shd w:val="clear" w:color="auto" w:fill="auto"/>
            <w:noWrap/>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11"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11"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22"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72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r>
      <w:tr w:rsidR="00D96FAD">
        <w:trPr>
          <w:trHeight w:val="225"/>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Producto interior bruto</w:t>
            </w:r>
          </w:p>
        </w:tc>
        <w:tc>
          <w:tcPr>
            <w:tcW w:w="600" w:type="dxa"/>
            <w:tcBorders>
              <w:top w:val="nil"/>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750"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11"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750"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11"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722"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720"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r>
      <w:tr w:rsidR="00D96FAD">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A precios corrientes (en miles de millones EUR)</w:t>
            </w:r>
          </w:p>
        </w:tc>
        <w:tc>
          <w:tcPr>
            <w:tcW w:w="600" w:type="dxa"/>
            <w:tcBorders>
              <w:top w:val="nil"/>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9,7p</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10,0p</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10,7</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11,6p</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36,7</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39,2</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780,2</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753,9</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15,3</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6,4</w:t>
            </w:r>
          </w:p>
        </w:tc>
        <w:tc>
          <w:tcPr>
            <w:tcW w:w="840" w:type="dxa"/>
            <w:tcBorders>
              <w:top w:val="single" w:sz="4" w:space="0" w:color="auto"/>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14 958,3</w:t>
            </w:r>
          </w:p>
        </w:tc>
        <w:tc>
          <w:tcPr>
            <w:tcW w:w="840" w:type="dxa"/>
            <w:tcBorders>
              <w:top w:val="single" w:sz="4" w:space="0" w:color="auto"/>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15 382,6</w:t>
            </w:r>
          </w:p>
        </w:tc>
      </w:tr>
      <w:tr w:rsidR="00D96FAD">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Per cápita (en EUR)</w:t>
            </w:r>
          </w:p>
        </w:tc>
        <w:tc>
          <w:tcPr>
            <w:tcW w:w="600" w:type="dxa"/>
            <w:tcBorders>
              <w:top w:val="nil"/>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6 400</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6 900</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4 700e</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4 800p</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3 700</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4 000p</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5 200</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5 600</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9 800</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9 400</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4 400</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4 700</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3 400</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3 600</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29 300</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30 000</w:t>
            </w:r>
          </w:p>
        </w:tc>
      </w:tr>
      <w:tr w:rsidR="00D96FAD">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En es</w:t>
            </w:r>
            <w:r>
              <w:rPr>
                <w:rFonts w:ascii="Arial" w:hAnsi="Arial"/>
                <w:noProof/>
                <w:color w:val="000000"/>
                <w:sz w:val="16"/>
              </w:rPr>
              <w:t>tándares de poder adquisitivo (EPA) per cápita</w:t>
            </w:r>
          </w:p>
        </w:tc>
        <w:tc>
          <w:tcPr>
            <w:tcW w:w="600" w:type="dxa"/>
            <w:tcBorders>
              <w:top w:val="nil"/>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13 000</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13 700</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10 800e</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10 800p</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8 600</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9 100p</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11 400</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11 600</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19 200</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19 900</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9 000</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9 500</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29 300</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30 000</w:t>
            </w:r>
          </w:p>
        </w:tc>
      </w:tr>
      <w:tr w:rsidR="00D96FAD">
        <w:trPr>
          <w:trHeight w:val="675"/>
        </w:trPr>
        <w:tc>
          <w:tcPr>
            <w:tcW w:w="2400" w:type="dxa"/>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En estándares de poder adquisitivo (EPA) per cápita, frente a la media de la Unión Europea (EU-28 = 100)</w:t>
            </w:r>
          </w:p>
        </w:tc>
        <w:tc>
          <w:tcPr>
            <w:tcW w:w="600" w:type="dxa"/>
            <w:tcBorders>
              <w:top w:val="nil"/>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44</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46</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37e</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36p</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30p</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rsidR="00D96FAD">
        <w:trPr>
          <w:trHeight w:val="675"/>
        </w:trPr>
        <w:tc>
          <w:tcPr>
            <w:tcW w:w="2400" w:type="dxa"/>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Tasa real de crecimiento anual (en volumen) en relación con el año anterior (en %)</w:t>
            </w:r>
          </w:p>
        </w:tc>
        <w:tc>
          <w:tcPr>
            <w:tcW w:w="600" w:type="dxa"/>
            <w:tcBorders>
              <w:top w:val="nil"/>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4,7</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0,2p</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3,8p</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4,1</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w:t>
            </w:r>
          </w:p>
        </w:tc>
      </w:tr>
      <w:tr w:rsidR="00D96FAD">
        <w:trPr>
          <w:trHeight w:val="225"/>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Valor</w:t>
            </w:r>
            <w:r>
              <w:rPr>
                <w:rFonts w:ascii="Arial" w:hAnsi="Arial"/>
                <w:noProof/>
                <w:color w:val="000000"/>
                <w:sz w:val="16"/>
              </w:rPr>
              <w:t xml:space="preserve"> añadido bruto por sectores principales</w:t>
            </w:r>
          </w:p>
        </w:tc>
        <w:tc>
          <w:tcPr>
            <w:tcW w:w="600" w:type="dxa"/>
            <w:tcBorders>
              <w:top w:val="nil"/>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750"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11"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750"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11"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722"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720"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r>
      <w:tr w:rsidR="00D96FAD">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Agricultura, ganadería y pesca (en %)</w:t>
            </w:r>
          </w:p>
        </w:tc>
        <w:tc>
          <w:tcPr>
            <w:tcW w:w="600" w:type="dxa"/>
            <w:tcBorders>
              <w:top w:val="nil"/>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9,0</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10,6</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9,1p</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22,6</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21,8p</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8,2</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7,0</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7,5</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13,0</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11,4</w:t>
            </w:r>
          </w:p>
        </w:tc>
        <w:tc>
          <w:tcPr>
            <w:tcW w:w="840" w:type="dxa"/>
            <w:tcBorders>
              <w:top w:val="single" w:sz="4" w:space="0" w:color="auto"/>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w:t>
            </w:r>
          </w:p>
        </w:tc>
        <w:tc>
          <w:tcPr>
            <w:tcW w:w="840" w:type="dxa"/>
            <w:tcBorders>
              <w:top w:val="single" w:sz="4" w:space="0" w:color="auto"/>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w:t>
            </w:r>
          </w:p>
        </w:tc>
      </w:tr>
      <w:tr w:rsidR="00D96FAD">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Industria (en %)</w:t>
            </w:r>
          </w:p>
        </w:tc>
        <w:tc>
          <w:tcPr>
            <w:tcW w:w="600" w:type="dxa"/>
            <w:tcBorders>
              <w:top w:val="nil"/>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12,2</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11,2</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19,7</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20,6p</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14,0</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12,8p</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26,3</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26,5</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22,3</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23,2</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22,6</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21,5</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21,8</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19,5</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19,7</w:t>
            </w:r>
          </w:p>
        </w:tc>
      </w:tr>
      <w:tr w:rsidR="00D96FAD">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Const</w:t>
            </w:r>
            <w:r>
              <w:rPr>
                <w:rFonts w:ascii="Arial" w:hAnsi="Arial"/>
                <w:noProof/>
                <w:color w:val="000000"/>
                <w:sz w:val="16"/>
              </w:rPr>
              <w:t>rucción (en %)</w:t>
            </w:r>
          </w:p>
        </w:tc>
        <w:tc>
          <w:tcPr>
            <w:tcW w:w="600" w:type="dxa"/>
            <w:tcBorders>
              <w:top w:val="nil"/>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8,2</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8,0</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7,2p</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10,2</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10,5p</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4,7</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5,0</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9,7</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9,7</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4,6</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8,1</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9,9</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w:t>
            </w:r>
          </w:p>
        </w:tc>
      </w:tr>
      <w:tr w:rsidR="00D96FAD">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Servicios (en %)</w:t>
            </w:r>
          </w:p>
        </w:tc>
        <w:tc>
          <w:tcPr>
            <w:tcW w:w="600" w:type="dxa"/>
            <w:tcBorders>
              <w:top w:val="nil"/>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72,1</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72,2</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61,7</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63,1p</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53,2</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54,9p</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60,8</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61,2</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61,0</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60,2</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65,3</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57,4</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56,9</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73,6</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73,2</w:t>
            </w:r>
          </w:p>
        </w:tc>
      </w:tr>
      <w:tr w:rsidR="00D96FAD">
        <w:trPr>
          <w:trHeight w:val="225"/>
        </w:trPr>
        <w:tc>
          <w:tcPr>
            <w:tcW w:w="2400"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600" w:type="dxa"/>
            <w:tcBorders>
              <w:top w:val="nil"/>
              <w:left w:val="nil"/>
              <w:bottom w:val="nil"/>
              <w:right w:val="nil"/>
            </w:tcBorders>
            <w:shd w:val="clear" w:color="auto" w:fill="auto"/>
            <w:noWrap/>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center"/>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center"/>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center"/>
              <w:rPr>
                <w:rFonts w:ascii="Arial" w:hAnsi="Arial" w:cs="Arial"/>
                <w:noProof/>
                <w:color w:val="000000"/>
                <w:sz w:val="16"/>
                <w:szCs w:val="16"/>
              </w:rPr>
            </w:pPr>
          </w:p>
        </w:tc>
        <w:tc>
          <w:tcPr>
            <w:tcW w:w="750"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center"/>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center"/>
              <w:rPr>
                <w:rFonts w:ascii="Arial" w:hAnsi="Arial" w:cs="Arial"/>
                <w:noProof/>
                <w:color w:val="000000"/>
                <w:sz w:val="16"/>
                <w:szCs w:val="16"/>
              </w:rPr>
            </w:pPr>
          </w:p>
        </w:tc>
        <w:tc>
          <w:tcPr>
            <w:tcW w:w="811"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center"/>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center"/>
              <w:rPr>
                <w:rFonts w:ascii="Arial" w:hAnsi="Arial" w:cs="Arial"/>
                <w:noProof/>
                <w:color w:val="000000"/>
                <w:sz w:val="16"/>
                <w:szCs w:val="16"/>
              </w:rPr>
            </w:pPr>
          </w:p>
        </w:tc>
        <w:tc>
          <w:tcPr>
            <w:tcW w:w="750"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center"/>
              <w:rPr>
                <w:rFonts w:ascii="Arial" w:hAnsi="Arial" w:cs="Arial"/>
                <w:noProof/>
                <w:color w:val="000000"/>
                <w:sz w:val="16"/>
                <w:szCs w:val="16"/>
              </w:rPr>
            </w:pPr>
          </w:p>
        </w:tc>
        <w:tc>
          <w:tcPr>
            <w:tcW w:w="811"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center"/>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center"/>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center"/>
              <w:rPr>
                <w:rFonts w:ascii="Arial" w:hAnsi="Arial" w:cs="Arial"/>
                <w:noProof/>
                <w:color w:val="000000"/>
                <w:sz w:val="16"/>
                <w:szCs w:val="16"/>
              </w:rPr>
            </w:pPr>
          </w:p>
        </w:tc>
        <w:tc>
          <w:tcPr>
            <w:tcW w:w="722"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center"/>
              <w:rPr>
                <w:rFonts w:ascii="Arial" w:hAnsi="Arial" w:cs="Arial"/>
                <w:noProof/>
                <w:color w:val="000000"/>
                <w:sz w:val="16"/>
                <w:szCs w:val="16"/>
              </w:rPr>
            </w:pPr>
          </w:p>
        </w:tc>
        <w:tc>
          <w:tcPr>
            <w:tcW w:w="720"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center"/>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center"/>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center"/>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center"/>
              <w:rPr>
                <w:rFonts w:ascii="Arial" w:hAnsi="Arial" w:cs="Arial"/>
                <w:noProof/>
                <w:color w:val="000000"/>
                <w:sz w:val="16"/>
                <w:szCs w:val="16"/>
              </w:rPr>
            </w:pPr>
          </w:p>
        </w:tc>
      </w:tr>
      <w:tr w:rsidR="00D96FAD">
        <w:trPr>
          <w:trHeight w:val="225"/>
        </w:trPr>
        <w:tc>
          <w:tcPr>
            <w:tcW w:w="2400" w:type="dxa"/>
            <w:tcBorders>
              <w:top w:val="single" w:sz="4" w:space="0" w:color="auto"/>
              <w:left w:val="single" w:sz="4" w:space="0" w:color="auto"/>
              <w:bottom w:val="single" w:sz="4" w:space="0" w:color="auto"/>
              <w:right w:val="nil"/>
            </w:tcBorders>
            <w:shd w:val="clear" w:color="auto" w:fill="auto"/>
            <w:noWrap/>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b/>
                <w:noProof/>
                <w:color w:val="000000"/>
                <w:sz w:val="16"/>
              </w:rPr>
              <w:t>Balanza de pagos</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single" w:sz="4" w:space="0" w:color="auto"/>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jc w:val="center"/>
              <w:rPr>
                <w:rFonts w:ascii="Arial" w:hAnsi="Arial" w:cs="Arial"/>
                <w:noProof/>
                <w:color w:val="000000"/>
                <w:sz w:val="16"/>
                <w:szCs w:val="16"/>
              </w:rPr>
            </w:pPr>
          </w:p>
        </w:tc>
        <w:tc>
          <w:tcPr>
            <w:tcW w:w="840" w:type="dxa"/>
            <w:tcBorders>
              <w:top w:val="single" w:sz="4" w:space="0" w:color="auto"/>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jc w:val="center"/>
              <w:rPr>
                <w:rFonts w:ascii="Arial" w:hAnsi="Arial" w:cs="Arial"/>
                <w:noProof/>
                <w:color w:val="000000"/>
                <w:sz w:val="16"/>
                <w:szCs w:val="16"/>
              </w:rPr>
            </w:pPr>
          </w:p>
        </w:tc>
        <w:tc>
          <w:tcPr>
            <w:tcW w:w="840" w:type="dxa"/>
            <w:tcBorders>
              <w:top w:val="single" w:sz="4" w:space="0" w:color="auto"/>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jc w:val="center"/>
              <w:rPr>
                <w:rFonts w:ascii="Arial" w:hAnsi="Arial" w:cs="Arial"/>
                <w:noProof/>
                <w:color w:val="000000"/>
                <w:sz w:val="16"/>
                <w:szCs w:val="16"/>
              </w:rPr>
            </w:pPr>
          </w:p>
        </w:tc>
        <w:tc>
          <w:tcPr>
            <w:tcW w:w="750" w:type="dxa"/>
            <w:tcBorders>
              <w:top w:val="single" w:sz="4" w:space="0" w:color="auto"/>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jc w:val="center"/>
              <w:rPr>
                <w:rFonts w:ascii="Arial" w:hAnsi="Arial" w:cs="Arial"/>
                <w:noProof/>
                <w:color w:val="000000"/>
                <w:sz w:val="16"/>
                <w:szCs w:val="16"/>
              </w:rPr>
            </w:pPr>
          </w:p>
        </w:tc>
        <w:tc>
          <w:tcPr>
            <w:tcW w:w="839" w:type="dxa"/>
            <w:tcBorders>
              <w:top w:val="single" w:sz="4" w:space="0" w:color="auto"/>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jc w:val="center"/>
              <w:rPr>
                <w:rFonts w:ascii="Arial" w:hAnsi="Arial" w:cs="Arial"/>
                <w:noProof/>
                <w:color w:val="000000"/>
                <w:sz w:val="16"/>
                <w:szCs w:val="16"/>
              </w:rPr>
            </w:pPr>
          </w:p>
        </w:tc>
        <w:tc>
          <w:tcPr>
            <w:tcW w:w="811" w:type="dxa"/>
            <w:tcBorders>
              <w:top w:val="single" w:sz="4" w:space="0" w:color="auto"/>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jc w:val="center"/>
              <w:rPr>
                <w:rFonts w:ascii="Arial" w:hAnsi="Arial" w:cs="Arial"/>
                <w:noProof/>
                <w:color w:val="000000"/>
                <w:sz w:val="16"/>
                <w:szCs w:val="16"/>
              </w:rPr>
            </w:pPr>
          </w:p>
        </w:tc>
        <w:tc>
          <w:tcPr>
            <w:tcW w:w="839" w:type="dxa"/>
            <w:tcBorders>
              <w:top w:val="single" w:sz="4" w:space="0" w:color="auto"/>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jc w:val="center"/>
              <w:rPr>
                <w:rFonts w:ascii="Arial" w:hAnsi="Arial" w:cs="Arial"/>
                <w:noProof/>
                <w:color w:val="000000"/>
                <w:sz w:val="16"/>
                <w:szCs w:val="16"/>
              </w:rPr>
            </w:pPr>
          </w:p>
        </w:tc>
        <w:tc>
          <w:tcPr>
            <w:tcW w:w="750" w:type="dxa"/>
            <w:tcBorders>
              <w:top w:val="single" w:sz="4" w:space="0" w:color="auto"/>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jc w:val="center"/>
              <w:rPr>
                <w:rFonts w:ascii="Arial" w:hAnsi="Arial" w:cs="Arial"/>
                <w:noProof/>
                <w:color w:val="000000"/>
                <w:sz w:val="16"/>
                <w:szCs w:val="16"/>
              </w:rPr>
            </w:pPr>
          </w:p>
        </w:tc>
        <w:tc>
          <w:tcPr>
            <w:tcW w:w="811" w:type="dxa"/>
            <w:tcBorders>
              <w:top w:val="single" w:sz="4" w:space="0" w:color="auto"/>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jc w:val="center"/>
              <w:rPr>
                <w:rFonts w:ascii="Arial" w:hAnsi="Arial" w:cs="Arial"/>
                <w:noProof/>
                <w:color w:val="000000"/>
                <w:sz w:val="16"/>
                <w:szCs w:val="16"/>
              </w:rPr>
            </w:pPr>
          </w:p>
        </w:tc>
        <w:tc>
          <w:tcPr>
            <w:tcW w:w="839" w:type="dxa"/>
            <w:tcBorders>
              <w:top w:val="single" w:sz="4" w:space="0" w:color="auto"/>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jc w:val="center"/>
              <w:rPr>
                <w:rFonts w:ascii="Arial" w:hAnsi="Arial" w:cs="Arial"/>
                <w:noProof/>
                <w:color w:val="000000"/>
                <w:sz w:val="16"/>
                <w:szCs w:val="16"/>
              </w:rPr>
            </w:pPr>
          </w:p>
        </w:tc>
        <w:tc>
          <w:tcPr>
            <w:tcW w:w="839" w:type="dxa"/>
            <w:tcBorders>
              <w:top w:val="single" w:sz="4" w:space="0" w:color="auto"/>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jc w:val="center"/>
              <w:rPr>
                <w:rFonts w:ascii="Arial" w:hAnsi="Arial" w:cs="Arial"/>
                <w:noProof/>
                <w:color w:val="000000"/>
                <w:sz w:val="16"/>
                <w:szCs w:val="16"/>
              </w:rPr>
            </w:pPr>
          </w:p>
        </w:tc>
        <w:tc>
          <w:tcPr>
            <w:tcW w:w="722" w:type="dxa"/>
            <w:tcBorders>
              <w:top w:val="single" w:sz="4" w:space="0" w:color="auto"/>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jc w:val="center"/>
              <w:rPr>
                <w:rFonts w:ascii="Arial" w:hAnsi="Arial" w:cs="Arial"/>
                <w:noProof/>
                <w:color w:val="000000"/>
                <w:sz w:val="16"/>
                <w:szCs w:val="16"/>
              </w:rPr>
            </w:pPr>
          </w:p>
        </w:tc>
        <w:tc>
          <w:tcPr>
            <w:tcW w:w="720" w:type="dxa"/>
            <w:tcBorders>
              <w:top w:val="single" w:sz="4" w:space="0" w:color="auto"/>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jc w:val="center"/>
              <w:rPr>
                <w:rFonts w:ascii="Arial" w:hAnsi="Arial" w:cs="Arial"/>
                <w:noProof/>
                <w:color w:val="000000"/>
                <w:sz w:val="16"/>
                <w:szCs w:val="16"/>
              </w:rPr>
            </w:pPr>
          </w:p>
        </w:tc>
        <w:tc>
          <w:tcPr>
            <w:tcW w:w="840" w:type="dxa"/>
            <w:tcBorders>
              <w:top w:val="single" w:sz="4" w:space="0" w:color="auto"/>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jc w:val="center"/>
              <w:rPr>
                <w:rFonts w:ascii="Arial" w:hAnsi="Arial" w:cs="Arial"/>
                <w:noProof/>
                <w:color w:val="000000"/>
                <w:sz w:val="16"/>
                <w:szCs w:val="16"/>
              </w:rPr>
            </w:pPr>
          </w:p>
        </w:tc>
        <w:tc>
          <w:tcPr>
            <w:tcW w:w="840" w:type="dxa"/>
            <w:tcBorders>
              <w:top w:val="single" w:sz="4" w:space="0" w:color="auto"/>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jc w:val="center"/>
              <w:rPr>
                <w:rFonts w:ascii="Arial" w:hAnsi="Arial" w:cs="Arial"/>
                <w:noProof/>
                <w:color w:val="000000"/>
                <w:sz w:val="16"/>
                <w:szCs w:val="16"/>
              </w:rPr>
            </w:pPr>
          </w:p>
        </w:tc>
        <w:tc>
          <w:tcPr>
            <w:tcW w:w="840" w:type="dxa"/>
            <w:tcBorders>
              <w:top w:val="single" w:sz="4" w:space="0" w:color="auto"/>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jc w:val="center"/>
              <w:rPr>
                <w:rFonts w:ascii="Arial" w:hAnsi="Arial" w:cs="Arial"/>
                <w:noProof/>
                <w:color w:val="000000"/>
                <w:sz w:val="16"/>
                <w:szCs w:val="16"/>
              </w:rPr>
            </w:pPr>
          </w:p>
        </w:tc>
      </w:tr>
      <w:tr w:rsidR="00D96FAD">
        <w:trPr>
          <w:trHeight w:val="450"/>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Inversión extranjera directa (IED) neta (entrante-saliente) (en millones EUR)</w:t>
            </w:r>
          </w:p>
        </w:tc>
        <w:tc>
          <w:tcPr>
            <w:tcW w:w="600" w:type="dxa"/>
            <w:tcBorders>
              <w:top w:val="nil"/>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371,6</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484,3</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316,9</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180,0</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936,5</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993,8</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1 899,2</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2 418,1</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9 211,3</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7 277,2</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256,8</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330,1</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177,2</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212,0</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30 664,7</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-72 791,5</w:t>
            </w:r>
          </w:p>
        </w:tc>
      </w:tr>
      <w:tr w:rsidR="00D96FAD">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 xml:space="preserve">Inversión extranjera directa (IED) neta </w:t>
            </w:r>
            <w:r>
              <w:rPr>
                <w:rFonts w:ascii="Arial" w:hAnsi="Arial"/>
                <w:noProof/>
                <w:color w:val="000000"/>
                <w:sz w:val="16"/>
              </w:rPr>
              <w:t>(entrante-saliente) (en % del PIB)</w:t>
            </w:r>
          </w:p>
        </w:tc>
        <w:tc>
          <w:tcPr>
            <w:tcW w:w="600" w:type="dxa"/>
            <w:tcBorders>
              <w:top w:val="nil"/>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9,4</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11,3</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1,8p</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8,7p</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8,6</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5,2</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0,2</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-0,5</w:t>
            </w:r>
          </w:p>
        </w:tc>
      </w:tr>
      <w:tr w:rsidR="00D96FAD">
        <w:trPr>
          <w:trHeight w:val="675"/>
        </w:trPr>
        <w:tc>
          <w:tcPr>
            <w:tcW w:w="2400" w:type="dxa"/>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Inversión extranjera directa (IED) neta (entrante-saliente) en relación con la EU-28 (en millones EUR)</w:t>
            </w:r>
          </w:p>
        </w:tc>
        <w:tc>
          <w:tcPr>
            <w:tcW w:w="600" w:type="dxa"/>
            <w:tcBorders>
              <w:top w:val="nil"/>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-25,6</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174,1</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199,1</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100,2</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274,7</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1 304,4</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1 756,7</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3 166,7</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1 786,0</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214,9</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217,0</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15,6</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107,3</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rsidR="00D96FAD">
        <w:trPr>
          <w:trHeight w:val="675"/>
        </w:trPr>
        <w:tc>
          <w:tcPr>
            <w:tcW w:w="2400" w:type="dxa"/>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Inversión extranjera directa (IED) neta (entrante-saliente) en relación con la EU-28 (en % del PIB)</w:t>
            </w:r>
          </w:p>
        </w:tc>
        <w:tc>
          <w:tcPr>
            <w:tcW w:w="600" w:type="dxa"/>
            <w:tcBorders>
              <w:top w:val="nil"/>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-0,6</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1,0p</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2,6</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4,5</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0,4</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0,2</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0,3</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rsidR="00D96FAD">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Remes</w:t>
            </w:r>
            <w:r>
              <w:rPr>
                <w:rFonts w:ascii="Arial" w:hAnsi="Arial"/>
                <w:noProof/>
                <w:color w:val="000000"/>
                <w:sz w:val="16"/>
              </w:rPr>
              <w:t>as (en % del PIB)</w:t>
            </w:r>
          </w:p>
        </w:tc>
        <w:tc>
          <w:tcPr>
            <w:tcW w:w="600" w:type="dxa"/>
            <w:tcBorders>
              <w:top w:val="nil"/>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4,8</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4,7</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1,9p</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5,7p</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5,5</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7,6</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0,1</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0,0</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8,2</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11,4</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11,8</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0,1</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0,1</w:t>
            </w:r>
          </w:p>
        </w:tc>
      </w:tr>
    </w:tbl>
    <w:p w:rsidR="00D96FAD" w:rsidRDefault="00E3669E">
      <w:pPr>
        <w:spacing w:after="0"/>
        <w:rPr>
          <w:noProof/>
          <w:sz w:val="18"/>
        </w:rPr>
      </w:pPr>
      <w:r>
        <w:rPr>
          <w:noProof/>
        </w:rPr>
        <w:br w:type="page"/>
      </w:r>
    </w:p>
    <w:tbl>
      <w:tblPr>
        <w:tblW w:w="15840" w:type="dxa"/>
        <w:tblInd w:w="-492" w:type="dxa"/>
        <w:tblLayout w:type="fixed"/>
        <w:tblLook w:val="04A0" w:firstRow="1" w:lastRow="0" w:firstColumn="1" w:lastColumn="0" w:noHBand="0" w:noVBand="1"/>
      </w:tblPr>
      <w:tblGrid>
        <w:gridCol w:w="2400"/>
        <w:gridCol w:w="600"/>
        <w:gridCol w:w="720"/>
        <w:gridCol w:w="840"/>
        <w:gridCol w:w="840"/>
        <w:gridCol w:w="750"/>
        <w:gridCol w:w="839"/>
        <w:gridCol w:w="811"/>
        <w:gridCol w:w="839"/>
        <w:gridCol w:w="750"/>
        <w:gridCol w:w="811"/>
        <w:gridCol w:w="839"/>
        <w:gridCol w:w="839"/>
        <w:gridCol w:w="722"/>
        <w:gridCol w:w="720"/>
        <w:gridCol w:w="840"/>
        <w:gridCol w:w="840"/>
        <w:gridCol w:w="840"/>
      </w:tblGrid>
      <w:tr w:rsidR="00D96FAD">
        <w:trPr>
          <w:trHeight w:val="225"/>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FAD" w:rsidRDefault="00E3669E">
            <w:pPr>
              <w:spacing w:after="0"/>
              <w:rPr>
                <w:rFonts w:ascii="Arial" w:hAnsi="Arial" w:cs="Arial"/>
                <w:noProof/>
                <w:sz w:val="16"/>
                <w:szCs w:val="16"/>
              </w:rPr>
            </w:pPr>
            <w:r>
              <w:rPr>
                <w:rFonts w:ascii="Arial" w:hAnsi="Arial"/>
                <w:b/>
                <w:noProof/>
                <w:sz w:val="16"/>
              </w:rPr>
              <w:t>Com</w:t>
            </w:r>
            <w:r>
              <w:rPr>
                <w:rFonts w:ascii="Arial" w:hAnsi="Arial"/>
                <w:b/>
                <w:noProof/>
                <w:sz w:val="16"/>
              </w:rPr>
              <w:t>ercio exterior de mercancías</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FAD" w:rsidRDefault="00E3669E">
            <w:pPr>
              <w:spacing w:after="0"/>
              <w:rPr>
                <w:rFonts w:ascii="Arial" w:hAnsi="Arial" w:cs="Arial"/>
                <w:noProof/>
                <w:sz w:val="16"/>
                <w:szCs w:val="16"/>
              </w:rPr>
            </w:pPr>
            <w:r>
              <w:rPr>
                <w:rFonts w:ascii="Arial" w:hAnsi="Arial"/>
                <w:noProof/>
                <w:sz w:val="16"/>
              </w:rPr>
              <w:t> </w:t>
            </w:r>
            <w:r>
              <w:rPr>
                <w:rFonts w:ascii="Arial" w:hAnsi="Arial"/>
                <w:noProof/>
                <w:color w:val="000000"/>
                <w:sz w:val="16"/>
              </w:rPr>
              <w:t>Nota</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D96FAD" w:rsidRDefault="00E3669E">
            <w:pPr>
              <w:spacing w:after="0"/>
              <w:jc w:val="center"/>
              <w:rPr>
                <w:rFonts w:ascii="Arial" w:hAnsi="Arial" w:cs="Arial"/>
                <w:noProof/>
                <w:sz w:val="16"/>
                <w:szCs w:val="16"/>
              </w:rPr>
            </w:pPr>
            <w:r>
              <w:rPr>
                <w:rFonts w:ascii="Arial" w:hAnsi="Arial"/>
                <w:noProof/>
                <w:sz w:val="16"/>
              </w:rPr>
              <w:t>Montenegro</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rsidR="00D96FAD" w:rsidRDefault="00E3669E">
            <w:pPr>
              <w:spacing w:after="0"/>
              <w:jc w:val="center"/>
              <w:rPr>
                <w:rFonts w:ascii="Arial" w:hAnsi="Arial" w:cs="Arial"/>
                <w:noProof/>
                <w:sz w:val="16"/>
                <w:szCs w:val="16"/>
              </w:rPr>
            </w:pPr>
            <w:r>
              <w:rPr>
                <w:rFonts w:ascii="Arial" w:hAnsi="Arial"/>
                <w:noProof/>
                <w:sz w:val="16"/>
              </w:rPr>
              <w:t>Macedonia del Norte</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D96FAD" w:rsidRDefault="00E3669E">
            <w:pPr>
              <w:spacing w:after="0"/>
              <w:jc w:val="center"/>
              <w:rPr>
                <w:rFonts w:ascii="Arial" w:hAnsi="Arial" w:cs="Arial"/>
                <w:noProof/>
                <w:sz w:val="16"/>
                <w:szCs w:val="16"/>
              </w:rPr>
            </w:pPr>
            <w:r>
              <w:rPr>
                <w:rFonts w:ascii="Arial" w:hAnsi="Arial"/>
                <w:noProof/>
                <w:sz w:val="16"/>
              </w:rPr>
              <w:t>Albania</w:t>
            </w:r>
          </w:p>
        </w:tc>
        <w:tc>
          <w:tcPr>
            <w:tcW w:w="1589" w:type="dxa"/>
            <w:gridSpan w:val="2"/>
            <w:tcBorders>
              <w:top w:val="single" w:sz="4" w:space="0" w:color="auto"/>
              <w:left w:val="nil"/>
              <w:bottom w:val="single" w:sz="4" w:space="0" w:color="auto"/>
              <w:right w:val="single" w:sz="4" w:space="0" w:color="auto"/>
            </w:tcBorders>
            <w:shd w:val="clear" w:color="auto" w:fill="auto"/>
            <w:vAlign w:val="center"/>
            <w:hideMark/>
          </w:tcPr>
          <w:p w:rsidR="00D96FAD" w:rsidRDefault="00E3669E">
            <w:pPr>
              <w:spacing w:after="0"/>
              <w:jc w:val="center"/>
              <w:rPr>
                <w:rFonts w:ascii="Arial" w:hAnsi="Arial" w:cs="Arial"/>
                <w:noProof/>
                <w:sz w:val="16"/>
                <w:szCs w:val="16"/>
              </w:rPr>
            </w:pPr>
            <w:r>
              <w:rPr>
                <w:rFonts w:ascii="Arial" w:hAnsi="Arial"/>
                <w:noProof/>
                <w:sz w:val="16"/>
              </w:rPr>
              <w:t>Serbia</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D96FAD" w:rsidRDefault="00E3669E">
            <w:pPr>
              <w:spacing w:after="0"/>
              <w:jc w:val="center"/>
              <w:rPr>
                <w:rFonts w:ascii="Arial" w:hAnsi="Arial" w:cs="Arial"/>
                <w:noProof/>
                <w:sz w:val="16"/>
                <w:szCs w:val="16"/>
              </w:rPr>
            </w:pPr>
            <w:r>
              <w:rPr>
                <w:rFonts w:ascii="Arial" w:hAnsi="Arial"/>
                <w:noProof/>
                <w:sz w:val="16"/>
              </w:rPr>
              <w:t>Turquía</w:t>
            </w:r>
          </w:p>
        </w:tc>
        <w:tc>
          <w:tcPr>
            <w:tcW w:w="1561" w:type="dxa"/>
            <w:gridSpan w:val="2"/>
            <w:tcBorders>
              <w:top w:val="single" w:sz="4" w:space="0" w:color="auto"/>
              <w:left w:val="nil"/>
              <w:bottom w:val="single" w:sz="4" w:space="0" w:color="auto"/>
              <w:right w:val="single" w:sz="4" w:space="0" w:color="auto"/>
            </w:tcBorders>
            <w:shd w:val="clear" w:color="auto" w:fill="auto"/>
            <w:vAlign w:val="center"/>
            <w:hideMark/>
          </w:tcPr>
          <w:p w:rsidR="00D96FAD" w:rsidRDefault="00E3669E">
            <w:pPr>
              <w:spacing w:after="0"/>
              <w:jc w:val="center"/>
              <w:rPr>
                <w:rFonts w:ascii="Arial" w:hAnsi="Arial" w:cs="Arial"/>
                <w:noProof/>
                <w:sz w:val="16"/>
                <w:szCs w:val="16"/>
              </w:rPr>
            </w:pPr>
            <w:r>
              <w:rPr>
                <w:rFonts w:ascii="Arial" w:hAnsi="Arial"/>
                <w:noProof/>
                <w:sz w:val="16"/>
              </w:rPr>
              <w:t>Bosnia y</w:t>
            </w:r>
            <w:r>
              <w:rPr>
                <w:rFonts w:ascii="Arial" w:hAnsi="Arial" w:cs="Arial"/>
                <w:noProof/>
                <w:sz w:val="16"/>
                <w:szCs w:val="16"/>
              </w:rPr>
              <w:br/>
            </w:r>
            <w:r>
              <w:rPr>
                <w:rFonts w:ascii="Arial" w:hAnsi="Arial"/>
                <w:noProof/>
                <w:sz w:val="16"/>
              </w:rPr>
              <w:t>Herzegovina</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D96FAD" w:rsidRDefault="00E3669E">
            <w:pPr>
              <w:spacing w:after="0"/>
              <w:jc w:val="center"/>
              <w:rPr>
                <w:rFonts w:ascii="Arial" w:hAnsi="Arial" w:cs="Arial"/>
                <w:noProof/>
                <w:sz w:val="16"/>
                <w:szCs w:val="16"/>
              </w:rPr>
            </w:pPr>
            <w:r>
              <w:rPr>
                <w:rFonts w:ascii="Arial" w:hAnsi="Arial"/>
                <w:noProof/>
                <w:sz w:val="16"/>
              </w:rPr>
              <w:t>Kosovo*</w:t>
            </w:r>
          </w:p>
        </w:tc>
        <w:tc>
          <w:tcPr>
            <w:tcW w:w="1680" w:type="dxa"/>
            <w:gridSpan w:val="2"/>
            <w:tcBorders>
              <w:top w:val="single" w:sz="4" w:space="0" w:color="auto"/>
              <w:left w:val="nil"/>
              <w:bottom w:val="single" w:sz="4" w:space="0" w:color="auto"/>
              <w:right w:val="single" w:sz="4" w:space="0" w:color="auto"/>
            </w:tcBorders>
            <w:shd w:val="clear" w:color="auto" w:fill="auto"/>
            <w:vAlign w:val="center"/>
            <w:hideMark/>
          </w:tcPr>
          <w:p w:rsidR="00D96FAD" w:rsidRDefault="00E3669E">
            <w:pPr>
              <w:spacing w:after="0"/>
              <w:jc w:val="center"/>
              <w:rPr>
                <w:rFonts w:ascii="Arial" w:hAnsi="Arial" w:cs="Arial"/>
                <w:noProof/>
                <w:sz w:val="16"/>
                <w:szCs w:val="16"/>
              </w:rPr>
            </w:pPr>
            <w:r>
              <w:rPr>
                <w:rFonts w:ascii="Arial" w:hAnsi="Arial"/>
                <w:noProof/>
                <w:sz w:val="16"/>
              </w:rPr>
              <w:t>EU-28</w:t>
            </w:r>
          </w:p>
        </w:tc>
      </w:tr>
      <w:tr w:rsidR="00D96FAD">
        <w:trPr>
          <w:trHeight w:val="225"/>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D96FAD" w:rsidRDefault="00D96FAD">
            <w:pPr>
              <w:spacing w:after="0"/>
              <w:rPr>
                <w:rFonts w:ascii="Arial" w:hAnsi="Arial" w:cs="Arial"/>
                <w:noProof/>
                <w:sz w:val="16"/>
                <w:szCs w:val="16"/>
              </w:rPr>
            </w:pPr>
          </w:p>
        </w:tc>
        <w:tc>
          <w:tcPr>
            <w:tcW w:w="600" w:type="dxa"/>
            <w:vMerge/>
            <w:tcBorders>
              <w:left w:val="single" w:sz="4" w:space="0" w:color="auto"/>
              <w:bottom w:val="single" w:sz="4" w:space="0" w:color="auto"/>
              <w:right w:val="single" w:sz="4" w:space="0" w:color="auto"/>
            </w:tcBorders>
            <w:shd w:val="clear" w:color="auto" w:fill="auto"/>
            <w:noWrap/>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11"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11"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22"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72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r>
      <w:tr w:rsidR="00D96FAD">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Cuota de exportaciones a los países de la EU-28 en valor de las exportaciones totales (en %)</w:t>
            </w:r>
          </w:p>
        </w:tc>
        <w:tc>
          <w:tcPr>
            <w:tcW w:w="600" w:type="dxa"/>
            <w:tcBorders>
              <w:top w:val="nil"/>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37,4</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34,8</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80,0</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81,1</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77,9</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77,2</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67,6</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67,6</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47,9</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47,0</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71,3</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71,2</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22,6</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24,9</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rsidR="00D96FAD">
        <w:trPr>
          <w:trHeight w:val="450"/>
        </w:trPr>
        <w:tc>
          <w:tcPr>
            <w:tcW w:w="2400" w:type="dxa"/>
            <w:tcBorders>
              <w:top w:val="nil"/>
              <w:left w:val="single" w:sz="4" w:space="0" w:color="auto"/>
              <w:bottom w:val="nil"/>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Cuota</w:t>
            </w:r>
            <w:r>
              <w:rPr>
                <w:rFonts w:ascii="Arial" w:hAnsi="Arial"/>
                <w:noProof/>
                <w:color w:val="000000"/>
                <w:sz w:val="16"/>
              </w:rPr>
              <w:t xml:space="preserve"> de importaciones procedentes de países de la EU-28 en valor de las importaciones totales (en %)</w:t>
            </w:r>
          </w:p>
        </w:tc>
        <w:tc>
          <w:tcPr>
            <w:tcW w:w="600" w:type="dxa"/>
            <w:tcBorders>
              <w:top w:val="nil"/>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48,2</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47,4</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61,9</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62,9</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63,1</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61,7</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58,7</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58,9</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39,0</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36,4</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61,9</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60,9</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43,1</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43,1</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rsidR="00D96FAD">
        <w:trPr>
          <w:trHeight w:val="225"/>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Balan</w:t>
            </w:r>
            <w:r>
              <w:rPr>
                <w:rFonts w:ascii="Arial" w:hAnsi="Arial"/>
                <w:noProof/>
                <w:color w:val="000000"/>
                <w:sz w:val="16"/>
              </w:rPr>
              <w:t>za comercial (en millones EUR)</w:t>
            </w:r>
          </w:p>
        </w:tc>
        <w:tc>
          <w:tcPr>
            <w:tcW w:w="600" w:type="dxa"/>
            <w:tcBorders>
              <w:top w:val="nil"/>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-1 736</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-1 932</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-1 786</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-1 818</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-2 399</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-2 622</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-2 483</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-3 194</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-50 676</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-67 771</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-3 448</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-3 646</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-2 480</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-2 669</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37 238</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21 099</w:t>
            </w:r>
          </w:p>
        </w:tc>
      </w:tr>
      <w:tr w:rsidR="00D96FAD">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Comercio internacional de bienes y servicios en relación con el PIB</w:t>
            </w:r>
          </w:p>
        </w:tc>
        <w:tc>
          <w:tcPr>
            <w:tcW w:w="600" w:type="dxa"/>
            <w:tcBorders>
              <w:top w:val="nil"/>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750"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11"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750"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11"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722"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720"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r>
      <w:tr w:rsidR="00D96FAD">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Importaciones (en % del PIB)</w:t>
            </w:r>
          </w:p>
        </w:tc>
        <w:tc>
          <w:tcPr>
            <w:tcW w:w="600" w:type="dxa"/>
            <w:tcBorders>
              <w:top w:val="nil"/>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63,1</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64,5</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65,5</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69,2p</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45,8</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46,6p</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53,4</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57,1</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24,9</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29,3</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52,3</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50,9</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52,5</w:t>
            </w:r>
          </w:p>
        </w:tc>
        <w:tc>
          <w:tcPr>
            <w:tcW w:w="840" w:type="dxa"/>
            <w:tcBorders>
              <w:top w:val="single" w:sz="4" w:space="0" w:color="auto"/>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40,4</w:t>
            </w:r>
          </w:p>
        </w:tc>
        <w:tc>
          <w:tcPr>
            <w:tcW w:w="840" w:type="dxa"/>
            <w:tcBorders>
              <w:top w:val="single" w:sz="4" w:space="0" w:color="auto"/>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42,0</w:t>
            </w:r>
          </w:p>
        </w:tc>
      </w:tr>
      <w:tr w:rsidR="00D96FAD">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Exportaciones (en % del PIB)</w:t>
            </w:r>
          </w:p>
        </w:tc>
        <w:tc>
          <w:tcPr>
            <w:tcW w:w="600" w:type="dxa"/>
            <w:tcBorders>
              <w:top w:val="nil"/>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40,6</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41,1</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50,7</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55,4p</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29,0</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31,6p</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48,6</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50,5</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22,0</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24,8</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35,4</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23,7</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26,7</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43,9</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45,7</w:t>
            </w:r>
          </w:p>
        </w:tc>
      </w:tr>
      <w:tr w:rsidR="00D96FAD">
        <w:trPr>
          <w:trHeight w:val="225"/>
        </w:trPr>
        <w:tc>
          <w:tcPr>
            <w:tcW w:w="2400"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600"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720"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750"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11"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750"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11"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722"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720"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r>
      <w:tr w:rsidR="00D96FAD">
        <w:trPr>
          <w:trHeight w:val="225"/>
        </w:trPr>
        <w:tc>
          <w:tcPr>
            <w:tcW w:w="2400" w:type="dxa"/>
            <w:tcBorders>
              <w:top w:val="single" w:sz="4" w:space="0" w:color="auto"/>
              <w:left w:val="single" w:sz="4" w:space="0" w:color="auto"/>
              <w:bottom w:val="single" w:sz="4" w:space="0" w:color="auto"/>
              <w:right w:val="nil"/>
            </w:tcBorders>
            <w:shd w:val="clear" w:color="auto" w:fill="auto"/>
            <w:noWrap/>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b/>
                <w:noProof/>
                <w:color w:val="000000"/>
                <w:sz w:val="16"/>
              </w:rPr>
              <w:t>Finanzas públicas</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Nota</w:t>
            </w:r>
          </w:p>
        </w:tc>
        <w:tc>
          <w:tcPr>
            <w:tcW w:w="720"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11"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11"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22"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720"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r>
      <w:tr w:rsidR="00D96FAD">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 Superávit público (+) / Déficit público (−) (en % del PIB)</w:t>
            </w:r>
          </w:p>
        </w:tc>
        <w:tc>
          <w:tcPr>
            <w:tcW w:w="600" w:type="dxa"/>
            <w:tcBorders>
              <w:top w:val="nil"/>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-5,6</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2,6</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single" w:sz="4" w:space="0" w:color="auto"/>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w:t>
            </w:r>
          </w:p>
        </w:tc>
        <w:tc>
          <w:tcPr>
            <w:tcW w:w="840" w:type="dxa"/>
            <w:tcBorders>
              <w:top w:val="single" w:sz="4" w:space="0" w:color="auto"/>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w:t>
            </w:r>
          </w:p>
        </w:tc>
      </w:tr>
      <w:tr w:rsidR="00D96FAD">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 Deuda pública (en % del PIB)</w:t>
            </w:r>
          </w:p>
        </w:tc>
        <w:tc>
          <w:tcPr>
            <w:tcW w:w="600" w:type="dxa"/>
            <w:tcBorders>
              <w:top w:val="nil"/>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64,4</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64,2</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39,9</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39,5</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68,6</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66,8</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68,8</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58,7</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28,3</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28,3</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40,5</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36,1</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14,6e</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16,6e</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83,4</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81,7</w:t>
            </w:r>
          </w:p>
        </w:tc>
      </w:tr>
      <w:tr w:rsidR="00D96FAD">
        <w:trPr>
          <w:trHeight w:val="225"/>
        </w:trPr>
        <w:tc>
          <w:tcPr>
            <w:tcW w:w="2400"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600"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720"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750"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11"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750"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11"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722"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720"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r>
      <w:tr w:rsidR="00D96FAD">
        <w:trPr>
          <w:trHeight w:val="225"/>
        </w:trPr>
        <w:tc>
          <w:tcPr>
            <w:tcW w:w="2400" w:type="dxa"/>
            <w:tcBorders>
              <w:top w:val="single" w:sz="4" w:space="0" w:color="auto"/>
              <w:left w:val="single" w:sz="4" w:space="0" w:color="auto"/>
              <w:bottom w:val="single" w:sz="4" w:space="0" w:color="auto"/>
              <w:right w:val="nil"/>
            </w:tcBorders>
            <w:shd w:val="clear" w:color="auto" w:fill="auto"/>
            <w:noWrap/>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b/>
                <w:noProof/>
                <w:sz w:val="16"/>
              </w:rPr>
              <w:t>Indicadores financieros</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Nota</w:t>
            </w:r>
          </w:p>
        </w:tc>
        <w:tc>
          <w:tcPr>
            <w:tcW w:w="720"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11"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11"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22"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720"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r>
      <w:tr w:rsidR="00D96FAD">
        <w:trPr>
          <w:trHeight w:val="450"/>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Evolución anual de los precios al consumo (en %)</w:t>
            </w:r>
          </w:p>
        </w:tc>
        <w:tc>
          <w:tcPr>
            <w:tcW w:w="60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4)</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0,1</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2,8</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0,2</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2,1</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7,7</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11,1</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0,3</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0,2</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w:t>
            </w:r>
          </w:p>
        </w:tc>
      </w:tr>
      <w:tr w:rsidR="00D96FAD">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 Deuda privada, consolidada, en relación con el PIB (en %)</w:t>
            </w:r>
          </w:p>
        </w:tc>
        <w:tc>
          <w:tcPr>
            <w:tcW w:w="60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5)</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84,8</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85,1</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84,5</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83,3</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141,9</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140,3</w:t>
            </w:r>
          </w:p>
        </w:tc>
      </w:tr>
      <w:tr w:rsidR="00D96FAD">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Deuda</w:t>
            </w:r>
            <w:r>
              <w:rPr>
                <w:rFonts w:ascii="Arial" w:hAnsi="Arial"/>
                <w:noProof/>
                <w:color w:val="000000"/>
                <w:sz w:val="16"/>
              </w:rPr>
              <w:t xml:space="preserve"> exterior total en relación con el PIB (en %)</w:t>
            </w:r>
          </w:p>
        </w:tc>
        <w:tc>
          <w:tcPr>
            <w:tcW w:w="600" w:type="dxa"/>
            <w:tcBorders>
              <w:top w:val="nil"/>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74,7</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73,6p</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73,4p</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68,7</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72,1</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65,3</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47,4</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53,4</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33,2</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32,6</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rsidR="00D96FAD">
        <w:trPr>
          <w:trHeight w:val="450"/>
        </w:trPr>
        <w:tc>
          <w:tcPr>
            <w:tcW w:w="2400" w:type="dxa"/>
            <w:tcBorders>
              <w:top w:val="nil"/>
              <w:left w:val="single" w:sz="4" w:space="0" w:color="auto"/>
              <w:bottom w:val="single" w:sz="4" w:space="0" w:color="auto"/>
              <w:right w:val="single" w:sz="4" w:space="0" w:color="auto"/>
            </w:tcBorders>
            <w:shd w:val="clear" w:color="auto" w:fill="auto"/>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Deuda</w:t>
            </w:r>
            <w:r>
              <w:rPr>
                <w:rFonts w:ascii="Arial" w:hAnsi="Arial"/>
                <w:noProof/>
                <w:color w:val="000000"/>
                <w:sz w:val="16"/>
              </w:rPr>
              <w:t xml:space="preserve"> total en moneda extranjera en relación con el PIB (en %)</w:t>
            </w:r>
          </w:p>
        </w:tc>
        <w:tc>
          <w:tcPr>
            <w:tcW w:w="60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6)</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73,5</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68,7</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rsidR="00D96FAD">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 xml:space="preserve">Tipo </w:t>
            </w:r>
            <w:r>
              <w:rPr>
                <w:rFonts w:ascii="Arial" w:hAnsi="Arial"/>
                <w:noProof/>
                <w:color w:val="000000"/>
                <w:sz w:val="16"/>
              </w:rPr>
              <w:t>de interés anual de los préstamos a un año (en %)</w:t>
            </w:r>
          </w:p>
        </w:tc>
        <w:tc>
          <w:tcPr>
            <w:tcW w:w="60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7)</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7,45</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6,81</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4,25</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3,75</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5,89</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5,98</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5,50</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5,00</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15,79</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18,12</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4,97</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3,88</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7,47</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6,83</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rsidR="00D96FAD">
        <w:trPr>
          <w:trHeight w:val="450"/>
        </w:trPr>
        <w:tc>
          <w:tcPr>
            <w:tcW w:w="2400" w:type="dxa"/>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 xml:space="preserve">Tipo </w:t>
            </w:r>
            <w:r>
              <w:rPr>
                <w:rFonts w:ascii="Arial" w:hAnsi="Arial"/>
                <w:noProof/>
                <w:color w:val="000000"/>
                <w:sz w:val="16"/>
              </w:rPr>
              <w:t>de interés anual de los depósitos a un año (en %)</w:t>
            </w:r>
          </w:p>
        </w:tc>
        <w:tc>
          <w:tcPr>
            <w:tcW w:w="60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8)</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0,93</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0,69</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0,25</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0,25</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0,80</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0,75</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2,50</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2,00</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10,33</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13,53</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0,09</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0,06</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1,01</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1,04</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rsidR="00D96FAD">
        <w:trPr>
          <w:trHeight w:val="450"/>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Valor de los activos de reserva (oro incluido) (en millones EUR)</w:t>
            </w:r>
          </w:p>
        </w:tc>
        <w:tc>
          <w:tcPr>
            <w:tcW w:w="600" w:type="dxa"/>
            <w:tcBorders>
              <w:top w:val="nil"/>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803,0</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897,7</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2 613,4</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2 336,3</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2 945,0</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2 995,9</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10 204,6</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9 961,6</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95 863,2</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95 361,6</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4 873,2</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5 397,5</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605,1</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683,4</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rsidR="00D96FAD">
        <w:trPr>
          <w:trHeight w:val="450"/>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Reservas internacionales (equivalencia en meses de importaciones)</w:t>
            </w:r>
          </w:p>
        </w:tc>
        <w:tc>
          <w:tcPr>
            <w:tcW w:w="600" w:type="dxa"/>
            <w:tcBorders>
              <w:top w:val="nil"/>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3,9</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4,9</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4,0</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6,7</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6,2</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6,0</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5,2</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7,3</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7,2</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2,3</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2,4</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bl>
    <w:p w:rsidR="00D96FAD" w:rsidRDefault="00E3669E">
      <w:pPr>
        <w:spacing w:after="0"/>
        <w:rPr>
          <w:noProof/>
          <w:sz w:val="18"/>
        </w:rPr>
      </w:pPr>
      <w:r>
        <w:rPr>
          <w:noProof/>
        </w:rPr>
        <w:br w:type="page"/>
      </w:r>
    </w:p>
    <w:tbl>
      <w:tblPr>
        <w:tblW w:w="15840" w:type="dxa"/>
        <w:tblInd w:w="-492" w:type="dxa"/>
        <w:tblLayout w:type="fixed"/>
        <w:tblLook w:val="04A0" w:firstRow="1" w:lastRow="0" w:firstColumn="1" w:lastColumn="0" w:noHBand="0" w:noVBand="1"/>
      </w:tblPr>
      <w:tblGrid>
        <w:gridCol w:w="2400"/>
        <w:gridCol w:w="600"/>
        <w:gridCol w:w="720"/>
        <w:gridCol w:w="840"/>
        <w:gridCol w:w="840"/>
        <w:gridCol w:w="750"/>
        <w:gridCol w:w="839"/>
        <w:gridCol w:w="811"/>
        <w:gridCol w:w="839"/>
        <w:gridCol w:w="750"/>
        <w:gridCol w:w="811"/>
        <w:gridCol w:w="839"/>
        <w:gridCol w:w="839"/>
        <w:gridCol w:w="722"/>
        <w:gridCol w:w="720"/>
        <w:gridCol w:w="840"/>
        <w:gridCol w:w="840"/>
        <w:gridCol w:w="840"/>
      </w:tblGrid>
      <w:tr w:rsidR="00D96FAD">
        <w:trPr>
          <w:trHeight w:val="225"/>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FAD" w:rsidRDefault="00E3669E">
            <w:pPr>
              <w:spacing w:after="0"/>
              <w:rPr>
                <w:rFonts w:ascii="Arial" w:hAnsi="Arial" w:cs="Arial"/>
                <w:noProof/>
                <w:sz w:val="16"/>
                <w:szCs w:val="16"/>
              </w:rPr>
            </w:pPr>
            <w:r>
              <w:rPr>
                <w:rFonts w:ascii="Arial" w:hAnsi="Arial"/>
                <w:b/>
                <w:noProof/>
                <w:sz w:val="16"/>
              </w:rPr>
              <w:t>Empresas</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FAD" w:rsidRDefault="00E3669E">
            <w:pPr>
              <w:spacing w:after="0"/>
              <w:rPr>
                <w:rFonts w:ascii="Arial" w:hAnsi="Arial" w:cs="Arial"/>
                <w:noProof/>
                <w:sz w:val="16"/>
                <w:szCs w:val="16"/>
              </w:rPr>
            </w:pPr>
            <w:r>
              <w:rPr>
                <w:rFonts w:ascii="Arial" w:hAnsi="Arial"/>
                <w:noProof/>
                <w:sz w:val="16"/>
              </w:rPr>
              <w:t> </w:t>
            </w:r>
            <w:r>
              <w:rPr>
                <w:rFonts w:ascii="Arial" w:hAnsi="Arial"/>
                <w:noProof/>
                <w:color w:val="000000"/>
                <w:sz w:val="16"/>
              </w:rPr>
              <w:t>Nota</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D96FAD" w:rsidRDefault="00E3669E">
            <w:pPr>
              <w:spacing w:after="0"/>
              <w:jc w:val="center"/>
              <w:rPr>
                <w:rFonts w:ascii="Arial" w:hAnsi="Arial" w:cs="Arial"/>
                <w:noProof/>
                <w:sz w:val="16"/>
                <w:szCs w:val="16"/>
              </w:rPr>
            </w:pPr>
            <w:r>
              <w:rPr>
                <w:rFonts w:ascii="Arial" w:hAnsi="Arial"/>
                <w:noProof/>
                <w:sz w:val="16"/>
              </w:rPr>
              <w:t>Montenegro</w:t>
            </w:r>
          </w:p>
        </w:tc>
        <w:tc>
          <w:tcPr>
            <w:tcW w:w="1590" w:type="dxa"/>
            <w:gridSpan w:val="2"/>
            <w:tcBorders>
              <w:top w:val="single" w:sz="4" w:space="0" w:color="auto"/>
              <w:left w:val="nil"/>
              <w:bottom w:val="single" w:sz="4" w:space="0" w:color="auto"/>
              <w:right w:val="single" w:sz="4" w:space="0" w:color="auto"/>
            </w:tcBorders>
            <w:shd w:val="clear" w:color="auto" w:fill="auto"/>
            <w:vAlign w:val="center"/>
            <w:hideMark/>
          </w:tcPr>
          <w:p w:rsidR="00D96FAD" w:rsidRDefault="00E3669E">
            <w:pPr>
              <w:spacing w:after="0"/>
              <w:jc w:val="center"/>
              <w:rPr>
                <w:rFonts w:ascii="Arial" w:hAnsi="Arial" w:cs="Arial"/>
                <w:noProof/>
                <w:sz w:val="16"/>
                <w:szCs w:val="16"/>
              </w:rPr>
            </w:pPr>
            <w:r>
              <w:rPr>
                <w:rFonts w:ascii="Arial" w:hAnsi="Arial"/>
                <w:noProof/>
                <w:sz w:val="16"/>
              </w:rPr>
              <w:t>Macedonia del Norte</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D96FAD" w:rsidRDefault="00E3669E">
            <w:pPr>
              <w:spacing w:after="0"/>
              <w:jc w:val="center"/>
              <w:rPr>
                <w:rFonts w:ascii="Arial" w:hAnsi="Arial" w:cs="Arial"/>
                <w:noProof/>
                <w:sz w:val="16"/>
                <w:szCs w:val="16"/>
              </w:rPr>
            </w:pPr>
            <w:r>
              <w:rPr>
                <w:rFonts w:ascii="Arial" w:hAnsi="Arial"/>
                <w:noProof/>
                <w:sz w:val="16"/>
              </w:rPr>
              <w:t>Albania</w:t>
            </w:r>
          </w:p>
        </w:tc>
        <w:tc>
          <w:tcPr>
            <w:tcW w:w="1589" w:type="dxa"/>
            <w:gridSpan w:val="2"/>
            <w:tcBorders>
              <w:top w:val="single" w:sz="4" w:space="0" w:color="auto"/>
              <w:left w:val="nil"/>
              <w:bottom w:val="single" w:sz="4" w:space="0" w:color="auto"/>
              <w:right w:val="single" w:sz="4" w:space="0" w:color="auto"/>
            </w:tcBorders>
            <w:shd w:val="clear" w:color="auto" w:fill="auto"/>
            <w:vAlign w:val="center"/>
            <w:hideMark/>
          </w:tcPr>
          <w:p w:rsidR="00D96FAD" w:rsidRDefault="00E3669E">
            <w:pPr>
              <w:spacing w:after="0"/>
              <w:jc w:val="center"/>
              <w:rPr>
                <w:rFonts w:ascii="Arial" w:hAnsi="Arial" w:cs="Arial"/>
                <w:noProof/>
                <w:sz w:val="16"/>
                <w:szCs w:val="16"/>
              </w:rPr>
            </w:pPr>
            <w:r>
              <w:rPr>
                <w:rFonts w:ascii="Arial" w:hAnsi="Arial"/>
                <w:noProof/>
                <w:sz w:val="16"/>
              </w:rPr>
              <w:t>Serbia</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D96FAD" w:rsidRDefault="00E3669E">
            <w:pPr>
              <w:spacing w:after="0"/>
              <w:jc w:val="center"/>
              <w:rPr>
                <w:rFonts w:ascii="Arial" w:hAnsi="Arial" w:cs="Arial"/>
                <w:noProof/>
                <w:sz w:val="16"/>
                <w:szCs w:val="16"/>
              </w:rPr>
            </w:pPr>
            <w:r>
              <w:rPr>
                <w:rFonts w:ascii="Arial" w:hAnsi="Arial"/>
                <w:noProof/>
                <w:sz w:val="16"/>
              </w:rPr>
              <w:t>Turquía</w:t>
            </w:r>
          </w:p>
        </w:tc>
        <w:tc>
          <w:tcPr>
            <w:tcW w:w="1561" w:type="dxa"/>
            <w:gridSpan w:val="2"/>
            <w:tcBorders>
              <w:top w:val="single" w:sz="4" w:space="0" w:color="auto"/>
              <w:left w:val="nil"/>
              <w:bottom w:val="single" w:sz="4" w:space="0" w:color="auto"/>
              <w:right w:val="single" w:sz="4" w:space="0" w:color="auto"/>
            </w:tcBorders>
            <w:shd w:val="clear" w:color="auto" w:fill="auto"/>
            <w:vAlign w:val="center"/>
            <w:hideMark/>
          </w:tcPr>
          <w:p w:rsidR="00D96FAD" w:rsidRDefault="00E3669E">
            <w:pPr>
              <w:spacing w:after="0"/>
              <w:jc w:val="center"/>
              <w:rPr>
                <w:rFonts w:ascii="Arial" w:hAnsi="Arial" w:cs="Arial"/>
                <w:noProof/>
                <w:sz w:val="16"/>
                <w:szCs w:val="16"/>
              </w:rPr>
            </w:pPr>
            <w:r>
              <w:rPr>
                <w:rFonts w:ascii="Arial" w:hAnsi="Arial"/>
                <w:noProof/>
                <w:sz w:val="16"/>
              </w:rPr>
              <w:t>Bosnia</w:t>
            </w:r>
            <w:r>
              <w:rPr>
                <w:rFonts w:ascii="Arial" w:hAnsi="Arial"/>
                <w:noProof/>
                <w:sz w:val="16"/>
              </w:rPr>
              <w:t xml:space="preserve"> y</w:t>
            </w:r>
            <w:r>
              <w:rPr>
                <w:rFonts w:ascii="Arial" w:hAnsi="Arial" w:cs="Arial"/>
                <w:noProof/>
                <w:sz w:val="16"/>
                <w:szCs w:val="16"/>
              </w:rPr>
              <w:br/>
            </w:r>
            <w:r>
              <w:rPr>
                <w:rFonts w:ascii="Arial" w:hAnsi="Arial"/>
                <w:noProof/>
                <w:sz w:val="16"/>
              </w:rPr>
              <w:t>Herzegovina</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D96FAD" w:rsidRDefault="00E3669E">
            <w:pPr>
              <w:spacing w:after="0"/>
              <w:jc w:val="center"/>
              <w:rPr>
                <w:rFonts w:ascii="Arial" w:hAnsi="Arial" w:cs="Arial"/>
                <w:noProof/>
                <w:sz w:val="16"/>
                <w:szCs w:val="16"/>
              </w:rPr>
            </w:pPr>
            <w:r>
              <w:rPr>
                <w:rFonts w:ascii="Arial" w:hAnsi="Arial"/>
                <w:noProof/>
                <w:sz w:val="16"/>
              </w:rPr>
              <w:t>Kosovo*</w:t>
            </w:r>
          </w:p>
        </w:tc>
        <w:tc>
          <w:tcPr>
            <w:tcW w:w="1680" w:type="dxa"/>
            <w:gridSpan w:val="2"/>
            <w:tcBorders>
              <w:top w:val="single" w:sz="4" w:space="0" w:color="auto"/>
              <w:left w:val="nil"/>
              <w:bottom w:val="single" w:sz="4" w:space="0" w:color="auto"/>
              <w:right w:val="single" w:sz="4" w:space="0" w:color="auto"/>
            </w:tcBorders>
            <w:shd w:val="clear" w:color="auto" w:fill="auto"/>
            <w:vAlign w:val="center"/>
            <w:hideMark/>
          </w:tcPr>
          <w:p w:rsidR="00D96FAD" w:rsidRDefault="00E3669E">
            <w:pPr>
              <w:spacing w:after="0"/>
              <w:jc w:val="center"/>
              <w:rPr>
                <w:rFonts w:ascii="Arial" w:hAnsi="Arial" w:cs="Arial"/>
                <w:noProof/>
                <w:sz w:val="16"/>
                <w:szCs w:val="16"/>
              </w:rPr>
            </w:pPr>
            <w:r>
              <w:rPr>
                <w:rFonts w:ascii="Arial" w:hAnsi="Arial"/>
                <w:noProof/>
                <w:sz w:val="16"/>
              </w:rPr>
              <w:t>EU-28</w:t>
            </w:r>
          </w:p>
        </w:tc>
      </w:tr>
      <w:tr w:rsidR="00D96FAD">
        <w:trPr>
          <w:trHeight w:val="225"/>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D96FAD" w:rsidRDefault="00D96FAD">
            <w:pPr>
              <w:spacing w:after="0"/>
              <w:rPr>
                <w:rFonts w:ascii="Arial" w:hAnsi="Arial" w:cs="Arial"/>
                <w:noProof/>
                <w:sz w:val="16"/>
                <w:szCs w:val="16"/>
              </w:rPr>
            </w:pPr>
          </w:p>
        </w:tc>
        <w:tc>
          <w:tcPr>
            <w:tcW w:w="600" w:type="dxa"/>
            <w:vMerge/>
            <w:tcBorders>
              <w:left w:val="single" w:sz="4" w:space="0" w:color="auto"/>
              <w:bottom w:val="single" w:sz="4" w:space="0" w:color="auto"/>
              <w:right w:val="single" w:sz="4" w:space="0" w:color="auto"/>
            </w:tcBorders>
            <w:shd w:val="clear" w:color="auto" w:fill="auto"/>
            <w:noWrap/>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11"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11"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22"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72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r>
      <w:tr w:rsidR="00D96FAD">
        <w:trPr>
          <w:trHeight w:val="450"/>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Índice de producción industrial (2010 = 100)</w:t>
            </w:r>
          </w:p>
        </w:tc>
        <w:tc>
          <w:tcPr>
            <w:tcW w:w="600" w:type="dxa"/>
            <w:tcBorders>
              <w:top w:val="nil"/>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84,4s</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81,8s</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122,0</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122,2</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143,8</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142,9</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111,7</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115,8</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126,3</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134,3</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112,0</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115,5</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105,6</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109,1s</w:t>
            </w:r>
          </w:p>
        </w:tc>
      </w:tr>
      <w:tr w:rsidR="00D96FAD">
        <w:trPr>
          <w:trHeight w:val="225"/>
        </w:trPr>
        <w:tc>
          <w:tcPr>
            <w:tcW w:w="2400" w:type="dxa"/>
            <w:tcBorders>
              <w:top w:val="nil"/>
              <w:left w:val="nil"/>
              <w:bottom w:val="single" w:sz="4" w:space="0" w:color="auto"/>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600"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720"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750"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11"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750"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11"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722"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720"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noWrap/>
            <w:hideMark/>
          </w:tcPr>
          <w:p w:rsidR="00D96FAD" w:rsidRDefault="00D96FAD">
            <w:pPr>
              <w:autoSpaceDE w:val="0"/>
              <w:autoSpaceDN w:val="0"/>
              <w:adjustRightInd w:val="0"/>
              <w:spacing w:after="0"/>
              <w:jc w:val="right"/>
              <w:rPr>
                <w:rFonts w:ascii="Arial" w:hAnsi="Arial" w:cs="Arial"/>
                <w:noProof/>
                <w:color w:val="000000"/>
                <w:sz w:val="16"/>
                <w:szCs w:val="16"/>
              </w:rPr>
            </w:pPr>
          </w:p>
        </w:tc>
      </w:tr>
      <w:tr w:rsidR="00D96FAD">
        <w:trPr>
          <w:trHeight w:val="225"/>
        </w:trPr>
        <w:tc>
          <w:tcPr>
            <w:tcW w:w="2400" w:type="dxa"/>
            <w:tcBorders>
              <w:top w:val="single" w:sz="4" w:space="0" w:color="auto"/>
              <w:left w:val="single" w:sz="4" w:space="0" w:color="auto"/>
              <w:bottom w:val="single" w:sz="4" w:space="0" w:color="auto"/>
              <w:right w:val="nil"/>
            </w:tcBorders>
            <w:shd w:val="clear" w:color="auto" w:fill="auto"/>
            <w:noWrap/>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b/>
                <w:noProof/>
                <w:sz w:val="16"/>
              </w:rPr>
              <w:t>Infraestructura</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Nota</w:t>
            </w:r>
          </w:p>
        </w:tc>
        <w:tc>
          <w:tcPr>
            <w:tcW w:w="720"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11"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11"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22"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720"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r>
      <w:tr w:rsidR="00D96FAD">
        <w:trPr>
          <w:trHeight w:val="450"/>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Densidad de la red ferroviaria (líneas en funcionamiento por mil km²)</w:t>
            </w:r>
          </w:p>
        </w:tc>
        <w:tc>
          <w:tcPr>
            <w:tcW w:w="600" w:type="dxa"/>
            <w:tcBorders>
              <w:top w:val="nil"/>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9)</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18,4</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18,4</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27,4</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27,4</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12,2</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12,2</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48,6</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48,5</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13,2</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13,3</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20,0</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20,0</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30,9</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30,9</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rsidR="00D96FAD">
        <w:trPr>
          <w:trHeight w:val="225"/>
        </w:trPr>
        <w:tc>
          <w:tcPr>
            <w:tcW w:w="2400" w:type="dxa"/>
            <w:tcBorders>
              <w:top w:val="nil"/>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Longitud de la red de autopistas (en kilómetros)</w:t>
            </w:r>
          </w:p>
        </w:tc>
        <w:tc>
          <w:tcPr>
            <w:tcW w:w="600" w:type="dxa"/>
            <w:tcBorders>
              <w:top w:val="nil"/>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0</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259</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259</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741</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963</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2 542</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2 657</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163</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172</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98</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108</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r>
      <w:tr w:rsidR="00D96FAD">
        <w:trPr>
          <w:trHeight w:val="225"/>
        </w:trPr>
        <w:tc>
          <w:tcPr>
            <w:tcW w:w="2400" w:type="dxa"/>
            <w:tcBorders>
              <w:top w:val="nil"/>
              <w:left w:val="nil"/>
              <w:bottom w:val="single" w:sz="4" w:space="0" w:color="auto"/>
              <w:right w:val="nil"/>
            </w:tcBorders>
            <w:shd w:val="clear" w:color="auto" w:fill="auto"/>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600" w:type="dxa"/>
            <w:tcBorders>
              <w:top w:val="nil"/>
              <w:left w:val="nil"/>
              <w:bottom w:val="nil"/>
              <w:right w:val="nil"/>
            </w:tcBorders>
            <w:shd w:val="clear" w:color="auto" w:fill="auto"/>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720" w:type="dxa"/>
            <w:tcBorders>
              <w:top w:val="nil"/>
              <w:left w:val="nil"/>
              <w:bottom w:val="nil"/>
              <w:right w:val="nil"/>
            </w:tcBorders>
            <w:shd w:val="clear" w:color="auto" w:fill="auto"/>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750" w:type="dxa"/>
            <w:tcBorders>
              <w:top w:val="nil"/>
              <w:left w:val="nil"/>
              <w:bottom w:val="nil"/>
              <w:right w:val="nil"/>
            </w:tcBorders>
            <w:shd w:val="clear" w:color="auto" w:fill="auto"/>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nil"/>
              <w:right w:val="nil"/>
            </w:tcBorders>
            <w:shd w:val="clear" w:color="auto" w:fill="auto"/>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11" w:type="dxa"/>
            <w:tcBorders>
              <w:top w:val="nil"/>
              <w:left w:val="nil"/>
              <w:bottom w:val="nil"/>
              <w:right w:val="nil"/>
            </w:tcBorders>
            <w:shd w:val="clear" w:color="auto" w:fill="auto"/>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nil"/>
              <w:right w:val="nil"/>
            </w:tcBorders>
            <w:shd w:val="clear" w:color="auto" w:fill="auto"/>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750" w:type="dxa"/>
            <w:tcBorders>
              <w:top w:val="nil"/>
              <w:left w:val="nil"/>
              <w:bottom w:val="nil"/>
              <w:right w:val="nil"/>
            </w:tcBorders>
            <w:shd w:val="clear" w:color="auto" w:fill="auto"/>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11" w:type="dxa"/>
            <w:tcBorders>
              <w:top w:val="nil"/>
              <w:left w:val="nil"/>
              <w:bottom w:val="nil"/>
              <w:right w:val="nil"/>
            </w:tcBorders>
            <w:shd w:val="clear" w:color="auto" w:fill="auto"/>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nil"/>
              <w:right w:val="nil"/>
            </w:tcBorders>
            <w:shd w:val="clear" w:color="auto" w:fill="auto"/>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39" w:type="dxa"/>
            <w:tcBorders>
              <w:top w:val="nil"/>
              <w:left w:val="nil"/>
              <w:bottom w:val="nil"/>
              <w:right w:val="nil"/>
            </w:tcBorders>
            <w:shd w:val="clear" w:color="auto" w:fill="auto"/>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722" w:type="dxa"/>
            <w:tcBorders>
              <w:top w:val="nil"/>
              <w:left w:val="nil"/>
              <w:bottom w:val="nil"/>
              <w:right w:val="nil"/>
            </w:tcBorders>
            <w:shd w:val="clear" w:color="auto" w:fill="auto"/>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720" w:type="dxa"/>
            <w:tcBorders>
              <w:top w:val="nil"/>
              <w:left w:val="nil"/>
              <w:bottom w:val="nil"/>
              <w:right w:val="nil"/>
            </w:tcBorders>
            <w:shd w:val="clear" w:color="auto" w:fill="auto"/>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hideMark/>
          </w:tcPr>
          <w:p w:rsidR="00D96FAD" w:rsidRDefault="00D96FAD">
            <w:pPr>
              <w:autoSpaceDE w:val="0"/>
              <w:autoSpaceDN w:val="0"/>
              <w:adjustRightInd w:val="0"/>
              <w:spacing w:after="0"/>
              <w:jc w:val="right"/>
              <w:rPr>
                <w:rFonts w:ascii="Arial" w:hAnsi="Arial" w:cs="Arial"/>
                <w:noProof/>
                <w:color w:val="000000"/>
                <w:sz w:val="16"/>
                <w:szCs w:val="16"/>
              </w:rPr>
            </w:pPr>
          </w:p>
        </w:tc>
        <w:tc>
          <w:tcPr>
            <w:tcW w:w="840" w:type="dxa"/>
            <w:tcBorders>
              <w:top w:val="nil"/>
              <w:left w:val="nil"/>
              <w:bottom w:val="nil"/>
              <w:right w:val="nil"/>
            </w:tcBorders>
            <w:shd w:val="clear" w:color="auto" w:fill="auto"/>
            <w:hideMark/>
          </w:tcPr>
          <w:p w:rsidR="00D96FAD" w:rsidRDefault="00D96FAD">
            <w:pPr>
              <w:autoSpaceDE w:val="0"/>
              <w:autoSpaceDN w:val="0"/>
              <w:adjustRightInd w:val="0"/>
              <w:spacing w:after="0"/>
              <w:jc w:val="right"/>
              <w:rPr>
                <w:rFonts w:ascii="Arial" w:hAnsi="Arial" w:cs="Arial"/>
                <w:noProof/>
                <w:color w:val="000000"/>
                <w:sz w:val="16"/>
                <w:szCs w:val="16"/>
              </w:rPr>
            </w:pPr>
          </w:p>
        </w:tc>
      </w:tr>
      <w:tr w:rsidR="00D96FAD">
        <w:trPr>
          <w:trHeight w:val="225"/>
        </w:trPr>
        <w:tc>
          <w:tcPr>
            <w:tcW w:w="2400" w:type="dxa"/>
            <w:tcBorders>
              <w:top w:val="single" w:sz="4" w:space="0" w:color="auto"/>
              <w:left w:val="single" w:sz="4" w:space="0" w:color="auto"/>
              <w:bottom w:val="single" w:sz="4" w:space="0" w:color="auto"/>
              <w:right w:val="nil"/>
            </w:tcBorders>
            <w:shd w:val="clear" w:color="auto" w:fill="auto"/>
            <w:noWrap/>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b/>
                <w:noProof/>
                <w:sz w:val="16"/>
              </w:rPr>
              <w:t>E</w:t>
            </w:r>
            <w:r>
              <w:rPr>
                <w:rFonts w:ascii="Arial" w:hAnsi="Arial"/>
                <w:b/>
                <w:noProof/>
                <w:sz w:val="16"/>
              </w:rPr>
              <w:t>nergía</w:t>
            </w:r>
          </w:p>
        </w:tc>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Nota</w:t>
            </w:r>
          </w:p>
        </w:tc>
        <w:tc>
          <w:tcPr>
            <w:tcW w:w="720"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11"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50"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11"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39"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39"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722"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720"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c>
          <w:tcPr>
            <w:tcW w:w="840"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2016</w:t>
            </w:r>
          </w:p>
        </w:tc>
        <w:tc>
          <w:tcPr>
            <w:tcW w:w="840" w:type="dxa"/>
            <w:tcBorders>
              <w:top w:val="single" w:sz="4" w:space="0" w:color="auto"/>
              <w:left w:val="nil"/>
              <w:bottom w:val="single" w:sz="4" w:space="0" w:color="auto"/>
              <w:right w:val="single" w:sz="4" w:space="0" w:color="auto"/>
            </w:tcBorders>
            <w:shd w:val="clear" w:color="auto" w:fill="auto"/>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2017</w:t>
            </w:r>
          </w:p>
        </w:tc>
      </w:tr>
      <w:tr w:rsidR="00D96FAD">
        <w:trPr>
          <w:trHeight w:val="225"/>
        </w:trPr>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Importaciones netas de energía en relación con el PIB</w:t>
            </w:r>
          </w:p>
        </w:tc>
        <w:tc>
          <w:tcPr>
            <w:tcW w:w="600" w:type="dxa"/>
            <w:tcBorders>
              <w:top w:val="nil"/>
              <w:left w:val="nil"/>
              <w:bottom w:val="single" w:sz="4" w:space="0" w:color="auto"/>
              <w:right w:val="single" w:sz="4" w:space="0" w:color="auto"/>
            </w:tcBorders>
            <w:shd w:val="clear" w:color="auto" w:fill="auto"/>
            <w:hideMark/>
          </w:tcPr>
          <w:p w:rsidR="00D96FAD" w:rsidRDefault="00D96FAD">
            <w:pPr>
              <w:autoSpaceDE w:val="0"/>
              <w:autoSpaceDN w:val="0"/>
              <w:adjustRightInd w:val="0"/>
              <w:spacing w:after="0"/>
              <w:rPr>
                <w:rFonts w:ascii="Arial" w:hAnsi="Arial" w:cs="Arial"/>
                <w:noProof/>
                <w:color w:val="000000"/>
                <w:sz w:val="16"/>
                <w:szCs w:val="16"/>
              </w:rPr>
            </w:pP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4,9</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5,2</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5,9</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2,5</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3,4</w:t>
            </w:r>
          </w:p>
        </w:tc>
        <w:tc>
          <w:tcPr>
            <w:tcW w:w="75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w:t>
            </w:r>
          </w:p>
        </w:tc>
        <w:tc>
          <w:tcPr>
            <w:tcW w:w="811"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1,0</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w:t>
            </w:r>
          </w:p>
        </w:tc>
        <w:tc>
          <w:tcPr>
            <w:tcW w:w="839"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4,3</w:t>
            </w:r>
          </w:p>
        </w:tc>
        <w:tc>
          <w:tcPr>
            <w:tcW w:w="722"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w:t>
            </w:r>
          </w:p>
        </w:tc>
        <w:tc>
          <w:tcPr>
            <w:tcW w:w="72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4,1</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5,4</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1,3</w:t>
            </w:r>
          </w:p>
        </w:tc>
        <w:tc>
          <w:tcPr>
            <w:tcW w:w="840" w:type="dxa"/>
            <w:tcBorders>
              <w:top w:val="nil"/>
              <w:left w:val="nil"/>
              <w:bottom w:val="single" w:sz="4" w:space="0" w:color="auto"/>
              <w:right w:val="single" w:sz="4" w:space="0" w:color="auto"/>
            </w:tcBorders>
            <w:shd w:val="clear" w:color="auto" w:fill="auto"/>
            <w:noWrap/>
            <w:hideMark/>
          </w:tcPr>
          <w:p w:rsidR="00D96FAD" w:rsidRDefault="00E3669E">
            <w:pPr>
              <w:autoSpaceDE w:val="0"/>
              <w:autoSpaceDN w:val="0"/>
              <w:adjustRightInd w:val="0"/>
              <w:spacing w:after="0"/>
              <w:jc w:val="center"/>
              <w:rPr>
                <w:rFonts w:ascii="Arial" w:hAnsi="Arial" w:cs="Arial"/>
                <w:noProof/>
                <w:color w:val="000000"/>
                <w:sz w:val="16"/>
                <w:szCs w:val="16"/>
              </w:rPr>
            </w:pPr>
            <w:r>
              <w:rPr>
                <w:rFonts w:ascii="Arial" w:hAnsi="Arial"/>
                <w:noProof/>
                <w:color w:val="000000"/>
                <w:sz w:val="16"/>
              </w:rPr>
              <w:t>1,5</w:t>
            </w:r>
          </w:p>
        </w:tc>
      </w:tr>
    </w:tbl>
    <w:p w:rsidR="00D96FAD" w:rsidRDefault="00D96FAD">
      <w:pPr>
        <w:spacing w:after="0"/>
        <w:rPr>
          <w:rFonts w:ascii="Arial" w:hAnsi="Arial" w:cs="Arial"/>
          <w:noProof/>
          <w:sz w:val="16"/>
          <w:szCs w:val="16"/>
        </w:rPr>
      </w:pPr>
    </w:p>
    <w:p w:rsidR="00D96FAD" w:rsidRDefault="00D96FAD">
      <w:pPr>
        <w:spacing w:after="0"/>
        <w:rPr>
          <w:rFonts w:ascii="Arial" w:hAnsi="Arial" w:cs="Arial"/>
          <w:noProof/>
          <w:sz w:val="16"/>
          <w:szCs w:val="16"/>
        </w:rPr>
        <w:sectPr w:rsidR="00D96FAD">
          <w:headerReference w:type="even" r:id="rId21"/>
          <w:headerReference w:type="default" r:id="rId22"/>
          <w:footerReference w:type="even" r:id="rId23"/>
          <w:footerReference w:type="default" r:id="rId24"/>
          <w:headerReference w:type="first" r:id="rId25"/>
          <w:footerReference w:type="first" r:id="rId26"/>
          <w:pgSz w:w="16839" w:h="11907" w:orient="landscape"/>
          <w:pgMar w:top="1134" w:right="1134" w:bottom="851" w:left="1134" w:header="709" w:footer="709" w:gutter="0"/>
          <w:cols w:space="708"/>
          <w:docGrid w:linePitch="360"/>
        </w:sectPr>
      </w:pPr>
    </w:p>
    <w:p w:rsidR="00D96FAD" w:rsidRDefault="00D96FAD">
      <w:pPr>
        <w:spacing w:after="0"/>
        <w:rPr>
          <w:rFonts w:ascii="Arial" w:hAnsi="Arial" w:cs="Arial"/>
          <w:noProof/>
          <w:sz w:val="16"/>
          <w:szCs w:val="16"/>
        </w:rPr>
      </w:pPr>
    </w:p>
    <w:tbl>
      <w:tblPr>
        <w:tblW w:w="14772" w:type="dxa"/>
        <w:tblInd w:w="78" w:type="dxa"/>
        <w:tblLayout w:type="fixed"/>
        <w:tblLook w:val="0000" w:firstRow="0" w:lastRow="0" w:firstColumn="0" w:lastColumn="0" w:noHBand="0" w:noVBand="0"/>
      </w:tblPr>
      <w:tblGrid>
        <w:gridCol w:w="14772"/>
      </w:tblGrid>
      <w:tr w:rsidR="00D96FAD">
        <w:trPr>
          <w:trHeight w:val="91"/>
        </w:trPr>
        <w:tc>
          <w:tcPr>
            <w:tcW w:w="14772" w:type="dxa"/>
            <w:tcBorders>
              <w:top w:val="nil"/>
              <w:left w:val="nil"/>
              <w:bottom w:val="nil"/>
              <w:right w:val="nil"/>
            </w:tcBorders>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 = No disponible</w:t>
            </w:r>
          </w:p>
        </w:tc>
      </w:tr>
      <w:tr w:rsidR="00D96FAD">
        <w:trPr>
          <w:trHeight w:val="91"/>
        </w:trPr>
        <w:tc>
          <w:tcPr>
            <w:tcW w:w="14772" w:type="dxa"/>
            <w:tcBorders>
              <w:top w:val="nil"/>
              <w:left w:val="nil"/>
              <w:bottom w:val="nil"/>
              <w:right w:val="nil"/>
            </w:tcBorders>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b = Interrupción en la serie</w:t>
            </w:r>
          </w:p>
        </w:tc>
      </w:tr>
      <w:tr w:rsidR="00D96FAD">
        <w:trPr>
          <w:trHeight w:val="91"/>
        </w:trPr>
        <w:tc>
          <w:tcPr>
            <w:tcW w:w="14772" w:type="dxa"/>
            <w:tcBorders>
              <w:top w:val="nil"/>
              <w:left w:val="nil"/>
              <w:bottom w:val="nil"/>
              <w:right w:val="nil"/>
            </w:tcBorders>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 xml:space="preserve">e = Valor </w:t>
            </w:r>
            <w:r>
              <w:rPr>
                <w:rFonts w:ascii="Arial" w:hAnsi="Arial"/>
                <w:noProof/>
                <w:color w:val="000000"/>
                <w:sz w:val="16"/>
              </w:rPr>
              <w:t>estimado</w:t>
            </w:r>
          </w:p>
        </w:tc>
      </w:tr>
      <w:tr w:rsidR="00D96FAD">
        <w:trPr>
          <w:trHeight w:val="91"/>
        </w:trPr>
        <w:tc>
          <w:tcPr>
            <w:tcW w:w="14772" w:type="dxa"/>
            <w:tcBorders>
              <w:top w:val="nil"/>
              <w:left w:val="nil"/>
              <w:bottom w:val="nil"/>
              <w:right w:val="nil"/>
            </w:tcBorders>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p = Dato provisional</w:t>
            </w:r>
          </w:p>
        </w:tc>
      </w:tr>
      <w:tr w:rsidR="00D96FAD">
        <w:trPr>
          <w:trHeight w:val="91"/>
        </w:trPr>
        <w:tc>
          <w:tcPr>
            <w:tcW w:w="14772" w:type="dxa"/>
            <w:tcBorders>
              <w:top w:val="nil"/>
              <w:left w:val="nil"/>
              <w:bottom w:val="nil"/>
              <w:right w:val="nil"/>
            </w:tcBorders>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s = Estimación/Cálculo de Eurostat</w:t>
            </w:r>
          </w:p>
        </w:tc>
      </w:tr>
      <w:tr w:rsidR="00D96FAD">
        <w:trPr>
          <w:trHeight w:val="91"/>
        </w:trPr>
        <w:tc>
          <w:tcPr>
            <w:tcW w:w="14772" w:type="dxa"/>
            <w:tcBorders>
              <w:top w:val="nil"/>
              <w:left w:val="nil"/>
              <w:bottom w:val="nil"/>
              <w:right w:val="nil"/>
            </w:tcBorders>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u = Fiabilidad escasa</w:t>
            </w:r>
          </w:p>
        </w:tc>
      </w:tr>
      <w:tr w:rsidR="00D96FAD">
        <w:trPr>
          <w:trHeight w:val="91"/>
        </w:trPr>
        <w:tc>
          <w:tcPr>
            <w:tcW w:w="14772" w:type="dxa"/>
            <w:tcBorders>
              <w:top w:val="nil"/>
              <w:left w:val="nil"/>
              <w:bottom w:val="nil"/>
              <w:right w:val="nil"/>
            </w:tcBorders>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 = No procede</w:t>
            </w:r>
          </w:p>
        </w:tc>
      </w:tr>
      <w:tr w:rsidR="00D96FAD">
        <w:trPr>
          <w:trHeight w:val="91"/>
        </w:trPr>
        <w:tc>
          <w:tcPr>
            <w:tcW w:w="14772" w:type="dxa"/>
            <w:tcBorders>
              <w:top w:val="nil"/>
              <w:left w:val="nil"/>
              <w:bottom w:val="nil"/>
              <w:right w:val="nil"/>
            </w:tcBorders>
          </w:tcPr>
          <w:p w:rsidR="00D96FAD" w:rsidRDefault="00D96FAD">
            <w:pPr>
              <w:autoSpaceDE w:val="0"/>
              <w:autoSpaceDN w:val="0"/>
              <w:adjustRightInd w:val="0"/>
              <w:spacing w:after="0"/>
              <w:jc w:val="right"/>
              <w:rPr>
                <w:rFonts w:ascii="Arial" w:hAnsi="Arial" w:cs="Arial"/>
                <w:noProof/>
                <w:color w:val="000000"/>
                <w:sz w:val="16"/>
                <w:szCs w:val="16"/>
              </w:rPr>
            </w:pPr>
          </w:p>
        </w:tc>
      </w:tr>
      <w:tr w:rsidR="00D96FAD">
        <w:trPr>
          <w:trHeight w:val="91"/>
        </w:trPr>
        <w:tc>
          <w:tcPr>
            <w:tcW w:w="14772" w:type="dxa"/>
            <w:tcBorders>
              <w:top w:val="nil"/>
              <w:left w:val="nil"/>
              <w:bottom w:val="nil"/>
              <w:right w:val="nil"/>
            </w:tcBorders>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 xml:space="preserve">* = La denominación «Kosovo» se entiende sin perjuicio de las posiciones sobre su estatuto y está en consonancia con la Resolución 1244 (1999) del </w:t>
            </w:r>
            <w:r>
              <w:rPr>
                <w:rFonts w:ascii="Arial" w:hAnsi="Arial"/>
                <w:noProof/>
                <w:color w:val="000000"/>
                <w:sz w:val="16"/>
              </w:rPr>
              <w:t>Consejo de Seguridad de las Naciones Unidas y con la opinión de la Corte Internacional de Justicia sobre la declaración de independencia de Kosovo.</w:t>
            </w:r>
          </w:p>
        </w:tc>
      </w:tr>
      <w:tr w:rsidR="00D96FAD">
        <w:trPr>
          <w:trHeight w:val="91"/>
        </w:trPr>
        <w:tc>
          <w:tcPr>
            <w:tcW w:w="14772" w:type="dxa"/>
            <w:tcBorders>
              <w:top w:val="nil"/>
              <w:left w:val="nil"/>
              <w:bottom w:val="nil"/>
              <w:right w:val="nil"/>
            </w:tcBorders>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 = Los datos de déficit público y de deuda pública de los países de la ampliación se publican sin ninguna</w:t>
            </w:r>
            <w:r>
              <w:rPr>
                <w:rFonts w:ascii="Arial" w:hAnsi="Arial"/>
                <w:noProof/>
                <w:color w:val="000000"/>
                <w:sz w:val="16"/>
              </w:rPr>
              <w:t xml:space="preserve"> garantía en cuanto a la calidad y el cumplimiento de las normas del SEC.</w:t>
            </w:r>
          </w:p>
        </w:tc>
      </w:tr>
      <w:tr w:rsidR="00D96FAD">
        <w:trPr>
          <w:trHeight w:val="91"/>
        </w:trPr>
        <w:tc>
          <w:tcPr>
            <w:tcW w:w="14772" w:type="dxa"/>
            <w:tcBorders>
              <w:top w:val="nil"/>
              <w:left w:val="nil"/>
              <w:bottom w:val="nil"/>
              <w:right w:val="nil"/>
            </w:tcBorders>
          </w:tcPr>
          <w:p w:rsidR="00D96FAD" w:rsidRDefault="00D96FAD">
            <w:pPr>
              <w:autoSpaceDE w:val="0"/>
              <w:autoSpaceDN w:val="0"/>
              <w:adjustRightInd w:val="0"/>
              <w:spacing w:after="0"/>
              <w:jc w:val="right"/>
              <w:rPr>
                <w:rFonts w:ascii="Arial" w:hAnsi="Arial" w:cs="Arial"/>
                <w:noProof/>
                <w:color w:val="000000"/>
                <w:sz w:val="16"/>
                <w:szCs w:val="16"/>
              </w:rPr>
            </w:pPr>
          </w:p>
        </w:tc>
      </w:tr>
      <w:tr w:rsidR="00D96FAD">
        <w:trPr>
          <w:trHeight w:val="91"/>
        </w:trPr>
        <w:tc>
          <w:tcPr>
            <w:tcW w:w="14772" w:type="dxa"/>
            <w:tcBorders>
              <w:top w:val="nil"/>
              <w:left w:val="nil"/>
              <w:bottom w:val="nil"/>
              <w:right w:val="nil"/>
            </w:tcBorders>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Notas a pie de página:</w:t>
            </w:r>
          </w:p>
        </w:tc>
      </w:tr>
    </w:tbl>
    <w:p w:rsidR="00D96FAD" w:rsidRDefault="00D96FAD">
      <w:pPr>
        <w:spacing w:after="0"/>
        <w:rPr>
          <w:rFonts w:ascii="Arial" w:hAnsi="Arial" w:cs="Arial"/>
          <w:noProof/>
          <w:sz w:val="16"/>
          <w:szCs w:val="16"/>
        </w:rPr>
      </w:pPr>
    </w:p>
    <w:tbl>
      <w:tblPr>
        <w:tblW w:w="0" w:type="auto"/>
        <w:tblInd w:w="78" w:type="dxa"/>
        <w:tblLayout w:type="fixed"/>
        <w:tblLook w:val="0000" w:firstRow="0" w:lastRow="0" w:firstColumn="0" w:lastColumn="0" w:noHBand="0" w:noVBand="0"/>
      </w:tblPr>
      <w:tblGrid>
        <w:gridCol w:w="456"/>
        <w:gridCol w:w="6237"/>
        <w:gridCol w:w="850"/>
        <w:gridCol w:w="284"/>
        <w:gridCol w:w="283"/>
        <w:gridCol w:w="284"/>
        <w:gridCol w:w="283"/>
        <w:gridCol w:w="284"/>
        <w:gridCol w:w="283"/>
        <w:gridCol w:w="284"/>
        <w:gridCol w:w="567"/>
        <w:gridCol w:w="283"/>
        <w:gridCol w:w="2693"/>
      </w:tblGrid>
      <w:tr w:rsidR="00D96FAD">
        <w:trPr>
          <w:trHeight w:val="91"/>
        </w:trPr>
        <w:tc>
          <w:tcPr>
            <w:tcW w:w="456" w:type="dxa"/>
            <w:tcBorders>
              <w:top w:val="nil"/>
              <w:left w:val="nil"/>
              <w:bottom w:val="nil"/>
              <w:right w:val="nil"/>
            </w:tcBorders>
          </w:tcPr>
          <w:p w:rsidR="00D96FAD" w:rsidRDefault="00E3669E">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1)</w:t>
            </w:r>
          </w:p>
        </w:tc>
        <w:tc>
          <w:tcPr>
            <w:tcW w:w="12615" w:type="dxa"/>
            <w:gridSpan w:val="12"/>
            <w:tcBorders>
              <w:top w:val="nil"/>
              <w:left w:val="nil"/>
              <w:bottom w:val="nil"/>
              <w:right w:val="nil"/>
            </w:tcBorders>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Turquía: El desempleo se basa en el criterio de 4 semanas + uso exclusivo de métodos de búsqueda activa de empleo.</w:t>
            </w:r>
          </w:p>
        </w:tc>
      </w:tr>
      <w:tr w:rsidR="00D96FAD">
        <w:trPr>
          <w:trHeight w:val="91"/>
        </w:trPr>
        <w:tc>
          <w:tcPr>
            <w:tcW w:w="456" w:type="dxa"/>
            <w:tcBorders>
              <w:top w:val="nil"/>
              <w:left w:val="nil"/>
              <w:bottom w:val="nil"/>
              <w:right w:val="nil"/>
            </w:tcBorders>
          </w:tcPr>
          <w:p w:rsidR="00D96FAD" w:rsidRDefault="00E3669E">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2)</w:t>
            </w:r>
          </w:p>
        </w:tc>
        <w:tc>
          <w:tcPr>
            <w:tcW w:w="12615" w:type="dxa"/>
            <w:gridSpan w:val="12"/>
            <w:tcBorders>
              <w:top w:val="nil"/>
              <w:left w:val="nil"/>
              <w:bottom w:val="nil"/>
              <w:right w:val="nil"/>
            </w:tcBorders>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 xml:space="preserve">Bosnia y Herzegovina: El sector </w:t>
            </w:r>
            <w:r>
              <w:rPr>
                <w:rFonts w:ascii="Arial" w:hAnsi="Arial"/>
                <w:noProof/>
                <w:color w:val="000000"/>
                <w:sz w:val="16"/>
              </w:rPr>
              <w:t>público incluye las secciones O, P y Q de la NACE rev. 2, mientras que el sector privado incluye otras secciones de la NACE. Montenegro: Se excluyen las ONG; los datos se refieren al número de personas empleadas (en los sectores privado o público) expresad</w:t>
            </w:r>
            <w:r>
              <w:rPr>
                <w:rFonts w:ascii="Arial" w:hAnsi="Arial"/>
                <w:noProof/>
                <w:color w:val="000000"/>
                <w:sz w:val="16"/>
              </w:rPr>
              <w:t>o como porcentaje del número total de personas empleadas.</w:t>
            </w:r>
          </w:p>
        </w:tc>
      </w:tr>
      <w:tr w:rsidR="00D96FAD">
        <w:trPr>
          <w:trHeight w:val="182"/>
        </w:trPr>
        <w:tc>
          <w:tcPr>
            <w:tcW w:w="456" w:type="dxa"/>
            <w:tcBorders>
              <w:top w:val="nil"/>
              <w:left w:val="nil"/>
              <w:bottom w:val="nil"/>
              <w:right w:val="nil"/>
            </w:tcBorders>
          </w:tcPr>
          <w:p w:rsidR="00D96FAD" w:rsidRDefault="00E3669E">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3)</w:t>
            </w:r>
          </w:p>
        </w:tc>
        <w:tc>
          <w:tcPr>
            <w:tcW w:w="12615" w:type="dxa"/>
            <w:gridSpan w:val="12"/>
            <w:tcBorders>
              <w:top w:val="nil"/>
              <w:left w:val="nil"/>
              <w:bottom w:val="nil"/>
              <w:right w:val="nil"/>
            </w:tcBorders>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Albania: Sector público. Bosnia y Herzegovina: Ingresos netos. Serbia: Sueldos y salarios pagados a los empleados de personas jurídicas y de empresas no constituidas en sociedad.</w:t>
            </w:r>
          </w:p>
        </w:tc>
      </w:tr>
      <w:tr w:rsidR="00D96FAD">
        <w:trPr>
          <w:trHeight w:val="91"/>
        </w:trPr>
        <w:tc>
          <w:tcPr>
            <w:tcW w:w="456" w:type="dxa"/>
            <w:tcBorders>
              <w:top w:val="nil"/>
              <w:left w:val="nil"/>
              <w:bottom w:val="nil"/>
              <w:right w:val="nil"/>
            </w:tcBorders>
          </w:tcPr>
          <w:p w:rsidR="00D96FAD" w:rsidRDefault="00E3669E">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4)</w:t>
            </w:r>
          </w:p>
        </w:tc>
        <w:tc>
          <w:tcPr>
            <w:tcW w:w="9639" w:type="dxa"/>
            <w:gridSpan w:val="10"/>
            <w:tcBorders>
              <w:top w:val="nil"/>
              <w:left w:val="nil"/>
              <w:bottom w:val="nil"/>
              <w:right w:val="nil"/>
            </w:tcBorders>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Índice de p</w:t>
            </w:r>
            <w:r>
              <w:rPr>
                <w:rFonts w:ascii="Arial" w:hAnsi="Arial"/>
                <w:noProof/>
                <w:color w:val="000000"/>
                <w:sz w:val="16"/>
              </w:rPr>
              <w:t>recios de consumo armonizado, excepto para Bosnia y Herzegovina.</w:t>
            </w:r>
          </w:p>
        </w:tc>
        <w:tc>
          <w:tcPr>
            <w:tcW w:w="283" w:type="dxa"/>
            <w:tcBorders>
              <w:top w:val="nil"/>
              <w:left w:val="nil"/>
              <w:bottom w:val="nil"/>
              <w:right w:val="nil"/>
            </w:tcBorders>
          </w:tcPr>
          <w:p w:rsidR="00D96FAD" w:rsidRDefault="00D96FAD">
            <w:pPr>
              <w:autoSpaceDE w:val="0"/>
              <w:autoSpaceDN w:val="0"/>
              <w:adjustRightInd w:val="0"/>
              <w:spacing w:after="0"/>
              <w:jc w:val="right"/>
              <w:rPr>
                <w:rFonts w:ascii="Arial" w:hAnsi="Arial" w:cs="Arial"/>
                <w:noProof/>
                <w:color w:val="000000"/>
                <w:sz w:val="16"/>
                <w:szCs w:val="16"/>
              </w:rPr>
            </w:pPr>
          </w:p>
        </w:tc>
        <w:tc>
          <w:tcPr>
            <w:tcW w:w="2693" w:type="dxa"/>
            <w:tcBorders>
              <w:top w:val="nil"/>
              <w:left w:val="nil"/>
              <w:bottom w:val="nil"/>
              <w:right w:val="nil"/>
            </w:tcBorders>
          </w:tcPr>
          <w:p w:rsidR="00D96FAD" w:rsidRDefault="00D96FAD">
            <w:pPr>
              <w:autoSpaceDE w:val="0"/>
              <w:autoSpaceDN w:val="0"/>
              <w:adjustRightInd w:val="0"/>
              <w:spacing w:after="0"/>
              <w:jc w:val="right"/>
              <w:rPr>
                <w:rFonts w:ascii="Arial" w:hAnsi="Arial" w:cs="Arial"/>
                <w:noProof/>
                <w:color w:val="000000"/>
                <w:sz w:val="16"/>
                <w:szCs w:val="16"/>
              </w:rPr>
            </w:pPr>
          </w:p>
        </w:tc>
      </w:tr>
      <w:tr w:rsidR="00D96FAD">
        <w:trPr>
          <w:trHeight w:val="91"/>
        </w:trPr>
        <w:tc>
          <w:tcPr>
            <w:tcW w:w="456" w:type="dxa"/>
            <w:tcBorders>
              <w:top w:val="nil"/>
              <w:left w:val="nil"/>
              <w:bottom w:val="nil"/>
              <w:right w:val="nil"/>
            </w:tcBorders>
          </w:tcPr>
          <w:p w:rsidR="00D96FAD" w:rsidRDefault="00E3669E">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5)</w:t>
            </w:r>
          </w:p>
        </w:tc>
        <w:tc>
          <w:tcPr>
            <w:tcW w:w="8788" w:type="dxa"/>
            <w:gridSpan w:val="8"/>
            <w:tcBorders>
              <w:top w:val="nil"/>
              <w:left w:val="nil"/>
              <w:bottom w:val="nil"/>
              <w:right w:val="nil"/>
            </w:tcBorders>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Bosnia y Herzegovina: Datos relativos a las instituciones financieras monetarias.</w:t>
            </w:r>
          </w:p>
        </w:tc>
        <w:tc>
          <w:tcPr>
            <w:tcW w:w="284" w:type="dxa"/>
            <w:tcBorders>
              <w:top w:val="nil"/>
              <w:left w:val="nil"/>
              <w:bottom w:val="nil"/>
              <w:right w:val="nil"/>
            </w:tcBorders>
          </w:tcPr>
          <w:p w:rsidR="00D96FAD" w:rsidRDefault="00D96FAD">
            <w:pPr>
              <w:autoSpaceDE w:val="0"/>
              <w:autoSpaceDN w:val="0"/>
              <w:adjustRightInd w:val="0"/>
              <w:spacing w:after="0"/>
              <w:jc w:val="right"/>
              <w:rPr>
                <w:rFonts w:ascii="Arial" w:hAnsi="Arial" w:cs="Arial"/>
                <w:noProof/>
                <w:color w:val="000000"/>
                <w:sz w:val="16"/>
                <w:szCs w:val="16"/>
              </w:rPr>
            </w:pPr>
          </w:p>
        </w:tc>
        <w:tc>
          <w:tcPr>
            <w:tcW w:w="567" w:type="dxa"/>
            <w:tcBorders>
              <w:top w:val="nil"/>
              <w:left w:val="nil"/>
              <w:bottom w:val="nil"/>
              <w:right w:val="nil"/>
            </w:tcBorders>
          </w:tcPr>
          <w:p w:rsidR="00D96FAD" w:rsidRDefault="00D96FAD">
            <w:pPr>
              <w:autoSpaceDE w:val="0"/>
              <w:autoSpaceDN w:val="0"/>
              <w:adjustRightInd w:val="0"/>
              <w:spacing w:after="0"/>
              <w:jc w:val="right"/>
              <w:rPr>
                <w:rFonts w:ascii="Arial" w:hAnsi="Arial" w:cs="Arial"/>
                <w:noProof/>
                <w:color w:val="000000"/>
                <w:sz w:val="16"/>
                <w:szCs w:val="16"/>
              </w:rPr>
            </w:pPr>
          </w:p>
        </w:tc>
        <w:tc>
          <w:tcPr>
            <w:tcW w:w="283" w:type="dxa"/>
            <w:tcBorders>
              <w:top w:val="nil"/>
              <w:left w:val="nil"/>
              <w:bottom w:val="nil"/>
              <w:right w:val="nil"/>
            </w:tcBorders>
          </w:tcPr>
          <w:p w:rsidR="00D96FAD" w:rsidRDefault="00D96FAD">
            <w:pPr>
              <w:autoSpaceDE w:val="0"/>
              <w:autoSpaceDN w:val="0"/>
              <w:adjustRightInd w:val="0"/>
              <w:spacing w:after="0"/>
              <w:jc w:val="right"/>
              <w:rPr>
                <w:rFonts w:ascii="Arial" w:hAnsi="Arial" w:cs="Arial"/>
                <w:noProof/>
                <w:color w:val="000000"/>
                <w:sz w:val="16"/>
                <w:szCs w:val="16"/>
              </w:rPr>
            </w:pPr>
          </w:p>
        </w:tc>
        <w:tc>
          <w:tcPr>
            <w:tcW w:w="2693" w:type="dxa"/>
            <w:tcBorders>
              <w:top w:val="nil"/>
              <w:left w:val="nil"/>
              <w:bottom w:val="nil"/>
              <w:right w:val="nil"/>
            </w:tcBorders>
          </w:tcPr>
          <w:p w:rsidR="00D96FAD" w:rsidRDefault="00D96FAD">
            <w:pPr>
              <w:autoSpaceDE w:val="0"/>
              <w:autoSpaceDN w:val="0"/>
              <w:adjustRightInd w:val="0"/>
              <w:spacing w:after="0"/>
              <w:jc w:val="right"/>
              <w:rPr>
                <w:rFonts w:ascii="Arial" w:hAnsi="Arial" w:cs="Arial"/>
                <w:noProof/>
                <w:color w:val="000000"/>
                <w:sz w:val="16"/>
                <w:szCs w:val="16"/>
              </w:rPr>
            </w:pPr>
          </w:p>
        </w:tc>
      </w:tr>
      <w:tr w:rsidR="00D96FAD">
        <w:trPr>
          <w:trHeight w:val="91"/>
        </w:trPr>
        <w:tc>
          <w:tcPr>
            <w:tcW w:w="456" w:type="dxa"/>
            <w:tcBorders>
              <w:top w:val="nil"/>
              <w:left w:val="nil"/>
              <w:bottom w:val="nil"/>
              <w:right w:val="nil"/>
            </w:tcBorders>
          </w:tcPr>
          <w:p w:rsidR="00D96FAD" w:rsidRDefault="00E3669E">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6)</w:t>
            </w:r>
          </w:p>
        </w:tc>
        <w:tc>
          <w:tcPr>
            <w:tcW w:w="6237" w:type="dxa"/>
            <w:tcBorders>
              <w:top w:val="nil"/>
              <w:left w:val="nil"/>
              <w:bottom w:val="nil"/>
              <w:right w:val="nil"/>
            </w:tcBorders>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Albania: Deuda exterior (incluida la inversión extranjera directa).</w:t>
            </w:r>
          </w:p>
        </w:tc>
        <w:tc>
          <w:tcPr>
            <w:tcW w:w="850" w:type="dxa"/>
            <w:tcBorders>
              <w:top w:val="nil"/>
              <w:left w:val="nil"/>
              <w:bottom w:val="nil"/>
              <w:right w:val="nil"/>
            </w:tcBorders>
          </w:tcPr>
          <w:p w:rsidR="00D96FAD" w:rsidRDefault="00D96FAD">
            <w:pPr>
              <w:autoSpaceDE w:val="0"/>
              <w:autoSpaceDN w:val="0"/>
              <w:adjustRightInd w:val="0"/>
              <w:spacing w:after="0"/>
              <w:jc w:val="right"/>
              <w:rPr>
                <w:rFonts w:ascii="Arial" w:hAnsi="Arial" w:cs="Arial"/>
                <w:noProof/>
                <w:color w:val="000000"/>
                <w:sz w:val="16"/>
                <w:szCs w:val="16"/>
              </w:rPr>
            </w:pPr>
          </w:p>
        </w:tc>
        <w:tc>
          <w:tcPr>
            <w:tcW w:w="284" w:type="dxa"/>
            <w:tcBorders>
              <w:top w:val="nil"/>
              <w:left w:val="nil"/>
              <w:bottom w:val="nil"/>
              <w:right w:val="nil"/>
            </w:tcBorders>
          </w:tcPr>
          <w:p w:rsidR="00D96FAD" w:rsidRDefault="00D96FAD">
            <w:pPr>
              <w:autoSpaceDE w:val="0"/>
              <w:autoSpaceDN w:val="0"/>
              <w:adjustRightInd w:val="0"/>
              <w:spacing w:after="0"/>
              <w:jc w:val="right"/>
              <w:rPr>
                <w:rFonts w:ascii="Arial" w:hAnsi="Arial" w:cs="Arial"/>
                <w:noProof/>
                <w:color w:val="000000"/>
                <w:sz w:val="16"/>
                <w:szCs w:val="16"/>
              </w:rPr>
            </w:pPr>
          </w:p>
        </w:tc>
        <w:tc>
          <w:tcPr>
            <w:tcW w:w="283" w:type="dxa"/>
            <w:tcBorders>
              <w:top w:val="nil"/>
              <w:left w:val="nil"/>
              <w:bottom w:val="nil"/>
              <w:right w:val="nil"/>
            </w:tcBorders>
          </w:tcPr>
          <w:p w:rsidR="00D96FAD" w:rsidRDefault="00D96FAD">
            <w:pPr>
              <w:autoSpaceDE w:val="0"/>
              <w:autoSpaceDN w:val="0"/>
              <w:adjustRightInd w:val="0"/>
              <w:spacing w:after="0"/>
              <w:jc w:val="right"/>
              <w:rPr>
                <w:rFonts w:ascii="Arial" w:hAnsi="Arial" w:cs="Arial"/>
                <w:noProof/>
                <w:color w:val="000000"/>
                <w:sz w:val="16"/>
                <w:szCs w:val="16"/>
              </w:rPr>
            </w:pPr>
          </w:p>
        </w:tc>
        <w:tc>
          <w:tcPr>
            <w:tcW w:w="284" w:type="dxa"/>
            <w:tcBorders>
              <w:top w:val="nil"/>
              <w:left w:val="nil"/>
              <w:bottom w:val="nil"/>
              <w:right w:val="nil"/>
            </w:tcBorders>
          </w:tcPr>
          <w:p w:rsidR="00D96FAD" w:rsidRDefault="00D96FAD">
            <w:pPr>
              <w:autoSpaceDE w:val="0"/>
              <w:autoSpaceDN w:val="0"/>
              <w:adjustRightInd w:val="0"/>
              <w:spacing w:after="0"/>
              <w:jc w:val="right"/>
              <w:rPr>
                <w:rFonts w:ascii="Arial" w:hAnsi="Arial" w:cs="Arial"/>
                <w:noProof/>
                <w:color w:val="000000"/>
                <w:sz w:val="16"/>
                <w:szCs w:val="16"/>
              </w:rPr>
            </w:pPr>
          </w:p>
        </w:tc>
        <w:tc>
          <w:tcPr>
            <w:tcW w:w="283" w:type="dxa"/>
            <w:tcBorders>
              <w:top w:val="nil"/>
              <w:left w:val="nil"/>
              <w:bottom w:val="nil"/>
              <w:right w:val="nil"/>
            </w:tcBorders>
          </w:tcPr>
          <w:p w:rsidR="00D96FAD" w:rsidRDefault="00D96FAD">
            <w:pPr>
              <w:autoSpaceDE w:val="0"/>
              <w:autoSpaceDN w:val="0"/>
              <w:adjustRightInd w:val="0"/>
              <w:spacing w:after="0"/>
              <w:jc w:val="right"/>
              <w:rPr>
                <w:rFonts w:ascii="Arial" w:hAnsi="Arial" w:cs="Arial"/>
                <w:noProof/>
                <w:color w:val="000000"/>
                <w:sz w:val="16"/>
                <w:szCs w:val="16"/>
              </w:rPr>
            </w:pPr>
          </w:p>
        </w:tc>
        <w:tc>
          <w:tcPr>
            <w:tcW w:w="284" w:type="dxa"/>
            <w:tcBorders>
              <w:top w:val="nil"/>
              <w:left w:val="nil"/>
              <w:bottom w:val="nil"/>
              <w:right w:val="nil"/>
            </w:tcBorders>
          </w:tcPr>
          <w:p w:rsidR="00D96FAD" w:rsidRDefault="00D96FAD">
            <w:pPr>
              <w:autoSpaceDE w:val="0"/>
              <w:autoSpaceDN w:val="0"/>
              <w:adjustRightInd w:val="0"/>
              <w:spacing w:after="0"/>
              <w:jc w:val="right"/>
              <w:rPr>
                <w:rFonts w:ascii="Arial" w:hAnsi="Arial" w:cs="Arial"/>
                <w:noProof/>
                <w:color w:val="000000"/>
                <w:sz w:val="16"/>
                <w:szCs w:val="16"/>
              </w:rPr>
            </w:pPr>
          </w:p>
        </w:tc>
        <w:tc>
          <w:tcPr>
            <w:tcW w:w="283" w:type="dxa"/>
            <w:tcBorders>
              <w:top w:val="nil"/>
              <w:left w:val="nil"/>
              <w:bottom w:val="nil"/>
              <w:right w:val="nil"/>
            </w:tcBorders>
          </w:tcPr>
          <w:p w:rsidR="00D96FAD" w:rsidRDefault="00D96FAD">
            <w:pPr>
              <w:autoSpaceDE w:val="0"/>
              <w:autoSpaceDN w:val="0"/>
              <w:adjustRightInd w:val="0"/>
              <w:spacing w:after="0"/>
              <w:jc w:val="right"/>
              <w:rPr>
                <w:rFonts w:ascii="Arial" w:hAnsi="Arial" w:cs="Arial"/>
                <w:noProof/>
                <w:color w:val="000000"/>
                <w:sz w:val="16"/>
                <w:szCs w:val="16"/>
              </w:rPr>
            </w:pPr>
          </w:p>
        </w:tc>
        <w:tc>
          <w:tcPr>
            <w:tcW w:w="284" w:type="dxa"/>
            <w:tcBorders>
              <w:top w:val="nil"/>
              <w:left w:val="nil"/>
              <w:bottom w:val="nil"/>
              <w:right w:val="nil"/>
            </w:tcBorders>
          </w:tcPr>
          <w:p w:rsidR="00D96FAD" w:rsidRDefault="00D96FAD">
            <w:pPr>
              <w:autoSpaceDE w:val="0"/>
              <w:autoSpaceDN w:val="0"/>
              <w:adjustRightInd w:val="0"/>
              <w:spacing w:after="0"/>
              <w:jc w:val="right"/>
              <w:rPr>
                <w:rFonts w:ascii="Arial" w:hAnsi="Arial" w:cs="Arial"/>
                <w:noProof/>
                <w:color w:val="000000"/>
                <w:sz w:val="16"/>
                <w:szCs w:val="16"/>
              </w:rPr>
            </w:pPr>
          </w:p>
        </w:tc>
        <w:tc>
          <w:tcPr>
            <w:tcW w:w="567" w:type="dxa"/>
            <w:tcBorders>
              <w:top w:val="nil"/>
              <w:left w:val="nil"/>
              <w:bottom w:val="nil"/>
              <w:right w:val="nil"/>
            </w:tcBorders>
          </w:tcPr>
          <w:p w:rsidR="00D96FAD" w:rsidRDefault="00D96FAD">
            <w:pPr>
              <w:autoSpaceDE w:val="0"/>
              <w:autoSpaceDN w:val="0"/>
              <w:adjustRightInd w:val="0"/>
              <w:spacing w:after="0"/>
              <w:jc w:val="right"/>
              <w:rPr>
                <w:rFonts w:ascii="Arial" w:hAnsi="Arial" w:cs="Arial"/>
                <w:noProof/>
                <w:color w:val="000000"/>
                <w:sz w:val="16"/>
                <w:szCs w:val="16"/>
              </w:rPr>
            </w:pPr>
          </w:p>
        </w:tc>
        <w:tc>
          <w:tcPr>
            <w:tcW w:w="283" w:type="dxa"/>
            <w:tcBorders>
              <w:top w:val="nil"/>
              <w:left w:val="nil"/>
              <w:bottom w:val="nil"/>
              <w:right w:val="nil"/>
            </w:tcBorders>
          </w:tcPr>
          <w:p w:rsidR="00D96FAD" w:rsidRDefault="00D96FAD">
            <w:pPr>
              <w:autoSpaceDE w:val="0"/>
              <w:autoSpaceDN w:val="0"/>
              <w:adjustRightInd w:val="0"/>
              <w:spacing w:after="0"/>
              <w:jc w:val="right"/>
              <w:rPr>
                <w:rFonts w:ascii="Arial" w:hAnsi="Arial" w:cs="Arial"/>
                <w:noProof/>
                <w:color w:val="000000"/>
                <w:sz w:val="16"/>
                <w:szCs w:val="16"/>
              </w:rPr>
            </w:pPr>
          </w:p>
        </w:tc>
        <w:tc>
          <w:tcPr>
            <w:tcW w:w="2693" w:type="dxa"/>
            <w:tcBorders>
              <w:top w:val="nil"/>
              <w:left w:val="nil"/>
              <w:bottom w:val="nil"/>
              <w:right w:val="nil"/>
            </w:tcBorders>
          </w:tcPr>
          <w:p w:rsidR="00D96FAD" w:rsidRDefault="00D96FAD">
            <w:pPr>
              <w:autoSpaceDE w:val="0"/>
              <w:autoSpaceDN w:val="0"/>
              <w:adjustRightInd w:val="0"/>
              <w:spacing w:after="0"/>
              <w:jc w:val="right"/>
              <w:rPr>
                <w:rFonts w:ascii="Arial" w:hAnsi="Arial" w:cs="Arial"/>
                <w:noProof/>
                <w:color w:val="000000"/>
                <w:sz w:val="16"/>
                <w:szCs w:val="16"/>
              </w:rPr>
            </w:pPr>
          </w:p>
        </w:tc>
      </w:tr>
      <w:tr w:rsidR="00D96FAD">
        <w:trPr>
          <w:trHeight w:val="91"/>
        </w:trPr>
        <w:tc>
          <w:tcPr>
            <w:tcW w:w="456" w:type="dxa"/>
            <w:tcBorders>
              <w:top w:val="nil"/>
              <w:left w:val="nil"/>
              <w:bottom w:val="nil"/>
              <w:right w:val="nil"/>
            </w:tcBorders>
          </w:tcPr>
          <w:p w:rsidR="00D96FAD" w:rsidRDefault="00E3669E">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7)</w:t>
            </w:r>
          </w:p>
        </w:tc>
        <w:tc>
          <w:tcPr>
            <w:tcW w:w="12615" w:type="dxa"/>
            <w:gridSpan w:val="12"/>
            <w:tcBorders>
              <w:top w:val="nil"/>
              <w:left w:val="nil"/>
              <w:bottom w:val="nil"/>
              <w:right w:val="nil"/>
            </w:tcBorders>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 xml:space="preserve">Albania: </w:t>
            </w:r>
            <w:r>
              <w:rPr>
                <w:rFonts w:ascii="Arial" w:hAnsi="Arial"/>
                <w:noProof/>
                <w:color w:val="000000"/>
                <w:sz w:val="16"/>
              </w:rPr>
              <w:t>Tipo medio ponderado aplicado a los nuevos préstamos a un año suscritos durante el mes respectivo, con vencimiento a doce meses. Montenegro: Tipo de interés efectivo medio ponderado, importes pendientes, anual. Macedonia del Norte: Final del año (31 de dic</w:t>
            </w:r>
            <w:r>
              <w:rPr>
                <w:rFonts w:ascii="Arial" w:hAnsi="Arial"/>
                <w:noProof/>
                <w:color w:val="000000"/>
                <w:sz w:val="16"/>
              </w:rPr>
              <w:t>iembre). Bosnia y Herzegovina: Tipos de interés de los préstamos a corto plazo en moneda nacional aplicados a empresas no financieras (media ponderada).</w:t>
            </w:r>
          </w:p>
        </w:tc>
      </w:tr>
      <w:tr w:rsidR="00D96FAD">
        <w:trPr>
          <w:trHeight w:val="182"/>
        </w:trPr>
        <w:tc>
          <w:tcPr>
            <w:tcW w:w="456" w:type="dxa"/>
            <w:tcBorders>
              <w:top w:val="nil"/>
              <w:left w:val="nil"/>
              <w:bottom w:val="nil"/>
              <w:right w:val="nil"/>
            </w:tcBorders>
          </w:tcPr>
          <w:p w:rsidR="00D96FAD" w:rsidRDefault="00E3669E">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8)</w:t>
            </w:r>
          </w:p>
        </w:tc>
        <w:tc>
          <w:tcPr>
            <w:tcW w:w="12615" w:type="dxa"/>
            <w:gridSpan w:val="12"/>
            <w:tcBorders>
              <w:top w:val="nil"/>
              <w:left w:val="nil"/>
              <w:bottom w:val="nil"/>
              <w:right w:val="nil"/>
            </w:tcBorders>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 xml:space="preserve">Albania: El tipo de interés de depósito es el tipo medio ponderado para los nuevos depósitos </w:t>
            </w:r>
            <w:r>
              <w:rPr>
                <w:rFonts w:ascii="Arial" w:hAnsi="Arial"/>
                <w:noProof/>
                <w:color w:val="000000"/>
                <w:sz w:val="16"/>
              </w:rPr>
              <w:t>aceptados durante el mes respectivo, con vencimiento a doce meses. Montenegro: Tipo de interés efectivo medio ponderado, importes pendientes, anual. Macedonia del Norte: Final del año (31 de diciembre). Turquía: Facilidad de depósito a un día. Bosnia y Her</w:t>
            </w:r>
            <w:r>
              <w:rPr>
                <w:rFonts w:ascii="Arial" w:hAnsi="Arial"/>
                <w:noProof/>
                <w:color w:val="000000"/>
                <w:sz w:val="16"/>
              </w:rPr>
              <w:t>zegovina: Tipos de los depósitos en moneda nacional aplicados a los hogares (media ponderada).</w:t>
            </w:r>
          </w:p>
        </w:tc>
      </w:tr>
      <w:tr w:rsidR="00D96FAD">
        <w:trPr>
          <w:trHeight w:val="274"/>
        </w:trPr>
        <w:tc>
          <w:tcPr>
            <w:tcW w:w="456" w:type="dxa"/>
            <w:tcBorders>
              <w:top w:val="nil"/>
              <w:left w:val="nil"/>
              <w:bottom w:val="nil"/>
              <w:right w:val="nil"/>
            </w:tcBorders>
          </w:tcPr>
          <w:p w:rsidR="00D96FAD" w:rsidRDefault="00E3669E">
            <w:pPr>
              <w:autoSpaceDE w:val="0"/>
              <w:autoSpaceDN w:val="0"/>
              <w:adjustRightInd w:val="0"/>
              <w:spacing w:after="0"/>
              <w:jc w:val="right"/>
              <w:rPr>
                <w:rFonts w:ascii="Arial" w:hAnsi="Arial" w:cs="Arial"/>
                <w:noProof/>
                <w:color w:val="000000"/>
                <w:sz w:val="16"/>
                <w:szCs w:val="16"/>
              </w:rPr>
            </w:pPr>
            <w:r>
              <w:rPr>
                <w:rFonts w:ascii="Arial" w:hAnsi="Arial"/>
                <w:noProof/>
                <w:color w:val="000000"/>
                <w:sz w:val="16"/>
              </w:rPr>
              <w:t>9)</w:t>
            </w:r>
          </w:p>
        </w:tc>
        <w:tc>
          <w:tcPr>
            <w:tcW w:w="12615" w:type="dxa"/>
            <w:gridSpan w:val="12"/>
            <w:tcBorders>
              <w:top w:val="nil"/>
              <w:left w:val="nil"/>
              <w:bottom w:val="nil"/>
              <w:right w:val="nil"/>
            </w:tcBorders>
          </w:tcPr>
          <w:p w:rsidR="00D96FAD" w:rsidRDefault="00E3669E">
            <w:pPr>
              <w:autoSpaceDE w:val="0"/>
              <w:autoSpaceDN w:val="0"/>
              <w:adjustRightInd w:val="0"/>
              <w:spacing w:after="0"/>
              <w:rPr>
                <w:rFonts w:ascii="Arial" w:hAnsi="Arial" w:cs="Arial"/>
                <w:noProof/>
                <w:color w:val="000000"/>
                <w:sz w:val="16"/>
                <w:szCs w:val="16"/>
              </w:rPr>
            </w:pPr>
            <w:r>
              <w:rPr>
                <w:rFonts w:ascii="Arial" w:hAnsi="Arial"/>
                <w:noProof/>
                <w:color w:val="000000"/>
                <w:sz w:val="16"/>
              </w:rPr>
              <w:t>Serbia: Sobre la base de la superficie total (no la superficie terrestre).</w:t>
            </w:r>
          </w:p>
        </w:tc>
      </w:tr>
    </w:tbl>
    <w:p w:rsidR="00D96FAD" w:rsidRDefault="00D96FAD">
      <w:pPr>
        <w:spacing w:after="0"/>
        <w:rPr>
          <w:rFonts w:ascii="Arial" w:hAnsi="Arial" w:cs="Arial"/>
          <w:noProof/>
          <w:sz w:val="16"/>
          <w:szCs w:val="16"/>
        </w:rPr>
      </w:pPr>
    </w:p>
    <w:p w:rsidR="00D96FAD" w:rsidRDefault="00D96FAD">
      <w:pPr>
        <w:pStyle w:val="Default"/>
        <w:spacing w:after="120"/>
        <w:jc w:val="both"/>
        <w:rPr>
          <w:rFonts w:ascii="Times New Roman" w:hAnsi="Times New Roman"/>
          <w:b/>
          <w:noProof/>
        </w:rPr>
      </w:pPr>
    </w:p>
    <w:p w:rsidR="00D96FAD" w:rsidRDefault="00D96FAD">
      <w:pPr>
        <w:spacing w:after="120" w:line="240" w:lineRule="auto"/>
        <w:jc w:val="both"/>
        <w:rPr>
          <w:rFonts w:ascii="Times New Roman" w:hAnsi="Times New Roman" w:cs="Times New Roman"/>
          <w:noProof/>
          <w:sz w:val="24"/>
          <w:szCs w:val="24"/>
        </w:rPr>
      </w:pPr>
    </w:p>
    <w:sectPr w:rsidR="00D96FAD">
      <w:headerReference w:type="even" r:id="rId27"/>
      <w:headerReference w:type="default" r:id="rId28"/>
      <w:footerReference w:type="even" r:id="rId29"/>
      <w:footerReference w:type="default" r:id="rId30"/>
      <w:headerReference w:type="first" r:id="rId31"/>
      <w:footerReference w:type="first" r:id="rId3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FAD" w:rsidRDefault="00E3669E">
      <w:pPr>
        <w:spacing w:after="0" w:line="240" w:lineRule="auto"/>
      </w:pPr>
      <w:r>
        <w:separator/>
      </w:r>
    </w:p>
  </w:endnote>
  <w:endnote w:type="continuationSeparator" w:id="0">
    <w:p w:rsidR="00D96FAD" w:rsidRDefault="00E36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FAD" w:rsidRDefault="00D96FA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FAD" w:rsidRDefault="00D96FA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FAD" w:rsidRDefault="00E3669E">
    <w:pPr>
      <w:pStyle w:val="Footer"/>
    </w:pPr>
    <w:r>
      <w:tab/>
    </w:r>
    <w:r>
      <w:fldChar w:fldCharType="begin"/>
    </w:r>
    <w:r>
      <w:instrText xml:space="preserve"> PAGE   \* MERGEFORMAT </w:instrText>
    </w:r>
    <w:r>
      <w:fldChar w:fldCharType="separate"/>
    </w:r>
    <w:r>
      <w:rPr>
        <w:noProof/>
      </w:rPr>
      <w:t>61</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FAD" w:rsidRDefault="00D96F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FAD" w:rsidRDefault="00E3669E">
    <w:pPr>
      <w:pStyle w:val="FooterCoverPage"/>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FAD" w:rsidRDefault="00D96FAD">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FAD" w:rsidRDefault="00D96FA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581846"/>
      <w:docPartObj>
        <w:docPartGallery w:val="Page Numbers (Bottom of Page)"/>
        <w:docPartUnique/>
      </w:docPartObj>
    </w:sdtPr>
    <w:sdtEndPr>
      <w:rPr>
        <w:rFonts w:ascii="Times New Roman" w:hAnsi="Times New Roman" w:cs="Times New Roman"/>
        <w:noProof/>
        <w:sz w:val="20"/>
        <w:szCs w:val="20"/>
      </w:rPr>
    </w:sdtEndPr>
    <w:sdtContent>
      <w:p w:rsidR="00D96FAD" w:rsidRDefault="00E3669E">
        <w:pPr>
          <w:pStyle w:val="Footer"/>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noProof/>
            <w:sz w:val="20"/>
            <w:szCs w:val="20"/>
          </w:rPr>
          <w:fldChar w:fldCharType="end"/>
        </w:r>
      </w:p>
    </w:sdtContent>
  </w:sdt>
  <w:p w:rsidR="00D96FAD" w:rsidRDefault="00D96FA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FAD" w:rsidRDefault="00D96FA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FAD" w:rsidRDefault="00D96FA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FAD" w:rsidRDefault="00E3669E">
    <w:pPr>
      <w:pStyle w:val="Footer"/>
    </w:pPr>
    <w:r>
      <w:tab/>
    </w:r>
    <w:r>
      <w:fldChar w:fldCharType="begin"/>
    </w:r>
    <w:r>
      <w:instrText xml:space="preserve"> PAGE   \* MERGEFORMAT </w:instrText>
    </w:r>
    <w:r>
      <w:fldChar w:fldCharType="separate"/>
    </w:r>
    <w:r>
      <w:rPr>
        <w:noProof/>
      </w:rPr>
      <w:t>55</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FAD" w:rsidRDefault="00D96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FAD" w:rsidRDefault="00E3669E">
      <w:pPr>
        <w:spacing w:after="0" w:line="240" w:lineRule="auto"/>
      </w:pPr>
      <w:r>
        <w:separator/>
      </w:r>
    </w:p>
  </w:footnote>
  <w:footnote w:type="continuationSeparator" w:id="0">
    <w:p w:rsidR="00D96FAD" w:rsidRDefault="00E3669E">
      <w:pPr>
        <w:spacing w:after="0" w:line="240" w:lineRule="auto"/>
      </w:pPr>
      <w:r>
        <w:continuationSeparator/>
      </w:r>
    </w:p>
  </w:footnote>
  <w:footnote w:id="1">
    <w:p w:rsidR="00D96FAD" w:rsidRDefault="00E3669E">
      <w:pPr>
        <w:pStyle w:val="FootnoteText"/>
      </w:pPr>
      <w:r>
        <w:rPr>
          <w:rStyle w:val="FootnoteReference"/>
        </w:rPr>
        <w:footnoteRef/>
      </w:r>
      <w:r>
        <w:t xml:space="preserve"> </w:t>
      </w:r>
      <w:hyperlink r:id="rId1">
        <w:r>
          <w:rPr>
            <w:rStyle w:val="Hyperlink"/>
            <w:rFonts w:ascii="Times New Roman" w:hAnsi="Times New Roman"/>
            <w:noProof/>
          </w:rPr>
          <w:t>COM(2018) 450 final.</w:t>
        </w:r>
      </w:hyperlink>
    </w:p>
  </w:footnote>
  <w:footnote w:id="2">
    <w:p w:rsidR="00D96FAD" w:rsidRDefault="00E3669E">
      <w:pPr>
        <w:pStyle w:val="FootnoteText"/>
      </w:pPr>
      <w:r>
        <w:rPr>
          <w:rStyle w:val="FootnoteReference"/>
        </w:rPr>
        <w:footnoteRef/>
      </w:r>
      <w:r>
        <w:t xml:space="preserve"> </w:t>
      </w:r>
      <w:r>
        <w:rPr>
          <w:rFonts w:ascii="Times New Roman" w:hAnsi="Times New Roman"/>
          <w:noProof/>
        </w:rPr>
        <w:t>«Una perspectiva creíble de ampliación y un mayor compromiso de la UE con los Balcanes Occidentales»,</w:t>
      </w:r>
      <w:r>
        <w:rPr>
          <w:rFonts w:ascii="Times New Roman" w:hAnsi="Times New Roman"/>
          <w:i/>
          <w:noProof/>
          <w:sz w:val="24"/>
        </w:rPr>
        <w:t xml:space="preserve"> </w:t>
      </w:r>
      <w:r>
        <w:rPr>
          <w:rFonts w:ascii="Times New Roman" w:hAnsi="Times New Roman"/>
          <w:noProof/>
        </w:rPr>
        <w:t>[</w:t>
      </w:r>
      <w:hyperlink r:id="rId2">
        <w:r>
          <w:rPr>
            <w:rStyle w:val="Hyperlink"/>
            <w:rFonts w:ascii="Times New Roman" w:hAnsi="Times New Roman"/>
          </w:rPr>
          <w:t>COM(2018) 65 final</w:t>
        </w:r>
      </w:hyperlink>
      <w:r>
        <w:rPr>
          <w:rFonts w:ascii="Times New Roman" w:hAnsi="Times New Roman"/>
          <w:noProof/>
        </w:rPr>
        <w:t>].</w:t>
      </w:r>
    </w:p>
  </w:footnote>
  <w:footnote w:id="3">
    <w:p w:rsidR="00D96FAD" w:rsidRDefault="00E3669E">
      <w:pPr>
        <w:pStyle w:val="FootnoteText"/>
        <w:rPr>
          <w:rFonts w:ascii="Times New Roman" w:hAnsi="Times New Roman"/>
        </w:rPr>
      </w:pPr>
      <w:r>
        <w:rPr>
          <w:rStyle w:val="FootnoteReference"/>
        </w:rPr>
        <w:footnoteRef/>
      </w:r>
      <w:r>
        <w:t xml:space="preserve"> </w:t>
      </w:r>
      <w:hyperlink r:id="rId3">
        <w:r>
          <w:rPr>
            <w:rStyle w:val="Hyperlink"/>
            <w:rFonts w:ascii="Times New Roman" w:hAnsi="Times New Roman"/>
          </w:rPr>
          <w:t>https://www.consilium.europa.eu/media/34784/sofia-declaration_es.pdf</w:t>
        </w:r>
      </w:hyperlink>
    </w:p>
  </w:footnote>
  <w:footnote w:id="4">
    <w:p w:rsidR="00D96FAD" w:rsidRDefault="00E3669E">
      <w:pPr>
        <w:pStyle w:val="FootnoteText"/>
        <w:jc w:val="both"/>
        <w:rPr>
          <w:rFonts w:ascii="Times New Roman" w:hAnsi="Times New Roman"/>
        </w:rPr>
      </w:pPr>
      <w:r>
        <w:rPr>
          <w:rStyle w:val="FootnoteReference"/>
        </w:rPr>
        <w:t>*</w:t>
      </w:r>
      <w:r>
        <w:rPr>
          <w:rFonts w:ascii="Times New Roman" w:hAnsi="Times New Roman"/>
        </w:rPr>
        <w:t xml:space="preserve"> Esta denominación se entiende sin perjuicio de las posiciones sobre su estatuto y está en consonancia con la Resolución 1244 (1999) del Consejo de Seguridad de las Naciones Unidas y con la opinión de la Corte Internacional de Justicia sobre la declaraci</w:t>
      </w:r>
      <w:r>
        <w:rPr>
          <w:rFonts w:ascii="Times New Roman" w:hAnsi="Times New Roman"/>
        </w:rPr>
        <w:t>ón de independencia de Kosovo.</w:t>
      </w:r>
    </w:p>
  </w:footnote>
  <w:footnote w:id="5">
    <w:p w:rsidR="00D96FAD" w:rsidRDefault="00E3669E">
      <w:pPr>
        <w:pStyle w:val="FootnoteText"/>
        <w:rPr>
          <w:rFonts w:ascii="Times New Roman" w:hAnsi="Times New Roman"/>
        </w:rPr>
      </w:pPr>
      <w:r>
        <w:rPr>
          <w:rStyle w:val="FootnoteReference"/>
        </w:rPr>
        <w:footnoteRef/>
      </w:r>
      <w:r>
        <w:t xml:space="preserve"> </w:t>
      </w:r>
      <w:hyperlink r:id="rId4">
        <w:r>
          <w:rPr>
            <w:rStyle w:val="Hyperlink"/>
            <w:rFonts w:ascii="Times New Roman" w:hAnsi="Times New Roman"/>
          </w:rPr>
          <w:t>https://www.consilium.europa.eu/es/press/press-releases/2016/03/18/eu-turkey-statement/</w:t>
        </w:r>
      </w:hyperlink>
    </w:p>
  </w:footnote>
  <w:footnote w:id="6">
    <w:p w:rsidR="00D96FAD" w:rsidRDefault="00E3669E">
      <w:pPr>
        <w:spacing w:line="240" w:lineRule="auto"/>
        <w:jc w:val="both"/>
      </w:pPr>
      <w:r>
        <w:rPr>
          <w:rStyle w:val="FootnoteReference"/>
        </w:rPr>
        <w:footnoteRef/>
      </w:r>
      <w:r>
        <w:rPr>
          <w:vertAlign w:val="superscript"/>
        </w:rPr>
        <w:t xml:space="preserve"> </w:t>
      </w:r>
      <w:hyperlink r:id="rId5">
        <w:r>
          <w:rPr>
            <w:rStyle w:val="Hyperlink"/>
            <w:rFonts w:ascii="Times New Roman" w:hAnsi="Times New Roman"/>
            <w:sz w:val="20"/>
          </w:rPr>
          <w:t>Decisión C(2015) 9500 de la Comisión</w:t>
        </w:r>
      </w:hyperlink>
      <w:r>
        <w:rPr>
          <w:rFonts w:ascii="Times New Roman" w:hAnsi="Times New Roman"/>
          <w:sz w:val="20"/>
        </w:rPr>
        <w:t>, de 24 de noviembre de 2015, sobre la coordinación de las acciones de la Unión y de los Estados miembros mediante un mecanismo de coordinaci</w:t>
      </w:r>
      <w:r>
        <w:rPr>
          <w:rFonts w:ascii="Times New Roman" w:hAnsi="Times New Roman"/>
          <w:sz w:val="20"/>
        </w:rPr>
        <w:t>ón, el Mecanismo para Turquía en favor de los refugiados, modificada por la Decisión C(2016)855 de la Comisión, de 10 de febrero de 2016.</w:t>
      </w:r>
      <w:r>
        <w:t xml:space="preserve"> </w:t>
      </w:r>
    </w:p>
  </w:footnote>
  <w:footnote w:id="7">
    <w:p w:rsidR="00D96FAD" w:rsidRDefault="00E3669E">
      <w:pPr>
        <w:pStyle w:val="FootnoteText"/>
        <w:jc w:val="both"/>
        <w:rPr>
          <w:rFonts w:ascii="Times New Roman" w:hAnsi="Times New Roman"/>
        </w:rPr>
      </w:pPr>
      <w:r>
        <w:rPr>
          <w:rStyle w:val="FootnoteReference"/>
        </w:rPr>
        <w:footnoteRef/>
      </w:r>
      <w:r>
        <w:t xml:space="preserve"> </w:t>
      </w:r>
      <w:r>
        <w:rPr>
          <w:rFonts w:ascii="Times New Roman" w:hAnsi="Times New Roman"/>
        </w:rPr>
        <w:t>Propuesta de Reglamento del Parlamento Europeo y del Consejo por el que se establece el Instrumento de Ayuda Preadh</w:t>
      </w:r>
      <w:r>
        <w:rPr>
          <w:rFonts w:ascii="Times New Roman" w:hAnsi="Times New Roman"/>
        </w:rPr>
        <w:t>esión (IAP III) [</w:t>
      </w:r>
      <w:hyperlink r:id="rId6">
        <w:r>
          <w:rPr>
            <w:rStyle w:val="Hyperlink"/>
            <w:rFonts w:ascii="Times New Roman" w:hAnsi="Times New Roman"/>
          </w:rPr>
          <w:t>COM(2018) 465 final</w:t>
        </w:r>
      </w:hyperlink>
      <w:r>
        <w:rPr>
          <w:rFonts w:ascii="Times New Roman" w:hAnsi="Times New Roman"/>
        </w:rPr>
        <w:t>].</w:t>
      </w:r>
    </w:p>
    <w:p w:rsidR="00D96FAD" w:rsidRDefault="00E3669E">
      <w:pPr>
        <w:pStyle w:val="FootnoteText"/>
        <w:jc w:val="both"/>
        <w:rPr>
          <w:rFonts w:ascii="Times New Roman" w:hAnsi="Times New Roman"/>
        </w:rPr>
      </w:pPr>
      <w:r>
        <w:rPr>
          <w:rFonts w:ascii="Times New Roman" w:hAnsi="Times New Roman"/>
        </w:rPr>
        <w:t xml:space="preserve"> </w:t>
      </w:r>
    </w:p>
    <w:p w:rsidR="00D96FAD" w:rsidRDefault="00D96FAD">
      <w:pPr>
        <w:pStyle w:val="FootnoteText"/>
        <w:jc w:val="both"/>
      </w:pPr>
    </w:p>
  </w:footnote>
  <w:footnote w:id="8">
    <w:p w:rsidR="00D96FAD" w:rsidRDefault="00E3669E">
      <w:pPr>
        <w:jc w:val="both"/>
        <w:rPr>
          <w:rFonts w:ascii="Times New Roman" w:hAnsi="Times New Roman" w:cs="Times New Roman"/>
          <w:sz w:val="20"/>
          <w:szCs w:val="20"/>
        </w:rPr>
      </w:pPr>
      <w:r>
        <w:rPr>
          <w:rStyle w:val="FootnoteReference"/>
        </w:rPr>
        <w:footnoteRef/>
      </w:r>
      <w:r>
        <w:t xml:space="preserve"> </w:t>
      </w:r>
      <w:r>
        <w:rPr>
          <w:rFonts w:ascii="Times New Roman" w:hAnsi="Times New Roman"/>
          <w:sz w:val="20"/>
        </w:rPr>
        <w:t>Por este motivo, en consonancia con su Hoja de Ruta para una Unión más Unida, más Fuerte y más Democrática, la</w:t>
      </w:r>
      <w:r>
        <w:rPr>
          <w:rFonts w:ascii="Times New Roman" w:hAnsi="Times New Roman"/>
          <w:sz w:val="20"/>
        </w:rPr>
        <w:t xml:space="preserve"> Comisión ha presentado una serie de iniciativas destinadas a mejorar el marco democrático, institucional y político para la Unión de 2025, partiendo de la base de los Tratados actuales.</w:t>
      </w:r>
    </w:p>
    <w:p w:rsidR="00D96FAD" w:rsidRDefault="00D96FAD">
      <w:pPr>
        <w:pStyle w:val="FootnoteText"/>
      </w:pPr>
    </w:p>
  </w:footnote>
  <w:footnote w:id="9">
    <w:p w:rsidR="00D96FAD" w:rsidRDefault="00E3669E">
      <w:pPr>
        <w:pStyle w:val="FootnoteText"/>
        <w:jc w:val="both"/>
        <w:rPr>
          <w:rFonts w:ascii="Times New Roman" w:hAnsi="Times New Roman"/>
        </w:rPr>
      </w:pPr>
      <w:r>
        <w:rPr>
          <w:rStyle w:val="FootnoteReference"/>
        </w:rPr>
        <w:footnoteRef/>
      </w:r>
      <w:r>
        <w:rPr>
          <w:rFonts w:ascii="Times New Roman" w:hAnsi="Times New Roman"/>
        </w:rPr>
        <w:t xml:space="preserve"> En consonancia con la terminología de las instituciones europeas, el término genérico «gitano» se utiliza aquí para hacer referencia a diferentes grupos, sin que ello implique la negación de las especificidades de cada uno.</w:t>
      </w:r>
    </w:p>
  </w:footnote>
  <w:footnote w:id="10">
    <w:p w:rsidR="00D96FAD" w:rsidRDefault="00E3669E">
      <w:pPr>
        <w:pStyle w:val="FootnoteText"/>
        <w:jc w:val="both"/>
      </w:pPr>
      <w:r>
        <w:rPr>
          <w:rStyle w:val="FootnoteReference"/>
        </w:rPr>
        <w:footnoteRef/>
      </w:r>
      <w:r>
        <w:t xml:space="preserve"> </w:t>
      </w:r>
      <w:r>
        <w:rPr>
          <w:rFonts w:ascii="Times New Roman" w:hAnsi="Times New Roman"/>
        </w:rPr>
        <w:t>En consonancia con la termino</w:t>
      </w:r>
      <w:r>
        <w:rPr>
          <w:rFonts w:ascii="Times New Roman" w:hAnsi="Times New Roman"/>
        </w:rPr>
        <w:t>logía de las instituciones europeas, el término genérico «gitano» se utiliza aquí para hacer referencia a diferentes grupos, sin que ello implique la negación de las especificidades de cada uno.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FAD" w:rsidRDefault="00D96FA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FAD" w:rsidRDefault="00D96FA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FAD" w:rsidRDefault="00D96FA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FAD" w:rsidRDefault="00D96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FAD" w:rsidRDefault="00D96FAD">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FAD" w:rsidRDefault="00D96FAD">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FAD" w:rsidRDefault="00D96FA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FAD" w:rsidRDefault="00E3669E">
    <w:pPr>
      <w:pStyle w:val="Header"/>
      <w:tabs>
        <w:tab w:val="left" w:pos="6343"/>
      </w:tabs>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FAD" w:rsidRDefault="00D96FA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FAD" w:rsidRDefault="00D96FA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FAD" w:rsidRDefault="00D96FA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FAD" w:rsidRDefault="00D96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52444C8"/>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17A806B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B83E95E0"/>
    <w:lvl w:ilvl="0">
      <w:start w:val="1"/>
      <w:numFmt w:val="decimal"/>
      <w:pStyle w:val="ListNumber2"/>
      <w:lvlText w:val="%1."/>
      <w:lvlJc w:val="left"/>
      <w:pPr>
        <w:tabs>
          <w:tab w:val="num" w:pos="643"/>
        </w:tabs>
        <w:ind w:left="643" w:hanging="360"/>
      </w:pPr>
    </w:lvl>
  </w:abstractNum>
  <w:abstractNum w:abstractNumId="3" w15:restartNumberingAfterBreak="0">
    <w:nsid w:val="FFFFFF88"/>
    <w:multiLevelType w:val="singleLevel"/>
    <w:tmpl w:val="C756A5F4"/>
    <w:lvl w:ilvl="0">
      <w:start w:val="1"/>
      <w:numFmt w:val="decimal"/>
      <w:pStyle w:val="ListNumber"/>
      <w:lvlText w:val="%1."/>
      <w:lvlJc w:val="left"/>
      <w:pPr>
        <w:tabs>
          <w:tab w:val="num" w:pos="360"/>
        </w:tabs>
        <w:ind w:left="360" w:hanging="360"/>
      </w:pPr>
    </w:lvl>
  </w:abstractNum>
  <w:abstractNum w:abstractNumId="4" w15:restartNumberingAfterBreak="0">
    <w:nsid w:val="00350FB1"/>
    <w:multiLevelType w:val="multilevel"/>
    <w:tmpl w:val="30847FD6"/>
    <w:name w:val="List Number 4"/>
    <w:lvl w:ilvl="0">
      <w:start w:val="1"/>
      <w:numFmt w:val="decimal"/>
      <w:lvlRestart w:val="0"/>
      <w:pStyle w:val="ListBullet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5C21F83"/>
    <w:multiLevelType w:val="hybridMultilevel"/>
    <w:tmpl w:val="40E2749C"/>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5E43525"/>
    <w:multiLevelType w:val="multilevel"/>
    <w:tmpl w:val="76202BFE"/>
    <w:name w:val="List Number 3"/>
    <w:lvl w:ilvl="0">
      <w:start w:val="1"/>
      <w:numFmt w:val="decimal"/>
      <w:lvlRestart w:val="0"/>
      <w:pStyle w:val="ListBullet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F751EC8"/>
    <w:multiLevelType w:val="hybridMultilevel"/>
    <w:tmpl w:val="441E844C"/>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05D04FC"/>
    <w:multiLevelType w:val="hybridMultilevel"/>
    <w:tmpl w:val="B89E2E2E"/>
    <w:lvl w:ilvl="0" w:tplc="08090001">
      <w:start w:val="1"/>
      <w:numFmt w:val="bullet"/>
      <w:lvlText w:val=""/>
      <w:lvlJc w:val="left"/>
      <w:pPr>
        <w:ind w:left="632" w:hanging="360"/>
      </w:pPr>
      <w:rPr>
        <w:rFonts w:ascii="Symbol" w:hAnsi="Symbol" w:hint="default"/>
      </w:rPr>
    </w:lvl>
    <w:lvl w:ilvl="1" w:tplc="08090003">
      <w:start w:val="1"/>
      <w:numFmt w:val="bullet"/>
      <w:lvlText w:val="o"/>
      <w:lvlJc w:val="left"/>
      <w:pPr>
        <w:ind w:left="1352" w:hanging="360"/>
      </w:pPr>
      <w:rPr>
        <w:rFonts w:ascii="Courier New" w:hAnsi="Courier New" w:cs="Courier New" w:hint="default"/>
      </w:rPr>
    </w:lvl>
    <w:lvl w:ilvl="2" w:tplc="08090005">
      <w:start w:val="1"/>
      <w:numFmt w:val="bullet"/>
      <w:lvlText w:val=""/>
      <w:lvlJc w:val="left"/>
      <w:pPr>
        <w:ind w:left="2072" w:hanging="360"/>
      </w:pPr>
      <w:rPr>
        <w:rFonts w:ascii="Wingdings" w:hAnsi="Wingdings" w:hint="default"/>
      </w:rPr>
    </w:lvl>
    <w:lvl w:ilvl="3" w:tplc="08090001">
      <w:start w:val="1"/>
      <w:numFmt w:val="bullet"/>
      <w:lvlText w:val=""/>
      <w:lvlJc w:val="left"/>
      <w:pPr>
        <w:ind w:left="2792" w:hanging="360"/>
      </w:pPr>
      <w:rPr>
        <w:rFonts w:ascii="Symbol" w:hAnsi="Symbol" w:hint="default"/>
      </w:rPr>
    </w:lvl>
    <w:lvl w:ilvl="4" w:tplc="08090003">
      <w:start w:val="1"/>
      <w:numFmt w:val="bullet"/>
      <w:lvlText w:val="o"/>
      <w:lvlJc w:val="left"/>
      <w:pPr>
        <w:ind w:left="3512" w:hanging="360"/>
      </w:pPr>
      <w:rPr>
        <w:rFonts w:ascii="Courier New" w:hAnsi="Courier New" w:cs="Courier New" w:hint="default"/>
      </w:rPr>
    </w:lvl>
    <w:lvl w:ilvl="5" w:tplc="08090005">
      <w:start w:val="1"/>
      <w:numFmt w:val="bullet"/>
      <w:lvlText w:val=""/>
      <w:lvlJc w:val="left"/>
      <w:pPr>
        <w:ind w:left="4232" w:hanging="360"/>
      </w:pPr>
      <w:rPr>
        <w:rFonts w:ascii="Wingdings" w:hAnsi="Wingdings" w:hint="default"/>
      </w:rPr>
    </w:lvl>
    <w:lvl w:ilvl="6" w:tplc="08090001">
      <w:start w:val="1"/>
      <w:numFmt w:val="bullet"/>
      <w:lvlText w:val=""/>
      <w:lvlJc w:val="left"/>
      <w:pPr>
        <w:ind w:left="4952" w:hanging="360"/>
      </w:pPr>
      <w:rPr>
        <w:rFonts w:ascii="Symbol" w:hAnsi="Symbol" w:hint="default"/>
      </w:rPr>
    </w:lvl>
    <w:lvl w:ilvl="7" w:tplc="08090003">
      <w:start w:val="1"/>
      <w:numFmt w:val="bullet"/>
      <w:lvlText w:val="o"/>
      <w:lvlJc w:val="left"/>
      <w:pPr>
        <w:ind w:left="5672" w:hanging="360"/>
      </w:pPr>
      <w:rPr>
        <w:rFonts w:ascii="Courier New" w:hAnsi="Courier New" w:cs="Courier New" w:hint="default"/>
      </w:rPr>
    </w:lvl>
    <w:lvl w:ilvl="8" w:tplc="08090005">
      <w:start w:val="1"/>
      <w:numFmt w:val="bullet"/>
      <w:lvlText w:val=""/>
      <w:lvlJc w:val="left"/>
      <w:pPr>
        <w:ind w:left="6392" w:hanging="360"/>
      </w:pPr>
      <w:rPr>
        <w:rFonts w:ascii="Wingdings" w:hAnsi="Wingdings" w:hint="default"/>
      </w:rPr>
    </w:lvl>
  </w:abstractNum>
  <w:abstractNum w:abstractNumId="9" w15:restartNumberingAfterBreak="0">
    <w:nsid w:val="1B937CEF"/>
    <w:multiLevelType w:val="hybridMultilevel"/>
    <w:tmpl w:val="661E194C"/>
    <w:lvl w:ilvl="0" w:tplc="562A1632">
      <w:start w:val="1"/>
      <w:numFmt w:val="decimal"/>
      <w:lvlText w:val="%1."/>
      <w:lvlJc w:val="left"/>
      <w:pPr>
        <w:tabs>
          <w:tab w:val="num" w:pos="340"/>
        </w:tabs>
        <w:ind w:left="340" w:hanging="340"/>
      </w:pPr>
      <w:rPr>
        <w:rFonts w:ascii="Arial" w:hAnsi="Arial" w:hint="default"/>
        <w:b w:val="0"/>
        <w:i w:val="0"/>
        <w:caps w:val="0"/>
        <w:strike w:val="0"/>
        <w:dstrike w:val="0"/>
        <w:outline w:val="0"/>
        <w:shadow w:val="0"/>
        <w:emboss w:val="0"/>
        <w:imprint w:val="0"/>
        <w:vanish w:val="0"/>
        <w:sz w:val="16"/>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BCC2069"/>
    <w:multiLevelType w:val="hybridMultilevel"/>
    <w:tmpl w:val="360E27D0"/>
    <w:lvl w:ilvl="0" w:tplc="A4D27D34">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4E930D7"/>
    <w:multiLevelType w:val="multilevel"/>
    <w:tmpl w:val="EFD2E05E"/>
    <w:name w:val="List Number 2"/>
    <w:lvl w:ilvl="0">
      <w:start w:val="1"/>
      <w:numFmt w:val="decimal"/>
      <w:lvlRestart w:val="0"/>
      <w:pStyle w:val="ListBullet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6BB1286"/>
    <w:multiLevelType w:val="hybridMultilevel"/>
    <w:tmpl w:val="08E81A20"/>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76E7A"/>
    <w:multiLevelType w:val="singleLevel"/>
    <w:tmpl w:val="C74C5A32"/>
    <w:name w:val="LegalNumbering"/>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4" w15:restartNumberingAfterBreak="0">
    <w:nsid w:val="330800CA"/>
    <w:multiLevelType w:val="hybridMultilevel"/>
    <w:tmpl w:val="9CFE52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A5459E8"/>
    <w:multiLevelType w:val="singleLevel"/>
    <w:tmpl w:val="2188C922"/>
    <w:name w:val="Bullet 1"/>
    <w:lvl w:ilvl="0">
      <w:start w:val="1"/>
      <w:numFmt w:val="bullet"/>
      <w:lvlRestart w:val="0"/>
      <w:pStyle w:val="Tiret1"/>
      <w:lvlText w:val="–"/>
      <w:lvlJc w:val="left"/>
      <w:pPr>
        <w:tabs>
          <w:tab w:val="num" w:pos="1417"/>
        </w:tabs>
        <w:ind w:left="1417" w:hanging="567"/>
      </w:pPr>
    </w:lvl>
  </w:abstractNum>
  <w:abstractNum w:abstractNumId="16" w15:restartNumberingAfterBreak="0">
    <w:nsid w:val="3BA736C9"/>
    <w:multiLevelType w:val="singleLevel"/>
    <w:tmpl w:val="080C000F"/>
    <w:lvl w:ilvl="0">
      <w:start w:val="1"/>
      <w:numFmt w:val="decimal"/>
      <w:lvlText w:val="%1."/>
      <w:lvlJc w:val="left"/>
      <w:pPr>
        <w:ind w:left="720" w:hanging="360"/>
      </w:pPr>
    </w:lvl>
  </w:abstractNum>
  <w:abstractNum w:abstractNumId="17" w15:restartNumberingAfterBreak="0">
    <w:nsid w:val="3C90278F"/>
    <w:multiLevelType w:val="singleLevel"/>
    <w:tmpl w:val="0FE08974"/>
    <w:lvl w:ilvl="0">
      <w:start w:val="1"/>
      <w:numFmt w:val="bullet"/>
      <w:lvlRestart w:val="0"/>
      <w:pStyle w:val="Tiret3"/>
      <w:lvlText w:val="–"/>
      <w:lvlJc w:val="left"/>
      <w:pPr>
        <w:tabs>
          <w:tab w:val="num" w:pos="2551"/>
        </w:tabs>
        <w:ind w:left="2551" w:hanging="567"/>
      </w:pPr>
    </w:lvl>
  </w:abstractNum>
  <w:abstractNum w:abstractNumId="18" w15:restartNumberingAfterBreak="0">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9" w15:restartNumberingAfterBreak="0">
    <w:nsid w:val="41285067"/>
    <w:multiLevelType w:val="hybridMultilevel"/>
    <w:tmpl w:val="AD96BD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68610D"/>
    <w:multiLevelType w:val="hybridMultilevel"/>
    <w:tmpl w:val="1786AF4A"/>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8842C30"/>
    <w:multiLevelType w:val="singleLevel"/>
    <w:tmpl w:val="4FA60B90"/>
    <w:name w:val="List Bullet 3"/>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15:restartNumberingAfterBreak="0">
    <w:nsid w:val="4B2C1B6F"/>
    <w:multiLevelType w:val="hybridMultilevel"/>
    <w:tmpl w:val="726AEBE4"/>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BE132D8"/>
    <w:multiLevelType w:val="hybridMultilevel"/>
    <w:tmpl w:val="992A8AD0"/>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0452422"/>
    <w:multiLevelType w:val="hybridMultilevel"/>
    <w:tmpl w:val="D14E5B94"/>
    <w:lvl w:ilvl="0" w:tplc="562A1632">
      <w:start w:val="1"/>
      <w:numFmt w:val="decimal"/>
      <w:lvlText w:val="%1."/>
      <w:lvlJc w:val="left"/>
      <w:pPr>
        <w:tabs>
          <w:tab w:val="num" w:pos="340"/>
        </w:tabs>
        <w:ind w:left="340" w:hanging="340"/>
      </w:pPr>
      <w:rPr>
        <w:rFonts w:ascii="Arial" w:hAnsi="Arial" w:hint="default"/>
        <w:b w:val="0"/>
        <w:i w:val="0"/>
        <w:caps w:val="0"/>
        <w:strike w:val="0"/>
        <w:dstrike w:val="0"/>
        <w:outline w:val="0"/>
        <w:shadow w:val="0"/>
        <w:emboss w:val="0"/>
        <w:imprint w:val="0"/>
        <w:vanish w:val="0"/>
        <w:sz w:val="16"/>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4593082"/>
    <w:multiLevelType w:val="singleLevel"/>
    <w:tmpl w:val="EDE069AC"/>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6"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7" w15:restartNumberingAfterBreak="0">
    <w:nsid w:val="596D67A1"/>
    <w:multiLevelType w:val="singleLevel"/>
    <w:tmpl w:val="9AC8831A"/>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8" w15:restartNumberingAfterBreak="0">
    <w:nsid w:val="59C64F2B"/>
    <w:multiLevelType w:val="hybridMultilevel"/>
    <w:tmpl w:val="08E81A2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C980553"/>
    <w:multiLevelType w:val="hybridMultilevel"/>
    <w:tmpl w:val="D9FAEF96"/>
    <w:lvl w:ilvl="0" w:tplc="F56CBAAC">
      <w:start w:val="1"/>
      <w:numFmt w:val="decimal"/>
      <w:lvlText w:val="%1."/>
      <w:lvlJc w:val="left"/>
      <w:pPr>
        <w:tabs>
          <w:tab w:val="num" w:pos="425"/>
        </w:tabs>
        <w:ind w:left="397" w:hanging="397"/>
      </w:pPr>
      <w:rPr>
        <w:rFonts w:ascii="Arial" w:hAnsi="Arial" w:hint="default"/>
        <w:b w:val="0"/>
        <w:i w:val="0"/>
        <w:caps w:val="0"/>
        <w:strike w:val="0"/>
        <w:dstrike w:val="0"/>
        <w:outline w:val="0"/>
        <w:shadow w:val="0"/>
        <w:emboss w:val="0"/>
        <w:imprint w:val="0"/>
        <w:vanish w:val="0"/>
        <w:color w:val="000000"/>
        <w:spacing w:val="0"/>
        <w:kern w:val="0"/>
        <w:position w:val="0"/>
        <w:sz w:val="16"/>
        <w:u w:val="none"/>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1" w15:restartNumberingAfterBreak="0">
    <w:nsid w:val="5F8C3B69"/>
    <w:multiLevelType w:val="multilevel"/>
    <w:tmpl w:val="9B14DAA8"/>
    <w:name w:val="Tiret 0"/>
    <w:lvl w:ilvl="0">
      <w:start w:val="1"/>
      <w:numFmt w:val="decimal"/>
      <w:lvlRestart w:val="0"/>
      <w:pStyle w:val="ListBullet"/>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F9C40AA"/>
    <w:multiLevelType w:val="singleLevel"/>
    <w:tmpl w:val="B89CB5A2"/>
    <w:name w:val="List Number"/>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3" w15:restartNumberingAfterBreak="0">
    <w:nsid w:val="62970F71"/>
    <w:multiLevelType w:val="singleLevel"/>
    <w:tmpl w:val="5AFA8C72"/>
    <w:name w:val="Tiret 3"/>
    <w:lvl w:ilvl="0">
      <w:start w:val="1"/>
      <w:numFmt w:val="bullet"/>
      <w:lvlRestart w:val="0"/>
      <w:pStyle w:val="Tiret2"/>
      <w:lvlText w:val="–"/>
      <w:lvlJc w:val="left"/>
      <w:pPr>
        <w:tabs>
          <w:tab w:val="num" w:pos="1984"/>
        </w:tabs>
        <w:ind w:left="1984" w:hanging="567"/>
      </w:pPr>
    </w:lvl>
  </w:abstractNum>
  <w:abstractNum w:abstractNumId="34"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35" w15:restartNumberingAfterBreak="0">
    <w:nsid w:val="69995580"/>
    <w:multiLevelType w:val="singleLevel"/>
    <w:tmpl w:val="75CC7CBA"/>
    <w:name w:val="List Dash 1"/>
    <w:lvl w:ilvl="0">
      <w:start w:val="1"/>
      <w:numFmt w:val="decimal"/>
      <w:lvlRestart w:val="0"/>
      <w:pStyle w:val="Considrant"/>
      <w:lvlText w:val="(%1)"/>
      <w:lvlJc w:val="left"/>
      <w:pPr>
        <w:tabs>
          <w:tab w:val="num" w:pos="709"/>
        </w:tabs>
        <w:ind w:left="709" w:hanging="709"/>
      </w:pPr>
    </w:lvl>
  </w:abstractNum>
  <w:abstractNum w:abstractNumId="36" w15:restartNumberingAfterBreak="0">
    <w:nsid w:val="6A6901C1"/>
    <w:multiLevelType w:val="singleLevel"/>
    <w:tmpl w:val="208841AE"/>
    <w:name w:val="Bullet 4"/>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7"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5C26F71"/>
    <w:multiLevelType w:val="multilevel"/>
    <w:tmpl w:val="E01E7708"/>
    <w:name w:val="Default"/>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8A241BD"/>
    <w:multiLevelType w:val="singleLevel"/>
    <w:tmpl w:val="53C4DF32"/>
    <w:name w:val="List Bullet 1"/>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40" w15:restartNumberingAfterBreak="0">
    <w:nsid w:val="79C96D36"/>
    <w:multiLevelType w:val="multilevel"/>
    <w:tmpl w:val="BE983CE4"/>
    <w:name w:val="List Dash 3"/>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BE95D7F"/>
    <w:multiLevelType w:val="multilevel"/>
    <w:tmpl w:val="F126F780"/>
    <w:name w:val="List Number 1"/>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2" w15:restartNumberingAfterBreak="0">
    <w:nsid w:val="7D8820A0"/>
    <w:multiLevelType w:val="singleLevel"/>
    <w:tmpl w:val="54F6C7B4"/>
    <w:name w:val="List Bullet"/>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num w:numId="1">
    <w:abstractNumId w:val="16"/>
  </w:num>
  <w:num w:numId="2">
    <w:abstractNumId w:val="15"/>
  </w:num>
  <w:num w:numId="3">
    <w:abstractNumId w:val="33"/>
  </w:num>
  <w:num w:numId="4">
    <w:abstractNumId w:val="17"/>
  </w:num>
  <w:num w:numId="5">
    <w:abstractNumId w:val="26"/>
  </w:num>
  <w:num w:numId="6">
    <w:abstractNumId w:val="37"/>
  </w:num>
  <w:num w:numId="7">
    <w:abstractNumId w:val="38"/>
  </w:num>
  <w:num w:numId="8">
    <w:abstractNumId w:val="41"/>
  </w:num>
  <w:num w:numId="9">
    <w:abstractNumId w:val="25"/>
  </w:num>
  <w:num w:numId="10">
    <w:abstractNumId w:val="13"/>
  </w:num>
  <w:num w:numId="11">
    <w:abstractNumId w:val="32"/>
  </w:num>
  <w:num w:numId="12">
    <w:abstractNumId w:val="30"/>
  </w:num>
  <w:num w:numId="13">
    <w:abstractNumId w:val="21"/>
  </w:num>
  <w:num w:numId="14">
    <w:abstractNumId w:val="35"/>
  </w:num>
  <w:num w:numId="15">
    <w:abstractNumId w:val="36"/>
  </w:num>
  <w:num w:numId="16">
    <w:abstractNumId w:val="18"/>
  </w:num>
  <w:num w:numId="17">
    <w:abstractNumId w:val="34"/>
  </w:num>
  <w:num w:numId="18">
    <w:abstractNumId w:val="27"/>
  </w:num>
  <w:num w:numId="19">
    <w:abstractNumId w:val="39"/>
  </w:num>
  <w:num w:numId="20">
    <w:abstractNumId w:val="42"/>
  </w:num>
  <w:num w:numId="21">
    <w:abstractNumId w:val="31"/>
  </w:num>
  <w:num w:numId="22">
    <w:abstractNumId w:val="40"/>
  </w:num>
  <w:num w:numId="23">
    <w:abstractNumId w:val="11"/>
  </w:num>
  <w:num w:numId="24">
    <w:abstractNumId w:val="6"/>
  </w:num>
  <w:num w:numId="25">
    <w:abstractNumId w:val="4"/>
  </w:num>
  <w:num w:numId="26">
    <w:abstractNumId w:val="3"/>
  </w:num>
  <w:num w:numId="27">
    <w:abstractNumId w:val="2"/>
  </w:num>
  <w:num w:numId="28">
    <w:abstractNumId w:val="1"/>
  </w:num>
  <w:num w:numId="29">
    <w:abstractNumId w:val="0"/>
  </w:num>
  <w:num w:numId="30">
    <w:abstractNumId w:val="14"/>
  </w:num>
  <w:num w:numId="31">
    <w:abstractNumId w:val="8"/>
  </w:num>
  <w:num w:numId="32">
    <w:abstractNumId w:val="7"/>
  </w:num>
  <w:num w:numId="33">
    <w:abstractNumId w:val="20"/>
  </w:num>
  <w:num w:numId="34">
    <w:abstractNumId w:val="5"/>
  </w:num>
  <w:num w:numId="35">
    <w:abstractNumId w:val="23"/>
  </w:num>
  <w:num w:numId="36">
    <w:abstractNumId w:val="22"/>
  </w:num>
  <w:num w:numId="37">
    <w:abstractNumId w:val="29"/>
  </w:num>
  <w:num w:numId="38">
    <w:abstractNumId w:val="9"/>
  </w:num>
  <w:num w:numId="39">
    <w:abstractNumId w:val="24"/>
  </w:num>
  <w:num w:numId="40">
    <w:abstractNumId w:val="10"/>
  </w:num>
  <w:num w:numId="41">
    <w:abstractNumId w:val="19"/>
  </w:num>
  <w:num w:numId="42">
    <w:abstractNumId w:val="12"/>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hideSpellingErrors/>
  <w:hideGrammaticalErrors/>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60347ECF-DA2C-446F-B036-7B30E6DC837F"/>
    <w:docVar w:name="LW_COVERPAGE_TYPE" w:val="1"/>
    <w:docVar w:name="LW_CROSSREFERENCE" w:val="{SWD(2019) 215 final} - {SWD(2019) 216 final} - {SWD(2019) 217 final} - {SWD(2019) 218 final} - {SWD(2019) 219 final} - {SWD(2019) 220 final}"/>
    <w:docVar w:name="LW_DocType" w:val="NORMAL"/>
    <w:docVar w:name="LW_EMISSION" w:val="29.5.2019"/>
    <w:docVar w:name="LW_EMISSION_ISODATE" w:val="2019-05-29"/>
    <w:docVar w:name="LW_EMISSION_LOCATION" w:val="BRX"/>
    <w:docVar w:name="LW_EMISSION_PREFIX" w:val="Bruselas, "/>
    <w:docVar w:name="LW_EMISSION_SUFFIX" w:val=" "/>
    <w:docVar w:name="LW_ID_DOCTYPE_NONLW" w:val="CP-014"/>
    <w:docVar w:name="LW_LANGUE" w:val="ES"/>
    <w:docVar w:name="LW_LEVEL_OF_SENSITIVITY" w:val="Standard treatment"/>
    <w:docVar w:name="LW_NOM.INST" w:val="COMISIÓN EUROPEA"/>
    <w:docVar w:name="LW_NOM.INST_JOINTDOC" w:val="&lt;EMPTY&gt;"/>
    <w:docVar w:name="LW_PART_NBR" w:val="1"/>
    <w:docVar w:name="LW_PART_NBR_TOTAL" w:val="1"/>
    <w:docVar w:name="LW_REF.INST.NEW" w:val="COM"/>
    <w:docVar w:name="LW_REF.INST.NEW_ADOPTED" w:val="final"/>
    <w:docVar w:name="LW_REF.INST.NEW_TEXT" w:val="(2019) 26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Comunicación de 2019 sobre la política de ampliación de la UE"/>
    <w:docVar w:name="LW_TYPE.DOC.CP" w:val="COMUNICACIÓN DE LA COMISIÓN AL PARLAMENTO EUROPEO, AL CONSEJO, AL COMITÉ ECONÓMICO Y SOCIAL EUROPEO Y AL COMITÉ DE LAS REGIONES"/>
    <w:docVar w:name="LW_TYPE.DOC.CP.USERTEXT" w:val="&lt;EMPTY&gt;"/>
  </w:docVars>
  <w:rsids>
    <w:rsidRoot w:val="00D96FAD"/>
    <w:rsid w:val="00D96FAD"/>
    <w:rsid w:val="00E36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C5E0741-AC0B-4590-A0A5-85F6EF3B9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Text1"/>
    <w:link w:val="Heading1Char"/>
    <w:qFormat/>
    <w:pPr>
      <w:keepNext/>
      <w:numPr>
        <w:numId w:val="7"/>
      </w:numPr>
      <w:spacing w:before="360" w:after="120" w:line="240" w:lineRule="auto"/>
      <w:jc w:val="both"/>
      <w:outlineLvl w:val="0"/>
    </w:pPr>
    <w:rPr>
      <w:rFonts w:ascii="Times New Roman" w:eastAsia="Times New Roman" w:hAnsi="Times New Roman" w:cs="Times New Roman"/>
      <w:b/>
      <w:bCs/>
      <w:smallCaps/>
      <w:sz w:val="24"/>
      <w:szCs w:val="32"/>
    </w:rPr>
  </w:style>
  <w:style w:type="paragraph" w:styleId="Heading2">
    <w:name w:val="heading 2"/>
    <w:basedOn w:val="Normal"/>
    <w:next w:val="Text1"/>
    <w:link w:val="Heading2Char"/>
    <w:qFormat/>
    <w:pPr>
      <w:keepNext/>
      <w:numPr>
        <w:ilvl w:val="1"/>
        <w:numId w:val="7"/>
      </w:numPr>
      <w:spacing w:before="120" w:after="120" w:line="240" w:lineRule="auto"/>
      <w:jc w:val="both"/>
      <w:outlineLvl w:val="1"/>
    </w:pPr>
    <w:rPr>
      <w:rFonts w:ascii="Times New Roman" w:eastAsia="Times New Roman" w:hAnsi="Times New Roman" w:cs="Times New Roman"/>
      <w:b/>
      <w:bCs/>
      <w:iCs/>
      <w:sz w:val="24"/>
      <w:szCs w:val="28"/>
    </w:rPr>
  </w:style>
  <w:style w:type="paragraph" w:styleId="Heading3">
    <w:name w:val="heading 3"/>
    <w:basedOn w:val="Normal"/>
    <w:next w:val="Text1"/>
    <w:link w:val="Heading3Char"/>
    <w:qFormat/>
    <w:pPr>
      <w:keepNext/>
      <w:numPr>
        <w:ilvl w:val="2"/>
        <w:numId w:val="7"/>
      </w:numPr>
      <w:spacing w:before="120" w:after="120" w:line="240" w:lineRule="auto"/>
      <w:jc w:val="both"/>
      <w:outlineLvl w:val="2"/>
    </w:pPr>
    <w:rPr>
      <w:rFonts w:ascii="Times New Roman" w:eastAsia="Times New Roman" w:hAnsi="Times New Roman" w:cs="Times New Roman"/>
      <w:bCs/>
      <w:i/>
      <w:sz w:val="24"/>
      <w:szCs w:val="26"/>
    </w:rPr>
  </w:style>
  <w:style w:type="paragraph" w:styleId="Heading4">
    <w:name w:val="heading 4"/>
    <w:basedOn w:val="Normal"/>
    <w:next w:val="Text1"/>
    <w:link w:val="Heading4Char"/>
    <w:qFormat/>
    <w:pPr>
      <w:keepNext/>
      <w:numPr>
        <w:ilvl w:val="3"/>
        <w:numId w:val="7"/>
      </w:numPr>
      <w:spacing w:before="120" w:after="120" w:line="240" w:lineRule="auto"/>
      <w:jc w:val="both"/>
      <w:outlineLvl w:val="3"/>
    </w:pPr>
    <w:rPr>
      <w:rFonts w:ascii="Times New Roman" w:eastAsia="Times New Roman" w:hAnsi="Times New Roman" w:cs="Times New Roman"/>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rPr>
      <w:rFonts w:ascii="Times New Roman" w:eastAsia="Times New Roman" w:hAnsi="Times New Roman" w:cs="Times New Roman"/>
      <w:b/>
      <w:bCs/>
      <w:smallCaps/>
      <w:sz w:val="24"/>
      <w:szCs w:val="32"/>
    </w:rPr>
  </w:style>
  <w:style w:type="character" w:customStyle="1" w:styleId="Heading2Char">
    <w:name w:val="Heading 2 Char"/>
    <w:basedOn w:val="DefaultParagraphFont"/>
    <w:link w:val="Heading2"/>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rPr>
      <w:rFonts w:ascii="Times New Roman" w:eastAsia="Times New Roman" w:hAnsi="Times New Roman" w:cs="Times New Roman"/>
      <w:bCs/>
      <w:sz w:val="24"/>
      <w:szCs w:val="28"/>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OBC Bullet,L"/>
    <w:basedOn w:val="Normal"/>
    <w:link w:val="ListParagraphChar"/>
    <w:uiPriority w:val="34"/>
    <w:qFormat/>
    <w:pPr>
      <w:ind w:left="720"/>
      <w:contextualSpacing/>
    </w:pPr>
  </w:style>
  <w:style w:type="paragraph" w:styleId="FootnoteText">
    <w:name w:val="footnote text"/>
    <w:aliases w:val="single space,footnote text,Tekst przypisu,Tekst przypisu Char,Footnote Text Char1 Char,Footnote Text Char Char Char,Footnote Text Char Char,Footnote Text Char1 Char Char Char Char,Footnote Text Char Char1,fn,~FootnoteText,FOOTNOTES,ft,f,AD"/>
    <w:basedOn w:val="Normal"/>
    <w:link w:val="FootnoteTextChar"/>
    <w:unhideWhenUsed/>
    <w:qFormat/>
    <w:pPr>
      <w:spacing w:after="0" w:line="240" w:lineRule="auto"/>
    </w:pPr>
    <w:rPr>
      <w:rFonts w:ascii="Calibri" w:eastAsia="Calibri" w:hAnsi="Calibri" w:cs="Times New Roman"/>
      <w:sz w:val="20"/>
      <w:szCs w:val="20"/>
    </w:rPr>
  </w:style>
  <w:style w:type="character" w:customStyle="1" w:styleId="FootnoteTextChar">
    <w:name w:val="Footnote Text Char"/>
    <w:aliases w:val="single space Char,footnote text Char,Tekst przypisu Char1,Tekst przypisu Char Char,Footnote Text Char1 Char Char,Footnote Text Char Char Char Char,Footnote Text Char Char Char1,Footnote Text Char1 Char Char Char Char Char,fn Char"/>
    <w:basedOn w:val="DefaultParagraphFont"/>
    <w:link w:val="FootnoteText"/>
    <w:qFormat/>
    <w:rPr>
      <w:rFonts w:ascii="Calibri" w:eastAsia="Calibri" w:hAnsi="Calibri"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BVI fnr,footnote ref,4_G,Footno"/>
    <w:basedOn w:val="DefaultParagraphFont"/>
    <w:unhideWhenUsed/>
    <w:qFormat/>
    <w:rPr>
      <w:vertAlign w:val="superscript"/>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character" w:customStyle="1" w:styleId="iscdetailtitle">
    <w:name w:val="iscdetailtitle"/>
    <w:basedOn w:val="DefaultParagraphFon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numbering" w:customStyle="1" w:styleId="NoList1">
    <w:name w:val="No List1"/>
    <w:next w:val="NoList"/>
    <w:uiPriority w:val="99"/>
    <w:semiHidden/>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styleId="TOC1">
    <w:name w:val="toc 1"/>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2">
    <w:name w:val="toc 2"/>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3">
    <w:name w:val="toc 3"/>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4">
    <w:name w:val="toc 4"/>
    <w:basedOn w:val="Normal"/>
    <w:next w:val="Normal"/>
    <w:semiHidden/>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5">
    <w:name w:val="toc 5"/>
    <w:basedOn w:val="Normal"/>
    <w:next w:val="Normal"/>
    <w:semiHidden/>
    <w:pPr>
      <w:tabs>
        <w:tab w:val="right" w:leader="dot" w:pos="9071"/>
      </w:tabs>
      <w:spacing w:before="300" w:after="120" w:line="240" w:lineRule="auto"/>
    </w:pPr>
    <w:rPr>
      <w:rFonts w:ascii="Times New Roman" w:eastAsia="Times New Roman" w:hAnsi="Times New Roman" w:cs="Times New Roman"/>
      <w:sz w:val="24"/>
      <w:szCs w:val="24"/>
    </w:rPr>
  </w:style>
  <w:style w:type="paragraph" w:styleId="TOC6">
    <w:name w:val="toc 6"/>
    <w:basedOn w:val="Normal"/>
    <w:next w:val="Normal"/>
    <w:semiHidden/>
    <w:pPr>
      <w:tabs>
        <w:tab w:val="right" w:leader="dot" w:pos="9071"/>
      </w:tabs>
      <w:spacing w:before="240" w:after="120" w:line="240" w:lineRule="auto"/>
    </w:pPr>
    <w:rPr>
      <w:rFonts w:ascii="Times New Roman" w:eastAsia="Times New Roman" w:hAnsi="Times New Roman" w:cs="Times New Roman"/>
      <w:sz w:val="24"/>
      <w:szCs w:val="24"/>
    </w:rPr>
  </w:style>
  <w:style w:type="paragraph" w:styleId="TOC7">
    <w:name w:val="toc 7"/>
    <w:basedOn w:val="Normal"/>
    <w:next w:val="Normal"/>
    <w:semiHidden/>
    <w:pPr>
      <w:tabs>
        <w:tab w:val="right" w:leader="dot" w:pos="9071"/>
      </w:tabs>
      <w:spacing w:before="180" w:after="120" w:line="240" w:lineRule="auto"/>
    </w:pPr>
    <w:rPr>
      <w:rFonts w:ascii="Times New Roman" w:eastAsia="Times New Roman" w:hAnsi="Times New Roman" w:cs="Times New Roman"/>
      <w:sz w:val="24"/>
      <w:szCs w:val="24"/>
    </w:rPr>
  </w:style>
  <w:style w:type="paragraph" w:styleId="TOC8">
    <w:name w:val="toc 8"/>
    <w:basedOn w:val="Normal"/>
    <w:next w:val="Normal"/>
    <w:semiHidden/>
    <w:pPr>
      <w:tabs>
        <w:tab w:val="right" w:leader="dot" w:pos="9071"/>
      </w:tabs>
      <w:spacing w:before="120" w:after="120" w:line="240" w:lineRule="auto"/>
    </w:pPr>
    <w:rPr>
      <w:rFonts w:ascii="Times New Roman" w:eastAsia="Times New Roman" w:hAnsi="Times New Roman" w:cs="Times New Roman"/>
      <w:sz w:val="24"/>
      <w:szCs w:val="24"/>
    </w:rPr>
  </w:style>
  <w:style w:type="paragraph" w:styleId="TOC9">
    <w:name w:val="toc 9"/>
    <w:basedOn w:val="Normal"/>
    <w:next w:val="Normal"/>
    <w:semiHidden/>
    <w:pPr>
      <w:tabs>
        <w:tab w:val="right" w:leader="dot" w:pos="9071"/>
      </w:tabs>
      <w:spacing w:before="120" w:after="120" w:line="240" w:lineRule="auto"/>
      <w:jc w:val="both"/>
    </w:pPr>
    <w:rPr>
      <w:rFonts w:ascii="Times New Roman" w:eastAsia="Times New Roman" w:hAnsi="Times New Roman" w:cs="Times New Roman"/>
      <w:sz w:val="24"/>
      <w:szCs w:val="24"/>
    </w:rPr>
  </w:style>
  <w:style w:type="paragraph" w:customStyle="1" w:styleId="HeaderLandscape">
    <w:name w:val="HeaderLandscape"/>
    <w:basedOn w:val="Normal"/>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paragraph" w:customStyle="1" w:styleId="Text2">
    <w:name w:val="Text 2"/>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Text3">
    <w:name w:val="Text 3"/>
    <w:basedOn w:val="Normal"/>
    <w:pPr>
      <w:spacing w:before="120" w:after="120" w:line="240" w:lineRule="auto"/>
      <w:ind w:left="1984"/>
      <w:jc w:val="both"/>
    </w:pPr>
    <w:rPr>
      <w:rFonts w:ascii="Times New Roman" w:eastAsia="Times New Roman" w:hAnsi="Times New Roman" w:cs="Times New Roman"/>
      <w:sz w:val="24"/>
      <w:szCs w:val="24"/>
    </w:rPr>
  </w:style>
  <w:style w:type="paragraph" w:customStyle="1" w:styleId="Text4">
    <w:name w:val="Text 4"/>
    <w:basedOn w:val="Normal"/>
    <w:pPr>
      <w:spacing w:before="120" w:after="120" w:line="240" w:lineRule="auto"/>
      <w:ind w:left="2551"/>
      <w:jc w:val="both"/>
    </w:pPr>
    <w:rPr>
      <w:rFonts w:ascii="Times New Roman" w:eastAsia="Times New Roman" w:hAnsi="Times New Roman" w:cs="Times New Roman"/>
      <w:sz w:val="24"/>
      <w:szCs w:val="24"/>
    </w:rPr>
  </w:style>
  <w:style w:type="paragraph" w:customStyle="1" w:styleId="NormalCentered">
    <w:name w:val="Normal Centered"/>
    <w:basedOn w:val="Normal"/>
    <w:pPr>
      <w:spacing w:before="120" w:after="120" w:line="240" w:lineRule="auto"/>
      <w:jc w:val="center"/>
    </w:pPr>
    <w:rPr>
      <w:rFonts w:ascii="Times New Roman" w:eastAsia="Times New Roman" w:hAnsi="Times New Roman" w:cs="Times New Roman"/>
      <w:sz w:val="24"/>
      <w:szCs w:val="24"/>
    </w:rPr>
  </w:style>
  <w:style w:type="paragraph" w:customStyle="1" w:styleId="NormalLeft">
    <w:name w:val="Normal Left"/>
    <w:basedOn w:val="Normal"/>
    <w:pPr>
      <w:spacing w:before="120" w:after="120" w:line="240" w:lineRule="auto"/>
    </w:pPr>
    <w:rPr>
      <w:rFonts w:ascii="Times New Roman" w:eastAsia="Times New Roman" w:hAnsi="Times New Roman" w:cs="Times New Roman"/>
      <w:sz w:val="24"/>
      <w:szCs w:val="24"/>
    </w:rPr>
  </w:style>
  <w:style w:type="paragraph" w:customStyle="1" w:styleId="NormalRight">
    <w:name w:val="Normal Right"/>
    <w:basedOn w:val="Normal"/>
    <w:pPr>
      <w:spacing w:before="120" w:after="120" w:line="240" w:lineRule="auto"/>
      <w:jc w:val="right"/>
    </w:pPr>
    <w:rPr>
      <w:rFonts w:ascii="Times New Roman" w:eastAsia="Times New Roman" w:hAnsi="Times New Roman" w:cs="Times New Roman"/>
      <w:sz w:val="24"/>
      <w:szCs w:val="24"/>
    </w:rPr>
  </w:style>
  <w:style w:type="paragraph" w:customStyle="1" w:styleId="QuotedText">
    <w:name w:val="Quoted Text"/>
    <w:basedOn w:val="Normal"/>
    <w:pPr>
      <w:spacing w:before="120" w:after="120" w:line="240" w:lineRule="auto"/>
      <w:ind w:left="1417"/>
      <w:jc w:val="both"/>
    </w:pPr>
    <w:rPr>
      <w:rFonts w:ascii="Times New Roman" w:eastAsia="Times New Roman" w:hAnsi="Times New Roman" w:cs="Times New Roman"/>
      <w:sz w:val="24"/>
      <w:szCs w:val="24"/>
    </w:rPr>
  </w:style>
  <w:style w:type="paragraph" w:customStyle="1" w:styleId="Point0">
    <w:name w:val="Point 0"/>
    <w:basedOn w:val="Normal"/>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cs="Times New Roman"/>
      <w:sz w:val="24"/>
      <w:szCs w:val="24"/>
    </w:rPr>
  </w:style>
  <w:style w:type="paragraph" w:customStyle="1" w:styleId="Point3">
    <w:name w:val="Point 3"/>
    <w:basedOn w:val="Normal"/>
    <w:pPr>
      <w:spacing w:before="120" w:after="120" w:line="240" w:lineRule="auto"/>
      <w:ind w:left="2551" w:hanging="567"/>
      <w:jc w:val="both"/>
    </w:pPr>
    <w:rPr>
      <w:rFonts w:ascii="Times New Roman" w:eastAsia="Times New Roman" w:hAnsi="Times New Roman" w:cs="Times New Roman"/>
      <w:sz w:val="24"/>
      <w:szCs w:val="24"/>
    </w:rPr>
  </w:style>
  <w:style w:type="paragraph" w:customStyle="1" w:styleId="Point4">
    <w:name w:val="Point 4"/>
    <w:basedOn w:val="Normal"/>
    <w:pPr>
      <w:spacing w:before="120" w:after="120" w:line="240" w:lineRule="auto"/>
      <w:ind w:left="3118" w:hanging="567"/>
      <w:jc w:val="both"/>
    </w:pPr>
    <w:rPr>
      <w:rFonts w:ascii="Times New Roman" w:eastAsia="Times New Roman" w:hAnsi="Times New Roman" w:cs="Times New Roman"/>
      <w:sz w:val="24"/>
      <w:szCs w:val="24"/>
    </w:rPr>
  </w:style>
  <w:style w:type="paragraph" w:customStyle="1" w:styleId="Tiret0">
    <w:name w:val="Tiret 0"/>
    <w:basedOn w:val="Point0"/>
    <w:pPr>
      <w:ind w:left="0" w:firstLine="0"/>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Tiret3">
    <w:name w:val="Tiret 3"/>
    <w:basedOn w:val="Point3"/>
    <w:pPr>
      <w:numPr>
        <w:numId w:val="4"/>
      </w:numPr>
    </w:pPr>
  </w:style>
  <w:style w:type="paragraph" w:customStyle="1" w:styleId="Tiret4">
    <w:name w:val="Tiret 4"/>
    <w:basedOn w:val="Point4"/>
    <w:pPr>
      <w:numPr>
        <w:numId w:val="5"/>
      </w:numPr>
    </w:pPr>
  </w:style>
  <w:style w:type="paragraph" w:customStyle="1" w:styleId="PointDouble0">
    <w:name w:val="PointDouble 0"/>
    <w:basedOn w:val="Normal"/>
    <w:pPr>
      <w:tabs>
        <w:tab w:val="left" w:pos="850"/>
      </w:tabs>
      <w:spacing w:before="120" w:after="120" w:line="240" w:lineRule="auto"/>
      <w:ind w:left="1417" w:hanging="1417"/>
      <w:jc w:val="both"/>
    </w:pPr>
    <w:rPr>
      <w:rFonts w:ascii="Times New Roman" w:eastAsia="Times New Roman" w:hAnsi="Times New Roman" w:cs="Times New Roman"/>
      <w:sz w:val="24"/>
      <w:szCs w:val="24"/>
    </w:rPr>
  </w:style>
  <w:style w:type="paragraph" w:customStyle="1" w:styleId="PointDouble1">
    <w:name w:val="PointDouble 1"/>
    <w:basedOn w:val="Normal"/>
    <w:pPr>
      <w:tabs>
        <w:tab w:val="left" w:pos="1417"/>
      </w:tabs>
      <w:spacing w:before="120" w:after="120" w:line="240" w:lineRule="auto"/>
      <w:ind w:left="1984" w:hanging="1134"/>
      <w:jc w:val="both"/>
    </w:pPr>
    <w:rPr>
      <w:rFonts w:ascii="Times New Roman" w:eastAsia="Times New Roman" w:hAnsi="Times New Roman" w:cs="Times New Roman"/>
      <w:sz w:val="24"/>
      <w:szCs w:val="24"/>
    </w:rPr>
  </w:style>
  <w:style w:type="paragraph" w:customStyle="1" w:styleId="PointDouble2">
    <w:name w:val="PointDouble 2"/>
    <w:basedOn w:val="Normal"/>
    <w:pPr>
      <w:tabs>
        <w:tab w:val="left" w:pos="1984"/>
      </w:tabs>
      <w:spacing w:before="120" w:after="120" w:line="240" w:lineRule="auto"/>
      <w:ind w:left="2551" w:hanging="1134"/>
      <w:jc w:val="both"/>
    </w:pPr>
    <w:rPr>
      <w:rFonts w:ascii="Times New Roman" w:eastAsia="Times New Roman" w:hAnsi="Times New Roman" w:cs="Times New Roman"/>
      <w:sz w:val="24"/>
      <w:szCs w:val="24"/>
    </w:rPr>
  </w:style>
  <w:style w:type="paragraph" w:customStyle="1" w:styleId="PointDouble3">
    <w:name w:val="PointDouble 3"/>
    <w:basedOn w:val="Normal"/>
    <w:pPr>
      <w:tabs>
        <w:tab w:val="left" w:pos="2551"/>
      </w:tabs>
      <w:spacing w:before="120" w:after="120" w:line="240" w:lineRule="auto"/>
      <w:ind w:left="3118" w:hanging="1134"/>
      <w:jc w:val="both"/>
    </w:pPr>
    <w:rPr>
      <w:rFonts w:ascii="Times New Roman" w:eastAsia="Times New Roman" w:hAnsi="Times New Roman" w:cs="Times New Roman"/>
      <w:sz w:val="24"/>
      <w:szCs w:val="24"/>
    </w:rPr>
  </w:style>
  <w:style w:type="paragraph" w:customStyle="1" w:styleId="PointDouble4">
    <w:name w:val="PointDouble 4"/>
    <w:basedOn w:val="Normal"/>
    <w:pPr>
      <w:tabs>
        <w:tab w:val="left" w:pos="3118"/>
      </w:tabs>
      <w:spacing w:before="120" w:after="120" w:line="240" w:lineRule="auto"/>
      <w:ind w:left="3685" w:hanging="1134"/>
      <w:jc w:val="both"/>
    </w:pPr>
    <w:rPr>
      <w:rFonts w:ascii="Times New Roman" w:eastAsia="Times New Roman" w:hAnsi="Times New Roman" w:cs="Times New Roman"/>
      <w:sz w:val="24"/>
      <w:szCs w:val="24"/>
    </w:rPr>
  </w:style>
  <w:style w:type="paragraph" w:customStyle="1" w:styleId="PointTriple0">
    <w:name w:val="PointTriple 0"/>
    <w:basedOn w:val="Normal"/>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rPr>
  </w:style>
  <w:style w:type="paragraph" w:customStyle="1" w:styleId="PointTriple1">
    <w:name w:val="PointTriple 1"/>
    <w:basedOn w:val="Normal"/>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rPr>
  </w:style>
  <w:style w:type="paragraph" w:customStyle="1" w:styleId="PointTriple2">
    <w:name w:val="PointTriple 2"/>
    <w:basedOn w:val="Normal"/>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rPr>
  </w:style>
  <w:style w:type="paragraph" w:customStyle="1" w:styleId="PointTriple3">
    <w:name w:val="PointTriple 3"/>
    <w:basedOn w:val="Normal"/>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rPr>
  </w:style>
  <w:style w:type="paragraph" w:customStyle="1" w:styleId="PointTriple4">
    <w:name w:val="PointTriple 4"/>
    <w:basedOn w:val="Normal"/>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rPr>
  </w:style>
  <w:style w:type="paragraph" w:customStyle="1" w:styleId="NumPar1">
    <w:name w:val="NumPar 1"/>
    <w:basedOn w:val="Normal"/>
    <w:next w:val="Text1"/>
    <w:pPr>
      <w:numPr>
        <w:numId w:val="6"/>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ormal"/>
    <w:next w:val="Text1"/>
    <w:pPr>
      <w:numPr>
        <w:ilvl w:val="1"/>
        <w:numId w:val="6"/>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ormal"/>
    <w:next w:val="Text1"/>
    <w:pPr>
      <w:numPr>
        <w:ilvl w:val="2"/>
        <w:numId w:val="6"/>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ormal"/>
    <w:next w:val="Text1"/>
    <w:pPr>
      <w:numPr>
        <w:ilvl w:val="3"/>
        <w:numId w:val="6"/>
      </w:numPr>
      <w:spacing w:before="120" w:after="120" w:line="240" w:lineRule="auto"/>
      <w:jc w:val="both"/>
    </w:pPr>
    <w:rPr>
      <w:rFonts w:ascii="Times New Roman" w:eastAsia="Times New Roman" w:hAnsi="Times New Roman" w:cs="Times New Roman"/>
      <w:sz w:val="24"/>
      <w:szCs w:val="24"/>
    </w:rPr>
  </w:style>
  <w:style w:type="paragraph" w:customStyle="1" w:styleId="ManualNumPar1">
    <w:name w:val="Manual NumPar 1"/>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2">
    <w:name w:val="Manual NumPar 2"/>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3">
    <w:name w:val="Manual NumPar 3"/>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NumPar4">
    <w:name w:val="Manual NumPar 4"/>
    <w:basedOn w:val="Normal"/>
    <w:next w:val="Text1"/>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QuotedNumPar">
    <w:name w:val="Quoted NumPar"/>
    <w:basedOn w:val="Normal"/>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Text1"/>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paragraph" w:customStyle="1" w:styleId="ManualHeading3">
    <w:name w:val="Manual Heading 3"/>
    <w:basedOn w:val="Normal"/>
    <w:next w:val="Text1"/>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rPr>
  </w:style>
  <w:style w:type="paragraph" w:customStyle="1" w:styleId="ManualHeading4">
    <w:name w:val="Manual Heading 4"/>
    <w:basedOn w:val="Normal"/>
    <w:next w:val="Text1"/>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rPr>
  </w:style>
  <w:style w:type="paragraph" w:customStyle="1" w:styleId="ChapterTitle">
    <w:name w:val="ChapterTitle"/>
    <w:basedOn w:val="Normal"/>
    <w:next w:val="Normal"/>
    <w:pPr>
      <w:keepNext/>
      <w:spacing w:before="120" w:after="360" w:line="240" w:lineRule="auto"/>
      <w:jc w:val="center"/>
    </w:pPr>
    <w:rPr>
      <w:rFonts w:ascii="Times New Roman" w:eastAsia="Times New Roman" w:hAnsi="Times New Roman" w:cs="Times New Roman"/>
      <w:b/>
      <w:sz w:val="32"/>
      <w:szCs w:val="24"/>
    </w:rPr>
  </w:style>
  <w:style w:type="paragraph" w:customStyle="1" w:styleId="PartTitle">
    <w:name w:val="PartTitle"/>
    <w:basedOn w:val="Normal"/>
    <w:next w:val="ChapterTitle"/>
    <w:pPr>
      <w:keepNext/>
      <w:pageBreakBefore/>
      <w:spacing w:before="120" w:after="360" w:line="240" w:lineRule="auto"/>
      <w:jc w:val="center"/>
    </w:pPr>
    <w:rPr>
      <w:rFonts w:ascii="Times New Roman" w:eastAsia="Times New Roman" w:hAnsi="Times New Roman" w:cs="Times New Roman"/>
      <w:b/>
      <w:sz w:val="36"/>
      <w:szCs w:val="24"/>
    </w:rPr>
  </w:style>
  <w:style w:type="paragraph" w:customStyle="1" w:styleId="SectionTitle">
    <w:name w:val="SectionTitle"/>
    <w:basedOn w:val="Normal"/>
    <w:next w:val="Heading1"/>
    <w:pPr>
      <w:keepNext/>
      <w:spacing w:before="120" w:after="360" w:line="240" w:lineRule="auto"/>
      <w:jc w:val="center"/>
    </w:pPr>
    <w:rPr>
      <w:rFonts w:ascii="Times New Roman" w:eastAsia="Times New Roman" w:hAnsi="Times New Roman" w:cs="Times New Roman"/>
      <w:b/>
      <w:smallCaps/>
      <w:sz w:val="28"/>
      <w:szCs w:val="24"/>
    </w:rPr>
  </w:style>
  <w:style w:type="paragraph" w:customStyle="1" w:styleId="TableTitle">
    <w:name w:val="Table Title"/>
    <w:basedOn w:val="Normal"/>
    <w:next w:val="Normal"/>
    <w:pPr>
      <w:spacing w:before="120" w:after="120" w:line="240" w:lineRule="auto"/>
      <w:jc w:val="center"/>
    </w:pPr>
    <w:rPr>
      <w:rFonts w:ascii="Times New Roman" w:eastAsia="Times New Roman" w:hAnsi="Times New Roman" w:cs="Times New Roman"/>
      <w:b/>
      <w:sz w:val="24"/>
      <w:szCs w:val="24"/>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styleId="TOCHeading">
    <w:name w:val="TOC Heading"/>
    <w:basedOn w:val="Normal"/>
    <w:next w:val="Normal"/>
    <w:qFormat/>
    <w:pPr>
      <w:spacing w:before="120" w:after="240" w:line="240" w:lineRule="auto"/>
      <w:jc w:val="center"/>
    </w:pPr>
    <w:rPr>
      <w:rFonts w:ascii="Times New Roman" w:eastAsia="Times New Roman" w:hAnsi="Times New Roman" w:cs="Times New Roman"/>
      <w:b/>
      <w:sz w:val="28"/>
      <w:szCs w:val="24"/>
    </w:rPr>
  </w:style>
  <w:style w:type="paragraph" w:customStyle="1" w:styleId="Point0number">
    <w:name w:val="Point 0 (number)"/>
    <w:basedOn w:val="Normal"/>
    <w:pPr>
      <w:numPr>
        <w:numId w:val="8"/>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pPr>
      <w:numPr>
        <w:ilvl w:val="2"/>
        <w:numId w:val="8"/>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pPr>
      <w:numPr>
        <w:ilvl w:val="4"/>
        <w:numId w:val="8"/>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pPr>
      <w:numPr>
        <w:ilvl w:val="6"/>
        <w:numId w:val="8"/>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pPr>
      <w:numPr>
        <w:ilvl w:val="1"/>
        <w:numId w:val="8"/>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pPr>
      <w:numPr>
        <w:ilvl w:val="3"/>
        <w:numId w:val="8"/>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pPr>
      <w:numPr>
        <w:ilvl w:val="5"/>
        <w:numId w:val="8"/>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pPr>
      <w:numPr>
        <w:ilvl w:val="7"/>
        <w:numId w:val="8"/>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pPr>
      <w:numPr>
        <w:ilvl w:val="8"/>
        <w:numId w:val="8"/>
      </w:numPr>
      <w:spacing w:before="120" w:after="120" w:line="240" w:lineRule="auto"/>
      <w:jc w:val="both"/>
    </w:pPr>
    <w:rPr>
      <w:rFonts w:ascii="Times New Roman" w:eastAsia="Times New Roman" w:hAnsi="Times New Roman" w:cs="Times New Roman"/>
      <w:sz w:val="24"/>
      <w:szCs w:val="24"/>
    </w:rPr>
  </w:style>
  <w:style w:type="paragraph" w:customStyle="1" w:styleId="Bullet0">
    <w:name w:val="Bullet 0"/>
    <w:basedOn w:val="Normal"/>
    <w:pPr>
      <w:numPr>
        <w:numId w:val="9"/>
      </w:numPr>
      <w:spacing w:before="120" w:after="120" w:line="240" w:lineRule="auto"/>
      <w:jc w:val="both"/>
    </w:pPr>
    <w:rPr>
      <w:rFonts w:ascii="Times New Roman" w:eastAsia="Times New Roman" w:hAnsi="Times New Roman" w:cs="Times New Roman"/>
      <w:sz w:val="24"/>
      <w:szCs w:val="24"/>
    </w:rPr>
  </w:style>
  <w:style w:type="paragraph" w:customStyle="1" w:styleId="Bullet1">
    <w:name w:val="Bullet 1"/>
    <w:basedOn w:val="Normal"/>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Bullet2">
    <w:name w:val="Bullet 2"/>
    <w:basedOn w:val="Normal"/>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Bullet3">
    <w:name w:val="Bullet 3"/>
    <w:basedOn w:val="Normal"/>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Bullet4">
    <w:name w:val="Bullet 4"/>
    <w:basedOn w:val="Normal"/>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Annexetitreexpos">
    <w:name w:val="Annexe titre (exposé)"/>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
    <w:name w:val="Annex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nnexetitrefichefinancire">
    <w:name w:val="Annexe titre (fiche financiè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Applicationdirecte">
    <w:name w:val="Application directe"/>
    <w:basedOn w:val="Normal"/>
    <w:next w:val="Fait"/>
    <w:pPr>
      <w:spacing w:before="480" w:after="120" w:line="240" w:lineRule="auto"/>
      <w:jc w:val="both"/>
    </w:pPr>
    <w:rPr>
      <w:rFonts w:ascii="Times New Roman" w:eastAsia="Times New Roman" w:hAnsi="Times New Roman" w:cs="Times New Roman"/>
      <w:sz w:val="24"/>
      <w:szCs w:val="24"/>
    </w:rPr>
  </w:style>
  <w:style w:type="paragraph" w:customStyle="1" w:styleId="Fait">
    <w:name w:val="Fait à"/>
    <w:basedOn w:val="Normal"/>
    <w:next w:val="Institutionquisigne"/>
    <w:pPr>
      <w:keepNext/>
      <w:spacing w:before="120" w:after="0" w:line="240" w:lineRule="auto"/>
      <w:jc w:val="both"/>
    </w:pPr>
    <w:rPr>
      <w:rFonts w:ascii="Times New Roman" w:eastAsia="Times New Roman" w:hAnsi="Times New Roman" w:cs="Times New Roman"/>
      <w:sz w:val="24"/>
      <w:szCs w:val="24"/>
    </w:rPr>
  </w:style>
  <w:style w:type="paragraph" w:customStyle="1" w:styleId="Institutionquisigne">
    <w:name w:val="Institution qui signe"/>
    <w:basedOn w:val="Normal"/>
    <w:next w:val="Personnequisigne"/>
    <w:pPr>
      <w:keepNext/>
      <w:tabs>
        <w:tab w:val="left" w:pos="4252"/>
      </w:tabs>
      <w:spacing w:before="720" w:after="0" w:line="240" w:lineRule="auto"/>
      <w:jc w:val="both"/>
    </w:pPr>
    <w:rPr>
      <w:rFonts w:ascii="Times New Roman" w:eastAsia="Times New Roman" w:hAnsi="Times New Roman" w:cs="Times New Roman"/>
      <w:i/>
      <w:sz w:val="24"/>
      <w:szCs w:val="24"/>
    </w:rPr>
  </w:style>
  <w:style w:type="paragraph" w:customStyle="1" w:styleId="Personnequisigne">
    <w:name w:val="Personne qui signe"/>
    <w:basedOn w:val="Normal"/>
    <w:next w:val="Institutionquisigne"/>
    <w:pPr>
      <w:tabs>
        <w:tab w:val="left" w:pos="4252"/>
      </w:tabs>
      <w:spacing w:after="0" w:line="240" w:lineRule="auto"/>
    </w:pPr>
    <w:rPr>
      <w:rFonts w:ascii="Times New Roman" w:eastAsia="Times New Roman" w:hAnsi="Times New Roman" w:cs="Times New Roman"/>
      <w:i/>
      <w:sz w:val="24"/>
      <w:szCs w:val="24"/>
    </w:rPr>
  </w:style>
  <w:style w:type="paragraph" w:customStyle="1" w:styleId="Avertissementtitre">
    <w:name w:val="Avertissement titre"/>
    <w:basedOn w:val="Normal"/>
    <w:next w:val="Normal"/>
    <w:pPr>
      <w:keepNext/>
      <w:spacing w:before="480" w:after="120" w:line="240" w:lineRule="auto"/>
      <w:jc w:val="both"/>
    </w:pPr>
    <w:rPr>
      <w:rFonts w:ascii="Times New Roman" w:eastAsia="Times New Roman" w:hAnsi="Times New Roman" w:cs="Times New Roman"/>
      <w:sz w:val="24"/>
      <w:szCs w:val="24"/>
      <w:u w:val="single"/>
    </w:rPr>
  </w:style>
  <w:style w:type="paragraph" w:customStyle="1" w:styleId="Confidence">
    <w:name w:val="Confidence"/>
    <w:basedOn w:val="Normal"/>
    <w:next w:val="Normal"/>
    <w:pPr>
      <w:spacing w:before="360" w:after="120" w:line="240" w:lineRule="auto"/>
      <w:jc w:val="center"/>
    </w:pPr>
    <w:rPr>
      <w:rFonts w:ascii="Times New Roman" w:eastAsia="Times New Roman" w:hAnsi="Times New Roman" w:cs="Times New Roman"/>
      <w:sz w:val="24"/>
      <w:szCs w:val="24"/>
    </w:rPr>
  </w:style>
  <w:style w:type="paragraph" w:customStyle="1" w:styleId="Confidentialit">
    <w:name w:val="Confidentialité"/>
    <w:basedOn w:val="Normal"/>
    <w:next w:val="TypedudocumentPagedecouverture"/>
    <w:pPr>
      <w:spacing w:before="240" w:after="240" w:line="240" w:lineRule="auto"/>
      <w:ind w:left="5103"/>
      <w:jc w:val="both"/>
    </w:pPr>
    <w:rPr>
      <w:rFonts w:ascii="Times New Roman" w:eastAsia="Times New Roman" w:hAnsi="Times New Roman" w:cs="Times New Roman"/>
      <w:i/>
      <w:sz w:val="32"/>
      <w:szCs w:val="24"/>
    </w:rPr>
  </w:style>
  <w:style w:type="paragraph" w:customStyle="1" w:styleId="TypedudocumentPagedecouverture">
    <w:name w:val="Type du document (Page de couverture)"/>
    <w:basedOn w:val="Typedudocument"/>
    <w:next w:val="TitreobjetPagedecouverture"/>
  </w:style>
  <w:style w:type="paragraph" w:customStyle="1" w:styleId="Typedudocument">
    <w:name w:val="Type du document"/>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Titreobjet">
    <w:name w:val="Titre objet"/>
    <w:basedOn w:val="Normal"/>
    <w:next w:val="Sous-titreobjet"/>
    <w:pPr>
      <w:spacing w:before="360" w:after="360" w:line="240" w:lineRule="auto"/>
      <w:jc w:val="center"/>
    </w:pPr>
    <w:rPr>
      <w:rFonts w:ascii="Times New Roman" w:eastAsia="Times New Roman" w:hAnsi="Times New Roman" w:cs="Times New Roman"/>
      <w:b/>
      <w:sz w:val="24"/>
      <w:szCs w:val="24"/>
    </w:rPr>
  </w:style>
  <w:style w:type="paragraph" w:customStyle="1" w:styleId="Sous-titreobjet">
    <w:name w:val="Sous-titre objet"/>
    <w:basedOn w:val="Normal"/>
    <w:pPr>
      <w:spacing w:after="0" w:line="240" w:lineRule="auto"/>
      <w:jc w:val="center"/>
    </w:pPr>
    <w:rPr>
      <w:rFonts w:ascii="Times New Roman" w:eastAsia="Times New Roman" w:hAnsi="Times New Roman" w:cs="Times New Roman"/>
      <w:b/>
      <w:sz w:val="24"/>
      <w:szCs w:val="24"/>
    </w:rPr>
  </w:style>
  <w:style w:type="paragraph" w:customStyle="1" w:styleId="TitreobjetPagedecouverture">
    <w:name w:val="Titre objet (Page de couverture)"/>
    <w:basedOn w:val="Titreobjet"/>
    <w:next w:val="Sous-titreobjetPagedecouverture"/>
  </w:style>
  <w:style w:type="paragraph" w:customStyle="1" w:styleId="Sous-titreobjetPagedecouverture">
    <w:name w:val="Sous-titre objet (Page de couverture)"/>
    <w:basedOn w:val="Sous-titreobjet"/>
  </w:style>
  <w:style w:type="paragraph" w:customStyle="1" w:styleId="Considrant">
    <w:name w:val="Considérant"/>
    <w:basedOn w:val="Normal"/>
    <w:pPr>
      <w:numPr>
        <w:numId w:val="14"/>
      </w:numPr>
      <w:spacing w:before="120" w:after="120" w:line="240" w:lineRule="auto"/>
      <w:jc w:val="both"/>
    </w:pPr>
    <w:rPr>
      <w:rFonts w:ascii="Times New Roman" w:eastAsia="Times New Roman" w:hAnsi="Times New Roman" w:cs="Times New Roman"/>
      <w:sz w:val="24"/>
      <w:szCs w:val="24"/>
    </w:rPr>
  </w:style>
  <w:style w:type="paragraph" w:customStyle="1" w:styleId="Corrigendum">
    <w:name w:val="Corrigendum"/>
    <w:basedOn w:val="Normal"/>
    <w:next w:val="Normal"/>
    <w:pPr>
      <w:spacing w:after="240" w:line="240" w:lineRule="auto"/>
    </w:pPr>
    <w:rPr>
      <w:rFonts w:ascii="Times New Roman" w:eastAsia="Times New Roman" w:hAnsi="Times New Roman" w:cs="Times New Roman"/>
      <w:sz w:val="24"/>
      <w:szCs w:val="24"/>
    </w:rPr>
  </w:style>
  <w:style w:type="paragraph" w:customStyle="1" w:styleId="Datedadoption">
    <w:name w:val="Date d'adoption"/>
    <w:basedOn w:val="Normal"/>
    <w:next w:val="Titreobjet"/>
    <w:pPr>
      <w:spacing w:before="360" w:after="0" w:line="240" w:lineRule="auto"/>
      <w:jc w:val="center"/>
    </w:pPr>
    <w:rPr>
      <w:rFonts w:ascii="Times New Roman" w:eastAsia="Times New Roman" w:hAnsi="Times New Roman" w:cs="Times New Roman"/>
      <w:b/>
      <w:sz w:val="24"/>
      <w:szCs w:val="24"/>
    </w:rPr>
  </w:style>
  <w:style w:type="paragraph" w:customStyle="1" w:styleId="Emission">
    <w:name w:val="Emission"/>
    <w:basedOn w:val="Normal"/>
    <w:next w:val="Rfrenceinstitutionnelle"/>
    <w:pPr>
      <w:spacing w:after="0" w:line="240" w:lineRule="auto"/>
      <w:ind w:left="5103"/>
    </w:pPr>
    <w:rPr>
      <w:rFonts w:ascii="Times New Roman" w:eastAsia="Times New Roman" w:hAnsi="Times New Roman" w:cs="Times New Roman"/>
      <w:sz w:val="24"/>
      <w:szCs w:val="24"/>
    </w:rPr>
  </w:style>
  <w:style w:type="paragraph" w:customStyle="1" w:styleId="Rfrenceinstitutionnelle">
    <w:name w:val="Référence institutionnell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Exposdesmotifstitre">
    <w:name w:val="Exposé des motifs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Formuledadoption">
    <w:name w:val="Formule d'adoption"/>
    <w:basedOn w:val="Normal"/>
    <w:next w:val="Titrearticle"/>
    <w:pPr>
      <w:keepNext/>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ormal"/>
    <w:next w:val="Normal"/>
    <w:pPr>
      <w:keepNext/>
      <w:spacing w:before="360" w:after="120" w:line="240" w:lineRule="auto"/>
      <w:jc w:val="center"/>
    </w:pPr>
    <w:rPr>
      <w:rFonts w:ascii="Times New Roman" w:eastAsia="Times New Roman" w:hAnsi="Times New Roman" w:cs="Times New Roman"/>
      <w:i/>
      <w:sz w:val="24"/>
      <w:szCs w:val="24"/>
    </w:rPr>
  </w:style>
  <w:style w:type="paragraph" w:customStyle="1" w:styleId="Institutionquiagit">
    <w:name w:val="Institution qui agit"/>
    <w:basedOn w:val="Normal"/>
    <w:next w:val="Normal"/>
    <w:pPr>
      <w:keepNext/>
      <w:spacing w:before="600" w:after="120" w:line="240" w:lineRule="auto"/>
      <w:jc w:val="both"/>
    </w:pPr>
    <w:rPr>
      <w:rFonts w:ascii="Times New Roman" w:eastAsia="Times New Roman" w:hAnsi="Times New Roman" w:cs="Times New Roman"/>
      <w:sz w:val="24"/>
      <w:szCs w:val="24"/>
    </w:rPr>
  </w:style>
  <w:style w:type="paragraph" w:customStyle="1" w:styleId="Langue">
    <w:name w:val="Langue"/>
    <w:basedOn w:val="Normal"/>
    <w:next w:val="Rfrenceinterne"/>
    <w:pPr>
      <w:framePr w:wrap="around" w:vAnchor="page" w:hAnchor="text" w:xAlign="center" w:y="14741"/>
      <w:spacing w:after="600" w:line="240" w:lineRule="auto"/>
      <w:jc w:val="center"/>
    </w:pPr>
    <w:rPr>
      <w:rFonts w:ascii="Times New Roman" w:eastAsia="Times New Roman" w:hAnsi="Times New Roman" w:cs="Times New Roman"/>
      <w:b/>
      <w:caps/>
      <w:sz w:val="24"/>
      <w:szCs w:val="24"/>
    </w:rPr>
  </w:style>
  <w:style w:type="paragraph" w:customStyle="1" w:styleId="Rfrenceinterne">
    <w:name w:val="Référence interne"/>
    <w:basedOn w:val="Normal"/>
    <w:next w:val="Rfrenceinterinstitutionnelle"/>
    <w:pPr>
      <w:spacing w:after="0" w:line="240" w:lineRule="auto"/>
      <w:ind w:left="5103"/>
    </w:pPr>
    <w:rPr>
      <w:rFonts w:ascii="Times New Roman" w:eastAsia="Times New Roman" w:hAnsi="Times New Roman" w:cs="Times New Roman"/>
      <w:sz w:val="24"/>
      <w:szCs w:val="24"/>
    </w:rPr>
  </w:style>
  <w:style w:type="paragraph" w:customStyle="1" w:styleId="Rfrenceinterinstitutionnelle">
    <w:name w:val="Référence interinstitutionnelle"/>
    <w:basedOn w:val="Normal"/>
    <w:next w:val="Statut"/>
    <w:pPr>
      <w:spacing w:after="0" w:line="240" w:lineRule="auto"/>
      <w:ind w:left="5103"/>
    </w:pPr>
    <w:rPr>
      <w:rFonts w:ascii="Times New Roman" w:eastAsia="Times New Roman" w:hAnsi="Times New Roman" w:cs="Times New Roman"/>
      <w:sz w:val="24"/>
      <w:szCs w:val="24"/>
    </w:rPr>
  </w:style>
  <w:style w:type="paragraph" w:customStyle="1" w:styleId="Statut">
    <w:name w:val="Statut"/>
    <w:basedOn w:val="Normal"/>
    <w:next w:val="Typedudocument"/>
    <w:pPr>
      <w:spacing w:before="360" w:after="0" w:line="240" w:lineRule="auto"/>
      <w:jc w:val="center"/>
    </w:pPr>
    <w:rPr>
      <w:rFonts w:ascii="Times New Roman" w:eastAsia="Times New Roman" w:hAnsi="Times New Roman" w:cs="Times New Roman"/>
      <w:sz w:val="24"/>
      <w:szCs w:val="24"/>
    </w:rPr>
  </w:style>
  <w:style w:type="paragraph" w:customStyle="1" w:styleId="ManualConsidrant">
    <w:name w:val="Manual Considérant"/>
    <w:basedOn w:val="Normal"/>
    <w:pPr>
      <w:spacing w:before="120" w:after="120" w:line="240" w:lineRule="auto"/>
      <w:ind w:left="709" w:hanging="709"/>
      <w:jc w:val="both"/>
    </w:pPr>
    <w:rPr>
      <w:rFonts w:ascii="Times New Roman" w:eastAsia="Times New Roman" w:hAnsi="Times New Roman" w:cs="Times New Roman"/>
      <w:sz w:val="24"/>
      <w:szCs w:val="24"/>
    </w:rPr>
  </w:style>
  <w:style w:type="paragraph" w:customStyle="1" w:styleId="Nomdelinstitution">
    <w:name w:val="Nom de l'institution"/>
    <w:basedOn w:val="Normal"/>
    <w:next w:val="Emission"/>
    <w:pPr>
      <w:spacing w:after="0" w:line="240" w:lineRule="auto"/>
    </w:pPr>
    <w:rPr>
      <w:rFonts w:ascii="Arial" w:eastAsia="Times New Roman" w:hAnsi="Arial" w:cs="Arial"/>
      <w:sz w:val="24"/>
      <w:szCs w:val="24"/>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Address">
    <w:name w:val="Address"/>
    <w:basedOn w:val="Normal"/>
    <w:next w:val="Normal"/>
    <w:pPr>
      <w:keepLines/>
      <w:spacing w:before="120" w:after="120" w:line="360" w:lineRule="auto"/>
      <w:ind w:left="3402"/>
    </w:pPr>
    <w:rPr>
      <w:rFonts w:ascii="Times New Roman" w:eastAsia="Times New Roman" w:hAnsi="Times New Roman" w:cs="Times New Roman"/>
      <w:sz w:val="24"/>
      <w:szCs w:val="24"/>
    </w:rPr>
  </w:style>
  <w:style w:type="paragraph" w:customStyle="1" w:styleId="Objetexterne">
    <w:name w:val="Objet externe"/>
    <w:basedOn w:val="Normal"/>
    <w:next w:val="Normal"/>
    <w:pPr>
      <w:spacing w:before="120" w:after="120" w:line="240" w:lineRule="auto"/>
      <w:jc w:val="both"/>
    </w:pPr>
    <w:rPr>
      <w:rFonts w:ascii="Times New Roman" w:eastAsia="Times New Roman" w:hAnsi="Times New Roman" w:cs="Times New Roman"/>
      <w:i/>
      <w:caps/>
      <w:sz w:val="24"/>
      <w:szCs w:val="24"/>
    </w:rPr>
  </w:style>
  <w:style w:type="paragraph" w:customStyle="1" w:styleId="Supertitre">
    <w:name w:val="Supertitre"/>
    <w:basedOn w:val="Normal"/>
    <w:next w:val="Normal"/>
    <w:pPr>
      <w:spacing w:after="600" w:line="240" w:lineRule="auto"/>
      <w:jc w:val="center"/>
    </w:pPr>
    <w:rPr>
      <w:rFonts w:ascii="Times New Roman" w:eastAsia="Times New Roman" w:hAnsi="Times New Roman" w:cs="Times New Roman"/>
      <w:b/>
      <w:sz w:val="24"/>
      <w:szCs w:val="24"/>
    </w:rPr>
  </w:style>
  <w:style w:type="paragraph" w:customStyle="1" w:styleId="Languesfaisantfoi">
    <w:name w:val="Langues faisant foi"/>
    <w:basedOn w:val="Normal"/>
    <w:next w:val="Normal"/>
    <w:pPr>
      <w:spacing w:before="360" w:after="0" w:line="240" w:lineRule="auto"/>
      <w:jc w:val="center"/>
    </w:pPr>
    <w:rPr>
      <w:rFonts w:ascii="Times New Roman" w:eastAsia="Times New Roman" w:hAnsi="Times New Roman" w:cs="Times New Roman"/>
      <w:sz w:val="24"/>
      <w:szCs w:val="24"/>
    </w:rPr>
  </w:style>
  <w:style w:type="paragraph" w:customStyle="1" w:styleId="Rfrencecroise">
    <w:name w:val="Référence croisée"/>
    <w:basedOn w:val="Normal"/>
    <w:pPr>
      <w:spacing w:after="0" w:line="240" w:lineRule="auto"/>
      <w:jc w:val="center"/>
    </w:pPr>
    <w:rPr>
      <w:rFonts w:ascii="Times New Roman" w:eastAsia="Times New Roman" w:hAnsi="Times New Roman" w:cs="Times New Roman"/>
      <w:sz w:val="24"/>
      <w:szCs w:val="24"/>
    </w:rPr>
  </w:style>
  <w:style w:type="paragraph" w:customStyle="1" w:styleId="Fichefinanciretitre">
    <w:name w:val="Fiche financière titre"/>
    <w:basedOn w:val="Normal"/>
    <w:next w:val="Normal"/>
    <w:pPr>
      <w:spacing w:before="120" w:after="120" w:line="240" w:lineRule="auto"/>
      <w:jc w:val="center"/>
    </w:pPr>
    <w:rPr>
      <w:rFonts w:ascii="Times New Roman" w:eastAsia="Times New Roman" w:hAnsi="Times New Roman" w:cs="Times New Roman"/>
      <w:b/>
      <w:sz w:val="24"/>
      <w:szCs w:val="24"/>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Volume">
    <w:name w:val="Volume"/>
    <w:basedOn w:val="Normal"/>
    <w:next w:val="Confidentialit"/>
    <w:pPr>
      <w:spacing w:after="240" w:line="240" w:lineRule="auto"/>
      <w:ind w:left="5103"/>
    </w:pPr>
    <w:rPr>
      <w:rFonts w:ascii="Times New Roman" w:eastAsia="Times New Roman" w:hAnsi="Times New Roman" w:cs="Times New Roman"/>
      <w:sz w:val="24"/>
      <w:szCs w:val="24"/>
    </w:r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after="240" w:line="240" w:lineRule="auto"/>
      <w:jc w:val="center"/>
    </w:pPr>
    <w:rPr>
      <w:rFonts w:ascii="Times New Roman" w:eastAsia="Times New Roman" w:hAnsi="Times New Roman" w:cs="Times New Roman"/>
      <w:b/>
      <w:i/>
      <w:sz w:val="24"/>
      <w:szCs w:val="24"/>
    </w:rPr>
  </w:style>
  <w:style w:type="paragraph" w:customStyle="1" w:styleId="Typeacteprincipal">
    <w:name w:val="Type acte principal"/>
    <w:basedOn w:val="Normal"/>
    <w:next w:val="Objetacteprincipal"/>
    <w:pPr>
      <w:spacing w:after="240" w:line="240" w:lineRule="auto"/>
      <w:jc w:val="center"/>
    </w:pPr>
    <w:rPr>
      <w:rFonts w:ascii="Times New Roman" w:eastAsia="Times New Roman" w:hAnsi="Times New Roman" w:cs="Times New Roman"/>
      <w:b/>
      <w:sz w:val="24"/>
      <w:szCs w:val="24"/>
    </w:rPr>
  </w:style>
  <w:style w:type="paragraph" w:customStyle="1" w:styleId="Objetacteprincipal">
    <w:name w:val="Objet acte principal"/>
    <w:basedOn w:val="Normal"/>
    <w:next w:val="Titrearticle"/>
    <w:pPr>
      <w:spacing w:after="360" w:line="240" w:lineRule="auto"/>
      <w:jc w:val="center"/>
    </w:pPr>
    <w:rPr>
      <w:rFonts w:ascii="Times New Roman" w:eastAsia="Times New Roman" w:hAnsi="Times New Roman" w:cs="Times New Roman"/>
      <w:b/>
      <w:sz w:val="24"/>
      <w:szCs w:val="24"/>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line="240" w:lineRule="auto"/>
      <w:jc w:val="center"/>
    </w:pPr>
    <w:rPr>
      <w:rFonts w:ascii="Times New Roman" w:eastAsia="Times New Roman" w:hAnsi="Times New Roman" w:cs="Times New Roman"/>
      <w:sz w:val="24"/>
      <w:szCs w:val="24"/>
    </w:rPr>
  </w:style>
  <w:style w:type="paragraph" w:styleId="ListBullet">
    <w:name w:val="List Bullet"/>
    <w:basedOn w:val="Normal"/>
    <w:pPr>
      <w:numPr>
        <w:numId w:val="21"/>
      </w:numPr>
      <w:tabs>
        <w:tab w:val="clear" w:pos="709"/>
        <w:tab w:val="num" w:pos="283"/>
      </w:tabs>
      <w:spacing w:before="120" w:after="120" w:line="240" w:lineRule="auto"/>
      <w:ind w:left="283" w:hanging="283"/>
      <w:jc w:val="both"/>
    </w:pPr>
    <w:rPr>
      <w:rFonts w:ascii="Times New Roman" w:eastAsia="Times New Roman" w:hAnsi="Times New Roman" w:cs="Times New Roman"/>
      <w:sz w:val="24"/>
      <w:szCs w:val="24"/>
    </w:rPr>
  </w:style>
  <w:style w:type="paragraph" w:styleId="ListBullet2">
    <w:name w:val="List Bullet 2"/>
    <w:basedOn w:val="Normal"/>
    <w:pPr>
      <w:numPr>
        <w:numId w:val="23"/>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styleId="ListBullet3">
    <w:name w:val="List Bullet 3"/>
    <w:basedOn w:val="Normal"/>
    <w:pPr>
      <w:numPr>
        <w:numId w:val="24"/>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styleId="ListBullet4">
    <w:name w:val="List Bullet 4"/>
    <w:basedOn w:val="Normal"/>
    <w:pPr>
      <w:numPr>
        <w:numId w:val="25"/>
      </w:numPr>
      <w:tabs>
        <w:tab w:val="clear" w:pos="1560"/>
        <w:tab w:val="num" w:pos="1134"/>
      </w:tabs>
      <w:spacing w:before="120" w:after="120" w:line="240" w:lineRule="auto"/>
      <w:ind w:left="1134" w:hanging="283"/>
      <w:jc w:val="both"/>
    </w:pPr>
    <w:rPr>
      <w:rFonts w:ascii="Times New Roman" w:eastAsia="Times New Roman" w:hAnsi="Times New Roman" w:cs="Times New Roman"/>
      <w:sz w:val="24"/>
      <w:szCs w:val="24"/>
    </w:rPr>
  </w:style>
  <w:style w:type="paragraph" w:customStyle="1" w:styleId="ListBullet1">
    <w:name w:val="List Bullet 1"/>
    <w:basedOn w:val="Normal"/>
    <w:pPr>
      <w:numPr>
        <w:numId w:val="15"/>
      </w:numPr>
      <w:spacing w:before="120" w:after="120" w:line="240" w:lineRule="auto"/>
      <w:jc w:val="both"/>
    </w:pPr>
    <w:rPr>
      <w:rFonts w:ascii="Times New Roman" w:eastAsia="Times New Roman" w:hAnsi="Times New Roman" w:cs="Times New Roman"/>
      <w:sz w:val="24"/>
      <w:szCs w:val="24"/>
    </w:rPr>
  </w:style>
  <w:style w:type="paragraph" w:customStyle="1" w:styleId="ListDash">
    <w:name w:val="List Dash"/>
    <w:basedOn w:val="Normal"/>
    <w:pPr>
      <w:numPr>
        <w:numId w:val="16"/>
      </w:numPr>
      <w:spacing w:before="120" w:after="120" w:line="240" w:lineRule="auto"/>
      <w:jc w:val="both"/>
    </w:pPr>
    <w:rPr>
      <w:rFonts w:ascii="Times New Roman" w:eastAsia="Times New Roman" w:hAnsi="Times New Roman" w:cs="Times New Roman"/>
      <w:sz w:val="24"/>
      <w:szCs w:val="24"/>
    </w:rPr>
  </w:style>
  <w:style w:type="paragraph" w:customStyle="1" w:styleId="ListDash1">
    <w:name w:val="List Dash 1"/>
    <w:basedOn w:val="Normal"/>
    <w:pPr>
      <w:numPr>
        <w:numId w:val="17"/>
      </w:numPr>
      <w:spacing w:before="120" w:after="120" w:line="240" w:lineRule="auto"/>
      <w:jc w:val="both"/>
    </w:pPr>
    <w:rPr>
      <w:rFonts w:ascii="Times New Roman" w:eastAsia="Times New Roman" w:hAnsi="Times New Roman" w:cs="Times New Roman"/>
      <w:sz w:val="24"/>
      <w:szCs w:val="24"/>
    </w:rPr>
  </w:style>
  <w:style w:type="paragraph" w:customStyle="1" w:styleId="ListDash2">
    <w:name w:val="List Dash 2"/>
    <w:basedOn w:val="Normal"/>
    <w:pPr>
      <w:numPr>
        <w:numId w:val="18"/>
      </w:numPr>
      <w:spacing w:before="120" w:after="120" w:line="240" w:lineRule="auto"/>
      <w:jc w:val="both"/>
    </w:pPr>
    <w:rPr>
      <w:rFonts w:ascii="Times New Roman" w:eastAsia="Times New Roman" w:hAnsi="Times New Roman" w:cs="Times New Roman"/>
      <w:sz w:val="24"/>
      <w:szCs w:val="24"/>
    </w:rPr>
  </w:style>
  <w:style w:type="paragraph" w:customStyle="1" w:styleId="ListDash3">
    <w:name w:val="List Dash 3"/>
    <w:basedOn w:val="Normal"/>
    <w:pPr>
      <w:numPr>
        <w:numId w:val="19"/>
      </w:numPr>
      <w:spacing w:before="120" w:after="120" w:line="240" w:lineRule="auto"/>
      <w:jc w:val="both"/>
    </w:pPr>
    <w:rPr>
      <w:rFonts w:ascii="Times New Roman" w:eastAsia="Times New Roman" w:hAnsi="Times New Roman" w:cs="Times New Roman"/>
      <w:sz w:val="24"/>
      <w:szCs w:val="24"/>
    </w:rPr>
  </w:style>
  <w:style w:type="paragraph" w:customStyle="1" w:styleId="ListDash4">
    <w:name w:val="List Dash 4"/>
    <w:basedOn w:val="Normal"/>
    <w:pPr>
      <w:numPr>
        <w:numId w:val="20"/>
      </w:numPr>
      <w:spacing w:before="120" w:after="120" w:line="240" w:lineRule="auto"/>
      <w:jc w:val="both"/>
    </w:pPr>
    <w:rPr>
      <w:rFonts w:ascii="Times New Roman" w:eastAsia="Times New Roman" w:hAnsi="Times New Roman" w:cs="Times New Roman"/>
      <w:sz w:val="24"/>
      <w:szCs w:val="24"/>
    </w:rPr>
  </w:style>
  <w:style w:type="paragraph" w:customStyle="1" w:styleId="ListNumber1">
    <w:name w:val="List Number 1"/>
    <w:basedOn w:val="Text1"/>
    <w:pPr>
      <w:numPr>
        <w:numId w:val="22"/>
      </w:numPr>
    </w:pPr>
  </w:style>
  <w:style w:type="paragraph" w:customStyle="1" w:styleId="ListNumberLevel2">
    <w:name w:val="List Number (Level 2)"/>
    <w:basedOn w:val="Normal"/>
    <w:pPr>
      <w:numPr>
        <w:ilvl w:val="1"/>
        <w:numId w:val="21"/>
      </w:numPr>
      <w:spacing w:before="120" w:after="120" w:line="240" w:lineRule="auto"/>
      <w:jc w:val="both"/>
    </w:pPr>
    <w:rPr>
      <w:rFonts w:ascii="Times New Roman" w:eastAsia="Times New Roman" w:hAnsi="Times New Roman" w:cs="Times New Roman"/>
      <w:sz w:val="24"/>
      <w:szCs w:val="24"/>
    </w:rPr>
  </w:style>
  <w:style w:type="paragraph" w:customStyle="1" w:styleId="ListNumber1Level2">
    <w:name w:val="List Number 1 (Level 2)"/>
    <w:basedOn w:val="Text1"/>
    <w:pPr>
      <w:numPr>
        <w:ilvl w:val="1"/>
        <w:numId w:val="22"/>
      </w:numPr>
    </w:pPr>
  </w:style>
  <w:style w:type="paragraph" w:customStyle="1" w:styleId="ListNumber2Level2">
    <w:name w:val="List Number 2 (Level 2)"/>
    <w:basedOn w:val="Text2"/>
    <w:pPr>
      <w:numPr>
        <w:ilvl w:val="1"/>
        <w:numId w:val="23"/>
      </w:numPr>
    </w:pPr>
  </w:style>
  <w:style w:type="paragraph" w:customStyle="1" w:styleId="ListNumber3Level2">
    <w:name w:val="List Number 3 (Level 2)"/>
    <w:basedOn w:val="Text3"/>
    <w:pPr>
      <w:numPr>
        <w:ilvl w:val="1"/>
        <w:numId w:val="24"/>
      </w:numPr>
    </w:pPr>
  </w:style>
  <w:style w:type="paragraph" w:customStyle="1" w:styleId="ListNumber4Level2">
    <w:name w:val="List Number 4 (Level 2)"/>
    <w:basedOn w:val="Text4"/>
    <w:pPr>
      <w:numPr>
        <w:ilvl w:val="1"/>
        <w:numId w:val="25"/>
      </w:numPr>
    </w:pPr>
  </w:style>
  <w:style w:type="paragraph" w:customStyle="1" w:styleId="ListNumberLevel3">
    <w:name w:val="List Number (Level 3)"/>
    <w:basedOn w:val="Normal"/>
    <w:pPr>
      <w:numPr>
        <w:ilvl w:val="2"/>
        <w:numId w:val="21"/>
      </w:numPr>
      <w:spacing w:before="120" w:after="120" w:line="240" w:lineRule="auto"/>
      <w:jc w:val="both"/>
    </w:pPr>
    <w:rPr>
      <w:rFonts w:ascii="Times New Roman" w:eastAsia="Times New Roman" w:hAnsi="Times New Roman" w:cs="Times New Roman"/>
      <w:sz w:val="24"/>
      <w:szCs w:val="24"/>
    </w:rPr>
  </w:style>
  <w:style w:type="paragraph" w:customStyle="1" w:styleId="ListNumber1Level3">
    <w:name w:val="List Number 1 (Level 3)"/>
    <w:basedOn w:val="Text1"/>
    <w:pPr>
      <w:numPr>
        <w:ilvl w:val="2"/>
        <w:numId w:val="22"/>
      </w:numPr>
    </w:pPr>
  </w:style>
  <w:style w:type="paragraph" w:customStyle="1" w:styleId="ListNumber2Level3">
    <w:name w:val="List Number 2 (Level 3)"/>
    <w:basedOn w:val="Text2"/>
    <w:pPr>
      <w:numPr>
        <w:ilvl w:val="2"/>
        <w:numId w:val="23"/>
      </w:numPr>
    </w:pPr>
  </w:style>
  <w:style w:type="paragraph" w:customStyle="1" w:styleId="ListNumber3Level3">
    <w:name w:val="List Number 3 (Level 3)"/>
    <w:basedOn w:val="Text3"/>
    <w:pPr>
      <w:numPr>
        <w:ilvl w:val="2"/>
        <w:numId w:val="24"/>
      </w:numPr>
    </w:pPr>
  </w:style>
  <w:style w:type="paragraph" w:customStyle="1" w:styleId="ListNumber4Level3">
    <w:name w:val="List Number 4 (Level 3)"/>
    <w:basedOn w:val="Text4"/>
    <w:pPr>
      <w:numPr>
        <w:ilvl w:val="2"/>
        <w:numId w:val="25"/>
      </w:numPr>
    </w:pPr>
  </w:style>
  <w:style w:type="paragraph" w:customStyle="1" w:styleId="ListNumberLevel4">
    <w:name w:val="List Number (Level 4)"/>
    <w:basedOn w:val="Normal"/>
    <w:pPr>
      <w:numPr>
        <w:ilvl w:val="3"/>
        <w:numId w:val="21"/>
      </w:numPr>
      <w:spacing w:before="120" w:after="120" w:line="240" w:lineRule="auto"/>
      <w:jc w:val="both"/>
    </w:pPr>
    <w:rPr>
      <w:rFonts w:ascii="Times New Roman" w:eastAsia="Times New Roman" w:hAnsi="Times New Roman" w:cs="Times New Roman"/>
      <w:sz w:val="24"/>
      <w:szCs w:val="24"/>
    </w:rPr>
  </w:style>
  <w:style w:type="paragraph" w:customStyle="1" w:styleId="ListNumber1Level4">
    <w:name w:val="List Number 1 (Level 4)"/>
    <w:basedOn w:val="Text1"/>
    <w:pPr>
      <w:numPr>
        <w:ilvl w:val="3"/>
        <w:numId w:val="22"/>
      </w:numPr>
    </w:pPr>
  </w:style>
  <w:style w:type="paragraph" w:customStyle="1" w:styleId="ListNumber2Level4">
    <w:name w:val="List Number 2 (Level 4)"/>
    <w:basedOn w:val="Text2"/>
    <w:pPr>
      <w:numPr>
        <w:ilvl w:val="3"/>
        <w:numId w:val="23"/>
      </w:numPr>
    </w:pPr>
  </w:style>
  <w:style w:type="paragraph" w:customStyle="1" w:styleId="ListNumber3Level4">
    <w:name w:val="List Number 3 (Level 4)"/>
    <w:basedOn w:val="Text3"/>
    <w:pPr>
      <w:numPr>
        <w:ilvl w:val="3"/>
        <w:numId w:val="24"/>
      </w:numPr>
    </w:pPr>
  </w:style>
  <w:style w:type="paragraph" w:customStyle="1" w:styleId="ListNumber4Level4">
    <w:name w:val="List Number 4 (Level 4)"/>
    <w:basedOn w:val="Text4"/>
    <w:pPr>
      <w:numPr>
        <w:ilvl w:val="3"/>
        <w:numId w:val="25"/>
      </w:numPr>
    </w:pPr>
  </w:style>
  <w:style w:type="paragraph" w:styleId="Caption">
    <w:name w:val="caption"/>
    <w:basedOn w:val="Normal"/>
    <w:next w:val="Normal"/>
    <w:qFormat/>
    <w:pPr>
      <w:spacing w:before="120" w:after="120" w:line="240" w:lineRule="auto"/>
      <w:jc w:val="both"/>
    </w:pPr>
    <w:rPr>
      <w:rFonts w:ascii="Times New Roman" w:eastAsia="Times New Roman" w:hAnsi="Times New Roman" w:cs="Times New Roman"/>
      <w:b/>
      <w:bCs/>
      <w:sz w:val="20"/>
      <w:szCs w:val="20"/>
    </w:rPr>
  </w:style>
  <w:style w:type="paragraph" w:styleId="TableofFigures">
    <w:name w:val="table of figures"/>
    <w:basedOn w:val="Normal"/>
    <w:next w:val="Normal"/>
    <w:semiHidden/>
    <w:pPr>
      <w:spacing w:before="120" w:after="120" w:line="240" w:lineRule="auto"/>
      <w:jc w:val="both"/>
    </w:pPr>
    <w:rPr>
      <w:rFonts w:ascii="Times New Roman" w:eastAsia="Times New Roman" w:hAnsi="Times New Roman" w:cs="Times New Roman"/>
      <w:sz w:val="24"/>
      <w:szCs w:val="24"/>
    </w:rPr>
  </w:style>
  <w:style w:type="paragraph" w:styleId="ListNumber">
    <w:name w:val="List Number"/>
    <w:basedOn w:val="Normal"/>
    <w:pPr>
      <w:numPr>
        <w:numId w:val="26"/>
      </w:numPr>
      <w:spacing w:before="120" w:after="120" w:line="240" w:lineRule="auto"/>
      <w:jc w:val="both"/>
    </w:pPr>
    <w:rPr>
      <w:rFonts w:ascii="Times New Roman" w:eastAsia="Times New Roman" w:hAnsi="Times New Roman" w:cs="Times New Roman"/>
      <w:sz w:val="24"/>
      <w:szCs w:val="24"/>
    </w:rPr>
  </w:style>
  <w:style w:type="paragraph" w:styleId="ListNumber2">
    <w:name w:val="List Number 2"/>
    <w:basedOn w:val="Normal"/>
    <w:pPr>
      <w:numPr>
        <w:numId w:val="27"/>
      </w:numPr>
      <w:spacing w:before="120" w:after="120" w:line="240" w:lineRule="auto"/>
      <w:jc w:val="both"/>
    </w:pPr>
    <w:rPr>
      <w:rFonts w:ascii="Times New Roman" w:eastAsia="Times New Roman" w:hAnsi="Times New Roman" w:cs="Times New Roman"/>
      <w:sz w:val="24"/>
      <w:szCs w:val="24"/>
    </w:rPr>
  </w:style>
  <w:style w:type="paragraph" w:styleId="ListNumber3">
    <w:name w:val="List Number 3"/>
    <w:basedOn w:val="Normal"/>
    <w:pPr>
      <w:numPr>
        <w:numId w:val="28"/>
      </w:numPr>
      <w:spacing w:before="120" w:after="120" w:line="240" w:lineRule="auto"/>
      <w:jc w:val="both"/>
    </w:pPr>
    <w:rPr>
      <w:rFonts w:ascii="Times New Roman" w:eastAsia="Times New Roman" w:hAnsi="Times New Roman" w:cs="Times New Roman"/>
      <w:sz w:val="24"/>
      <w:szCs w:val="24"/>
    </w:rPr>
  </w:style>
  <w:style w:type="paragraph" w:styleId="ListNumber4">
    <w:name w:val="List Number 4"/>
    <w:basedOn w:val="Normal"/>
    <w:pPr>
      <w:numPr>
        <w:numId w:val="29"/>
      </w:numPr>
      <w:spacing w:before="120" w:after="120" w:line="240" w:lineRule="auto"/>
      <w:jc w:val="both"/>
    </w:pPr>
    <w:rPr>
      <w:rFonts w:ascii="Times New Roman" w:eastAsia="Times New Roman" w:hAnsi="Times New Roman" w:cs="Times New Roman"/>
      <w:sz w:val="24"/>
      <w:szCs w:val="24"/>
    </w:rPr>
  </w:style>
  <w:style w:type="character" w:styleId="Hyperlink">
    <w:name w:val="Hyperlink"/>
    <w:uiPriority w:val="99"/>
    <w:rPr>
      <w:color w:val="0000FF"/>
      <w:u w:val="single"/>
      <w:shd w:val="clear" w:color="auto" w:fill="auto"/>
    </w:rPr>
  </w:style>
  <w:style w:type="character" w:styleId="FollowedHyperlink">
    <w:name w:val="FollowedHyperlink"/>
    <w:uiPriority w:val="99"/>
    <w:rPr>
      <w:color w:val="800080"/>
      <w:u w:val="single"/>
      <w:shd w:val="clear" w:color="auto" w:fill="auto"/>
    </w:rPr>
  </w:style>
  <w:style w:type="paragraph" w:customStyle="1" w:styleId="font5">
    <w:name w:val="font5"/>
    <w:basedOn w:val="Normal"/>
    <w:pPr>
      <w:spacing w:before="100" w:beforeAutospacing="1" w:after="100" w:afterAutospacing="1" w:line="240" w:lineRule="auto"/>
    </w:pPr>
    <w:rPr>
      <w:rFonts w:ascii="Arial" w:eastAsia="Times New Roman" w:hAnsi="Arial" w:cs="Arial"/>
      <w:sz w:val="20"/>
      <w:szCs w:val="20"/>
    </w:rPr>
  </w:style>
  <w:style w:type="paragraph" w:customStyle="1" w:styleId="font6">
    <w:name w:val="font6"/>
    <w:basedOn w:val="Normal"/>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7">
    <w:name w:val="xl67"/>
    <w:basedOn w:val="Normal"/>
    <w:pPr>
      <w:pBdr>
        <w:top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68">
    <w:name w:val="xl68"/>
    <w:basedOn w:val="Normal"/>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9">
    <w:name w:val="xl69"/>
    <w:basedOn w:val="Normal"/>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3">
    <w:name w:val="xl73"/>
    <w:basedOn w:val="Normal"/>
    <w:pPr>
      <w:spacing w:before="100" w:beforeAutospacing="1" w:after="100" w:afterAutospacing="1" w:line="240" w:lineRule="auto"/>
      <w:textAlignment w:val="top"/>
    </w:pPr>
    <w:rPr>
      <w:rFonts w:ascii="Arial" w:eastAsia="Times New Roman" w:hAnsi="Arial" w:cs="Arial"/>
      <w:sz w:val="24"/>
      <w:szCs w:val="24"/>
    </w:rPr>
  </w:style>
  <w:style w:type="paragraph" w:customStyle="1" w:styleId="xl74">
    <w:name w:val="xl74"/>
    <w:basedOn w:val="Normal"/>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5">
    <w:name w:val="xl75"/>
    <w:basedOn w:val="Normal"/>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76">
    <w:name w:val="xl76"/>
    <w:basedOn w:val="Normal"/>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7">
    <w:name w:val="xl77"/>
    <w:basedOn w:val="Normal"/>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8">
    <w:name w:val="xl78"/>
    <w:basedOn w:val="Normal"/>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79">
    <w:name w:val="xl79"/>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0">
    <w:name w:val="xl80"/>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1">
    <w:name w:val="xl81"/>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2">
    <w:name w:val="xl8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3">
    <w:name w:val="xl83"/>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6">
    <w:name w:val="xl86"/>
    <w:basedOn w:val="Normal"/>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0">
    <w:name w:val="xl90"/>
    <w:basedOn w:val="Normal"/>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3">
    <w:name w:val="xl93"/>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4">
    <w:name w:val="xl94"/>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8">
    <w:name w:val="xl98"/>
    <w:basedOn w:val="Normal"/>
    <w:pPr>
      <w:pBdr>
        <w:top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9">
    <w:name w:val="xl99"/>
    <w:basedOn w:val="Normal"/>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0">
    <w:name w:val="xl100"/>
    <w:basedOn w:val="Normal"/>
    <w:pP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01">
    <w:name w:val="xl101"/>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2">
    <w:name w:val="xl102"/>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3">
    <w:name w:val="xl103"/>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4">
    <w:name w:val="xl104"/>
    <w:basedOn w:val="Normal"/>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5">
    <w:name w:val="xl65"/>
    <w:basedOn w:val="Normal"/>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customStyle="1" w:styleId="Declassification">
    <w:name w:val="Declassification"/>
    <w:basedOn w:val="Normal"/>
    <w:next w:val="Normal"/>
    <w:pPr>
      <w:spacing w:after="0" w:line="240" w:lineRule="auto"/>
      <w:jc w:val="both"/>
    </w:pPr>
    <w:rPr>
      <w:rFonts w:ascii="Times New Roman" w:hAnsi="Times New Roman" w:cs="Times New Roman"/>
      <w:sz w:val="24"/>
    </w:rPr>
  </w:style>
  <w:style w:type="paragraph" w:customStyle="1" w:styleId="Default">
    <w:name w:val="Default"/>
    <w:basedOn w:val="Normal"/>
    <w:link w:val="DefaultChar"/>
    <w:pPr>
      <w:autoSpaceDE w:val="0"/>
      <w:autoSpaceDN w:val="0"/>
      <w:spacing w:after="0" w:line="240" w:lineRule="auto"/>
    </w:pPr>
    <w:rPr>
      <w:rFonts w:ascii="Symbol" w:hAnsi="Symbol" w:cs="Times New Roman"/>
      <w:color w:val="000000"/>
      <w:sz w:val="24"/>
      <w:szCs w:val="24"/>
    </w:rPr>
  </w:style>
  <w:style w:type="character" w:customStyle="1" w:styleId="AucunA">
    <w:name w:val="Aucun A"/>
    <w:rPr>
      <w:lang w:val="es-ES"/>
    </w:rPr>
  </w:style>
  <w:style w:type="character" w:customStyle="1" w:styleId="DefaultChar">
    <w:name w:val="Default Char"/>
    <w:link w:val="Default"/>
    <w:locked/>
    <w:rPr>
      <w:rFonts w:ascii="Symbol" w:hAnsi="Symbol" w:cs="Times New Roman"/>
      <w:color w:val="000000"/>
      <w:sz w:val="24"/>
      <w:szCs w:val="24"/>
      <w:lang w:eastAsia="es-ES"/>
    </w:r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customStyle="1" w:styleId="highlight">
    <w:name w:val="highlight"/>
    <w:basedOn w:val="DefaultParagraphFont"/>
  </w:style>
  <w:style w:type="character" w:customStyle="1" w:styleId="Standaardalinea-lettertype">
    <w:name w:val="Standaardalinea-lettertype"/>
  </w:style>
  <w:style w:type="paragraph" w:customStyle="1" w:styleId="Kosovo">
    <w:name w:val="Kosovo"/>
    <w:basedOn w:val="Default"/>
    <w:pPr>
      <w:spacing w:after="120"/>
      <w:jc w:val="both"/>
    </w:pPr>
    <w:rPr>
      <w:rFonts w:ascii="Times New Roman" w:eastAsia="Calibri" w:hAnsi="Times New Roman"/>
      <w:bCs/>
      <w:noProof/>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OBC Bullet Char"/>
    <w:link w:val="ListParagraph"/>
    <w:uiPriority w:val="34"/>
    <w:qFormat/>
    <w:locked/>
  </w:style>
  <w:style w:type="paragraph" w:customStyle="1" w:styleId="Raluca">
    <w:name w:val="Raluca"/>
    <w:basedOn w:val="Normal"/>
    <w:pPr>
      <w:spacing w:after="120" w:line="240" w:lineRule="auto"/>
      <w:jc w:val="both"/>
    </w:pPr>
    <w:rPr>
      <w:rFonts w:ascii="Times New Roman" w:hAnsi="Times New Roman" w:cs="Times New Roman"/>
      <w:noProof/>
      <w:sz w:val="24"/>
      <w:szCs w:val="24"/>
    </w:rPr>
  </w:style>
  <w:style w:type="character" w:customStyle="1" w:styleId="ilfuvd">
    <w:name w:val="ilfuvd"/>
    <w:basedOn w:val="DefaultParagraphFont"/>
  </w:style>
  <w:style w:type="paragraph" w:styleId="NoSpacing">
    <w:name w:val="No Spacing"/>
    <w:uiPriority w:val="1"/>
    <w:qFormat/>
    <w:pPr>
      <w:spacing w:after="0" w:line="240" w:lineRule="auto"/>
    </w:pPr>
    <w:rPr>
      <w:rFonts w:ascii="Calibri" w:eastAsia="Calibri" w:hAnsi="Calibri" w:cs="Times New Roman"/>
      <w:noProof/>
    </w:rPr>
  </w:style>
  <w:style w:type="paragraph" w:customStyle="1" w:styleId="kowalski">
    <w:name w:val="kowalski"/>
    <w:basedOn w:val="ListParagraph"/>
    <w:pPr>
      <w:tabs>
        <w:tab w:val="num" w:pos="360"/>
      </w:tabs>
      <w:spacing w:after="120" w:line="240" w:lineRule="auto"/>
      <w:ind w:left="357" w:hanging="357"/>
      <w:contextualSpacing w:val="0"/>
      <w:jc w:val="both"/>
    </w:pPr>
    <w:rPr>
      <w:rFonts w:ascii="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76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s>
</file>

<file path=word/_rels/footnotes.xml.rels><?xml version="1.0" encoding="UTF-8" standalone="yes"?>
<Relationships xmlns="http://schemas.openxmlformats.org/package/2006/relationships"><Relationship Id="rId3" Type="http://schemas.openxmlformats.org/officeDocument/2006/relationships/hyperlink" Target="https://www.consilium.europa.eu/media/34784/sofia-declaration_es.pdf" TargetMode="External"/><Relationship Id="rId2" Type="http://schemas.openxmlformats.org/officeDocument/2006/relationships/hyperlink" Target="http://ec.europa.eu/transparency/regdoc/rep/1/2018/ES/COM-2018-65-F1-ES-MAIN-PART-1.PDF" TargetMode="External"/><Relationship Id="rId1" Type="http://schemas.openxmlformats.org/officeDocument/2006/relationships/hyperlink" Target="https://eur-lex.europa.eu/legal-content/ES/TXT/HTML/?uri=CELEX:52018DC0450&amp;from=ES" TargetMode="External"/><Relationship Id="rId6" Type="http://schemas.openxmlformats.org/officeDocument/2006/relationships/hyperlink" Target="https://eur-lex.europa.eu/legal-content/ES/TXT/HTML/?uri=CELEX:52018PC0465&amp;from=ES" TargetMode="External"/><Relationship Id="rId5" Type="http://schemas.openxmlformats.org/officeDocument/2006/relationships/hyperlink" Target="https://eur-lex.europa.eu/legal-content/ES/TXT/HTML/?uri=CELEX:32015D1208(02)&amp;from=ES" TargetMode="External"/><Relationship Id="rId4" Type="http://schemas.openxmlformats.org/officeDocument/2006/relationships/hyperlink" Target="https://www.consilium.europa.eu/es/press/press-releases/2016/03/18/eu-turke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834D8-22D9-421F-B601-31A9164F8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62</Pages>
  <Words>26803</Words>
  <Characters>181995</Characters>
  <Application>Microsoft Office Word</Application>
  <DocSecurity>0</DocSecurity>
  <Lines>4789</Lines>
  <Paragraphs>2427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HEILEMANN Stefanie (SG)</cp:lastModifiedBy>
  <cp:revision>23</cp:revision>
  <cp:lastPrinted>2019-05-28T11:47:00Z</cp:lastPrinted>
  <dcterms:created xsi:type="dcterms:W3CDTF">2019-05-28T13:52:00Z</dcterms:created>
  <dcterms:modified xsi:type="dcterms:W3CDTF">2019-06-13T08:52:00Z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6.0.1, Build 20180503</vt:lpwstr>
  </property>
</Properties>
</file>