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5ADC7CF-C75D-4151-BF24-C22232421052" style="width:450pt;height:397.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lastRenderedPageBreak/>
        <w:t>PRIEDAS</w:t>
      </w:r>
    </w:p>
    <w:p>
      <w:pPr>
        <w:spacing w:line="360" w:lineRule="auto"/>
        <w:jc w:val="center"/>
        <w:rPr>
          <w:noProof/>
        </w:rPr>
      </w:pPr>
      <w:r>
        <w:rPr>
          <w:noProof/>
        </w:rPr>
        <w:t xml:space="preserve">ES IR KORĖJOS PREKYBOS KOMITETO SPRENDIMAS Nr. 3 </w:t>
      </w:r>
    </w:p>
    <w:p>
      <w:pPr>
        <w:spacing w:line="360" w:lineRule="auto"/>
        <w:jc w:val="center"/>
        <w:rPr>
          <w:noProof/>
        </w:rPr>
      </w:pPr>
      <w:r>
        <w:rPr>
          <w:noProof/>
        </w:rPr>
        <w:t>2019 m. balandžio xx d.</w:t>
      </w:r>
    </w:p>
    <w:p>
      <w:pPr>
        <w:spacing w:line="360" w:lineRule="auto"/>
        <w:jc w:val="center"/>
        <w:rPr>
          <w:noProof/>
        </w:rPr>
      </w:pPr>
      <w:r>
        <w:rPr>
          <w:noProof/>
        </w:rPr>
        <w:t xml:space="preserve">dėl Korėjos ir ES laisvosios prekybos susitarimo 2-C priedo 2-C-2 ir 2-C-3 priedėlių dalinio keitimo </w:t>
      </w:r>
    </w:p>
    <w:p>
      <w:pPr>
        <w:rPr>
          <w:noProof/>
        </w:rPr>
      </w:pPr>
      <w:r>
        <w:rPr>
          <w:noProof/>
        </w:rPr>
        <w:t>PREKYBOS KOMITETAS,</w:t>
      </w:r>
    </w:p>
    <w:p>
      <w:pPr>
        <w:rPr>
          <w:noProof/>
        </w:rPr>
      </w:pPr>
      <w:r>
        <w:rPr>
          <w:noProof/>
        </w:rPr>
        <w:t>atsižvelgdamas į Korėjos Respublikos (toliau – Korėja) ir Europos Sąjungos (toliau – ES) bei jos valstybių narių laisvosios prekybos susitarimą (toliau – atitinkamai Susitarimas ir Šalys) ir ypač į jo 15.1 straipsnio 4 dalies c punktą ir 15.5 straipsnio 2 dalį ir 2-C priedo 3 straipsnio d dalį,</w:t>
      </w:r>
    </w:p>
    <w:p>
      <w:pPr>
        <w:rPr>
          <w:noProof/>
        </w:rPr>
      </w:pPr>
      <w:r>
        <w:rPr>
          <w:noProof/>
        </w:rPr>
        <w:t>kadangi:</w:t>
      </w:r>
    </w:p>
    <w:p>
      <w:pPr>
        <w:pStyle w:val="Point0"/>
        <w:rPr>
          <w:noProof/>
        </w:rPr>
      </w:pPr>
      <w:r>
        <w:rPr>
          <w:noProof/>
        </w:rPr>
        <w:t>(1)</w:t>
      </w:r>
      <w:r>
        <w:rPr>
          <w:noProof/>
        </w:rPr>
        <w:tab/>
        <w:t xml:space="preserve">Šalių įsteigtas Prekybos komitetas pagal Susitarimo 15.1 straipsnio 4 dalies c punktą gali svarstyti Susitarimo pakeitimus arba iš dalies keisti Susitarimo nuostatas konkrečiai Susitarime numatytais atvejais; </w:t>
      </w:r>
    </w:p>
    <w:p>
      <w:pPr>
        <w:pStyle w:val="Point0"/>
        <w:rPr>
          <w:noProof/>
        </w:rPr>
      </w:pPr>
      <w:r>
        <w:rPr>
          <w:noProof/>
        </w:rPr>
        <w:t>(2)</w:t>
      </w:r>
      <w:r>
        <w:rPr>
          <w:noProof/>
        </w:rPr>
        <w:tab/>
        <w:t xml:space="preserve">Susitarimo 15.5 straipsnio 2 dalyje numatyta, kad Prekybos komiteto sprendimą iš dalies keisti Susitarimo priedus, priedėlius, protokolus ir pastabas Šalys gali priimti atsižvelgdamos į joms atitinkamai taikomus teisinius reikalavimus ir procedūras; </w:t>
      </w:r>
    </w:p>
    <w:p>
      <w:pPr>
        <w:pStyle w:val="Point0"/>
        <w:rPr>
          <w:noProof/>
        </w:rPr>
      </w:pPr>
      <w:r>
        <w:rPr>
          <w:noProof/>
        </w:rPr>
        <w:t>(3)</w:t>
      </w:r>
      <w:r>
        <w:rPr>
          <w:noProof/>
        </w:rPr>
        <w:tab/>
        <w:t>Susitarimo 2-C priedo 3 straipsnio d dalimi Šalys įpareigojamos 2-C priedo 2-C-2 ir 2-C-3 priedėlius peržiūrėti ne rečiau kaip kas trejus metus nuo Susitarimo įsigaliojimo, siekdamos skatinti produktų pripažinimą, kaip nurodyta to paties straipsnio a dalyje, atsižvelgdamos į reglamentų pokyčius Šalyse arba tarptautiniu mastu. Toje dalyje taip pat nurodyta, kad sprendimą dėl 2-C-2 ir 2-C-3 priedėlių bet kokių pakeitimų priima Prekybos komitetas;</w:t>
      </w:r>
    </w:p>
    <w:p>
      <w:pPr>
        <w:pStyle w:val="Point0"/>
        <w:rPr>
          <w:noProof/>
        </w:rPr>
      </w:pPr>
      <w:r>
        <w:rPr>
          <w:noProof/>
        </w:rPr>
        <w:t>(4)</w:t>
      </w:r>
      <w:r>
        <w:rPr>
          <w:noProof/>
        </w:rPr>
        <w:tab/>
        <w:t>Korėja ir ES atliko techninių reglamentų pakeitimus tam, kad būtų išlaikytas toks pats patekimo į rinką lygis kaip nurodytas Susitarimo 2-C priedo 1 straipsnio 2 dalyje. Be to, po to, kai buvo priimtas 2017 m. spalio 20 d. Susitarimas dėl suderintų Jungtinių Tautų taisyklių priėmimo ratinėms transporto priemonėms, įrangai ir dalims, kurios gali būti montuojamos ir (arba) naudojamos ratinėse transporto priemonėse, ir pagal šias Jungtinių Tautų taisykles suteiktų patvirtinimų abipusio pripažinimo sąlygų (3 peržiūra)</w:t>
      </w:r>
      <w:r>
        <w:rPr>
          <w:rStyle w:val="FootnoteReference"/>
          <w:noProof/>
        </w:rPr>
        <w:footnoteReference w:id="1"/>
      </w:r>
      <w:r>
        <w:rPr>
          <w:noProof/>
        </w:rPr>
        <w:t>, 2-C-2 ir 2-C-3 priedėliuose  nuorodos į UNECE dabar turėtų būti nuorodomis į JT taisykles;</w:t>
      </w:r>
    </w:p>
    <w:p>
      <w:pPr>
        <w:pStyle w:val="Point0"/>
        <w:rPr>
          <w:noProof/>
        </w:rPr>
      </w:pPr>
      <w:r>
        <w:rPr>
          <w:noProof/>
        </w:rPr>
        <w:t>(5)</w:t>
      </w:r>
      <w:r>
        <w:rPr>
          <w:noProof/>
        </w:rPr>
        <w:tab/>
        <w:t xml:space="preserve">2-C-2 priedėlio 1 lentelė patikslinta taip: </w:t>
      </w:r>
    </w:p>
    <w:p>
      <w:pPr>
        <w:pStyle w:val="Point1"/>
        <w:rPr>
          <w:noProof/>
        </w:rPr>
      </w:pPr>
      <w:r>
        <w:rPr>
          <w:noProof/>
        </w:rPr>
        <w:t>a)</w:t>
      </w:r>
      <w:r>
        <w:rPr>
          <w:noProof/>
        </w:rPr>
        <w:tab/>
        <w:t xml:space="preserve">kadangi JT taisyklės ES taikomos privalomai, siekiant paprastumo buvo nuspręsta iš skilties „Atitinkamas ES techninis reglamentas“ išbraukti nuorodas į ES reglamentus (pvz., BSR) ir direktyvas ir šią skiltį palikti tuščią; </w:t>
      </w:r>
    </w:p>
    <w:p>
      <w:pPr>
        <w:pStyle w:val="Point1"/>
        <w:rPr>
          <w:noProof/>
        </w:rPr>
      </w:pPr>
      <w:r>
        <w:rPr>
          <w:noProof/>
        </w:rPr>
        <w:lastRenderedPageBreak/>
        <w:t>b)</w:t>
      </w:r>
      <w:r>
        <w:rPr>
          <w:noProof/>
        </w:rPr>
        <w:tab/>
        <w:t>tačiau tais atvejais, kai taikytinų JT taisyklių nėra arba jei JT taisyklių taikymo sritis yra netinkama, pavyzdžiui, leistino garso lygio atveju, JT taisyklės pakeičiamos arba papildomos ES reglamentais ar direktyvomis. Dėl šios priežasties eilutė „Atitinkamas ES techninis reglamentas“ papildyta žodžiais „jei yra“;</w:t>
      </w:r>
    </w:p>
    <w:p>
      <w:pPr>
        <w:pStyle w:val="Point1"/>
        <w:rPr>
          <w:noProof/>
        </w:rPr>
      </w:pPr>
      <w:r>
        <w:rPr>
          <w:noProof/>
        </w:rPr>
        <w:t>c) leistino garso lygio ir keičiamųjų triukšmo slopinimo sistemų atveju skiltyje „Atitinkamas ES techninis reglamentas“ įrašytas Reglamentas (ES) Nr. 540/2014, nes juo panaikinama Direktyva 70/157/EEB ir jis taikomas laipsniškai;</w:t>
      </w:r>
    </w:p>
    <w:p>
      <w:pPr>
        <w:pStyle w:val="Point1"/>
        <w:rPr>
          <w:noProof/>
        </w:rPr>
      </w:pPr>
      <w:r>
        <w:rPr>
          <w:noProof/>
        </w:rPr>
        <w:t>d)</w:t>
      </w:r>
      <w:r>
        <w:rPr>
          <w:noProof/>
        </w:rPr>
        <w:tab/>
        <w:t>eilutė „Išmetamieji teršalai“ pakeista eilute „Lengvųjų transporto priemonių išmetamieji teršalai“, nes JT taisyklės Nr. 83 reikalavimai taikomi tik M1 ir N1 kategorijų transporto priemonėms. Taip pat išbraukta nuoroda į Direktyvą 70/220/EEB, nes ji buvo panaikinta ir pakeista reglamentais (EB) Nr. 715/2007, (EB) Nr. 692/2008, (ES) Nr. 459/2012, Reglamentu (ES) 2016/427, Reglamentu (ES) 2016/646, Reglamentu (ES) 2017/1151, Reglamentu (ES) 2017/1154 ir Reglamentu (ES) 2018/1832, kurie įrašyti skiltyje „Atitinkamas ES techninis reglamentas“;</w:t>
      </w:r>
    </w:p>
    <w:p>
      <w:pPr>
        <w:pStyle w:val="Point1"/>
        <w:rPr>
          <w:noProof/>
        </w:rPr>
      </w:pPr>
      <w:r>
        <w:rPr>
          <w:noProof/>
        </w:rPr>
        <w:t>e)</w:t>
      </w:r>
      <w:r>
        <w:rPr>
          <w:noProof/>
        </w:rPr>
        <w:tab/>
        <w:t xml:space="preserve">eilutėje „Atsarginiai kataliziniai konverteriai“ išbraukta nuoroda į Direktyvą 70/220/EEB, nes ji buvo panaikinta ir pakeista reglamentais (EB) Nr. 715/2007 ir (EB) Nr. 692/2008, kurie įrašyti skiltyje „Atitinkamas ES techninis reglamentas“; </w:t>
      </w:r>
    </w:p>
    <w:p>
      <w:pPr>
        <w:pStyle w:val="Point1"/>
        <w:rPr>
          <w:noProof/>
        </w:rPr>
      </w:pPr>
      <w:r>
        <w:rPr>
          <w:noProof/>
        </w:rPr>
        <w:t>f)</w:t>
      </w:r>
      <w:r>
        <w:rPr>
          <w:noProof/>
        </w:rPr>
        <w:tab/>
        <w:t xml:space="preserve">be to, siekiant aiškumo patikslinti tam tikrų dalykų pavadinimai, kurie keitėsi, pavyzdžiui, pavadinimai „Stabdžiai“ ir „Stabdžiai“ pakeisti pavadinimais „Sunkiųjų transporto priemonių stabdžiai“ ir „Lengvųjų transporto priemonių stabdžiai“; </w:t>
      </w:r>
    </w:p>
    <w:p>
      <w:pPr>
        <w:pStyle w:val="Point1"/>
        <w:rPr>
          <w:noProof/>
        </w:rPr>
      </w:pPr>
      <w:r>
        <w:rPr>
          <w:noProof/>
        </w:rPr>
        <w:t>g)</w:t>
      </w:r>
      <w:r>
        <w:rPr>
          <w:noProof/>
        </w:rPr>
        <w:tab/>
        <w:t xml:space="preserve">eilutėje „Dyzelino dūmai“ išbraukta nuoroda į Direktyvą 72/306/EEB, nes ji buvo pakeista Reglamentu (EB) Nr. 692/2008, kuris įrašytas į 1 lentelės skiltį „Atitinkamas ES techninis reglamentas“; </w:t>
      </w:r>
    </w:p>
    <w:p>
      <w:pPr>
        <w:pStyle w:val="Point1"/>
        <w:rPr>
          <w:noProof/>
        </w:rPr>
      </w:pPr>
      <w:r>
        <w:rPr>
          <w:noProof/>
        </w:rPr>
        <w:t>h)</w:t>
      </w:r>
      <w:r>
        <w:rPr>
          <w:noProof/>
        </w:rPr>
        <w:tab/>
        <w:t xml:space="preserve">eilutėje „CO2 išlakos – degalų sąnaudos“ Direktyva 80/1268/EEB pakeista Reglamentu (EB) Nr. 692/2008, kuris įrašytas į 1 lentelės skiltį „Atitinkamas ES techninis reglamentas“, o dalyko pavadinimas dabar yra „Išmetamas CO2 kiekis – keleivinių transporto priemonių, kuriose yra ne daugiau kaip aštuonios vietos be vairuotojo vietos, degalų sąnaudos“, siekiant visapusiškai atsižvelgti į to reglamento taikymo sritį; </w:t>
      </w:r>
    </w:p>
    <w:p>
      <w:pPr>
        <w:pStyle w:val="Point1"/>
        <w:rPr>
          <w:noProof/>
        </w:rPr>
      </w:pPr>
      <w:r>
        <w:rPr>
          <w:noProof/>
        </w:rPr>
        <w:t>i)</w:t>
      </w:r>
      <w:r>
        <w:rPr>
          <w:noProof/>
        </w:rPr>
        <w:tab/>
        <w:t>eilutėje „Variklio galia“ išbraukta nuoroda į Direktyvą 80/1269/EEB, nes ji buvo pakeista reglamentais (EB) Nr. 582/2011 ir (ES) Nr. 582/2011, kurie įrašyti į 1 lentelės skiltį „Atitinkamas ES techninis reglamentas“;</w:t>
      </w:r>
    </w:p>
    <w:p>
      <w:pPr>
        <w:pStyle w:val="Point1"/>
        <w:rPr>
          <w:noProof/>
        </w:rPr>
      </w:pPr>
      <w:r>
        <w:rPr>
          <w:noProof/>
        </w:rPr>
        <w:t>j)</w:t>
      </w:r>
      <w:r>
        <w:rPr>
          <w:noProof/>
        </w:rPr>
        <w:tab/>
        <w:t>eilutėje „Didelės galios transporto priemonių išlakos“ „Direktyva 2005/55/EB“ pakeista Reglamentu (EB) Nr. 595/2009, Reglamentu (ES) Nr. 582/2011 ir Reglamentu (ES) 2016/1718, kurie įrašyti į 1 lentelės skiltį „Atitinkamas ES techninis reglamentas“. Taip pat pakeistas dalyko pavadinimas – „Sunkiųjų transporto priemonių išmetami teršalai“, nes JT 49 taisyklė taikoma didelės galios transporto priemonėms (t. y. transporto priemonėms, kurių standartinė masė viršija 2 610 kg);</w:t>
      </w:r>
    </w:p>
    <w:p>
      <w:pPr>
        <w:pStyle w:val="Point0"/>
        <w:rPr>
          <w:noProof/>
        </w:rPr>
      </w:pPr>
      <w:r>
        <w:rPr>
          <w:noProof/>
        </w:rPr>
        <w:t>(6)</w:t>
      </w:r>
      <w:r>
        <w:rPr>
          <w:noProof/>
        </w:rPr>
        <w:tab/>
        <w:t xml:space="preserve">2-C-2 priedėlio 2 lentelė nekeičiama; </w:t>
      </w:r>
    </w:p>
    <w:p>
      <w:pPr>
        <w:pStyle w:val="Point0"/>
        <w:rPr>
          <w:noProof/>
        </w:rPr>
      </w:pPr>
      <w:r>
        <w:rPr>
          <w:noProof/>
        </w:rPr>
        <w:lastRenderedPageBreak/>
        <w:t>(7)</w:t>
      </w:r>
      <w:r>
        <w:rPr>
          <w:noProof/>
        </w:rPr>
        <w:tab/>
        <w:t>2-C-3 priedėlio 1 lentelė patikslinta taip:</w:t>
      </w:r>
    </w:p>
    <w:p>
      <w:pPr>
        <w:pStyle w:val="Point1"/>
        <w:rPr>
          <w:noProof/>
        </w:rPr>
      </w:pPr>
      <w:r>
        <w:rPr>
          <w:noProof/>
        </w:rPr>
        <w:t>a) eilutėje „Keleivio apsauga nuo smūgio Priekis“ skiltyje „Atitinkamas Korėjos techninis reglamentas“ nuoroda „KMVSS 102 straipsnio 1, 3 dalys“ pakeista nuoroda „KMVSS 102 straipsnis“, nes buvo tikslinti KMVSS;</w:t>
      </w:r>
    </w:p>
    <w:p>
      <w:pPr>
        <w:pStyle w:val="Point1"/>
        <w:rPr>
          <w:noProof/>
        </w:rPr>
      </w:pPr>
      <w:r>
        <w:rPr>
          <w:noProof/>
        </w:rPr>
        <w:t>b)</w:t>
      </w:r>
      <w:r>
        <w:rPr>
          <w:noProof/>
        </w:rPr>
        <w:tab/>
        <w:t>a) eilutėje „Keleivio apsauga nuo smūgio  Šonas“ skiltyje „Atitinkamas Korėjos techninis reglamentas“ nuoroda „KMVSS 102 straipsnio 1 dalis“ pakeista nuoroda „KMVSS 102 straipsnis“, nes buvo tikslinti KMVSS;</w:t>
      </w:r>
    </w:p>
    <w:p>
      <w:pPr>
        <w:pStyle w:val="Point1"/>
        <w:rPr>
          <w:noProof/>
        </w:rPr>
      </w:pPr>
      <w:r>
        <w:rPr>
          <w:noProof/>
        </w:rPr>
        <w:t>c)</w:t>
      </w:r>
      <w:r>
        <w:rPr>
          <w:noProof/>
        </w:rPr>
        <w:tab/>
        <w:t>pakeista visa eilutė „Vilkimo kablys“. „Vilkimo kablys“ pakeista žodžiais „Vilkimo įtaisai“, nes „Vilkimo įtaisai“ yra oficiali Reglamente (ES) Nr. 1005/2010 vartojama sąvoka. Be to, dabar vilkimo įtaisams taikomi reikalavimai yra Reglamentas (ES) Nr. 1005/2010 vietoje 77/389/EEB. Galiausiai atitinkamas Korėjos techninis reglamentas dabar yra KMVSS 20 straipsnio 1 dalis, kuria pakeista ankstesnė nuoroda „KMVSS 20 straipsnio 1, 2, 4 punktai“;</w:t>
      </w:r>
    </w:p>
    <w:p>
      <w:pPr>
        <w:pStyle w:val="Point1"/>
        <w:rPr>
          <w:noProof/>
        </w:rPr>
      </w:pPr>
      <w:r>
        <w:rPr>
          <w:noProof/>
        </w:rPr>
        <w:t>d)</w:t>
      </w:r>
      <w:r>
        <w:rPr>
          <w:noProof/>
        </w:rPr>
        <w:tab/>
        <w:t>eilutėje „Apšvietimo ir įspėjimo sistema“ iš skilties „Atitinkamas Korėjos techninis reglamentas“ išbraukti KMVSS 106 straipsnio 1–10 punktai, taikomi priekiniam žibintui, priekiniam rūko žibintui, atsarginiam žibintui, gabaritiniam žibintui, valstybinio numerio ženklo žibintui, galiniam žibintui, stabdymo žibintui, viduriniam iškeltam stabdymo žibintui, posūkio signalui, papildomam posūkio signalui ir galiniam rūko žibintui, nes buvo pakeisti KMVSS;</w:t>
      </w:r>
    </w:p>
    <w:p>
      <w:pPr>
        <w:pStyle w:val="Point1"/>
        <w:rPr>
          <w:noProof/>
        </w:rPr>
      </w:pPr>
      <w:r>
        <w:rPr>
          <w:noProof/>
        </w:rPr>
        <w:t>e)</w:t>
      </w:r>
      <w:r>
        <w:rPr>
          <w:noProof/>
        </w:rPr>
        <w:tab/>
        <w:t>eilutėje „Apšvietimo ir įspėjimo sistema“ instaliacijai dabar taikomi atitinkami Korėjos techniniai reglamentai yra „KMVSS 38, 38-2, 38-3, 38-4, 38-5, 39, 40, 41, 42, 43, 44, 44-2, 45, 45-2, 47 ir 49 straipsniai“, kuriais pakeista ankstesnė nuoroda „KMVSS 38, 39, 40, 41, 42, 43, 44, 45 ir 47 straipsniai“. Tai padaryta dėl to, kad buvo tikslinti KMVSS;</w:t>
      </w:r>
    </w:p>
    <w:p>
      <w:pPr>
        <w:pStyle w:val="Point1"/>
        <w:rPr>
          <w:noProof/>
        </w:rPr>
      </w:pPr>
      <w:r>
        <w:rPr>
          <w:noProof/>
        </w:rPr>
        <w:t>f)</w:t>
      </w:r>
      <w:r>
        <w:rPr>
          <w:noProof/>
        </w:rPr>
        <w:tab/>
        <w:t>eilutėje „Apšvietimo ir įspėjimo sistema“ įrašyta „Dienos žibintas“ ir „Posūkio apšvietimo žibintas“, nes buvo pakeisti KMVSS ir siekiama atsižvelgti į atnaujintus apšvietimo ir įspėjimo sistemų montavimo reikalavimus;</w:t>
      </w:r>
    </w:p>
    <w:p>
      <w:pPr>
        <w:pStyle w:val="Point1"/>
        <w:rPr>
          <w:noProof/>
        </w:rPr>
      </w:pPr>
      <w:r>
        <w:rPr>
          <w:noProof/>
        </w:rPr>
        <w:t>g)</w:t>
      </w:r>
      <w:r>
        <w:rPr>
          <w:noProof/>
        </w:rPr>
        <w:tab/>
        <w:t>eilutės „Apšvietimo ir įspėjimo sistema“ skiltyje „Atitinkamas Korėjos techninis reglamentas“ be to, kad išbrauktas KMVSS 106 straipsnio 8 punktas, taip pat išbraukta KMVSS 43 straipsnio 3 dalis, nes ji pakeista KMVSS 43 straipsnio 2 dalimi;</w:t>
      </w:r>
    </w:p>
    <w:p>
      <w:pPr>
        <w:pStyle w:val="Point1"/>
        <w:rPr>
          <w:noProof/>
        </w:rPr>
      </w:pPr>
      <w:r>
        <w:rPr>
          <w:noProof/>
        </w:rPr>
        <w:t>h)</w:t>
      </w:r>
      <w:r>
        <w:rPr>
          <w:noProof/>
        </w:rPr>
        <w:tab/>
        <w:t>eilutėje „Apšvietimo ir įspėjimo sistema“ įrašyta „Šoninis gabaritinis žibintas“, nes buvo tikslinti KMVSS ir siekiama atsižvelgti į atnaujintus apšvietimo ir įspėjimo sistemų montavimo reikalavimus;</w:t>
      </w:r>
    </w:p>
    <w:p>
      <w:pPr>
        <w:pStyle w:val="Point1"/>
        <w:rPr>
          <w:noProof/>
        </w:rPr>
      </w:pPr>
      <w:r>
        <w:rPr>
          <w:noProof/>
        </w:rPr>
        <w:t>i)</w:t>
      </w:r>
      <w:r>
        <w:rPr>
          <w:noProof/>
        </w:rPr>
        <w:tab/>
        <w:t xml:space="preserve">eilutėje „Apšvietimo ir įspėjimo sistema“ šviesogrąžiams prietaisams dabar taikomas atitinkamas Korėjos techninis reglamentas yra KMVSS 49 straipsnis, kurio nuoroda pakeista ankstesnė nuoroda „KMVSS 49 straipsnio 1, 2 dalys, 107 straipsnis“. Tai padaryta dėl to, kad buvo tikslinti KMVSS; </w:t>
      </w:r>
    </w:p>
    <w:p>
      <w:pPr>
        <w:pStyle w:val="Point1"/>
        <w:rPr>
          <w:noProof/>
        </w:rPr>
      </w:pPr>
      <w:r>
        <w:rPr>
          <w:noProof/>
        </w:rPr>
        <w:t>j)</w:t>
      </w:r>
      <w:r>
        <w:rPr>
          <w:noProof/>
        </w:rPr>
        <w:tab/>
        <w:t>eilutėje „Variklio galia“ dabar taikomas atitinkamas Korėjos techninis reglamentas yra KMVSS 111 straipsnis, kuriuo pakeista ankstesnė nuoroda „KMVSS 11 straipsnio 1 dalies 2 punktas, 111 straipsnis“. Tai padaryta dėl to, kad buvo tikslinti KMVSS;</w:t>
      </w:r>
    </w:p>
    <w:p>
      <w:pPr>
        <w:pStyle w:val="Point1"/>
        <w:rPr>
          <w:noProof/>
        </w:rPr>
      </w:pPr>
      <w:r>
        <w:rPr>
          <w:noProof/>
        </w:rPr>
        <w:t>k)</w:t>
      </w:r>
      <w:r>
        <w:rPr>
          <w:noProof/>
        </w:rPr>
        <w:tab/>
        <w:t>eilutės „Prietaisas, kuriuo užtikrinamas vairuotojo matomumas“ skiltyje „Reikalavimai“ išbrauktos nuorodos „78/318/EEB“ ir „78/317/EEB“, nes šie teisės aktai panaikinti ir pakeisti Reglamentu (ES) Nr. 1008/2010 arba Reglamentu (ES) Nr. 672/2010. Atitinkami Korėjos techniniai reglamentai nepakeisti;</w:t>
      </w:r>
    </w:p>
    <w:p>
      <w:pPr>
        <w:pStyle w:val="Point1"/>
        <w:rPr>
          <w:noProof/>
        </w:rPr>
      </w:pPr>
      <w:r>
        <w:rPr>
          <w:noProof/>
        </w:rPr>
        <w:t>l)</w:t>
      </w:r>
      <w:r>
        <w:rPr>
          <w:noProof/>
        </w:rPr>
        <w:tab/>
        <w:t xml:space="preserve">eilutėje „Saugos diržų susegimo tvirtinimo detalės“ atitinkamas Korėjos techninis reglamentas dabar yra KMVSS 27 straipsnio 1, 2, 3, 4 dalys ir 103 straipsnis, ir šia nuoroda pakeistos ankstesnės nuorodos „KMVSS 27 straipsnio 1–5 dalys, 103 straipsnio 1–3 dalys“. Tai padaryta dėl to, kad buvo tikslinti KMVSS; </w:t>
      </w:r>
    </w:p>
    <w:p>
      <w:pPr>
        <w:pStyle w:val="Point1"/>
        <w:rPr>
          <w:noProof/>
        </w:rPr>
      </w:pPr>
      <w:r>
        <w:rPr>
          <w:noProof/>
        </w:rPr>
        <w:t>m)</w:t>
      </w:r>
      <w:r>
        <w:rPr>
          <w:noProof/>
        </w:rPr>
        <w:tab/>
        <w:t>eilutėje „Motociklų išmetamieji teršalai ir triukšmas (išskyrus triračių arba keturračių pašalinį triukšmą)“ skiltyje „Reikalavimai“ išbrauktos nuorodos į direktyvas 2002/51/EB, 2003/77/EB, 97/24/EB 5 ir 9 skyrių, nes jos buvo panaikintos ir pakeistos reglamentais (ES) Nr. 168/2013, (ES) Nr. 134/2014. Atitinkami Korėjos techniniai reglamentai nepakeisti;</w:t>
      </w:r>
    </w:p>
    <w:p>
      <w:pPr>
        <w:pStyle w:val="Point1"/>
        <w:rPr>
          <w:noProof/>
        </w:rPr>
      </w:pPr>
      <w:r>
        <w:rPr>
          <w:noProof/>
        </w:rPr>
        <w:t>n)</w:t>
      </w:r>
      <w:r>
        <w:rPr>
          <w:noProof/>
        </w:rPr>
        <w:tab/>
        <w:t>eilutės „Dyzelino išmetamieji teršalai (įsk. TPĮD)“ „Transporto priemonės, neviršijančios 3,5 t“ skiltyje „Reikalavimai“ įrašytos šios nuorodos: reglamentai (EB) Nr. 715/2007 ir (ES) Nr. 459/2012, nes tai yra taikytini reglamentai, atitinkantys KMVSS. Atitinkami Korėjos techniniai reglamentai nepakeisti;</w:t>
      </w:r>
    </w:p>
    <w:p>
      <w:pPr>
        <w:pStyle w:val="Point1"/>
        <w:rPr>
          <w:noProof/>
        </w:rPr>
      </w:pPr>
      <w:r>
        <w:rPr>
          <w:noProof/>
        </w:rPr>
        <w:t>o)</w:t>
      </w:r>
      <w:r>
        <w:rPr>
          <w:noProof/>
        </w:rPr>
        <w:tab/>
        <w:t>eilutės „Dyzelino išmetamieji teršalai (įsk. TPĮD)“ „Transporto priemonės, viršijančios 3,5 t“ skiltyje „Reikalavimai“ Reglamentas (EB) 692/2008 išbrauktas ir pakeistas reglamentais (EB) Nr. 595/2009 ir (ES) Nr. 582/2011, nes Reglamentas (EB) Nr. 692/2008 netaikomas didelės galios transporto priemonėms. Atitinkami Korėjos techniniai reglamentai nepakeisti;</w:t>
      </w:r>
    </w:p>
    <w:p>
      <w:pPr>
        <w:pStyle w:val="Point1"/>
        <w:rPr>
          <w:noProof/>
        </w:rPr>
      </w:pPr>
      <w:r>
        <w:rPr>
          <w:noProof/>
        </w:rPr>
        <w:t>p)</w:t>
      </w:r>
      <w:r>
        <w:rPr>
          <w:noProof/>
        </w:rPr>
        <w:tab/>
        <w:t>eilutėje „Padangos“ atitinkami Korėjos techniniai reglamentai dabar nurodomi taip: Elektros prietaisų ir vartotojų produktų saugos kontrolės akto 15, 18 ir 19 straipsniai; Elektros prietaisų ir vartotojų produktų saugos kontrolės akto įgyvendinimo taisyklių 3 straipsnio 4 dalis, 26 straipsnis; KMVSS 12 straipsnio 1 dalis, kuria pakeista ankstesnė nuoroda „Pramoninių produktų kokybės valdymo, saugos ir kontrolės aktas (QMSCIPA) (19, 20, 21 straipsniai); QMSCIPA įgyvendinimo taisyklės 2 straipsnio 2 dalis, 19 straipsnis“. Taip padaryta dėl to, kad QMSCIPA pakeistas Elektros prietaisų ir vartotojų produktų saugos kontrolės aktu;</w:t>
      </w:r>
    </w:p>
    <w:p>
      <w:pPr>
        <w:pStyle w:val="Point0"/>
        <w:rPr>
          <w:noProof/>
        </w:rPr>
      </w:pPr>
      <w:r>
        <w:rPr>
          <w:noProof/>
        </w:rPr>
        <w:t>(8)</w:t>
      </w:r>
      <w:r>
        <w:rPr>
          <w:noProof/>
        </w:rPr>
        <w:tab/>
        <w:t xml:space="preserve">2-C-3 priedėlio 2 lentelė nekeičiama; </w:t>
      </w:r>
    </w:p>
    <w:p>
      <w:pPr>
        <w:pStyle w:val="Point0"/>
        <w:rPr>
          <w:noProof/>
        </w:rPr>
      </w:pPr>
      <w:r>
        <w:rPr>
          <w:noProof/>
        </w:rPr>
        <w:t>(9)</w:t>
      </w:r>
      <w:r>
        <w:rPr>
          <w:noProof/>
        </w:rPr>
        <w:tab/>
        <w:t>vadovaujantis 2011 m. gruodžio 23 d. Korėjos ir ES prekybos komiteto sprendimo Nr. 1 dėl Prekybos komiteto darbo tvarkos taisyklių priėmimo priedo 12 straipsnio 2 dalimi, laikotarpiu tarp Prekybos komiteto posėdžių jis gali priimti sprendimus taikydamas rašytinę procedūrą, jei tam pritaria abi Šalys. Rašytinė procedūra yra Prekybos komiteto pirmininkų pasikeitimas raštais,</w:t>
      </w:r>
    </w:p>
    <w:p>
      <w:pPr>
        <w:spacing w:line="276" w:lineRule="auto"/>
        <w:rPr>
          <w:noProof/>
        </w:rPr>
      </w:pPr>
      <w:r>
        <w:rPr>
          <w:noProof/>
        </w:rPr>
        <w:t>PRIĖMĖ ŠĮ SPRENDIMĄ:</w:t>
      </w:r>
    </w:p>
    <w:p>
      <w:pPr>
        <w:spacing w:line="276" w:lineRule="auto"/>
        <w:jc w:val="center"/>
        <w:rPr>
          <w:i/>
          <w:noProof/>
        </w:rPr>
      </w:pPr>
      <w:r>
        <w:rPr>
          <w:i/>
          <w:noProof/>
        </w:rPr>
        <w:t>1 straipsnis</w:t>
      </w:r>
    </w:p>
    <w:p>
      <w:pPr>
        <w:rPr>
          <w:noProof/>
        </w:rPr>
      </w:pPr>
      <w:r>
        <w:rPr>
          <w:noProof/>
        </w:rPr>
        <w:t>Susitarimo 2-C priedo 2-C-2 priedėlio 1 lentelė pakeičiama šio sprendimo 1 priedo 1 lentele.</w:t>
      </w:r>
    </w:p>
    <w:p>
      <w:pPr>
        <w:spacing w:line="276" w:lineRule="auto"/>
        <w:jc w:val="center"/>
        <w:rPr>
          <w:i/>
          <w:noProof/>
        </w:rPr>
      </w:pPr>
      <w:r>
        <w:rPr>
          <w:i/>
          <w:noProof/>
        </w:rPr>
        <w:t>2 straipsnis</w:t>
      </w:r>
    </w:p>
    <w:p>
      <w:pPr>
        <w:rPr>
          <w:noProof/>
        </w:rPr>
      </w:pPr>
      <w:r>
        <w:rPr>
          <w:noProof/>
        </w:rPr>
        <w:t xml:space="preserve">Susitarimo 2-C priedo 2-C-3 priedėlio 1 lentelė pakeičiama šio sprendimo 1 priedo 2 lentele. </w:t>
      </w:r>
    </w:p>
    <w:p>
      <w:pPr>
        <w:spacing w:line="276" w:lineRule="auto"/>
        <w:jc w:val="center"/>
        <w:rPr>
          <w:i/>
          <w:noProof/>
        </w:rPr>
      </w:pPr>
      <w:r>
        <w:rPr>
          <w:i/>
          <w:noProof/>
        </w:rPr>
        <w:t>3 straipsnis</w:t>
      </w:r>
    </w:p>
    <w:p>
      <w:pPr>
        <w:spacing w:after="480"/>
        <w:rPr>
          <w:noProof/>
        </w:rPr>
      </w:pPr>
      <w:r>
        <w:rPr>
          <w:noProof/>
        </w:rPr>
        <w:t>Šis sprendimas įsigalioja pirmo mėnesio po dienos, kurią Šalys diplomatiniais kanalais pasikeičia rašytiniais pranešimais, kuriais patvirtina įvykdžiusios atitinkamus taikytinus teisinius reikalavimus ir pabaigė procedūras, reikalingas, kad šis sprendimas įsigaliotų, pirmąją dieną.</w:t>
      </w:r>
    </w:p>
    <w:tbl>
      <w:tblPr>
        <w:tblW w:w="0" w:type="auto"/>
        <w:tblLook w:val="04A0" w:firstRow="1" w:lastRow="0" w:firstColumn="1" w:lastColumn="0" w:noHBand="0" w:noVBand="1"/>
      </w:tblPr>
      <w:tblGrid>
        <w:gridCol w:w="4379"/>
        <w:gridCol w:w="38"/>
        <w:gridCol w:w="4341"/>
        <w:gridCol w:w="76"/>
      </w:tblGrid>
      <w:tr>
        <w:trPr>
          <w:gridAfter w:val="1"/>
          <w:wAfter w:w="76" w:type="dxa"/>
        </w:trPr>
        <w:tc>
          <w:tcPr>
            <w:tcW w:w="4379" w:type="dxa"/>
          </w:tcPr>
          <w:p>
            <w:pPr>
              <w:rPr>
                <w:noProof/>
              </w:rPr>
            </w:pPr>
            <w:r>
              <w:rPr>
                <w:noProof/>
              </w:rPr>
              <w:t xml:space="preserve">Prekybos komiteto vardu </w:t>
            </w:r>
          </w:p>
        </w:tc>
        <w:tc>
          <w:tcPr>
            <w:tcW w:w="4379" w:type="dxa"/>
            <w:gridSpan w:val="2"/>
          </w:tcPr>
          <w:p>
            <w:pPr>
              <w:rPr>
                <w:noProof/>
              </w:rPr>
            </w:pPr>
          </w:p>
        </w:tc>
      </w:tr>
      <w:tr>
        <w:trPr>
          <w:gridAfter w:val="1"/>
          <w:wAfter w:w="76" w:type="dxa"/>
        </w:trPr>
        <w:tc>
          <w:tcPr>
            <w:tcW w:w="4379" w:type="dxa"/>
          </w:tcPr>
          <w:p>
            <w:pPr>
              <w:jc w:val="left"/>
              <w:rPr>
                <w:noProof/>
              </w:rPr>
            </w:pPr>
            <w:r>
              <w:rPr>
                <w:noProof/>
              </w:rPr>
              <w:t>Yoo Myung-hee</w:t>
            </w:r>
          </w:p>
          <w:p>
            <w:pPr>
              <w:jc w:val="left"/>
              <w:rPr>
                <w:noProof/>
              </w:rPr>
            </w:pPr>
            <w:r>
              <w:rPr>
                <w:noProof/>
              </w:rPr>
              <w:t>Prekybos ministrė</w:t>
            </w:r>
          </w:p>
          <w:p>
            <w:pPr>
              <w:rPr>
                <w:noProof/>
              </w:rPr>
            </w:pPr>
            <w:r>
              <w:rPr>
                <w:noProof/>
              </w:rPr>
              <w:t>Korėjos Respublikos prekybos, pramonės ir energetikos ministerija</w:t>
            </w:r>
          </w:p>
        </w:tc>
        <w:tc>
          <w:tcPr>
            <w:tcW w:w="4379" w:type="dxa"/>
            <w:gridSpan w:val="2"/>
          </w:tcPr>
          <w:p>
            <w:pPr>
              <w:jc w:val="left"/>
              <w:rPr>
                <w:noProof/>
              </w:rPr>
            </w:pPr>
            <w:r>
              <w:rPr>
                <w:noProof/>
              </w:rPr>
              <w:t>Cecilia MALMSTRÖM</w:t>
            </w:r>
          </w:p>
          <w:p>
            <w:pPr>
              <w:jc w:val="left"/>
              <w:rPr>
                <w:noProof/>
              </w:rPr>
            </w:pPr>
            <w:r>
              <w:rPr>
                <w:noProof/>
              </w:rPr>
              <w:t>Už prekybą atsakinga Europos Komisijos narė</w:t>
            </w:r>
          </w:p>
          <w:p>
            <w:pPr>
              <w:rPr>
                <w:noProof/>
              </w:rPr>
            </w:pPr>
          </w:p>
        </w:tc>
      </w:tr>
      <w:tr>
        <w:tblPrEx>
          <w:tblLook w:val="01E0" w:firstRow="1" w:lastRow="1" w:firstColumn="1" w:lastColumn="1" w:noHBand="0" w:noVBand="0"/>
        </w:tblPrEx>
        <w:tc>
          <w:tcPr>
            <w:tcW w:w="4417" w:type="dxa"/>
            <w:gridSpan w:val="2"/>
            <w:shd w:val="clear" w:color="auto" w:fill="auto"/>
          </w:tcPr>
          <w:p>
            <w:pPr>
              <w:spacing w:before="0" w:after="0" w:line="276" w:lineRule="auto"/>
              <w:rPr>
                <w:noProof/>
              </w:rPr>
            </w:pPr>
          </w:p>
        </w:tc>
        <w:tc>
          <w:tcPr>
            <w:tcW w:w="4417" w:type="dxa"/>
            <w:gridSpan w:val="2"/>
            <w:shd w:val="clear" w:color="auto" w:fill="auto"/>
          </w:tcPr>
          <w:p>
            <w:pPr>
              <w:spacing w:before="0" w:after="0" w:line="276" w:lineRule="auto"/>
              <w:rPr>
                <w:noProof/>
              </w:rPr>
            </w:pPr>
          </w:p>
        </w:tc>
      </w:tr>
    </w:tbl>
    <w:p>
      <w:pPr>
        <w:spacing w:before="0" w:after="200" w:line="276" w:lineRule="auto"/>
        <w:jc w:val="left"/>
        <w:rPr>
          <w:noProof/>
        </w:rPr>
        <w:sectPr>
          <w:footerReference w:type="default" r:id="rId16"/>
          <w:footerReference w:type="first" r:id="rId17"/>
          <w:pgSz w:w="11906" w:h="16838"/>
          <w:pgMar w:top="1020" w:right="1701" w:bottom="1020" w:left="1587" w:header="601" w:footer="1077" w:gutter="0"/>
          <w:cols w:space="720"/>
          <w:docGrid w:linePitch="326"/>
        </w:sectPr>
      </w:pPr>
    </w:p>
    <w:p>
      <w:pPr>
        <w:jc w:val="right"/>
        <w:rPr>
          <w:noProof/>
        </w:rPr>
      </w:pPr>
      <w:r>
        <w:rPr>
          <w:noProof/>
        </w:rPr>
        <w:t>1 priedas</w:t>
      </w:r>
    </w:p>
    <w:p>
      <w:pPr>
        <w:jc w:val="center"/>
        <w:rPr>
          <w:noProof/>
        </w:rPr>
      </w:pPr>
      <w:r>
        <w:rPr>
          <w:noProof/>
        </w:rPr>
        <w:t>2-C-2 priedėlis</w:t>
      </w:r>
    </w:p>
    <w:p>
      <w:pPr>
        <w:jc w:val="center"/>
        <w:rPr>
          <w:noProof/>
        </w:rPr>
      </w:pPr>
      <w:r>
        <w:rPr>
          <w:noProof/>
        </w:rPr>
        <w:t>1 lentelė</w:t>
      </w:r>
    </w:p>
    <w:p>
      <w:pPr>
        <w:jc w:val="center"/>
        <w:rPr>
          <w:b/>
          <w:noProof/>
        </w:rPr>
      </w:pPr>
      <w:r>
        <w:rPr>
          <w:b/>
          <w:noProof/>
        </w:rPr>
        <w:t>2-C priedo 3 straipsnio a dalies i punkte nurodytas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944"/>
        <w:gridCol w:w="2921"/>
      </w:tblGrid>
      <w:tr>
        <w:trPr>
          <w:tblHeader/>
        </w:trPr>
        <w:tc>
          <w:tcPr>
            <w:tcW w:w="3080" w:type="dxa"/>
            <w:shd w:val="clear" w:color="auto" w:fill="auto"/>
            <w:vAlign w:val="center"/>
          </w:tcPr>
          <w:p>
            <w:pPr>
              <w:shd w:val="clear" w:color="auto" w:fill="FFFFFF"/>
              <w:spacing w:line="220" w:lineRule="exact"/>
              <w:jc w:val="left"/>
              <w:rPr>
                <w:noProof/>
              </w:rPr>
            </w:pPr>
            <w:r>
              <w:rPr>
                <w:noProof/>
              </w:rPr>
              <w:t>Dalykas</w:t>
            </w:r>
          </w:p>
        </w:tc>
        <w:tc>
          <w:tcPr>
            <w:tcW w:w="3081" w:type="dxa"/>
            <w:shd w:val="clear" w:color="auto" w:fill="auto"/>
            <w:vAlign w:val="center"/>
          </w:tcPr>
          <w:p>
            <w:pPr>
              <w:shd w:val="clear" w:color="auto" w:fill="FFFFFF"/>
              <w:spacing w:line="220" w:lineRule="exact"/>
              <w:ind w:left="280"/>
              <w:jc w:val="left"/>
              <w:rPr>
                <w:noProof/>
              </w:rPr>
            </w:pPr>
            <w:r>
              <w:rPr>
                <w:noProof/>
              </w:rPr>
              <w:t>Reikalavimai</w:t>
            </w:r>
          </w:p>
        </w:tc>
        <w:tc>
          <w:tcPr>
            <w:tcW w:w="3081" w:type="dxa"/>
            <w:shd w:val="clear" w:color="auto" w:fill="auto"/>
            <w:vAlign w:val="bottom"/>
          </w:tcPr>
          <w:p>
            <w:pPr>
              <w:shd w:val="clear" w:color="auto" w:fill="FFFFFF"/>
              <w:spacing w:line="274" w:lineRule="exact"/>
              <w:jc w:val="left"/>
              <w:rPr>
                <w:noProof/>
              </w:rPr>
            </w:pPr>
            <w:r>
              <w:rPr>
                <w:noProof/>
              </w:rPr>
              <w:t>Atitinkamas ES techninis reglamentas (jei yra)</w:t>
            </w:r>
            <w:r>
              <w:rPr>
                <w:rStyle w:val="FootnoteReference"/>
                <w:noProof/>
              </w:rPr>
              <w:footnoteReference w:id="2"/>
            </w:r>
          </w:p>
        </w:tc>
      </w:tr>
      <w:tr>
        <w:tc>
          <w:tcPr>
            <w:tcW w:w="3080" w:type="dxa"/>
            <w:shd w:val="clear" w:color="auto" w:fill="auto"/>
            <w:vAlign w:val="center"/>
          </w:tcPr>
          <w:p>
            <w:pPr>
              <w:shd w:val="clear" w:color="auto" w:fill="FFFFFF"/>
              <w:spacing w:line="240" w:lineRule="atLeast"/>
              <w:jc w:val="left"/>
              <w:rPr>
                <w:noProof/>
              </w:rPr>
            </w:pPr>
            <w:r>
              <w:rPr>
                <w:noProof/>
              </w:rPr>
              <w:t>Leistinas garso lygis</w:t>
            </w:r>
          </w:p>
        </w:tc>
        <w:tc>
          <w:tcPr>
            <w:tcW w:w="3081" w:type="dxa"/>
            <w:shd w:val="clear" w:color="auto" w:fill="auto"/>
            <w:vAlign w:val="center"/>
          </w:tcPr>
          <w:p>
            <w:pPr>
              <w:shd w:val="clear" w:color="auto" w:fill="FFFFFF"/>
              <w:spacing w:line="240" w:lineRule="atLeast"/>
              <w:ind w:left="20"/>
              <w:jc w:val="left"/>
              <w:rPr>
                <w:noProof/>
              </w:rPr>
            </w:pPr>
            <w:r>
              <w:rPr>
                <w:noProof/>
              </w:rPr>
              <w:t>JT taisyklė</w:t>
            </w:r>
            <w:r>
              <w:rPr>
                <w:rStyle w:val="FootnoteReference"/>
                <w:noProof/>
              </w:rPr>
              <w:footnoteReference w:id="3"/>
            </w:r>
            <w:r>
              <w:rPr>
                <w:noProof/>
              </w:rPr>
              <w:t xml:space="preserve"> Nr. 51</w:t>
            </w:r>
          </w:p>
        </w:tc>
        <w:tc>
          <w:tcPr>
            <w:tcW w:w="3081" w:type="dxa"/>
            <w:shd w:val="clear" w:color="auto" w:fill="auto"/>
            <w:vAlign w:val="center"/>
          </w:tcPr>
          <w:p>
            <w:pPr>
              <w:shd w:val="clear" w:color="auto" w:fill="FFFFFF"/>
              <w:spacing w:line="240" w:lineRule="atLeast"/>
              <w:ind w:left="20"/>
              <w:jc w:val="left"/>
              <w:rPr>
                <w:noProof/>
              </w:rPr>
            </w:pPr>
            <w:r>
              <w:rPr>
                <w:noProof/>
              </w:rPr>
              <w:t>Direktyva 70/157/EEB, Reglamentas (ES) Nr. 540/2014</w:t>
            </w:r>
          </w:p>
        </w:tc>
      </w:tr>
      <w:tr>
        <w:tc>
          <w:tcPr>
            <w:tcW w:w="3080" w:type="dxa"/>
            <w:shd w:val="clear" w:color="auto" w:fill="auto"/>
            <w:vAlign w:val="center"/>
          </w:tcPr>
          <w:p>
            <w:pPr>
              <w:shd w:val="clear" w:color="auto" w:fill="FFFFFF"/>
              <w:spacing w:line="240" w:lineRule="atLeast"/>
              <w:jc w:val="left"/>
              <w:rPr>
                <w:noProof/>
              </w:rPr>
            </w:pPr>
            <w:r>
              <w:rPr>
                <w:noProof/>
              </w:rPr>
              <w:t>Keičiamosios triukšmo slopinimo sistemos</w:t>
            </w:r>
          </w:p>
        </w:tc>
        <w:tc>
          <w:tcPr>
            <w:tcW w:w="3081" w:type="dxa"/>
            <w:shd w:val="clear" w:color="auto" w:fill="auto"/>
            <w:vAlign w:val="bottom"/>
          </w:tcPr>
          <w:p>
            <w:pPr>
              <w:shd w:val="clear" w:color="auto" w:fill="FFFFFF"/>
              <w:spacing w:line="240" w:lineRule="atLeast"/>
              <w:jc w:val="left"/>
              <w:rPr>
                <w:noProof/>
              </w:rPr>
            </w:pPr>
            <w:r>
              <w:rPr>
                <w:noProof/>
              </w:rPr>
              <w:t>JT taisyklė Nr. 59</w:t>
            </w:r>
          </w:p>
        </w:tc>
        <w:tc>
          <w:tcPr>
            <w:tcW w:w="3081" w:type="dxa"/>
            <w:shd w:val="clear" w:color="auto" w:fill="auto"/>
            <w:vAlign w:val="bottom"/>
          </w:tcPr>
          <w:p>
            <w:pPr>
              <w:shd w:val="clear" w:color="auto" w:fill="FFFFFF"/>
              <w:spacing w:line="240" w:lineRule="atLeast"/>
              <w:jc w:val="left"/>
              <w:rPr>
                <w:noProof/>
              </w:rPr>
            </w:pPr>
            <w:r>
              <w:rPr>
                <w:noProof/>
              </w:rPr>
              <w:t>Direktyva 70/157/EEB, Reglamentas (ES) Nr. 540/2014</w:t>
            </w:r>
          </w:p>
        </w:tc>
      </w:tr>
      <w:tr>
        <w:tc>
          <w:tcPr>
            <w:tcW w:w="3080" w:type="dxa"/>
            <w:shd w:val="clear" w:color="auto" w:fill="auto"/>
          </w:tcPr>
          <w:p>
            <w:pPr>
              <w:shd w:val="clear" w:color="auto" w:fill="FFFFFF"/>
              <w:spacing w:line="240" w:lineRule="atLeast"/>
              <w:jc w:val="left"/>
              <w:rPr>
                <w:noProof/>
              </w:rPr>
            </w:pPr>
            <w:r>
              <w:rPr>
                <w:noProof/>
              </w:rPr>
              <w:t xml:space="preserve">Lengvųjų transporto priemonių išmetamieji teršalai </w:t>
            </w:r>
          </w:p>
        </w:tc>
        <w:tc>
          <w:tcPr>
            <w:tcW w:w="3081" w:type="dxa"/>
            <w:shd w:val="clear" w:color="auto" w:fill="auto"/>
          </w:tcPr>
          <w:p>
            <w:pPr>
              <w:shd w:val="clear" w:color="auto" w:fill="FFFFFF"/>
              <w:spacing w:line="240" w:lineRule="atLeast"/>
              <w:jc w:val="left"/>
              <w:rPr>
                <w:noProof/>
              </w:rPr>
            </w:pPr>
            <w:r>
              <w:rPr>
                <w:noProof/>
              </w:rPr>
              <w:t>JT taisyklė Nr. 83</w:t>
            </w:r>
          </w:p>
        </w:tc>
        <w:tc>
          <w:tcPr>
            <w:tcW w:w="3081" w:type="dxa"/>
            <w:shd w:val="clear" w:color="auto" w:fill="auto"/>
          </w:tcPr>
          <w:p>
            <w:pPr>
              <w:shd w:val="clear" w:color="auto" w:fill="FFFFFF"/>
              <w:spacing w:line="240" w:lineRule="atLeast"/>
              <w:jc w:val="left"/>
              <w:rPr>
                <w:noProof/>
              </w:rPr>
            </w:pPr>
            <w:r>
              <w:rPr>
                <w:noProof/>
              </w:rPr>
              <w:t>Reglamentai (EB) Nr. 715/2007, (EB) Nr. 692/2008, (ES) Nr. 459/2012</w:t>
            </w:r>
          </w:p>
          <w:p>
            <w:pPr>
              <w:shd w:val="clear" w:color="auto" w:fill="FFFFFF"/>
              <w:spacing w:line="240" w:lineRule="atLeast"/>
              <w:jc w:val="left"/>
              <w:rPr>
                <w:noProof/>
              </w:rPr>
            </w:pPr>
            <w:r>
              <w:rPr>
                <w:noProof/>
              </w:rPr>
              <w:t xml:space="preserve">Reglamentai (ES) 2016/427, (ES) 2016/646, (ES) 2017/1151, (ES) 2017/1154 ir (ES) 2018/1832 </w:t>
            </w:r>
          </w:p>
        </w:tc>
      </w:tr>
      <w:tr>
        <w:tc>
          <w:tcPr>
            <w:tcW w:w="3080" w:type="dxa"/>
            <w:shd w:val="clear" w:color="auto" w:fill="auto"/>
          </w:tcPr>
          <w:p>
            <w:pPr>
              <w:shd w:val="clear" w:color="auto" w:fill="FFFFFF"/>
              <w:spacing w:line="240" w:lineRule="atLeast"/>
              <w:jc w:val="left"/>
              <w:rPr>
                <w:noProof/>
              </w:rPr>
            </w:pPr>
            <w:r>
              <w:rPr>
                <w:noProof/>
              </w:rPr>
              <w:t>Atsarginiai kataliziniai konverteriai</w:t>
            </w:r>
          </w:p>
        </w:tc>
        <w:tc>
          <w:tcPr>
            <w:tcW w:w="3081" w:type="dxa"/>
            <w:shd w:val="clear" w:color="auto" w:fill="auto"/>
          </w:tcPr>
          <w:p>
            <w:pPr>
              <w:shd w:val="clear" w:color="auto" w:fill="FFFFFF"/>
              <w:spacing w:line="240" w:lineRule="atLeast"/>
              <w:jc w:val="left"/>
              <w:rPr>
                <w:noProof/>
              </w:rPr>
            </w:pPr>
            <w:r>
              <w:rPr>
                <w:noProof/>
              </w:rPr>
              <w:t>JT taisyklė Nr. 103</w:t>
            </w:r>
          </w:p>
        </w:tc>
        <w:tc>
          <w:tcPr>
            <w:tcW w:w="3081" w:type="dxa"/>
            <w:shd w:val="clear" w:color="auto" w:fill="auto"/>
          </w:tcPr>
          <w:p>
            <w:pPr>
              <w:shd w:val="clear" w:color="auto" w:fill="FFFFFF"/>
              <w:spacing w:line="240" w:lineRule="atLeast"/>
              <w:jc w:val="left"/>
              <w:rPr>
                <w:noProof/>
              </w:rPr>
            </w:pPr>
            <w:r>
              <w:rPr>
                <w:noProof/>
              </w:rPr>
              <w:t>Reglamentai (EB) Nr. 715/2007, (EB) Nr. 692/2008</w:t>
            </w:r>
          </w:p>
        </w:tc>
      </w:tr>
      <w:tr>
        <w:tc>
          <w:tcPr>
            <w:tcW w:w="3080" w:type="dxa"/>
            <w:shd w:val="clear" w:color="auto" w:fill="auto"/>
          </w:tcPr>
          <w:p>
            <w:pPr>
              <w:shd w:val="clear" w:color="auto" w:fill="FFFFFF"/>
              <w:spacing w:line="240" w:lineRule="atLeast"/>
              <w:jc w:val="left"/>
              <w:rPr>
                <w:noProof/>
              </w:rPr>
            </w:pPr>
            <w:r>
              <w:rPr>
                <w:noProof/>
              </w:rPr>
              <w:t>Degalų bakai</w:t>
            </w:r>
          </w:p>
        </w:tc>
        <w:tc>
          <w:tcPr>
            <w:tcW w:w="3081" w:type="dxa"/>
            <w:shd w:val="clear" w:color="auto" w:fill="auto"/>
          </w:tcPr>
          <w:p>
            <w:pPr>
              <w:shd w:val="clear" w:color="auto" w:fill="FFFFFF"/>
              <w:spacing w:line="240" w:lineRule="atLeast"/>
              <w:jc w:val="left"/>
              <w:rPr>
                <w:noProof/>
              </w:rPr>
            </w:pPr>
            <w:r>
              <w:rPr>
                <w:noProof/>
              </w:rPr>
              <w:t>JT taisyklė Nr. 34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SND bakai</w:t>
            </w:r>
          </w:p>
        </w:tc>
        <w:tc>
          <w:tcPr>
            <w:tcW w:w="3081" w:type="dxa"/>
            <w:shd w:val="clear" w:color="auto" w:fill="auto"/>
          </w:tcPr>
          <w:p>
            <w:pPr>
              <w:shd w:val="clear" w:color="auto" w:fill="FFFFFF"/>
              <w:spacing w:line="240" w:lineRule="atLeast"/>
              <w:jc w:val="left"/>
              <w:rPr>
                <w:noProof/>
              </w:rPr>
            </w:pPr>
            <w:r>
              <w:rPr>
                <w:noProof/>
              </w:rPr>
              <w:t>JT taisyklė Nr. 67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SGD bakai</w:t>
            </w:r>
          </w:p>
        </w:tc>
        <w:tc>
          <w:tcPr>
            <w:tcW w:w="3081" w:type="dxa"/>
            <w:shd w:val="clear" w:color="auto" w:fill="auto"/>
          </w:tcPr>
          <w:p>
            <w:pPr>
              <w:shd w:val="clear" w:color="auto" w:fill="FFFFFF"/>
              <w:spacing w:line="240" w:lineRule="atLeast"/>
              <w:jc w:val="left"/>
              <w:rPr>
                <w:noProof/>
              </w:rPr>
            </w:pPr>
            <w:r>
              <w:rPr>
                <w:noProof/>
              </w:rPr>
              <w:t>JT taisyklė Nr. 110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Galiniai apsaugos įrenginiai</w:t>
            </w:r>
          </w:p>
        </w:tc>
        <w:tc>
          <w:tcPr>
            <w:tcW w:w="3081" w:type="dxa"/>
            <w:shd w:val="clear" w:color="auto" w:fill="auto"/>
          </w:tcPr>
          <w:p>
            <w:pPr>
              <w:shd w:val="clear" w:color="auto" w:fill="FFFFFF"/>
              <w:spacing w:line="240" w:lineRule="atLeast"/>
              <w:jc w:val="left"/>
              <w:rPr>
                <w:noProof/>
              </w:rPr>
            </w:pPr>
            <w:r>
              <w:rPr>
                <w:noProof/>
              </w:rPr>
              <w:t>JT taisyklė Nr. 58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Vairavimo įranga</w:t>
            </w:r>
          </w:p>
        </w:tc>
        <w:tc>
          <w:tcPr>
            <w:tcW w:w="3081" w:type="dxa"/>
            <w:shd w:val="clear" w:color="auto" w:fill="auto"/>
            <w:vAlign w:val="bottom"/>
          </w:tcPr>
          <w:p>
            <w:pPr>
              <w:shd w:val="clear" w:color="auto" w:fill="FFFFFF"/>
              <w:spacing w:line="240" w:lineRule="atLeast"/>
              <w:jc w:val="left"/>
              <w:rPr>
                <w:noProof/>
              </w:rPr>
            </w:pPr>
            <w:r>
              <w:rPr>
                <w:noProof/>
              </w:rPr>
              <w:t>JT taisyklė Nr. 79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Durų skląsčiai ir vyriai</w:t>
            </w:r>
          </w:p>
        </w:tc>
        <w:tc>
          <w:tcPr>
            <w:tcW w:w="3081" w:type="dxa"/>
            <w:shd w:val="clear" w:color="auto" w:fill="auto"/>
            <w:vAlign w:val="bottom"/>
          </w:tcPr>
          <w:p>
            <w:pPr>
              <w:shd w:val="clear" w:color="auto" w:fill="FFFFFF"/>
              <w:spacing w:line="240" w:lineRule="atLeast"/>
              <w:jc w:val="left"/>
              <w:rPr>
                <w:noProof/>
              </w:rPr>
            </w:pPr>
            <w:r>
              <w:rPr>
                <w:noProof/>
              </w:rPr>
              <w:t>JT taisyklė Nr. 11</w:t>
            </w:r>
          </w:p>
        </w:tc>
        <w:tc>
          <w:tcPr>
            <w:tcW w:w="3081" w:type="dxa"/>
            <w:shd w:val="clear" w:color="auto" w:fill="auto"/>
            <w:vAlign w:val="bottom"/>
          </w:tcPr>
          <w:p>
            <w:pPr>
              <w:shd w:val="clear" w:color="auto" w:fill="FFFFFF"/>
              <w:spacing w:line="240" w:lineRule="atLeast"/>
              <w:jc w:val="left"/>
              <w:rPr>
                <w:noProof/>
              </w:rPr>
            </w:pPr>
            <w:r>
              <w:rPr>
                <w:noProof/>
              </w:rPr>
              <w:t xml:space="preserve"> </w:t>
            </w:r>
          </w:p>
        </w:tc>
      </w:tr>
      <w:tr>
        <w:tc>
          <w:tcPr>
            <w:tcW w:w="3080" w:type="dxa"/>
            <w:shd w:val="clear" w:color="auto" w:fill="auto"/>
            <w:vAlign w:val="bottom"/>
          </w:tcPr>
          <w:p>
            <w:pPr>
              <w:shd w:val="clear" w:color="auto" w:fill="FFFFFF"/>
              <w:spacing w:line="240" w:lineRule="atLeast"/>
              <w:jc w:val="left"/>
              <w:rPr>
                <w:noProof/>
              </w:rPr>
            </w:pPr>
            <w:r>
              <w:rPr>
                <w:noProof/>
              </w:rPr>
              <w:t>Garsinis įspėjimas</w:t>
            </w:r>
          </w:p>
        </w:tc>
        <w:tc>
          <w:tcPr>
            <w:tcW w:w="3081" w:type="dxa"/>
            <w:shd w:val="clear" w:color="auto" w:fill="auto"/>
            <w:vAlign w:val="bottom"/>
          </w:tcPr>
          <w:p>
            <w:pPr>
              <w:shd w:val="clear" w:color="auto" w:fill="FFFFFF"/>
              <w:spacing w:line="240" w:lineRule="atLeast"/>
              <w:jc w:val="left"/>
              <w:rPr>
                <w:noProof/>
              </w:rPr>
            </w:pPr>
            <w:r>
              <w:rPr>
                <w:noProof/>
              </w:rPr>
              <w:t>JT taisyklė Nr. 28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Netiesioginio matymo įtaisai</w:t>
            </w:r>
          </w:p>
        </w:tc>
        <w:tc>
          <w:tcPr>
            <w:tcW w:w="3081" w:type="dxa"/>
            <w:shd w:val="clear" w:color="auto" w:fill="auto"/>
            <w:vAlign w:val="bottom"/>
          </w:tcPr>
          <w:p>
            <w:pPr>
              <w:shd w:val="clear" w:color="auto" w:fill="FFFFFF"/>
              <w:spacing w:line="240" w:lineRule="atLeast"/>
              <w:jc w:val="left"/>
              <w:rPr>
                <w:noProof/>
              </w:rPr>
            </w:pPr>
            <w:r>
              <w:rPr>
                <w:noProof/>
              </w:rPr>
              <w:t>JT taisyklė Nr. 46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Sunkiųjų transporto priemonių stabdžiai</w:t>
            </w:r>
          </w:p>
        </w:tc>
        <w:tc>
          <w:tcPr>
            <w:tcW w:w="3081" w:type="dxa"/>
            <w:shd w:val="clear" w:color="auto" w:fill="auto"/>
            <w:vAlign w:val="bottom"/>
          </w:tcPr>
          <w:p>
            <w:pPr>
              <w:shd w:val="clear" w:color="auto" w:fill="FFFFFF"/>
              <w:spacing w:line="240" w:lineRule="atLeast"/>
              <w:jc w:val="left"/>
              <w:rPr>
                <w:noProof/>
              </w:rPr>
            </w:pPr>
            <w:r>
              <w:rPr>
                <w:noProof/>
              </w:rPr>
              <w:t>JT taisyklė Nr. 13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Lengvųjų transporto priemonių stabdžiai</w:t>
            </w:r>
          </w:p>
        </w:tc>
        <w:tc>
          <w:tcPr>
            <w:tcW w:w="3081" w:type="dxa"/>
            <w:shd w:val="clear" w:color="auto" w:fill="auto"/>
            <w:vAlign w:val="bottom"/>
          </w:tcPr>
          <w:p>
            <w:pPr>
              <w:shd w:val="clear" w:color="auto" w:fill="FFFFFF"/>
              <w:spacing w:line="240" w:lineRule="atLeast"/>
              <w:jc w:val="left"/>
              <w:rPr>
                <w:noProof/>
              </w:rPr>
            </w:pPr>
            <w:r>
              <w:rPr>
                <w:noProof/>
              </w:rPr>
              <w:t>JT taisyklė Nr. 13H</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Stabdžių antdėkliai</w:t>
            </w:r>
          </w:p>
        </w:tc>
        <w:tc>
          <w:tcPr>
            <w:tcW w:w="3081" w:type="dxa"/>
            <w:shd w:val="clear" w:color="auto" w:fill="auto"/>
            <w:vAlign w:val="bottom"/>
          </w:tcPr>
          <w:p>
            <w:pPr>
              <w:shd w:val="clear" w:color="auto" w:fill="FFFFFF"/>
              <w:spacing w:line="240" w:lineRule="atLeast"/>
              <w:jc w:val="left"/>
              <w:rPr>
                <w:noProof/>
              </w:rPr>
            </w:pPr>
            <w:r>
              <w:rPr>
                <w:noProof/>
              </w:rPr>
              <w:t>JT taisyklė Nr. 90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Radijo trikdžiai (elektromagnetinis suderinamumas)</w:t>
            </w:r>
          </w:p>
        </w:tc>
        <w:tc>
          <w:tcPr>
            <w:tcW w:w="3081" w:type="dxa"/>
            <w:shd w:val="clear" w:color="auto" w:fill="auto"/>
          </w:tcPr>
          <w:p>
            <w:pPr>
              <w:shd w:val="clear" w:color="auto" w:fill="FFFFFF"/>
              <w:spacing w:line="240" w:lineRule="atLeast"/>
              <w:jc w:val="left"/>
              <w:rPr>
                <w:noProof/>
              </w:rPr>
            </w:pPr>
            <w:r>
              <w:rPr>
                <w:noProof/>
              </w:rPr>
              <w:t>JT taisyklė Nr. 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Dyzelino dūmai</w:t>
            </w:r>
          </w:p>
        </w:tc>
        <w:tc>
          <w:tcPr>
            <w:tcW w:w="3081" w:type="dxa"/>
            <w:shd w:val="clear" w:color="auto" w:fill="auto"/>
            <w:vAlign w:val="bottom"/>
          </w:tcPr>
          <w:p>
            <w:pPr>
              <w:shd w:val="clear" w:color="auto" w:fill="FFFFFF"/>
              <w:spacing w:line="240" w:lineRule="atLeast"/>
              <w:jc w:val="left"/>
              <w:rPr>
                <w:noProof/>
              </w:rPr>
            </w:pPr>
            <w:r>
              <w:rPr>
                <w:noProof/>
              </w:rPr>
              <w:t>JT taisyklė Nr. 24</w:t>
            </w:r>
          </w:p>
        </w:tc>
        <w:tc>
          <w:tcPr>
            <w:tcW w:w="3081" w:type="dxa"/>
            <w:shd w:val="clear" w:color="auto" w:fill="auto"/>
            <w:vAlign w:val="bottom"/>
          </w:tcPr>
          <w:p>
            <w:pPr>
              <w:shd w:val="clear" w:color="auto" w:fill="FFFFFF"/>
              <w:spacing w:line="240" w:lineRule="atLeast"/>
              <w:jc w:val="left"/>
              <w:rPr>
                <w:noProof/>
              </w:rPr>
            </w:pPr>
            <w:r>
              <w:rPr>
                <w:noProof/>
              </w:rPr>
              <w:t>Reglamentas (EB) Nr. 692/2008</w:t>
            </w:r>
          </w:p>
        </w:tc>
      </w:tr>
      <w:tr>
        <w:tc>
          <w:tcPr>
            <w:tcW w:w="3080" w:type="dxa"/>
            <w:shd w:val="clear" w:color="auto" w:fill="auto"/>
            <w:vAlign w:val="bottom"/>
          </w:tcPr>
          <w:p>
            <w:pPr>
              <w:shd w:val="clear" w:color="auto" w:fill="FFFFFF"/>
              <w:spacing w:line="240" w:lineRule="atLeast"/>
              <w:jc w:val="left"/>
              <w:rPr>
                <w:noProof/>
              </w:rPr>
            </w:pPr>
            <w:r>
              <w:rPr>
                <w:noProof/>
              </w:rPr>
              <w:t>Vidaus įranga</w:t>
            </w:r>
          </w:p>
        </w:tc>
        <w:tc>
          <w:tcPr>
            <w:tcW w:w="3081" w:type="dxa"/>
            <w:shd w:val="clear" w:color="auto" w:fill="auto"/>
            <w:vAlign w:val="bottom"/>
          </w:tcPr>
          <w:p>
            <w:pPr>
              <w:shd w:val="clear" w:color="auto" w:fill="FFFFFF"/>
              <w:spacing w:line="240" w:lineRule="atLeast"/>
              <w:jc w:val="left"/>
              <w:rPr>
                <w:noProof/>
              </w:rPr>
            </w:pPr>
            <w:r>
              <w:rPr>
                <w:noProof/>
              </w:rPr>
              <w:t>JT taisyklė Nr. 21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Apsaugos nuo vagysčių sistema</w:t>
            </w:r>
          </w:p>
        </w:tc>
        <w:tc>
          <w:tcPr>
            <w:tcW w:w="3081" w:type="dxa"/>
            <w:shd w:val="clear" w:color="auto" w:fill="auto"/>
            <w:vAlign w:val="bottom"/>
          </w:tcPr>
          <w:p>
            <w:pPr>
              <w:shd w:val="clear" w:color="auto" w:fill="FFFFFF"/>
              <w:spacing w:line="240" w:lineRule="atLeast"/>
              <w:jc w:val="left"/>
              <w:rPr>
                <w:noProof/>
              </w:rPr>
            </w:pPr>
            <w:r>
              <w:rPr>
                <w:noProof/>
              </w:rPr>
              <w:t>JT taisyklė Nr. 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Apsaugos nuo vagysčių priemonės ir imobilizatorius</w:t>
            </w:r>
          </w:p>
        </w:tc>
        <w:tc>
          <w:tcPr>
            <w:tcW w:w="3081" w:type="dxa"/>
            <w:shd w:val="clear" w:color="auto" w:fill="auto"/>
            <w:vAlign w:val="bottom"/>
          </w:tcPr>
          <w:p>
            <w:pPr>
              <w:shd w:val="clear" w:color="auto" w:fill="FFFFFF"/>
              <w:spacing w:line="240" w:lineRule="atLeast"/>
              <w:jc w:val="left"/>
              <w:rPr>
                <w:noProof/>
              </w:rPr>
            </w:pPr>
            <w:r>
              <w:rPr>
                <w:noProof/>
              </w:rPr>
              <w:t>JT taisyklė Nr. 116</w:t>
            </w:r>
          </w:p>
        </w:tc>
        <w:tc>
          <w:tcPr>
            <w:tcW w:w="3081" w:type="dxa"/>
            <w:shd w:val="clear" w:color="auto" w:fill="auto"/>
            <w:vAlign w:val="bottom"/>
          </w:tcPr>
          <w:p>
            <w:pPr>
              <w:shd w:val="clear" w:color="auto" w:fill="FFFFFF"/>
              <w:spacing w:line="240" w:lineRule="atLeast"/>
              <w:jc w:val="left"/>
              <w:rPr>
                <w:noProof/>
              </w:rPr>
            </w:pPr>
          </w:p>
        </w:tc>
      </w:tr>
      <w:tr>
        <w:tc>
          <w:tcPr>
            <w:tcW w:w="3080" w:type="dxa"/>
            <w:tcBorders>
              <w:bottom w:val="single" w:sz="4" w:space="0" w:color="auto"/>
            </w:tcBorders>
            <w:shd w:val="clear" w:color="auto" w:fill="auto"/>
          </w:tcPr>
          <w:p>
            <w:pPr>
              <w:shd w:val="clear" w:color="auto" w:fill="FFFFFF"/>
              <w:spacing w:line="240" w:lineRule="atLeast"/>
              <w:jc w:val="left"/>
              <w:rPr>
                <w:noProof/>
              </w:rPr>
            </w:pPr>
            <w:r>
              <w:rPr>
                <w:noProof/>
              </w:rPr>
              <w:t>Transporto priemonės signalizavimo sistemos</w:t>
            </w:r>
          </w:p>
        </w:tc>
        <w:tc>
          <w:tcPr>
            <w:tcW w:w="3081" w:type="dxa"/>
            <w:tcBorders>
              <w:bottom w:val="single" w:sz="4" w:space="0" w:color="auto"/>
            </w:tcBorders>
            <w:shd w:val="clear" w:color="auto" w:fill="auto"/>
            <w:vAlign w:val="bottom"/>
          </w:tcPr>
          <w:p>
            <w:pPr>
              <w:shd w:val="clear" w:color="auto" w:fill="FFFFFF"/>
              <w:spacing w:line="240" w:lineRule="atLeast"/>
              <w:jc w:val="left"/>
              <w:rPr>
                <w:noProof/>
              </w:rPr>
            </w:pPr>
            <w:r>
              <w:rPr>
                <w:noProof/>
              </w:rPr>
              <w:t xml:space="preserve">JT taisyklė Nr. 97 </w:t>
            </w:r>
          </w:p>
          <w:p>
            <w:pPr>
              <w:shd w:val="clear" w:color="auto" w:fill="FFFFFF"/>
              <w:spacing w:line="240" w:lineRule="atLeast"/>
              <w:jc w:val="left"/>
              <w:rPr>
                <w:noProof/>
              </w:rPr>
            </w:pPr>
            <w:r>
              <w:rPr>
                <w:noProof/>
              </w:rPr>
              <w:t>JT taisyklė Nr. 116</w:t>
            </w:r>
          </w:p>
        </w:tc>
        <w:tc>
          <w:tcPr>
            <w:tcW w:w="3081" w:type="dxa"/>
            <w:tcBorders>
              <w:bottom w:val="single" w:sz="4" w:space="0" w:color="auto"/>
            </w:tcBorders>
            <w:shd w:val="clear" w:color="auto" w:fill="auto"/>
          </w:tcPr>
          <w:p>
            <w:pPr>
              <w:shd w:val="clear" w:color="auto" w:fill="FFFFFF"/>
              <w:spacing w:line="240" w:lineRule="atLeast"/>
              <w:jc w:val="left"/>
              <w:rPr>
                <w:noProof/>
              </w:rPr>
            </w:pPr>
          </w:p>
        </w:tc>
      </w:tr>
      <w:tr>
        <w:tc>
          <w:tcPr>
            <w:tcW w:w="3080"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Vairavimo įtaiso savybės smūgio metu</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JT taisyklė Nr. 12</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p>
        </w:tc>
      </w:tr>
      <w:tr>
        <w:tc>
          <w:tcPr>
            <w:tcW w:w="3080" w:type="dxa"/>
            <w:tcBorders>
              <w:top w:val="single" w:sz="4" w:space="0" w:color="auto"/>
            </w:tcBorders>
            <w:shd w:val="clear" w:color="auto" w:fill="auto"/>
            <w:vAlign w:val="bottom"/>
          </w:tcPr>
          <w:p>
            <w:pPr>
              <w:shd w:val="clear" w:color="auto" w:fill="FFFFFF"/>
              <w:spacing w:line="240" w:lineRule="atLeast"/>
              <w:jc w:val="left"/>
              <w:rPr>
                <w:noProof/>
              </w:rPr>
            </w:pPr>
            <w:r>
              <w:rPr>
                <w:noProof/>
              </w:rPr>
              <w:t>Sėdynių atsparumas</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r>
              <w:rPr>
                <w:noProof/>
              </w:rPr>
              <w:t>JT taisyklė Nr. 17</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Sėdinių atsparumas (autobusuose ir tarpmiestiniuose autobusuose)</w:t>
            </w:r>
          </w:p>
        </w:tc>
        <w:tc>
          <w:tcPr>
            <w:tcW w:w="3081" w:type="dxa"/>
            <w:shd w:val="clear" w:color="auto" w:fill="auto"/>
            <w:vAlign w:val="bottom"/>
          </w:tcPr>
          <w:p>
            <w:pPr>
              <w:shd w:val="clear" w:color="auto" w:fill="FFFFFF"/>
              <w:spacing w:line="240" w:lineRule="atLeast"/>
              <w:jc w:val="left"/>
              <w:rPr>
                <w:noProof/>
              </w:rPr>
            </w:pPr>
            <w:r>
              <w:rPr>
                <w:noProof/>
              </w:rPr>
              <w:t>JT taisyklė Nr. 80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Išorinės iškyšos</w:t>
            </w:r>
          </w:p>
        </w:tc>
        <w:tc>
          <w:tcPr>
            <w:tcW w:w="3081" w:type="dxa"/>
            <w:shd w:val="clear" w:color="auto" w:fill="auto"/>
            <w:vAlign w:val="bottom"/>
          </w:tcPr>
          <w:p>
            <w:pPr>
              <w:shd w:val="clear" w:color="auto" w:fill="FFFFFF"/>
              <w:spacing w:line="240" w:lineRule="atLeast"/>
              <w:jc w:val="left"/>
              <w:rPr>
                <w:noProof/>
              </w:rPr>
            </w:pPr>
            <w:r>
              <w:rPr>
                <w:noProof/>
              </w:rPr>
              <w:t>JT taisyklė Nr. 26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Spidometras</w:t>
            </w:r>
          </w:p>
        </w:tc>
        <w:tc>
          <w:tcPr>
            <w:tcW w:w="3081" w:type="dxa"/>
            <w:shd w:val="clear" w:color="auto" w:fill="auto"/>
            <w:vAlign w:val="bottom"/>
          </w:tcPr>
          <w:p>
            <w:pPr>
              <w:shd w:val="clear" w:color="auto" w:fill="FFFFFF"/>
              <w:spacing w:line="240" w:lineRule="atLeast"/>
              <w:jc w:val="left"/>
              <w:rPr>
                <w:noProof/>
              </w:rPr>
            </w:pPr>
            <w:r>
              <w:rPr>
                <w:noProof/>
              </w:rPr>
              <w:t>JT taisyklė Nr. 39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Saugos diržų tvirtinimo detalės</w:t>
            </w:r>
          </w:p>
        </w:tc>
        <w:tc>
          <w:tcPr>
            <w:tcW w:w="3081" w:type="dxa"/>
            <w:shd w:val="clear" w:color="auto" w:fill="auto"/>
            <w:vAlign w:val="bottom"/>
          </w:tcPr>
          <w:p>
            <w:pPr>
              <w:shd w:val="clear" w:color="auto" w:fill="FFFFFF"/>
              <w:spacing w:line="240" w:lineRule="atLeast"/>
              <w:jc w:val="left"/>
              <w:rPr>
                <w:noProof/>
              </w:rPr>
            </w:pPr>
            <w:r>
              <w:rPr>
                <w:noProof/>
              </w:rPr>
              <w:t>JT taisyklė Nr. 14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Apšvietimo ir šviesos signalinių įtaisų įrengimas</w:t>
            </w:r>
          </w:p>
        </w:tc>
        <w:tc>
          <w:tcPr>
            <w:tcW w:w="3081" w:type="dxa"/>
            <w:shd w:val="clear" w:color="auto" w:fill="auto"/>
          </w:tcPr>
          <w:p>
            <w:pPr>
              <w:shd w:val="clear" w:color="auto" w:fill="FFFFFF"/>
              <w:spacing w:line="240" w:lineRule="atLeast"/>
              <w:jc w:val="left"/>
              <w:rPr>
                <w:noProof/>
              </w:rPr>
            </w:pPr>
            <w:r>
              <w:rPr>
                <w:noProof/>
              </w:rPr>
              <w:t>JT taisyklė Nr. 48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Šviesogrąžiai atšvaitai</w:t>
            </w:r>
          </w:p>
        </w:tc>
        <w:tc>
          <w:tcPr>
            <w:tcW w:w="3081" w:type="dxa"/>
            <w:shd w:val="clear" w:color="auto" w:fill="auto"/>
            <w:vAlign w:val="bottom"/>
          </w:tcPr>
          <w:p>
            <w:pPr>
              <w:shd w:val="clear" w:color="auto" w:fill="FFFFFF"/>
              <w:spacing w:line="240" w:lineRule="atLeast"/>
              <w:jc w:val="left"/>
              <w:rPr>
                <w:noProof/>
              </w:rPr>
            </w:pPr>
            <w:r>
              <w:rPr>
                <w:noProof/>
              </w:rPr>
              <w:t>JT taisyklė Nr. 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Galiniai gabaritiniai / priekiniai (šoniniai) / galiniai (šoniniai) gabaritiniai / stabdymo žibintai</w:t>
            </w:r>
          </w:p>
        </w:tc>
        <w:tc>
          <w:tcPr>
            <w:tcW w:w="3081" w:type="dxa"/>
            <w:shd w:val="clear" w:color="auto" w:fill="auto"/>
          </w:tcPr>
          <w:p>
            <w:pPr>
              <w:shd w:val="clear" w:color="auto" w:fill="FFFFFF"/>
              <w:spacing w:line="240" w:lineRule="atLeast"/>
              <w:jc w:val="left"/>
              <w:rPr>
                <w:noProof/>
              </w:rPr>
            </w:pPr>
            <w:r>
              <w:rPr>
                <w:noProof/>
              </w:rPr>
              <w:t>JT taisyklė Nr. 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Dieniniai žibintai</w:t>
            </w:r>
          </w:p>
        </w:tc>
        <w:tc>
          <w:tcPr>
            <w:tcW w:w="3081" w:type="dxa"/>
            <w:shd w:val="clear" w:color="auto" w:fill="auto"/>
            <w:vAlign w:val="bottom"/>
          </w:tcPr>
          <w:p>
            <w:pPr>
              <w:shd w:val="clear" w:color="auto" w:fill="FFFFFF"/>
              <w:spacing w:line="240" w:lineRule="atLeast"/>
              <w:jc w:val="left"/>
              <w:rPr>
                <w:noProof/>
              </w:rPr>
            </w:pPr>
            <w:r>
              <w:rPr>
                <w:noProof/>
              </w:rPr>
              <w:t>JT taisyklė Nr. 87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Šoniniai gabaritiniai žibintai</w:t>
            </w:r>
          </w:p>
        </w:tc>
        <w:tc>
          <w:tcPr>
            <w:tcW w:w="3081" w:type="dxa"/>
            <w:shd w:val="clear" w:color="auto" w:fill="auto"/>
          </w:tcPr>
          <w:p>
            <w:pPr>
              <w:shd w:val="clear" w:color="auto" w:fill="FFFFFF"/>
              <w:spacing w:line="240" w:lineRule="atLeast"/>
              <w:jc w:val="left"/>
              <w:rPr>
                <w:noProof/>
              </w:rPr>
            </w:pPr>
            <w:r>
              <w:rPr>
                <w:noProof/>
              </w:rPr>
              <w:t>JT taisyklė Nr. 91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Posūkio rodikliai</w:t>
            </w:r>
          </w:p>
        </w:tc>
        <w:tc>
          <w:tcPr>
            <w:tcW w:w="3081" w:type="dxa"/>
            <w:shd w:val="clear" w:color="auto" w:fill="auto"/>
            <w:vAlign w:val="bottom"/>
          </w:tcPr>
          <w:p>
            <w:pPr>
              <w:shd w:val="clear" w:color="auto" w:fill="FFFFFF"/>
              <w:spacing w:line="240" w:lineRule="atLeast"/>
              <w:jc w:val="left"/>
              <w:rPr>
                <w:noProof/>
              </w:rPr>
            </w:pPr>
            <w:r>
              <w:rPr>
                <w:noProof/>
              </w:rPr>
              <w:t>JT taisyklė Nr. 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Galinio valstybinio numerio ženklo žibintas</w:t>
            </w:r>
          </w:p>
        </w:tc>
        <w:tc>
          <w:tcPr>
            <w:tcW w:w="3081" w:type="dxa"/>
            <w:shd w:val="clear" w:color="auto" w:fill="auto"/>
            <w:vAlign w:val="bottom"/>
          </w:tcPr>
          <w:p>
            <w:pPr>
              <w:shd w:val="clear" w:color="auto" w:fill="FFFFFF"/>
              <w:spacing w:line="240" w:lineRule="atLeast"/>
              <w:jc w:val="left"/>
              <w:rPr>
                <w:noProof/>
              </w:rPr>
            </w:pPr>
            <w:r>
              <w:rPr>
                <w:noProof/>
              </w:rPr>
              <w:t>JT taisyklė Nr. 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Priekiniai žibintai (R2 ir HS1)</w:t>
            </w:r>
          </w:p>
        </w:tc>
        <w:tc>
          <w:tcPr>
            <w:tcW w:w="3081" w:type="dxa"/>
            <w:shd w:val="clear" w:color="auto" w:fill="auto"/>
            <w:vAlign w:val="bottom"/>
          </w:tcPr>
          <w:p>
            <w:pPr>
              <w:shd w:val="clear" w:color="auto" w:fill="FFFFFF"/>
              <w:spacing w:line="240" w:lineRule="atLeast"/>
              <w:jc w:val="left"/>
              <w:rPr>
                <w:noProof/>
              </w:rPr>
            </w:pPr>
            <w:r>
              <w:rPr>
                <w:noProof/>
              </w:rPr>
              <w:t>JT taisyklė Nr. 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Sandarūs kryptingų spindulių priekiniai žibintai</w:t>
            </w:r>
          </w:p>
        </w:tc>
        <w:tc>
          <w:tcPr>
            <w:tcW w:w="3081" w:type="dxa"/>
            <w:shd w:val="clear" w:color="auto" w:fill="auto"/>
            <w:vAlign w:val="bottom"/>
          </w:tcPr>
          <w:p>
            <w:pPr>
              <w:shd w:val="clear" w:color="auto" w:fill="FFFFFF"/>
              <w:spacing w:line="240" w:lineRule="atLeast"/>
              <w:jc w:val="left"/>
              <w:rPr>
                <w:noProof/>
              </w:rPr>
            </w:pPr>
            <w:r>
              <w:rPr>
                <w:noProof/>
              </w:rPr>
              <w:t>JT taisyklė Nr. 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 xml:space="preserve">Priekiniai žibintai (H1, H2, H3, HB3, HB4, H7, ir (arba) H8, H9, HIR1, HIR2 ir (arba) H11) </w:t>
            </w:r>
          </w:p>
        </w:tc>
        <w:tc>
          <w:tcPr>
            <w:tcW w:w="3081" w:type="dxa"/>
            <w:shd w:val="clear" w:color="auto" w:fill="auto"/>
          </w:tcPr>
          <w:p>
            <w:pPr>
              <w:shd w:val="clear" w:color="auto" w:fill="FFFFFF"/>
              <w:spacing w:line="240" w:lineRule="atLeast"/>
              <w:jc w:val="left"/>
              <w:rPr>
                <w:noProof/>
              </w:rPr>
            </w:pPr>
            <w:r>
              <w:rPr>
                <w:noProof/>
              </w:rPr>
              <w:t>JT taisyklė Nr. 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Priekiniai žibintai (H4)</w:t>
            </w:r>
          </w:p>
        </w:tc>
        <w:tc>
          <w:tcPr>
            <w:tcW w:w="3081" w:type="dxa"/>
            <w:shd w:val="clear" w:color="auto" w:fill="auto"/>
            <w:vAlign w:val="bottom"/>
          </w:tcPr>
          <w:p>
            <w:pPr>
              <w:shd w:val="clear" w:color="auto" w:fill="FFFFFF"/>
              <w:spacing w:line="240" w:lineRule="atLeast"/>
              <w:jc w:val="left"/>
              <w:rPr>
                <w:noProof/>
              </w:rPr>
            </w:pPr>
            <w:r>
              <w:rPr>
                <w:noProof/>
              </w:rPr>
              <w:t>JT taisyklė Nr. 20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Halogeniniai sandarūs kryptingų spindulių priekiniai žibintai</w:t>
            </w:r>
          </w:p>
        </w:tc>
        <w:tc>
          <w:tcPr>
            <w:tcW w:w="3081" w:type="dxa"/>
            <w:shd w:val="clear" w:color="auto" w:fill="auto"/>
          </w:tcPr>
          <w:p>
            <w:pPr>
              <w:shd w:val="clear" w:color="auto" w:fill="FFFFFF"/>
              <w:spacing w:line="240" w:lineRule="atLeast"/>
              <w:jc w:val="left"/>
              <w:rPr>
                <w:noProof/>
              </w:rPr>
            </w:pPr>
            <w:r>
              <w:rPr>
                <w:noProof/>
              </w:rPr>
              <w:t>JT taisyklė Nr. 31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Kaitinamosios lempos, skirtos naudoti patvirtintuose žibintuose</w:t>
            </w:r>
          </w:p>
        </w:tc>
        <w:tc>
          <w:tcPr>
            <w:tcW w:w="3081" w:type="dxa"/>
            <w:shd w:val="clear" w:color="auto" w:fill="auto"/>
          </w:tcPr>
          <w:p>
            <w:pPr>
              <w:shd w:val="clear" w:color="auto" w:fill="FFFFFF"/>
              <w:spacing w:line="240" w:lineRule="atLeast"/>
              <w:jc w:val="left"/>
              <w:rPr>
                <w:noProof/>
              </w:rPr>
            </w:pPr>
            <w:r>
              <w:rPr>
                <w:noProof/>
              </w:rPr>
              <w:t>JT taisyklė Nr. 37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Priekiniai žibintai, kurių šviesos šaltinis yra dujošvytis</w:t>
            </w:r>
          </w:p>
        </w:tc>
        <w:tc>
          <w:tcPr>
            <w:tcW w:w="3081" w:type="dxa"/>
            <w:shd w:val="clear" w:color="auto" w:fill="auto"/>
          </w:tcPr>
          <w:p>
            <w:pPr>
              <w:shd w:val="clear" w:color="auto" w:fill="FFFFFF"/>
              <w:spacing w:line="240" w:lineRule="atLeast"/>
              <w:jc w:val="left"/>
              <w:rPr>
                <w:noProof/>
              </w:rPr>
            </w:pPr>
            <w:r>
              <w:rPr>
                <w:noProof/>
              </w:rPr>
              <w:t>JT taisyklė Nr. 98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Dujošvyčiai šviesos šaltiniai, skirti naudoti nurodytose dujošvytėse lempose</w:t>
            </w:r>
          </w:p>
        </w:tc>
        <w:tc>
          <w:tcPr>
            <w:tcW w:w="3081" w:type="dxa"/>
            <w:shd w:val="clear" w:color="auto" w:fill="auto"/>
          </w:tcPr>
          <w:p>
            <w:pPr>
              <w:shd w:val="clear" w:color="auto" w:fill="FFFFFF"/>
              <w:spacing w:line="240" w:lineRule="atLeast"/>
              <w:jc w:val="left"/>
              <w:rPr>
                <w:noProof/>
              </w:rPr>
            </w:pPr>
            <w:r>
              <w:rPr>
                <w:noProof/>
              </w:rPr>
              <w:t>JT taisyklė Nr. 99</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Priekiniai žibintai, skleidžiantys asimetrinių artimosios šviesos spindulių pluoštą</w:t>
            </w:r>
          </w:p>
        </w:tc>
        <w:tc>
          <w:tcPr>
            <w:tcW w:w="3081" w:type="dxa"/>
            <w:shd w:val="clear" w:color="auto" w:fill="auto"/>
            <w:vAlign w:val="bottom"/>
          </w:tcPr>
          <w:p>
            <w:pPr>
              <w:shd w:val="clear" w:color="auto" w:fill="FFFFFF"/>
              <w:spacing w:line="240" w:lineRule="atLeast"/>
              <w:jc w:val="left"/>
              <w:rPr>
                <w:noProof/>
              </w:rPr>
            </w:pPr>
            <w:r>
              <w:rPr>
                <w:noProof/>
              </w:rPr>
              <w:t>JT taisyklė Nr. 112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Prisitaikomosios priekinio apšvietimo sistemos</w:t>
            </w:r>
          </w:p>
        </w:tc>
        <w:tc>
          <w:tcPr>
            <w:tcW w:w="3081" w:type="dxa"/>
            <w:shd w:val="clear" w:color="auto" w:fill="auto"/>
            <w:vAlign w:val="bottom"/>
          </w:tcPr>
          <w:p>
            <w:pPr>
              <w:shd w:val="clear" w:color="auto" w:fill="FFFFFF"/>
              <w:spacing w:line="240" w:lineRule="atLeast"/>
              <w:jc w:val="left"/>
              <w:rPr>
                <w:noProof/>
              </w:rPr>
            </w:pPr>
            <w:r>
              <w:rPr>
                <w:noProof/>
              </w:rPr>
              <w:t>JT taisyklė Nr. 123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Priekiniai rūko žibintai</w:t>
            </w:r>
          </w:p>
        </w:tc>
        <w:tc>
          <w:tcPr>
            <w:tcW w:w="3081" w:type="dxa"/>
            <w:shd w:val="clear" w:color="auto" w:fill="auto"/>
            <w:vAlign w:val="bottom"/>
          </w:tcPr>
          <w:p>
            <w:pPr>
              <w:shd w:val="clear" w:color="auto" w:fill="FFFFFF"/>
              <w:spacing w:line="240" w:lineRule="atLeast"/>
              <w:jc w:val="left"/>
              <w:rPr>
                <w:noProof/>
              </w:rPr>
            </w:pPr>
            <w:r>
              <w:rPr>
                <w:noProof/>
              </w:rPr>
              <w:t>JT taisyklė Nr. 19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Galiniai rūko žibintai</w:t>
            </w:r>
          </w:p>
        </w:tc>
        <w:tc>
          <w:tcPr>
            <w:tcW w:w="3081" w:type="dxa"/>
            <w:shd w:val="clear" w:color="auto" w:fill="auto"/>
            <w:vAlign w:val="bottom"/>
          </w:tcPr>
          <w:p>
            <w:pPr>
              <w:shd w:val="clear" w:color="auto" w:fill="FFFFFF"/>
              <w:spacing w:line="240" w:lineRule="atLeast"/>
              <w:jc w:val="left"/>
              <w:rPr>
                <w:noProof/>
              </w:rPr>
            </w:pPr>
            <w:r>
              <w:rPr>
                <w:noProof/>
              </w:rPr>
              <w:t>JT taisyklė Nr. 38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Atbulinės eigos žibintai</w:t>
            </w:r>
          </w:p>
        </w:tc>
        <w:tc>
          <w:tcPr>
            <w:tcW w:w="3081" w:type="dxa"/>
            <w:shd w:val="clear" w:color="auto" w:fill="auto"/>
            <w:vAlign w:val="bottom"/>
          </w:tcPr>
          <w:p>
            <w:pPr>
              <w:shd w:val="clear" w:color="auto" w:fill="FFFFFF"/>
              <w:spacing w:line="240" w:lineRule="atLeast"/>
              <w:jc w:val="left"/>
              <w:rPr>
                <w:noProof/>
              </w:rPr>
            </w:pPr>
            <w:r>
              <w:rPr>
                <w:noProof/>
              </w:rPr>
              <w:t>JT taisyklė Nr. 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Stovėjimo žibintai</w:t>
            </w:r>
          </w:p>
        </w:tc>
        <w:tc>
          <w:tcPr>
            <w:tcW w:w="3081" w:type="dxa"/>
            <w:shd w:val="clear" w:color="auto" w:fill="auto"/>
            <w:vAlign w:val="bottom"/>
          </w:tcPr>
          <w:p>
            <w:pPr>
              <w:shd w:val="clear" w:color="auto" w:fill="FFFFFF"/>
              <w:spacing w:line="240" w:lineRule="atLeast"/>
              <w:jc w:val="left"/>
              <w:rPr>
                <w:noProof/>
              </w:rPr>
            </w:pPr>
            <w:r>
              <w:rPr>
                <w:noProof/>
              </w:rPr>
              <w:t>JT taisyklė Nr. 77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Saugos diržai ir susaistymo sistemos</w:t>
            </w:r>
          </w:p>
        </w:tc>
        <w:tc>
          <w:tcPr>
            <w:tcW w:w="3081" w:type="dxa"/>
            <w:shd w:val="clear" w:color="auto" w:fill="auto"/>
            <w:vAlign w:val="bottom"/>
          </w:tcPr>
          <w:p>
            <w:pPr>
              <w:shd w:val="clear" w:color="auto" w:fill="FFFFFF"/>
              <w:spacing w:line="240" w:lineRule="atLeast"/>
              <w:jc w:val="left"/>
              <w:rPr>
                <w:noProof/>
              </w:rPr>
            </w:pPr>
            <w:r>
              <w:rPr>
                <w:noProof/>
              </w:rPr>
              <w:t>JT taisyklė Nr. 16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Vaiko apsaugos priemonės</w:t>
            </w:r>
          </w:p>
        </w:tc>
        <w:tc>
          <w:tcPr>
            <w:tcW w:w="3081" w:type="dxa"/>
            <w:shd w:val="clear" w:color="auto" w:fill="auto"/>
            <w:vAlign w:val="bottom"/>
          </w:tcPr>
          <w:p>
            <w:pPr>
              <w:shd w:val="clear" w:color="auto" w:fill="FFFFFF"/>
              <w:spacing w:line="240" w:lineRule="atLeast"/>
              <w:jc w:val="left"/>
              <w:rPr>
                <w:noProof/>
              </w:rPr>
            </w:pPr>
            <w:r>
              <w:rPr>
                <w:noProof/>
              </w:rPr>
              <w:t xml:space="preserve">JT taisyklė Nr. 44 </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Priekinis matymo laukas</w:t>
            </w:r>
          </w:p>
        </w:tc>
        <w:tc>
          <w:tcPr>
            <w:tcW w:w="3081" w:type="dxa"/>
            <w:shd w:val="clear" w:color="auto" w:fill="auto"/>
            <w:vAlign w:val="bottom"/>
          </w:tcPr>
          <w:p>
            <w:pPr>
              <w:shd w:val="clear" w:color="auto" w:fill="FFFFFF"/>
              <w:spacing w:line="240" w:lineRule="atLeast"/>
              <w:jc w:val="left"/>
              <w:rPr>
                <w:noProof/>
              </w:rPr>
            </w:pPr>
            <w:r>
              <w:rPr>
                <w:noProof/>
              </w:rPr>
              <w:t>JT taisyklė Nr. 125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keepNext/>
              <w:keepLines/>
              <w:shd w:val="clear" w:color="auto" w:fill="FFFFFF"/>
              <w:spacing w:line="240" w:lineRule="atLeast"/>
              <w:jc w:val="left"/>
              <w:rPr>
                <w:noProof/>
              </w:rPr>
            </w:pPr>
            <w:r>
              <w:rPr>
                <w:noProof/>
              </w:rPr>
              <w:t>Valdiklių, signalinių lempučių ir indikatorių identifikavimas</w:t>
            </w:r>
          </w:p>
        </w:tc>
        <w:tc>
          <w:tcPr>
            <w:tcW w:w="3081" w:type="dxa"/>
            <w:shd w:val="clear" w:color="auto" w:fill="auto"/>
          </w:tcPr>
          <w:p>
            <w:pPr>
              <w:keepNext/>
              <w:keepLines/>
              <w:shd w:val="clear" w:color="auto" w:fill="FFFFFF"/>
              <w:spacing w:line="240" w:lineRule="atLeast"/>
              <w:jc w:val="left"/>
              <w:rPr>
                <w:noProof/>
              </w:rPr>
            </w:pPr>
            <w:r>
              <w:rPr>
                <w:noProof/>
              </w:rPr>
              <w:t>JT taisyklė Nr. 121</w:t>
            </w:r>
          </w:p>
        </w:tc>
        <w:tc>
          <w:tcPr>
            <w:tcW w:w="3081" w:type="dxa"/>
            <w:shd w:val="clear" w:color="auto" w:fill="auto"/>
          </w:tcPr>
          <w:p>
            <w:pPr>
              <w:keepNext/>
              <w:keepLines/>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Šildymo sistemos</w:t>
            </w:r>
          </w:p>
        </w:tc>
        <w:tc>
          <w:tcPr>
            <w:tcW w:w="3081" w:type="dxa"/>
            <w:shd w:val="clear" w:color="auto" w:fill="auto"/>
            <w:vAlign w:val="bottom"/>
          </w:tcPr>
          <w:p>
            <w:pPr>
              <w:shd w:val="clear" w:color="auto" w:fill="FFFFFF"/>
              <w:spacing w:line="240" w:lineRule="atLeast"/>
              <w:jc w:val="left"/>
              <w:rPr>
                <w:noProof/>
              </w:rPr>
            </w:pPr>
            <w:r>
              <w:rPr>
                <w:noProof/>
              </w:rPr>
              <w:t>JT taisyklė Nr. 122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Galvos apsaugos priemonės (kombinuojamos su sėdynėmis)</w:t>
            </w:r>
          </w:p>
        </w:tc>
        <w:tc>
          <w:tcPr>
            <w:tcW w:w="3081" w:type="dxa"/>
            <w:shd w:val="clear" w:color="auto" w:fill="auto"/>
            <w:vAlign w:val="bottom"/>
          </w:tcPr>
          <w:p>
            <w:pPr>
              <w:shd w:val="clear" w:color="auto" w:fill="FFFFFF"/>
              <w:spacing w:line="240" w:lineRule="atLeast"/>
              <w:jc w:val="left"/>
              <w:rPr>
                <w:noProof/>
              </w:rPr>
            </w:pPr>
            <w:r>
              <w:rPr>
                <w:noProof/>
              </w:rPr>
              <w:t>JT taisyklė Nr. 17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Galvos apsaugos priemonės</w:t>
            </w:r>
          </w:p>
        </w:tc>
        <w:tc>
          <w:tcPr>
            <w:tcW w:w="3081" w:type="dxa"/>
            <w:shd w:val="clear" w:color="auto" w:fill="auto"/>
          </w:tcPr>
          <w:p>
            <w:pPr>
              <w:shd w:val="clear" w:color="auto" w:fill="FFFFFF"/>
              <w:spacing w:line="240" w:lineRule="atLeast"/>
              <w:jc w:val="left"/>
              <w:rPr>
                <w:noProof/>
              </w:rPr>
            </w:pPr>
            <w:r>
              <w:rPr>
                <w:noProof/>
              </w:rPr>
              <w:t>JT taisyklė Nr. 25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Išmetamas CO2 kiekis – keleivinių transporto priemonių, kuriose yra ne daugiau kaip aštuonios vietos be vairuotojo vietos, degalų sąnaudos</w:t>
            </w:r>
          </w:p>
        </w:tc>
        <w:tc>
          <w:tcPr>
            <w:tcW w:w="3081" w:type="dxa"/>
            <w:shd w:val="clear" w:color="auto" w:fill="auto"/>
          </w:tcPr>
          <w:p>
            <w:pPr>
              <w:shd w:val="clear" w:color="auto" w:fill="FFFFFF"/>
              <w:spacing w:line="240" w:lineRule="atLeast"/>
              <w:jc w:val="left"/>
              <w:rPr>
                <w:noProof/>
              </w:rPr>
            </w:pPr>
            <w:r>
              <w:rPr>
                <w:noProof/>
              </w:rPr>
              <w:t>JT taisyklė Nr. 101</w:t>
            </w:r>
          </w:p>
        </w:tc>
        <w:tc>
          <w:tcPr>
            <w:tcW w:w="3081" w:type="dxa"/>
            <w:shd w:val="clear" w:color="auto" w:fill="auto"/>
          </w:tcPr>
          <w:p>
            <w:pPr>
              <w:shd w:val="clear" w:color="auto" w:fill="FFFFFF"/>
              <w:spacing w:line="240" w:lineRule="atLeast"/>
              <w:jc w:val="left"/>
              <w:rPr>
                <w:noProof/>
              </w:rPr>
            </w:pPr>
            <w:r>
              <w:rPr>
                <w:noProof/>
              </w:rPr>
              <w:t xml:space="preserve">Reglamentas (EB) Nr. 692/2008 </w:t>
            </w:r>
          </w:p>
        </w:tc>
      </w:tr>
      <w:tr>
        <w:tc>
          <w:tcPr>
            <w:tcW w:w="3080" w:type="dxa"/>
            <w:shd w:val="clear" w:color="auto" w:fill="auto"/>
            <w:vAlign w:val="bottom"/>
          </w:tcPr>
          <w:p>
            <w:pPr>
              <w:shd w:val="clear" w:color="auto" w:fill="FFFFFF"/>
              <w:spacing w:line="240" w:lineRule="atLeast"/>
              <w:jc w:val="left"/>
              <w:rPr>
                <w:noProof/>
              </w:rPr>
            </w:pPr>
            <w:r>
              <w:rPr>
                <w:noProof/>
              </w:rPr>
              <w:t xml:space="preserve">Variklio galia </w:t>
            </w:r>
          </w:p>
        </w:tc>
        <w:tc>
          <w:tcPr>
            <w:tcW w:w="3081" w:type="dxa"/>
            <w:shd w:val="clear" w:color="auto" w:fill="auto"/>
            <w:vAlign w:val="bottom"/>
          </w:tcPr>
          <w:p>
            <w:pPr>
              <w:shd w:val="clear" w:color="auto" w:fill="FFFFFF"/>
              <w:spacing w:line="240" w:lineRule="atLeast"/>
              <w:jc w:val="left"/>
              <w:rPr>
                <w:noProof/>
              </w:rPr>
            </w:pPr>
            <w:r>
              <w:rPr>
                <w:noProof/>
              </w:rPr>
              <w:t>JT taisyklė Nr. 85</w:t>
            </w:r>
          </w:p>
        </w:tc>
        <w:tc>
          <w:tcPr>
            <w:tcW w:w="3081" w:type="dxa"/>
            <w:shd w:val="clear" w:color="auto" w:fill="auto"/>
            <w:vAlign w:val="bottom"/>
          </w:tcPr>
          <w:p>
            <w:pPr>
              <w:shd w:val="clear" w:color="auto" w:fill="FFFFFF"/>
              <w:spacing w:line="240" w:lineRule="atLeast"/>
              <w:jc w:val="left"/>
              <w:rPr>
                <w:noProof/>
              </w:rPr>
            </w:pPr>
            <w:r>
              <w:rPr>
                <w:noProof/>
              </w:rPr>
              <w:t xml:space="preserve">Reglamentai (EB) Nr. 692/2008 ir (ES) Nr. 582/2011 </w:t>
            </w:r>
          </w:p>
        </w:tc>
      </w:tr>
      <w:tr>
        <w:tc>
          <w:tcPr>
            <w:tcW w:w="3080" w:type="dxa"/>
            <w:shd w:val="clear" w:color="auto" w:fill="auto"/>
          </w:tcPr>
          <w:p>
            <w:pPr>
              <w:shd w:val="clear" w:color="auto" w:fill="FFFFFF"/>
              <w:spacing w:line="240" w:lineRule="atLeast"/>
              <w:jc w:val="left"/>
              <w:rPr>
                <w:noProof/>
              </w:rPr>
            </w:pPr>
            <w:r>
              <w:rPr>
                <w:noProof/>
              </w:rPr>
              <w:t>Didelės galios transporto priemonių išmetami teršalai</w:t>
            </w:r>
          </w:p>
        </w:tc>
        <w:tc>
          <w:tcPr>
            <w:tcW w:w="3081" w:type="dxa"/>
            <w:shd w:val="clear" w:color="auto" w:fill="auto"/>
          </w:tcPr>
          <w:p>
            <w:pPr>
              <w:shd w:val="clear" w:color="auto" w:fill="FFFFFF"/>
              <w:spacing w:line="240" w:lineRule="atLeast"/>
              <w:jc w:val="left"/>
              <w:rPr>
                <w:noProof/>
              </w:rPr>
            </w:pPr>
            <w:r>
              <w:rPr>
                <w:noProof/>
              </w:rPr>
              <w:t>JT taisyklė Nr. 49</w:t>
            </w:r>
          </w:p>
        </w:tc>
        <w:tc>
          <w:tcPr>
            <w:tcW w:w="3081" w:type="dxa"/>
            <w:shd w:val="clear" w:color="auto" w:fill="auto"/>
          </w:tcPr>
          <w:p>
            <w:pPr>
              <w:shd w:val="clear" w:color="auto" w:fill="FFFFFF"/>
              <w:spacing w:line="240" w:lineRule="atLeast"/>
              <w:jc w:val="left"/>
              <w:rPr>
                <w:noProof/>
              </w:rPr>
            </w:pPr>
            <w:r>
              <w:rPr>
                <w:noProof/>
              </w:rPr>
              <w:t xml:space="preserve">Reglamentas (EB) Nr. 595/2009, Reglamentas (ES) Nr. 582/2011 </w:t>
            </w:r>
          </w:p>
          <w:p>
            <w:pPr>
              <w:shd w:val="clear" w:color="auto" w:fill="FFFFFF"/>
              <w:spacing w:line="240" w:lineRule="atLeast"/>
              <w:jc w:val="left"/>
              <w:rPr>
                <w:noProof/>
              </w:rPr>
            </w:pPr>
            <w:r>
              <w:rPr>
                <w:noProof/>
              </w:rPr>
              <w:t>Reglamentas (ES) 2016/1718</w:t>
            </w:r>
          </w:p>
        </w:tc>
      </w:tr>
      <w:tr>
        <w:tc>
          <w:tcPr>
            <w:tcW w:w="3080" w:type="dxa"/>
            <w:shd w:val="clear" w:color="auto" w:fill="auto"/>
            <w:vAlign w:val="bottom"/>
          </w:tcPr>
          <w:p>
            <w:pPr>
              <w:shd w:val="clear" w:color="auto" w:fill="FFFFFF"/>
              <w:spacing w:line="240" w:lineRule="atLeast"/>
              <w:jc w:val="left"/>
              <w:rPr>
                <w:noProof/>
              </w:rPr>
            </w:pPr>
            <w:r>
              <w:rPr>
                <w:noProof/>
              </w:rPr>
              <w:t>Šoninės apsaugos priemonės</w:t>
            </w:r>
          </w:p>
        </w:tc>
        <w:tc>
          <w:tcPr>
            <w:tcW w:w="3081" w:type="dxa"/>
            <w:shd w:val="clear" w:color="auto" w:fill="auto"/>
            <w:vAlign w:val="bottom"/>
          </w:tcPr>
          <w:p>
            <w:pPr>
              <w:shd w:val="clear" w:color="auto" w:fill="FFFFFF"/>
              <w:spacing w:line="240" w:lineRule="atLeast"/>
              <w:jc w:val="left"/>
              <w:rPr>
                <w:noProof/>
              </w:rPr>
            </w:pPr>
            <w:r>
              <w:rPr>
                <w:noProof/>
              </w:rPr>
              <w:t>JT taisyklė Nr. 73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Apsauginiai stiklai</w:t>
            </w:r>
          </w:p>
        </w:tc>
        <w:tc>
          <w:tcPr>
            <w:tcW w:w="3081" w:type="dxa"/>
            <w:shd w:val="clear" w:color="auto" w:fill="auto"/>
          </w:tcPr>
          <w:p>
            <w:pPr>
              <w:shd w:val="clear" w:color="auto" w:fill="FFFFFF"/>
              <w:spacing w:line="240" w:lineRule="atLeast"/>
              <w:jc w:val="left"/>
              <w:rPr>
                <w:noProof/>
              </w:rPr>
            </w:pPr>
            <w:r>
              <w:rPr>
                <w:noProof/>
              </w:rPr>
              <w:t>JT taisyklė Nr. 43</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Padangos, variklinės transporto priemonės ir jų priekabos</w:t>
            </w:r>
          </w:p>
        </w:tc>
        <w:tc>
          <w:tcPr>
            <w:tcW w:w="3081" w:type="dxa"/>
            <w:shd w:val="clear" w:color="auto" w:fill="auto"/>
            <w:vAlign w:val="bottom"/>
          </w:tcPr>
          <w:p>
            <w:pPr>
              <w:shd w:val="clear" w:color="auto" w:fill="FFFFFF"/>
              <w:spacing w:line="240" w:lineRule="atLeast"/>
              <w:jc w:val="left"/>
              <w:rPr>
                <w:noProof/>
              </w:rPr>
            </w:pPr>
            <w:r>
              <w:rPr>
                <w:noProof/>
              </w:rPr>
              <w:t>JT taisyklė Nr. 30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Padangos, komercinės transporto priemonės ir jų priekabos</w:t>
            </w:r>
          </w:p>
        </w:tc>
        <w:tc>
          <w:tcPr>
            <w:tcW w:w="3081" w:type="dxa"/>
            <w:shd w:val="clear" w:color="auto" w:fill="auto"/>
          </w:tcPr>
          <w:p>
            <w:pPr>
              <w:shd w:val="clear" w:color="auto" w:fill="FFFFFF"/>
              <w:spacing w:line="240" w:lineRule="atLeast"/>
              <w:jc w:val="left"/>
              <w:rPr>
                <w:noProof/>
              </w:rPr>
            </w:pPr>
            <w:r>
              <w:rPr>
                <w:noProof/>
              </w:rPr>
              <w:t>JT taisyklė Nr. 54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Laikinai naudojami atsarginiai ratai ir (arba) padangos</w:t>
            </w:r>
          </w:p>
        </w:tc>
        <w:tc>
          <w:tcPr>
            <w:tcW w:w="3081" w:type="dxa"/>
            <w:shd w:val="clear" w:color="auto" w:fill="auto"/>
            <w:vAlign w:val="bottom"/>
          </w:tcPr>
          <w:p>
            <w:pPr>
              <w:shd w:val="clear" w:color="auto" w:fill="FFFFFF"/>
              <w:spacing w:line="240" w:lineRule="atLeast"/>
              <w:jc w:val="left"/>
              <w:rPr>
                <w:noProof/>
              </w:rPr>
            </w:pPr>
            <w:r>
              <w:rPr>
                <w:noProof/>
              </w:rPr>
              <w:t>JT taisyklė Nr. 64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Riedėjimo pasipriešinimas</w:t>
            </w:r>
          </w:p>
        </w:tc>
        <w:tc>
          <w:tcPr>
            <w:tcW w:w="3081" w:type="dxa"/>
            <w:shd w:val="clear" w:color="auto" w:fill="auto"/>
          </w:tcPr>
          <w:p>
            <w:pPr>
              <w:shd w:val="clear" w:color="auto" w:fill="FFFFFF"/>
              <w:spacing w:line="240" w:lineRule="atLeast"/>
              <w:jc w:val="left"/>
              <w:rPr>
                <w:noProof/>
              </w:rPr>
            </w:pPr>
            <w:r>
              <w:rPr>
                <w:noProof/>
              </w:rPr>
              <w:t>JT taisyklė Nr. 117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Greičio ribotuvai</w:t>
            </w:r>
          </w:p>
        </w:tc>
        <w:tc>
          <w:tcPr>
            <w:tcW w:w="3081" w:type="dxa"/>
            <w:shd w:val="clear" w:color="auto" w:fill="auto"/>
            <w:vAlign w:val="bottom"/>
          </w:tcPr>
          <w:p>
            <w:pPr>
              <w:shd w:val="clear" w:color="auto" w:fill="FFFFFF"/>
              <w:spacing w:line="240" w:lineRule="atLeast"/>
              <w:jc w:val="left"/>
              <w:rPr>
                <w:noProof/>
              </w:rPr>
            </w:pPr>
            <w:r>
              <w:rPr>
                <w:noProof/>
              </w:rPr>
              <w:t>JT taisyklė Nr. 89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Sukabinimas</w:t>
            </w:r>
          </w:p>
        </w:tc>
        <w:tc>
          <w:tcPr>
            <w:tcW w:w="3081" w:type="dxa"/>
            <w:shd w:val="clear" w:color="auto" w:fill="auto"/>
            <w:vAlign w:val="bottom"/>
          </w:tcPr>
          <w:p>
            <w:pPr>
              <w:shd w:val="clear" w:color="auto" w:fill="FFFFFF"/>
              <w:spacing w:line="240" w:lineRule="atLeast"/>
              <w:jc w:val="left"/>
              <w:rPr>
                <w:noProof/>
              </w:rPr>
            </w:pPr>
            <w:r>
              <w:rPr>
                <w:noProof/>
              </w:rPr>
              <w:t>JT taisyklė Nr. 55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Sukabinimo įranga</w:t>
            </w:r>
          </w:p>
        </w:tc>
        <w:tc>
          <w:tcPr>
            <w:tcW w:w="3081" w:type="dxa"/>
            <w:shd w:val="clear" w:color="auto" w:fill="auto"/>
          </w:tcPr>
          <w:p>
            <w:pPr>
              <w:shd w:val="clear" w:color="auto" w:fill="FFFFFF"/>
              <w:spacing w:line="240" w:lineRule="atLeast"/>
              <w:jc w:val="left"/>
              <w:rPr>
                <w:noProof/>
              </w:rPr>
            </w:pPr>
            <w:r>
              <w:rPr>
                <w:noProof/>
              </w:rPr>
              <w:t>JT taisyklė Nr. 102</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Degumas</w:t>
            </w:r>
          </w:p>
        </w:tc>
        <w:tc>
          <w:tcPr>
            <w:tcW w:w="3081" w:type="dxa"/>
            <w:shd w:val="clear" w:color="auto" w:fill="auto"/>
            <w:vAlign w:val="bottom"/>
          </w:tcPr>
          <w:p>
            <w:pPr>
              <w:shd w:val="clear" w:color="auto" w:fill="FFFFFF"/>
              <w:spacing w:line="240" w:lineRule="atLeast"/>
              <w:jc w:val="left"/>
              <w:rPr>
                <w:noProof/>
              </w:rPr>
            </w:pPr>
            <w:r>
              <w:rPr>
                <w:noProof/>
              </w:rPr>
              <w:t>JT taisyklė Nr. 118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Autobusai ir tarpmiestiniai autobusai</w:t>
            </w:r>
          </w:p>
        </w:tc>
        <w:tc>
          <w:tcPr>
            <w:tcW w:w="3081" w:type="dxa"/>
            <w:shd w:val="clear" w:color="auto" w:fill="auto"/>
          </w:tcPr>
          <w:p>
            <w:pPr>
              <w:shd w:val="clear" w:color="auto" w:fill="FFFFFF"/>
              <w:spacing w:line="240" w:lineRule="atLeast"/>
              <w:jc w:val="left"/>
              <w:rPr>
                <w:noProof/>
              </w:rPr>
            </w:pPr>
            <w:r>
              <w:rPr>
                <w:noProof/>
              </w:rPr>
              <w:t>JT taisyklė Nr. 107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Kėbulo rėmų tvirtumas (miesto ir tarpmiestinių autobusų)</w:t>
            </w:r>
          </w:p>
        </w:tc>
        <w:tc>
          <w:tcPr>
            <w:tcW w:w="3081" w:type="dxa"/>
            <w:shd w:val="clear" w:color="auto" w:fill="auto"/>
          </w:tcPr>
          <w:p>
            <w:pPr>
              <w:shd w:val="clear" w:color="auto" w:fill="FFFFFF"/>
              <w:spacing w:line="240" w:lineRule="atLeast"/>
              <w:jc w:val="left"/>
              <w:rPr>
                <w:noProof/>
              </w:rPr>
            </w:pPr>
            <w:r>
              <w:rPr>
                <w:noProof/>
              </w:rPr>
              <w:t>JT taisyklė Nr. 66</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Priekinis smūgis</w:t>
            </w:r>
          </w:p>
        </w:tc>
        <w:tc>
          <w:tcPr>
            <w:tcW w:w="3081" w:type="dxa"/>
            <w:shd w:val="clear" w:color="auto" w:fill="auto"/>
          </w:tcPr>
          <w:p>
            <w:pPr>
              <w:shd w:val="clear" w:color="auto" w:fill="FFFFFF"/>
              <w:spacing w:line="240" w:lineRule="atLeast"/>
              <w:jc w:val="left"/>
              <w:rPr>
                <w:noProof/>
              </w:rPr>
            </w:pPr>
            <w:r>
              <w:rPr>
                <w:noProof/>
              </w:rPr>
              <w:t>JT taisyklė Nr. 94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Šoninis smūgis</w:t>
            </w:r>
          </w:p>
        </w:tc>
        <w:tc>
          <w:tcPr>
            <w:tcW w:w="3081" w:type="dxa"/>
            <w:shd w:val="clear" w:color="auto" w:fill="auto"/>
            <w:vAlign w:val="bottom"/>
          </w:tcPr>
          <w:p>
            <w:pPr>
              <w:shd w:val="clear" w:color="auto" w:fill="FFFFFF"/>
              <w:spacing w:line="240" w:lineRule="atLeast"/>
              <w:jc w:val="left"/>
              <w:rPr>
                <w:noProof/>
              </w:rPr>
            </w:pPr>
            <w:r>
              <w:rPr>
                <w:noProof/>
              </w:rPr>
              <w:t>JT taisyklė Nr. 95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Transporto priemonės, skirtos pavojingiesiems kroviniams vežti</w:t>
            </w:r>
          </w:p>
        </w:tc>
        <w:tc>
          <w:tcPr>
            <w:tcW w:w="3081" w:type="dxa"/>
            <w:shd w:val="clear" w:color="auto" w:fill="auto"/>
          </w:tcPr>
          <w:p>
            <w:pPr>
              <w:shd w:val="clear" w:color="auto" w:fill="FFFFFF"/>
              <w:spacing w:line="240" w:lineRule="atLeast"/>
              <w:jc w:val="left"/>
              <w:rPr>
                <w:noProof/>
              </w:rPr>
            </w:pPr>
            <w:r>
              <w:rPr>
                <w:noProof/>
              </w:rPr>
              <w:t>JT taisyklė Nr. 105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Priekinė apsauga nuo palindimo</w:t>
            </w:r>
          </w:p>
        </w:tc>
        <w:tc>
          <w:tcPr>
            <w:tcW w:w="3081" w:type="dxa"/>
            <w:shd w:val="clear" w:color="auto" w:fill="auto"/>
          </w:tcPr>
          <w:p>
            <w:pPr>
              <w:shd w:val="clear" w:color="auto" w:fill="FFFFFF"/>
              <w:spacing w:line="240" w:lineRule="atLeast"/>
              <w:jc w:val="left"/>
              <w:rPr>
                <w:noProof/>
              </w:rPr>
            </w:pPr>
            <w:r>
              <w:rPr>
                <w:noProof/>
              </w:rPr>
              <w:t>JT taisyklė Nr. 93</w:t>
            </w:r>
          </w:p>
        </w:tc>
        <w:tc>
          <w:tcPr>
            <w:tcW w:w="3081" w:type="dxa"/>
            <w:shd w:val="clear" w:color="auto" w:fill="auto"/>
          </w:tcPr>
          <w:p>
            <w:pPr>
              <w:shd w:val="clear" w:color="auto" w:fill="FFFFFF"/>
              <w:spacing w:line="240" w:lineRule="atLeast"/>
              <w:jc w:val="left"/>
              <w:rPr>
                <w:noProof/>
              </w:rPr>
            </w:pPr>
          </w:p>
        </w:tc>
      </w:tr>
    </w:tbl>
    <w:p>
      <w:pPr>
        <w:widowControl w:val="0"/>
        <w:spacing w:after="0" w:line="360" w:lineRule="auto"/>
        <w:jc w:val="left"/>
        <w:outlineLvl w:val="0"/>
        <w:rPr>
          <w:noProof/>
        </w:rPr>
        <w:sectPr>
          <w:pgSz w:w="11906" w:h="16838"/>
          <w:pgMar w:top="1020" w:right="1701" w:bottom="1020" w:left="1587" w:header="601" w:footer="1077" w:gutter="0"/>
          <w:cols w:space="720"/>
          <w:docGrid w:linePitch="326"/>
        </w:sectPr>
      </w:pPr>
    </w:p>
    <w:p>
      <w:pPr>
        <w:widowControl w:val="0"/>
        <w:spacing w:after="0" w:line="360" w:lineRule="auto"/>
        <w:jc w:val="right"/>
        <w:outlineLvl w:val="0"/>
        <w:rPr>
          <w:noProof/>
        </w:rPr>
      </w:pPr>
      <w:r>
        <w:rPr>
          <w:noProof/>
        </w:rPr>
        <w:t>2 priedas</w:t>
      </w:r>
    </w:p>
    <w:p>
      <w:pPr>
        <w:widowControl w:val="0"/>
        <w:spacing w:after="0" w:line="360" w:lineRule="auto"/>
        <w:jc w:val="center"/>
        <w:outlineLvl w:val="0"/>
        <w:rPr>
          <w:noProof/>
        </w:rPr>
      </w:pPr>
      <w:r>
        <w:rPr>
          <w:noProof/>
        </w:rPr>
        <w:t>2-C-3 priedėlis</w:t>
      </w:r>
    </w:p>
    <w:p>
      <w:pPr>
        <w:widowControl w:val="0"/>
        <w:spacing w:after="0" w:line="360" w:lineRule="auto"/>
        <w:jc w:val="center"/>
        <w:outlineLvl w:val="0"/>
        <w:rPr>
          <w:noProof/>
        </w:rPr>
      </w:pPr>
      <w:r>
        <w:rPr>
          <w:noProof/>
        </w:rPr>
        <w:t>1 lentelė</w:t>
      </w:r>
    </w:p>
    <w:p>
      <w:pPr>
        <w:widowControl w:val="0"/>
        <w:spacing w:after="0" w:line="360" w:lineRule="auto"/>
        <w:jc w:val="center"/>
        <w:outlineLvl w:val="0"/>
        <w:rPr>
          <w:b/>
          <w:noProof/>
        </w:rPr>
      </w:pPr>
      <w:r>
        <w:rPr>
          <w:b/>
          <w:noProof/>
        </w:rPr>
        <w:t>2-C priedo 3 straipsnio a dalies ii punkte nurodytas sąrašas</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
        <w:gridCol w:w="1800"/>
        <w:gridCol w:w="270"/>
        <w:gridCol w:w="127"/>
        <w:gridCol w:w="1917"/>
        <w:gridCol w:w="6"/>
        <w:gridCol w:w="23"/>
        <w:gridCol w:w="1951"/>
        <w:gridCol w:w="8"/>
        <w:gridCol w:w="22"/>
        <w:gridCol w:w="2850"/>
        <w:gridCol w:w="11"/>
        <w:gridCol w:w="20"/>
      </w:tblGrid>
      <w:tr>
        <w:trPr>
          <w:gridAfter w:val="1"/>
          <w:wAfter w:w="20" w:type="dxa"/>
          <w:tblHeader/>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Dalykas</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Reikalavimai</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Atitinkamas Korėjos</w:t>
            </w:r>
            <w:r>
              <w:rPr>
                <w:noProof/>
              </w:rPr>
              <w:br/>
              <w:t>techninis reglamentas</w:t>
            </w:r>
          </w:p>
        </w:tc>
      </w:tr>
      <w:tr>
        <w:trPr>
          <w:gridAfter w:val="1"/>
          <w:wAfter w:w="20" w:type="dxa"/>
          <w:jc w:val="center"/>
        </w:trPr>
        <w:tc>
          <w:tcPr>
            <w:tcW w:w="2226" w:type="dxa"/>
            <w:gridSpan w:val="4"/>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Keleivio</w:t>
            </w:r>
          </w:p>
          <w:p>
            <w:pPr>
              <w:widowControl w:val="0"/>
              <w:spacing w:after="0" w:line="276" w:lineRule="auto"/>
              <w:jc w:val="left"/>
              <w:rPr>
                <w:noProof/>
              </w:rPr>
            </w:pPr>
            <w:r>
              <w:rPr>
                <w:noProof/>
              </w:rPr>
              <w:t>apsauga nuo smūgio</w:t>
            </w: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Priekis</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 Nr. 94 </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w:t>
            </w:r>
            <w:r>
              <w:rPr>
                <w:rStyle w:val="FootnoteReference"/>
                <w:noProof/>
              </w:rPr>
              <w:footnoteReference w:id="4"/>
            </w:r>
            <w:r>
              <w:rPr>
                <w:noProof/>
              </w:rPr>
              <w:t xml:space="preserve"> 102 straipsnio</w:t>
            </w:r>
          </w:p>
          <w:p>
            <w:pPr>
              <w:widowControl w:val="0"/>
              <w:spacing w:after="0" w:line="276" w:lineRule="auto"/>
              <w:jc w:val="left"/>
              <w:rPr>
                <w:noProof/>
              </w:rPr>
            </w:pPr>
            <w:r>
              <w:rPr>
                <w:noProof/>
              </w:rPr>
              <w:t>1, 3 dalys</w:t>
            </w:r>
          </w:p>
        </w:tc>
      </w:tr>
      <w:tr>
        <w:trPr>
          <w:gridAfter w:val="1"/>
          <w:wAfter w:w="20" w:type="dxa"/>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Šonas</w:t>
            </w:r>
          </w:p>
        </w:tc>
        <w:tc>
          <w:tcPr>
            <w:tcW w:w="1982"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JT taisyklė Nr. 95</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102 straipsnio</w:t>
            </w:r>
          </w:p>
          <w:p>
            <w:pPr>
              <w:widowControl w:val="0"/>
              <w:spacing w:after="0" w:line="276" w:lineRule="auto"/>
              <w:jc w:val="left"/>
              <w:rPr>
                <w:noProof/>
              </w:rPr>
            </w:pPr>
            <w:r>
              <w:rPr>
                <w:noProof/>
              </w:rPr>
              <w:t>1 dalis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Vairavimo kontrolės užpakalinės dalies poslinkis</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89 straipsnio 1 dalies 2 punktas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Vairuotojo apsauga nuo smūgio (vairavimo kontrolės sistema)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89 straipsnio 1 dalies 1 punktas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Sėdėjimo sistemos</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97 straipsnis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Galvos apsaugos priemonės</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 Nr. 17, </w:t>
            </w:r>
            <w:r>
              <w:rPr>
                <w:noProof/>
              </w:rPr>
              <w:br/>
              <w:t>JT taisyklė Nr. 25,</w:t>
            </w:r>
            <w:r>
              <w:rPr>
                <w:noProof/>
              </w:rPr>
              <w:br/>
              <w:t>PTR 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26, 99 straipsniai</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Durų užraktai ir durų sulaikymo mechanizmo dalys</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11,</w:t>
            </w:r>
            <w:r>
              <w:rPr>
                <w:noProof/>
              </w:rPr>
              <w:br/>
              <w:t>PTR 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104 straipsnio 2 dalis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Smūgis į prietaisų skydą</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88 straipsnis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Smūgis į sėdynės nugarą</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98 straipsnis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Smūgis į rankų atramą</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100 straipsnis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Smūgis į saulės skydelį</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101 straipsnis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Smūgis į vidinį galinio vaizdo veidrodėlį</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46</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108 straipsnis</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Vilkimo įtaisai</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Reglamentas (ES) Nr. 1005/2010</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20 straipsnio 1 dalis </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Apsauginis galinis užkardas</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58</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19 straipsnio 4 dalis ir 96 straipsnis </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pageBreakBefore/>
              <w:widowControl w:val="0"/>
              <w:spacing w:after="0" w:line="276" w:lineRule="auto"/>
              <w:jc w:val="left"/>
              <w:rPr>
                <w:noProof/>
              </w:rPr>
            </w:pPr>
            <w:r>
              <w:rPr>
                <w:noProof/>
              </w:rPr>
              <w:t xml:space="preserve">Apšvietimo ir </w:t>
            </w:r>
            <w:r>
              <w:rPr>
                <w:noProof/>
              </w:rPr>
              <w:br w:type="page"/>
              <w:t>įspėjimo sistema</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Instaliacija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48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38, 38-2, 38-3, 38-4, 38-5, 39, 40, 41, 42, 43, 44, 44-2, 45, 45-2, 47 ir 49 straipsniai</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Priekinis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taisyklės Nr. 1, 2, 5, 8, 20, 31, 37, </w:t>
            </w:r>
          </w:p>
          <w:p>
            <w:pPr>
              <w:widowControl w:val="0"/>
              <w:spacing w:after="0" w:line="276" w:lineRule="auto"/>
              <w:jc w:val="left"/>
              <w:rPr>
                <w:noProof/>
              </w:rPr>
            </w:pPr>
            <w:r>
              <w:rPr>
                <w:noProof/>
              </w:rPr>
              <w:t xml:space="preserve">JT taisyklės Nr. 98, 99, 112, 113, 123 </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38 straipsnis, 48 straipsnio 3 dalis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Priekinis rūko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KMVSS 38-2 straipsnio 1 dalis,</w:t>
            </w:r>
          </w:p>
          <w:p>
            <w:pPr>
              <w:widowControl w:val="0"/>
              <w:spacing w:after="0" w:line="276" w:lineRule="auto"/>
              <w:jc w:val="left"/>
              <w:rPr>
                <w:noProof/>
              </w:rPr>
            </w:pP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Dieninis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87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38-4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Posūkio apšvietimo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119</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38-5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Atsarginis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23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39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Gabaritinis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40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Valstybinio numerio ženklo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4</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41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Galinis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42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Stabdymo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43 straipsnio 1 dalis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Vidurinis iškeltas</w:t>
            </w:r>
          </w:p>
          <w:p>
            <w:pPr>
              <w:widowControl w:val="0"/>
              <w:spacing w:after="0" w:line="276" w:lineRule="auto"/>
              <w:jc w:val="left"/>
              <w:rPr>
                <w:noProof/>
              </w:rPr>
            </w:pPr>
            <w:r>
              <w:rPr>
                <w:noProof/>
              </w:rPr>
              <w:t>stabdymo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43 straipsnio 2 dalis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Posūkio signalas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6</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44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Papildomas posūkio signalas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44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Šoninis gabaritinis žibintas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91</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44-2 straipsnis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Galinis rūko žibintas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38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38-2 straipsnio</w:t>
            </w:r>
          </w:p>
          <w:p>
            <w:pPr>
              <w:widowControl w:val="0"/>
              <w:spacing w:after="0" w:line="276" w:lineRule="auto"/>
              <w:jc w:val="left"/>
              <w:rPr>
                <w:noProof/>
              </w:rPr>
            </w:pPr>
            <w:r>
              <w:rPr>
                <w:noProof/>
              </w:rPr>
              <w:t>2 dalis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Šviesogrąžiai prietaisai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70,</w:t>
            </w:r>
            <w:r>
              <w:rPr>
                <w:noProof/>
              </w:rPr>
              <w:br/>
              <w:t>JT taisyklė Nr. 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KMVSS 49 straipsnis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t>Vairuotojo matomumas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46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50 straipsnis,</w:t>
            </w:r>
          </w:p>
          <w:p>
            <w:pPr>
              <w:widowControl w:val="0"/>
              <w:spacing w:after="0" w:line="276" w:lineRule="auto"/>
              <w:jc w:val="left"/>
              <w:rPr>
                <w:noProof/>
              </w:rPr>
            </w:pPr>
            <w:r>
              <w:rPr>
                <w:noProof/>
              </w:rPr>
              <w:t>94 straipsnis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Variklio galia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85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111 straipsnis</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Prietaisas, </w:t>
            </w:r>
            <w:r>
              <w:rPr>
                <w:noProof/>
              </w:rPr>
              <w:br/>
              <w:t xml:space="preserve">kuriuo užtikrinamas </w:t>
            </w:r>
            <w:r>
              <w:rPr>
                <w:noProof/>
              </w:rPr>
              <w:br/>
              <w:t xml:space="preserve">vairuotojo </w:t>
            </w:r>
            <w:r>
              <w:rPr>
                <w:noProof/>
              </w:rPr>
              <w:br/>
              <w:t>matomumas</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Langų valymo sistema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Reglamentas </w:t>
            </w:r>
          </w:p>
          <w:p>
            <w:pPr>
              <w:widowControl w:val="0"/>
              <w:spacing w:after="0" w:line="276" w:lineRule="auto"/>
              <w:jc w:val="left"/>
              <w:rPr>
                <w:noProof/>
              </w:rPr>
            </w:pPr>
            <w:r>
              <w:rPr>
                <w:noProof/>
              </w:rPr>
              <w:t>(ES) Nr.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KMVSS 51 straipsnio 2 dalis, 109 straipsnio 1 punktas </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Nutirpdymo sistema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Reglamentas (ES) Nr.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109 straipsnio 2 dalis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Priešrūkinė sistema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Reglamentas (ES) Nr.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109 straipsnio 3 dalis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Langų plovimo sistema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Reglamentas (ES) Nr.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109 straipsnio 4 dalis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Keleivinių automobilių stabdžiai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13H</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15 straipsnis, 90 straipsnio 1 punktas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Stabdžių sistema, išskyrus keleivinius automobilius ir krovininius automobilius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15 straipsnis, 90 straipsnio 2 punktas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Krovininių automobilių stabdžių sistema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15 straipsnis, 90 straipsnio 3 punktas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Stabdžių antiblokavimo sistema, išskyrus krovininius automobilius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 Nr. 13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15 straipsnis, 90 straipsnio 4 punktas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Krovininių automobilių stabdžių antiblokavimo sistema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15 straipsnis, 90 straipsnio 5 punktas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br w:type="page"/>
              <w:t>Vairavimo įranga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79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14 straipsnis,</w:t>
            </w:r>
          </w:p>
          <w:p>
            <w:pPr>
              <w:widowControl w:val="0"/>
              <w:spacing w:after="0" w:line="276" w:lineRule="auto"/>
              <w:jc w:val="left"/>
              <w:rPr>
                <w:noProof/>
              </w:rPr>
            </w:pPr>
            <w:r>
              <w:rPr>
                <w:noProof/>
              </w:rPr>
              <w:t xml:space="preserve">89 straipsnio 2 dalis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Greičio ribotuvas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89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110-2 straipsnis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Spidometras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39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110 straipsnis,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Elektromagnetinis suderinamumas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10</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111-2 straipsnis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Degalų nutekėjimas susidūrimo atveju</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34,</w:t>
            </w:r>
            <w:r>
              <w:rPr>
                <w:noProof/>
              </w:rPr>
              <w:br/>
              <w:t>JT taisyklė Nr. 94,</w:t>
            </w:r>
            <w:r>
              <w:rPr>
                <w:noProof/>
              </w:rPr>
              <w:br/>
              <w:t>JT taisyklė Nr. 95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91 straipsnis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t>Smūgis į buferį</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42</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93 straipsnis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Saugos diržų susegimo tvirtinimo detalės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 Nr. 14, </w:t>
            </w:r>
          </w:p>
          <w:p>
            <w:pPr>
              <w:widowControl w:val="0"/>
              <w:spacing w:after="0" w:line="276" w:lineRule="auto"/>
              <w:jc w:val="left"/>
              <w:rPr>
                <w:noProof/>
              </w:rPr>
            </w:pPr>
            <w:r>
              <w:rPr>
                <w:noProof/>
              </w:rPr>
              <w:t>JT taisyklė Nr. 16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27 straipsnio 1–4 dalys, 103 straipsnis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Vaiko sėdynės pritvirtinimas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 Nr. 14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27-2 straipsnis, 103-2 straipsnis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Signalo garsumas, pastovus triukšmas ir keturračių transporto priemonių pašalinis triukšmas</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28,</w:t>
            </w:r>
          </w:p>
          <w:p>
            <w:pPr>
              <w:widowControl w:val="0"/>
              <w:spacing w:after="0" w:line="276" w:lineRule="auto"/>
              <w:jc w:val="left"/>
              <w:rPr>
                <w:noProof/>
              </w:rPr>
            </w:pPr>
            <w:r>
              <w:rPr>
                <w:noProof/>
              </w:rPr>
              <w:t>JT taisyklė Nr. 51</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35, 53 straipsniai, NVCA 30 straipsnis ir potvarkio dėl jo poveikio veiksmingumo</w:t>
            </w:r>
            <w:r>
              <w:rPr>
                <w:rStyle w:val="FootnoteReference"/>
                <w:noProof/>
              </w:rPr>
              <w:footnoteReference w:id="5"/>
            </w:r>
            <w:r>
              <w:rPr>
                <w:noProof/>
              </w:rPr>
              <w:t xml:space="preserve"> 29 straipsnis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Motociklų išmetamieji teršalai ir triukšmas (išskyrus triračių arba keturračių pašalinį triukšmą)</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 Nr. 40 </w:t>
            </w:r>
            <w:r>
              <w:rPr>
                <w:noProof/>
              </w:rPr>
              <w:br/>
              <w:t xml:space="preserve">JT taisyklė Nr. 41 </w:t>
            </w:r>
            <w:r>
              <w:rPr>
                <w:noProof/>
              </w:rPr>
              <w:br/>
              <w:t xml:space="preserve">JT taisyklė Nr. 47 </w:t>
            </w:r>
          </w:p>
          <w:p>
            <w:pPr>
              <w:widowControl w:val="0"/>
              <w:spacing w:after="0" w:line="276" w:lineRule="auto"/>
              <w:jc w:val="left"/>
              <w:rPr>
                <w:noProof/>
              </w:rPr>
            </w:pPr>
            <w:r>
              <w:rPr>
                <w:noProof/>
              </w:rPr>
              <w:t>Reglamentai (ES) Nr. 168/2013 ir (ES) Nr. 134/2014</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CACA</w:t>
            </w:r>
            <w:r>
              <w:rPr>
                <w:rStyle w:val="FootnoteReference"/>
                <w:noProof/>
              </w:rPr>
              <w:footnoteReference w:id="6"/>
            </w:r>
            <w:r>
              <w:rPr>
                <w:noProof/>
              </w:rPr>
              <w:t xml:space="preserve"> 46 straipsnis ir potvarkio dėl jo poveikio veiksmingumo 62 straipsnis, NVCA 30 straipsnis ir potvarkio dėl jo poveikio veiksmingumo 29 straipsnis</w:t>
            </w:r>
          </w:p>
        </w:tc>
      </w:tr>
      <w:tr>
        <w:trPr>
          <w:gridBefore w:val="1"/>
          <w:wBefore w:w="29" w:type="dxa"/>
          <w:jc w:val="center"/>
        </w:trPr>
        <w:tc>
          <w:tcPr>
            <w:tcW w:w="2070" w:type="dxa"/>
            <w:gridSpan w:val="2"/>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Dyzelino išmetamieji teršalai  </w:t>
            </w:r>
            <w:r>
              <w:rPr>
                <w:noProof/>
              </w:rPr>
              <w:br/>
              <w:t>(įsk. TPĮD)</w:t>
            </w: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Transporto priemonės, neviršijančios 3,5 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JT taisyklė Nr. 83, </w:t>
            </w:r>
            <w:r>
              <w:rPr>
                <w:noProof/>
              </w:rPr>
              <w:br/>
              <w:t>JT taisyklė Nr. 24</w:t>
            </w:r>
          </w:p>
          <w:p>
            <w:pPr>
              <w:widowControl w:val="0"/>
              <w:spacing w:after="0" w:line="276" w:lineRule="auto"/>
              <w:jc w:val="left"/>
              <w:rPr>
                <w:noProof/>
              </w:rPr>
            </w:pPr>
            <w:r>
              <w:rPr>
                <w:noProof/>
              </w:rPr>
              <w:t>Reglamentai (EB) Nr. 715/2007, (EB) Nr. 692/2008, (EB) Nr. 459/2012</w:t>
            </w:r>
          </w:p>
        </w:tc>
        <w:tc>
          <w:tcPr>
            <w:tcW w:w="2881" w:type="dxa"/>
            <w:gridSpan w:val="3"/>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CACA 46 straipsnis ir potvarkio dėl jo poveikio veiksmingumo 62 straipsnis</w:t>
            </w:r>
          </w:p>
        </w:tc>
      </w:tr>
      <w:tr>
        <w:trPr>
          <w:gridBefore w:val="1"/>
          <w:wBefore w:w="29" w:type="dxa"/>
          <w:jc w:val="center"/>
        </w:trPr>
        <w:tc>
          <w:tcPr>
            <w:tcW w:w="0" w:type="auto"/>
            <w:gridSpan w:val="2"/>
            <w:vMerge/>
            <w:tcBorders>
              <w:top w:val="single" w:sz="4" w:space="0" w:color="auto"/>
              <w:left w:val="single" w:sz="4" w:space="0" w:color="auto"/>
              <w:bottom w:val="single" w:sz="4" w:space="0" w:color="auto"/>
              <w:right w:val="nil"/>
            </w:tcBorders>
            <w:vAlign w:val="center"/>
            <w:hideMark/>
          </w:tcPr>
          <w:p>
            <w:pPr>
              <w:spacing w:after="0"/>
              <w:jc w:val="left"/>
              <w:rPr>
                <w:noProof/>
              </w:rPr>
            </w:pP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Transporto priemonės, viršijančios 3,5 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JT taisyklė Nr. 49</w:t>
            </w:r>
          </w:p>
          <w:p>
            <w:pPr>
              <w:widowControl w:val="0"/>
              <w:spacing w:after="0" w:line="276" w:lineRule="auto"/>
              <w:jc w:val="left"/>
              <w:rPr>
                <w:noProof/>
              </w:rPr>
            </w:pPr>
          </w:p>
          <w:p>
            <w:pPr>
              <w:widowControl w:val="0"/>
              <w:spacing w:before="0" w:after="0" w:line="276" w:lineRule="auto"/>
              <w:jc w:val="left"/>
              <w:rPr>
                <w:noProof/>
              </w:rPr>
            </w:pPr>
            <w:r>
              <w:rPr>
                <w:noProof/>
              </w:rPr>
              <w:t>Reglamentai (EB) Nr. 595/2009 ir (ES) Nr. 582/2011</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Padangos </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JT taisyklės Nr. 30, 54, 75, 106, 117, 108, 109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Elektros prietaisų ir vartotojų produktų saugos kontrolės akto 15, 18 ir 19 straipsniai;</w:t>
            </w:r>
          </w:p>
          <w:p>
            <w:pPr>
              <w:widowControl w:val="0"/>
              <w:spacing w:after="0" w:line="276" w:lineRule="auto"/>
              <w:jc w:val="left"/>
              <w:rPr>
                <w:noProof/>
              </w:rPr>
            </w:pPr>
            <w:r>
              <w:rPr>
                <w:noProof/>
              </w:rPr>
              <w:t>Elektros prietaisų ir vartotojų produktų saugos kontrolės akto įgyvendinimo taisyklių 3 straipsnio 4 dalis, 26 straipsnis;</w:t>
            </w:r>
          </w:p>
          <w:p>
            <w:pPr>
              <w:widowControl w:val="0"/>
              <w:spacing w:after="0" w:line="276" w:lineRule="auto"/>
              <w:jc w:val="left"/>
              <w:rPr>
                <w:noProof/>
              </w:rPr>
            </w:pPr>
            <w:r>
              <w:rPr>
                <w:noProof/>
              </w:rPr>
              <w:t>KMVSS 12 straipsnio 1 dalis</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E/ECE/TRANS/505/Rev.3.</w:t>
      </w:r>
    </w:p>
  </w:footnote>
  <w:footnote w:id="2">
    <w:p>
      <w:pPr>
        <w:pStyle w:val="FootnoteText"/>
        <w:rPr>
          <w:rFonts w:eastAsiaTheme="minorEastAsia"/>
          <w:color w:val="000000" w:themeColor="text1"/>
          <w:lang w:eastAsia="ko-KR"/>
        </w:rPr>
      </w:pPr>
      <w:r>
        <w:rPr>
          <w:rStyle w:val="FootnoteReference"/>
        </w:rPr>
        <w:footnoteRef/>
      </w:r>
      <w:r>
        <w:tab/>
      </w:r>
      <w:r>
        <w:rPr>
          <w:rFonts w:eastAsiaTheme="minorEastAsia"/>
          <w:color w:val="000000" w:themeColor="text1"/>
        </w:rPr>
        <w:t>Tuščia trečia skiltis („Atitinkamas ES techninis reglamentas“) reiškia, kad atitinkamas reglamentas yra toks pats, kaip antroje skiltyje („Reikalavimai“) nurodyta JT taisyklė.</w:t>
      </w:r>
    </w:p>
  </w:footnote>
  <w:footnote w:id="3">
    <w:p>
      <w:pPr>
        <w:pStyle w:val="FootnoteText"/>
      </w:pPr>
      <w:r>
        <w:rPr>
          <w:rStyle w:val="FootnoteReference"/>
        </w:rPr>
        <w:footnoteRef/>
      </w:r>
      <w:r>
        <w:tab/>
        <w:t>JT taisyklės santrumpa, pakeičianti ankstesnį pavadinimą UNECE.</w:t>
      </w:r>
    </w:p>
  </w:footnote>
  <w:footnote w:id="4">
    <w:p>
      <w:pPr>
        <w:pStyle w:val="FootnoteText"/>
        <w:rPr>
          <w:lang w:eastAsia="en-GB"/>
        </w:rPr>
      </w:pPr>
      <w:r>
        <w:rPr>
          <w:rStyle w:val="FootnoteReference"/>
        </w:rPr>
        <w:footnoteRef/>
      </w:r>
      <w:r>
        <w:tab/>
        <w:t>Anksčiau žinomi kaip Korėjos variklinių transporto priemonių saugos standartai, 2014 m. liepos 1 d. pervadinti Korėjos variklinių transporto priemonių ir jų dalių veiksmingumo taisyklės ir standartai.</w:t>
      </w:r>
    </w:p>
  </w:footnote>
  <w:footnote w:id="5">
    <w:p>
      <w:pPr>
        <w:pStyle w:val="FootnoteText"/>
      </w:pPr>
      <w:r>
        <w:rPr>
          <w:rStyle w:val="FootnoteReference"/>
        </w:rPr>
        <w:footnoteRef/>
      </w:r>
      <w:r>
        <w:tab/>
        <w:t>Korėjos aplinkos ministerija</w:t>
      </w:r>
    </w:p>
  </w:footnote>
  <w:footnote w:id="6">
    <w:p>
      <w:pPr>
        <w:pStyle w:val="FootnoteText"/>
      </w:pPr>
      <w:r>
        <w:rPr>
          <w:rStyle w:val="FootnoteReference"/>
        </w:rPr>
        <w:footnoteRef/>
      </w:r>
      <w:r>
        <w:tab/>
        <w:t>Korėjos švaraus oro apsaugos aktas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E2CB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EB0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9216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5A33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21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5A93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3A3ADC"/>
    <w:lvl w:ilvl="0">
      <w:start w:val="1"/>
      <w:numFmt w:val="decimal"/>
      <w:pStyle w:val="ListNumber"/>
      <w:lvlText w:val="%1."/>
      <w:lvlJc w:val="left"/>
      <w:pPr>
        <w:tabs>
          <w:tab w:val="num" w:pos="360"/>
        </w:tabs>
        <w:ind w:left="360" w:hanging="360"/>
      </w:pPr>
    </w:lvl>
  </w:abstractNum>
  <w:abstractNum w:abstractNumId="7">
    <w:nsid w:val="FFFFFF89"/>
    <w:multiLevelType w:val="singleLevel"/>
    <w:tmpl w:val="51A6CF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3"/>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55: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C5ADC7CF-C75D-4151-BF24-C22232421052"/>
    <w:docVar w:name="LW_COVERPAGE_TYPE" w:val="1"/>
    <w:docVar w:name="LW_CROSSREFERENCE" w:val="&lt;UNUSED&gt;"/>
    <w:docVar w:name="LW_DocType" w:val="ANNEX"/>
    <w:docVar w:name="LW_EMISSION" w:val="2019 06 12"/>
    <w:docVar w:name="LW_EMISSION_ISODATE" w:val="2019-06-12"/>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i b\u363?ti laikomasi Prekybos komitete, \u303?steigtame Europos S\u261?jungos bei jos valstybi\u371? nari\u371? ir Kor\u279?jos Respublikos laisvosios prekybos susitarimu, d\u279?l Susitarimo 2-C priedo 2-C-2 ir 2-C-3 pried\u279?li\u371? dalinio keitimo"/>
    <w:docVar w:name="LW_OBJETACTEPRINCIPAL.CP" w:val="d\u279?l pozicijos, kurios Europos S\u261?jungos vardu turi b\u363?ti laikomasi Prekybos komitete, \u303?steigtame Europos S\u261?jungos bei jos valstybi\u371? nari\u371? ir Kor\u279?jos Respublikos laisvosios prekybos susitarimu, d\u279?l Susitarimo 2-C priedo 2-C-2 ir 2-C-3 pried\u279?li\u371? dalinio keitimo"/>
    <w:docVar w:name="LW_PART_NBR" w:val="1"/>
    <w:docVar w:name="LW_PART_NBR_TOTAL" w:val="1"/>
    <w:docVar w:name="LW_REF.INST.NEW" w:val="COM"/>
    <w:docVar w:name="LW_REF.INST.NEW_ADOPTED" w:val="final"/>
    <w:docVar w:name="LW_REF.INST.NEW_TEXT" w:val="(2019)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lt-LT"/>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t-LT"/>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lt-LT"/>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t-LT"/>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DDBB8B-BEB3-4441-9ED0-507F2BD4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20</Pages>
  <Words>3150</Words>
  <Characters>19186</Characters>
  <Application>Microsoft Office Word</Application>
  <DocSecurity>0</DocSecurity>
  <Lines>834</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8</cp:revision>
  <cp:lastPrinted>2019-05-24T12:30:00Z</cp:lastPrinted>
  <dcterms:created xsi:type="dcterms:W3CDTF">2019-05-27T09:17:00Z</dcterms:created>
  <dcterms:modified xsi:type="dcterms:W3CDTF">2019-06-04T09:55:00Z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