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D78B731-4F7E-45C1-A708-EAE54807B541"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after="360"/>
        <w:rPr>
          <w:noProof/>
        </w:rPr>
      </w:pPr>
      <w:bookmarkStart w:id="0" w:name="_GoBack"/>
      <w:bookmarkEnd w:id="0"/>
      <w:r>
        <w:rPr>
          <w:noProof/>
        </w:rPr>
        <w:lastRenderedPageBreak/>
        <w:t>LIIDE</w:t>
      </w:r>
    </w:p>
    <w:p>
      <w:pPr>
        <w:spacing w:line="360" w:lineRule="auto"/>
        <w:jc w:val="center"/>
        <w:rPr>
          <w:noProof/>
        </w:rPr>
      </w:pPr>
      <w:r>
        <w:rPr>
          <w:noProof/>
        </w:rPr>
        <w:t xml:space="preserve">KOREA-ELI KAUBANDUSKOMITEE OTSUS nr 3, </w:t>
      </w:r>
    </w:p>
    <w:p>
      <w:pPr>
        <w:spacing w:line="360" w:lineRule="auto"/>
        <w:jc w:val="center"/>
        <w:rPr>
          <w:noProof/>
        </w:rPr>
      </w:pPr>
      <w:r>
        <w:rPr>
          <w:noProof/>
        </w:rPr>
        <w:t>xx. aprill 2019,</w:t>
      </w:r>
    </w:p>
    <w:p>
      <w:pPr>
        <w:spacing w:line="360" w:lineRule="auto"/>
        <w:jc w:val="center"/>
        <w:rPr>
          <w:noProof/>
        </w:rPr>
      </w:pPr>
      <w:r>
        <w:rPr>
          <w:noProof/>
        </w:rPr>
        <w:t xml:space="preserve">Korea ja ELi vabakaubanduslepingu 2-C lisa liidete 2-C-2 ja 2-C-3 muutmise kohta </w:t>
      </w:r>
    </w:p>
    <w:p>
      <w:pPr>
        <w:rPr>
          <w:noProof/>
        </w:rPr>
      </w:pPr>
      <w:r>
        <w:rPr>
          <w:noProof/>
        </w:rPr>
        <w:t>KAUBANDUSKOMITEE,</w:t>
      </w:r>
    </w:p>
    <w:p>
      <w:pPr>
        <w:rPr>
          <w:noProof/>
        </w:rPr>
      </w:pPr>
      <w:r>
        <w:rPr>
          <w:noProof/>
        </w:rPr>
        <w:t>võttes arvesse ühelt poolt Korea Vabariigi (edaspidi „Korea“) ning teiselt poolt Euroopa Liidu (edaspidi „EL“) ja selle liikmesriikide vahel sõlmitud vabakaubanduslepingut (edaspidi vastavalt „leping“ ja „lepinguosalised“), eriti selle artikli 15.1 lõike 4 punkti c, artikli 15.5 lõiget 2 ja 2-C lisa artikli 3 punkti d,</w:t>
      </w:r>
    </w:p>
    <w:p>
      <w:pPr>
        <w:rPr>
          <w:noProof/>
        </w:rPr>
      </w:pPr>
      <w:r>
        <w:rPr>
          <w:noProof/>
        </w:rPr>
        <w:t>ning arvestades järgmist:</w:t>
      </w:r>
    </w:p>
    <w:p>
      <w:pPr>
        <w:pStyle w:val="Point0"/>
        <w:rPr>
          <w:noProof/>
        </w:rPr>
      </w:pPr>
      <w:r>
        <w:rPr>
          <w:noProof/>
        </w:rPr>
        <w:t>(1)</w:t>
      </w:r>
      <w:r>
        <w:rPr>
          <w:noProof/>
        </w:rPr>
        <w:tab/>
        <w:t xml:space="preserve">Lepingu artikli 15.1 lõike 4 punkti c kohaselt võib lepinguosaliste moodustatud kaubanduskomitee kaaluda lepingu muudatusi või muuta lepingu sätteid lepinguga konkreetselt ette nähtud juhtudel. </w:t>
      </w:r>
    </w:p>
    <w:p>
      <w:pPr>
        <w:pStyle w:val="Point0"/>
        <w:rPr>
          <w:noProof/>
        </w:rPr>
      </w:pPr>
      <w:r>
        <w:rPr>
          <w:noProof/>
        </w:rPr>
        <w:t>(2)</w:t>
      </w:r>
      <w:r>
        <w:rPr>
          <w:noProof/>
        </w:rPr>
        <w:tab/>
        <w:t xml:space="preserve">Lepingu artikli 15.5 lõike 2 kohaselt võivad lepinguosalised võtta oma vastavate kohaldatavate õiguslike nõuete ja menetluste kohaselt vastu kaubanduskomitee otsuse muuta lepingu lisasid, liiteid, protokolle ja märkusi. </w:t>
      </w:r>
    </w:p>
    <w:p>
      <w:pPr>
        <w:pStyle w:val="Point0"/>
        <w:rPr>
          <w:noProof/>
        </w:rPr>
      </w:pPr>
      <w:r>
        <w:rPr>
          <w:noProof/>
        </w:rPr>
        <w:t>(3)</w:t>
      </w:r>
      <w:r>
        <w:rPr>
          <w:noProof/>
        </w:rPr>
        <w:tab/>
        <w:t>Lepingu 2-C lisa artikli 3 punktiga d on antud lepinguosalistele volitus vaadata 2-C lisa liited 2-C-2 ja 2-C-3 läbi vähemalt iga kolme aasta tagant pärast lepingu jõustumist, et edendada toodete tunnustamist sama artikli punkti a kohaselt, võttes arvesse mis tahes rahvusvahelisi või lepinguosaliste regulatiivseid muutusi. Kõnealuse sätte kohaselt otsustab liidete 2-C-2 ja 2-C-3 muudatused kaubanduskomitee.</w:t>
      </w:r>
    </w:p>
    <w:p>
      <w:pPr>
        <w:pStyle w:val="Point0"/>
        <w:rPr>
          <w:noProof/>
        </w:rPr>
      </w:pPr>
      <w:r>
        <w:rPr>
          <w:noProof/>
        </w:rPr>
        <w:t>(4)</w:t>
      </w:r>
      <w:r>
        <w:rPr>
          <w:noProof/>
        </w:rPr>
        <w:tab/>
        <w:t>Korea ja EL on muutnud tehnilisi norme, et säilitada samas ulatuses turulepääs, mis on ette nähtud lepingu 2-C lisa artikli 1 lõikega 2. Ühtlasi tuleks liidetes 2-C-2 ja 2-C-3 nüüdsest kasutada „UN/ECE“ asemel viidet „ÜRO eeskiri“, võttes arvesse 20. oktoobri 2017. aasta kokkulepet, milles käsitletakse ratassõidukile ning sellele paigaldatavatele ja/või sellel kasutatavatele seadmetele ja osadele ÜRO ühtlustatud tehniliste normide kehtestamist ning nende ÜRO normide alusel väljastatud tüübikinnituste vastastikuse tunnustamise tingimusi (3. läbivaadatud versioon)</w:t>
      </w:r>
      <w:r>
        <w:rPr>
          <w:rStyle w:val="FootnoteReference"/>
          <w:noProof/>
        </w:rPr>
        <w:footnoteReference w:id="1"/>
      </w:r>
      <w:r>
        <w:rPr>
          <w:noProof/>
        </w:rPr>
        <w:t>.</w:t>
      </w:r>
    </w:p>
    <w:p>
      <w:pPr>
        <w:pStyle w:val="Point0"/>
        <w:rPr>
          <w:noProof/>
        </w:rPr>
      </w:pPr>
      <w:r>
        <w:rPr>
          <w:noProof/>
        </w:rPr>
        <w:t>(5)</w:t>
      </w:r>
      <w:r>
        <w:rPr>
          <w:noProof/>
        </w:rPr>
        <w:tab/>
        <w:t xml:space="preserve">2-C-2. liite tabelit 1 on muudetud järgmiselt: </w:t>
      </w:r>
    </w:p>
    <w:p>
      <w:pPr>
        <w:pStyle w:val="Point1"/>
        <w:rPr>
          <w:noProof/>
        </w:rPr>
      </w:pPr>
      <w:r>
        <w:rPr>
          <w:noProof/>
        </w:rPr>
        <w:t>a)</w:t>
      </w:r>
      <w:r>
        <w:rPr>
          <w:noProof/>
        </w:rPr>
        <w:tab/>
        <w:t xml:space="preserve">kuna ÜRO eeskirju kohaldatakse ELis kohustuslikus korras, on lihtsuse huvides otsustatud jätta veerus „Asjakohane ELi tehniline eeskiri“ välja viited ELi määrustele (nt üldise ohutuse määrus) ja direktiividele ning veerg on jäetud tühjaks; </w:t>
      </w:r>
    </w:p>
    <w:p>
      <w:pPr>
        <w:pStyle w:val="Point1"/>
        <w:rPr>
          <w:noProof/>
        </w:rPr>
      </w:pPr>
      <w:r>
        <w:rPr>
          <w:noProof/>
        </w:rPr>
        <w:t>b)</w:t>
      </w:r>
      <w:r>
        <w:rPr>
          <w:noProof/>
        </w:rPr>
        <w:tab/>
        <w:t>kui aga kohaldatavad ÜRO eeskirjad puuduvad või kui ÜRO eeskirjade kohaldamisala ei ole piisav, nt kategooria „Lubatud müratase“ puhul, asendavad või täiendavad ELi määrused või direktiivid ÜRO eeskirju. Seepärast on reale „Asjakohane ELi tehniline eeskiri“ lisatud märge „kui see on olemas“;</w:t>
      </w:r>
    </w:p>
    <w:p>
      <w:pPr>
        <w:pStyle w:val="Point1"/>
        <w:rPr>
          <w:noProof/>
        </w:rPr>
      </w:pPr>
      <w:r>
        <w:rPr>
          <w:noProof/>
        </w:rPr>
        <w:lastRenderedPageBreak/>
        <w:t>c)</w:t>
      </w:r>
      <w:r>
        <w:rPr>
          <w:noProof/>
        </w:rPr>
        <w:tab/>
        <w:t>kategooriate „Lubatud müratase“ ja „Varusummutisüsteemid“ juurde on veergu „Asjakohane ELi tehniline eeskiri“ lisatud määrus (EL) nr 540/2014, sest sellega on tunnistatud kehtetuks direktiiv 70/157/EMÜ ja seda kohaldatakse etapiviisiliselt;</w:t>
      </w:r>
    </w:p>
    <w:p>
      <w:pPr>
        <w:pStyle w:val="Point1"/>
        <w:rPr>
          <w:noProof/>
        </w:rPr>
      </w:pPr>
      <w:r>
        <w:rPr>
          <w:noProof/>
        </w:rPr>
        <w:t>d)</w:t>
      </w:r>
      <w:r>
        <w:rPr>
          <w:noProof/>
        </w:rPr>
        <w:tab/>
        <w:t>kategooria „Heited“ on asendatud kategooriaga „Kergsõidukite heited“, sest ÜRO eeskirja nr 83 nõuet rakendatakse ainult M1- ja N1-kategooria sõidukite suhtes. Lisaks on välja jäetud viide direktiivile 70/220/EMÜ, sest see direktiiv on tunnistatud kehtetuks ja asendatud määrustega (EÜ) nr 715/2007, (EÜ) nr 692/2008 ja (EL) nr 459/2012, määrusega (EL) 2016/427, määrusega (EL) 2016/646, määrusega (EL) 2017/1151, määrusega (EL) 2017/1154 ning määrusega (EL) 2018/1832, mis on lisatud veergu „Asjakohane ELi tehniline eeskiri“;</w:t>
      </w:r>
    </w:p>
    <w:p>
      <w:pPr>
        <w:pStyle w:val="Point1"/>
        <w:rPr>
          <w:noProof/>
        </w:rPr>
      </w:pPr>
      <w:r>
        <w:rPr>
          <w:noProof/>
        </w:rPr>
        <w:t>e)</w:t>
      </w:r>
      <w:r>
        <w:rPr>
          <w:noProof/>
        </w:rPr>
        <w:tab/>
        <w:t xml:space="preserve">kategooria „Vahetatavad katalüüsmuundurid“ puhul on välja jäetud viide direktiivile 70/220/EMÜ, sest see direktiiv on tunnistatud kehtetuks ja asendatud määrustega (EÜ) nr 715/2007 ja (EÜ) nr 692/2008, mis on lisatud veergu „Asjakohane ELi tehniline eeskiri“; </w:t>
      </w:r>
    </w:p>
    <w:p>
      <w:pPr>
        <w:pStyle w:val="Point1"/>
        <w:rPr>
          <w:noProof/>
        </w:rPr>
      </w:pPr>
      <w:r>
        <w:rPr>
          <w:noProof/>
        </w:rPr>
        <w:t>f)</w:t>
      </w:r>
      <w:r>
        <w:rPr>
          <w:noProof/>
        </w:rPr>
        <w:tab/>
        <w:t xml:space="preserve">selguse huvides on nende kategooriate puhul, milles nimetused muutuvad, nagu „Pidurdusseadmed“ ja „Pidurdusseadmed“, asendatud need nimetustega „Raskesõidukite pidurdusseadmed“ ja „Kergsõidukite pidurdusseadmed“; </w:t>
      </w:r>
    </w:p>
    <w:p>
      <w:pPr>
        <w:pStyle w:val="Point1"/>
        <w:rPr>
          <w:noProof/>
        </w:rPr>
      </w:pPr>
      <w:r>
        <w:rPr>
          <w:noProof/>
        </w:rPr>
        <w:t>g)</w:t>
      </w:r>
      <w:r>
        <w:rPr>
          <w:noProof/>
        </w:rPr>
        <w:tab/>
        <w:t xml:space="preserve">kategooria „Diislisuits“ puhul on välja jäetud viide direktiivile 72/306/EMÜ, sest see direktiiv on asendatud määrusega (EÜ) nr 692/2008, mis on lisatud tabelis 1 veergu „Asjakohane ELi tehniline eeskiri“; </w:t>
      </w:r>
    </w:p>
    <w:p>
      <w:pPr>
        <w:pStyle w:val="Point1"/>
        <w:rPr>
          <w:noProof/>
        </w:rPr>
      </w:pPr>
      <w:r>
        <w:rPr>
          <w:noProof/>
        </w:rPr>
        <w:t>h)</w:t>
      </w:r>
      <w:r>
        <w:rPr>
          <w:noProof/>
        </w:rPr>
        <w:tab/>
        <w:t xml:space="preserve">kategooria „Süsinikdioksiidi heited – kütusekulu“ puhul viidatud direktiiv 80/1268/EMÜ on asendatud määrusega (EÜ) nr 692/2008, mis on lisatud tabelis 1 veergu „Asjakohane ELi tehniline eeskiri“, ning kategooria on nüüdsest „Süsinikdioksiidi heited – kütusekulu sõiduautodel, millel on lisaks juhiistmele veel kuni kaheksa istet“, et see vastaks igati kõnealuse määruse kohaldamisalale; </w:t>
      </w:r>
    </w:p>
    <w:p>
      <w:pPr>
        <w:pStyle w:val="Point1"/>
        <w:rPr>
          <w:noProof/>
        </w:rPr>
      </w:pPr>
      <w:r>
        <w:rPr>
          <w:noProof/>
        </w:rPr>
        <w:t>i)</w:t>
      </w:r>
      <w:r>
        <w:rPr>
          <w:noProof/>
        </w:rPr>
        <w:tab/>
        <w:t>kategooria „Mootori võimsus“ puhul on välja jäetud viide direktiivile 80/1269/EMÜ, sest see direktiiv on asendatud määrustega (EÜ) nr 692/2008 ja (EL) nr 582/2011, mis on lisatud tabelis 1 veergu „Asjakohane ELi tehniline eeskiri“;</w:t>
      </w:r>
    </w:p>
    <w:p>
      <w:pPr>
        <w:pStyle w:val="Point1"/>
        <w:rPr>
          <w:noProof/>
        </w:rPr>
      </w:pPr>
      <w:r>
        <w:rPr>
          <w:noProof/>
        </w:rPr>
        <w:t>j)</w:t>
      </w:r>
      <w:r>
        <w:rPr>
          <w:noProof/>
        </w:rPr>
        <w:tab/>
        <w:t>kategooria „Raskeveokite heited“ puhul viidatud direktiiv 2005/55/EÜ on asendatud määrusega (EÜ) nr 595/2009, määrusega (EL) nr 582/2011 ja määrusega (EL) 2016/1718, mis on lisatud tabelis 1 veergu „Asjakohane ELi tehniline eeskiri“. Kategooria on nüüdsest uue nimetusega „Raskeveokite heited“, sest ÜRO eeskirja nr 49 kohaldatakse raskeveokite suhtes (st sõidukite suhtes, mille tuletatud mass ületab 2 610 kg);</w:t>
      </w:r>
    </w:p>
    <w:p>
      <w:pPr>
        <w:pStyle w:val="Point0"/>
        <w:rPr>
          <w:noProof/>
        </w:rPr>
      </w:pPr>
      <w:r>
        <w:rPr>
          <w:noProof/>
        </w:rPr>
        <w:t>(6)</w:t>
      </w:r>
      <w:r>
        <w:rPr>
          <w:noProof/>
        </w:rPr>
        <w:tab/>
        <w:t xml:space="preserve">2-C-2. liite tabelit 2 ei ole muudetud. </w:t>
      </w:r>
    </w:p>
    <w:p>
      <w:pPr>
        <w:pStyle w:val="Point0"/>
        <w:rPr>
          <w:noProof/>
        </w:rPr>
      </w:pPr>
      <w:r>
        <w:rPr>
          <w:noProof/>
        </w:rPr>
        <w:t>(7)</w:t>
      </w:r>
      <w:r>
        <w:rPr>
          <w:noProof/>
        </w:rPr>
        <w:tab/>
        <w:t>2-C-3. liite tabelit 1 on muudetud järgmiselt:</w:t>
      </w:r>
    </w:p>
    <w:p>
      <w:pPr>
        <w:pStyle w:val="Point1"/>
        <w:rPr>
          <w:noProof/>
        </w:rPr>
      </w:pPr>
      <w:r>
        <w:rPr>
          <w:noProof/>
        </w:rPr>
        <w:t xml:space="preserve">a) KMSOSi läbivaatamise tõttu on kategooria „Sõitjate kaitse kokkupõrke korral“ alakategooria „Laupkokkupõrke korral“ puhul viidatud </w:t>
      </w:r>
      <w:r>
        <w:rPr>
          <w:noProof/>
        </w:rPr>
        <w:lastRenderedPageBreak/>
        <w:t>„KMSOS § 102“ veerus „Asjakohased Korea tehnilised eeskirjad“ asendatud viitega „KMSOS § 102 lõiked 1 ja 3“;</w:t>
      </w:r>
    </w:p>
    <w:p>
      <w:pPr>
        <w:pStyle w:val="Point1"/>
        <w:rPr>
          <w:noProof/>
        </w:rPr>
      </w:pPr>
      <w:r>
        <w:rPr>
          <w:noProof/>
        </w:rPr>
        <w:t>b)</w:t>
      </w:r>
      <w:r>
        <w:rPr>
          <w:noProof/>
        </w:rPr>
        <w:tab/>
        <w:t>KMSOSi läbivaatamise tõttu on kategooria „Sõitjate kaitse kokkupõrke korral“ alakategooria „Külgkokkupõrke korral“ puhul viidatud „KMSOS § 102“ asendatud viitega „KMSOS § 102 lg 1“;</w:t>
      </w:r>
    </w:p>
    <w:p>
      <w:pPr>
        <w:pStyle w:val="Point1"/>
        <w:rPr>
          <w:noProof/>
        </w:rPr>
      </w:pPr>
      <w:r>
        <w:rPr>
          <w:noProof/>
        </w:rPr>
        <w:t>c)</w:t>
      </w:r>
      <w:r>
        <w:rPr>
          <w:noProof/>
        </w:rPr>
        <w:tab/>
        <w:t>kogu rida „Veokonks“ on asendatud. Täpsemalt on „Veokonks“ asendatud sõnaga „Pukseerimisseadised“, sest „pukseerimisseadised“ on määruses (EL) nr 1005/2010 osutatud ametlik mõiste. Kategooria „Pukseerimisseadised“ puhul kehtivate nõuetena on nüüd viidatud määruse 77/389/EMÜ asemel määrusele (EL) nr 1005/2010. Veerus „Asjakohased Korea tehnilised eeskirjad“ on viide „KMSOS § 20 p 1, 2 ja 4“ asendatud viitega „KMSOS § 20 lg 1“;</w:t>
      </w:r>
    </w:p>
    <w:p>
      <w:pPr>
        <w:pStyle w:val="Point1"/>
        <w:rPr>
          <w:noProof/>
        </w:rPr>
      </w:pPr>
      <w:r>
        <w:rPr>
          <w:noProof/>
        </w:rPr>
        <w:t>d)</w:t>
      </w:r>
      <w:r>
        <w:rPr>
          <w:noProof/>
        </w:rPr>
        <w:tab/>
        <w:t>KMSOSi läbivaatamise tõttu on kategooria „Valgustus- ja signaalsüsteem“ alakategooriate „Esilatern“, „Eesmine udutulelatern“, „Tagurdustulelatern“, „Gabariiditulelatern“, „Numbritulelatern“, „Tagatulelatern“, „Piduritulelatern“, „Keskmine kõrge paigutusega piduritulelatern“, „Suunatuli“, „Lisasuunatuli“ ning „Tagumine udutulelatern“ puhul veerus „Asjakohased Korea tehnilised eeskirjad“ viidatud KMSOSi § 106 p 1–10 välja jäetud;</w:t>
      </w:r>
    </w:p>
    <w:p>
      <w:pPr>
        <w:pStyle w:val="Point1"/>
        <w:rPr>
          <w:noProof/>
        </w:rPr>
      </w:pPr>
      <w:r>
        <w:rPr>
          <w:noProof/>
        </w:rPr>
        <w:t>e)</w:t>
      </w:r>
      <w:r>
        <w:rPr>
          <w:noProof/>
        </w:rPr>
        <w:tab/>
        <w:t>kategooria „Valgustus- ja signaalsüsteem“ alakategooria „Paigaldamine“ puhul viidatud „KMSOS §§ 38, 39, 40, 41, 42, 43, 44, 45 ja 47“ veerus „Asjakohased Korea tehnilised eeskirjad“ on asendatud viitega „KMSOS §§ 38, 38-2, 38-3, 38-4, 38-5, 39, 40, 41, 42, 43, 44, 44-2, 45, 45-2, 47 ja 49“; seda KMSOSi läbivaatamise tõttu;</w:t>
      </w:r>
    </w:p>
    <w:p>
      <w:pPr>
        <w:pStyle w:val="Point1"/>
        <w:rPr>
          <w:noProof/>
        </w:rPr>
      </w:pPr>
      <w:r>
        <w:rPr>
          <w:noProof/>
        </w:rPr>
        <w:t>f)</w:t>
      </w:r>
      <w:r>
        <w:rPr>
          <w:noProof/>
        </w:rPr>
        <w:tab/>
        <w:t>KMSOSi läbivaatamise tõttu ja selleks, et võtta arvesse valgustus- ja signaalsüsteemi suhtes kehtivaid ajakohastatud paigaldusnõudeid, on kategooria „Valgustus- ja signaalsüsteem“ all lisatud tabelisse alakategooriad „Päevatulelatern“ ja „Pöördelatern“;</w:t>
      </w:r>
    </w:p>
    <w:p>
      <w:pPr>
        <w:pStyle w:val="Point1"/>
        <w:rPr>
          <w:noProof/>
        </w:rPr>
      </w:pPr>
      <w:r>
        <w:rPr>
          <w:noProof/>
        </w:rPr>
        <w:t>g)</w:t>
      </w:r>
      <w:r>
        <w:rPr>
          <w:noProof/>
        </w:rPr>
        <w:tab/>
        <w:t>kategooria „Valgustus- ja signaalsüsteem“ alakategooria „Keskmine kõrge paigutusega piduritulelatern“ puhul on veerus „Asjakohased Korea tehnilised eeskirjad“ lisaks KMSOSi § 106 p 8 väljajätmisele jäetud välja ka KMSOSi § 43 lõige 3, sest see on asendatud viitega „KMSOSi § 43 lg 2“;</w:t>
      </w:r>
    </w:p>
    <w:p>
      <w:pPr>
        <w:pStyle w:val="Point1"/>
        <w:rPr>
          <w:noProof/>
        </w:rPr>
      </w:pPr>
      <w:r>
        <w:rPr>
          <w:noProof/>
        </w:rPr>
        <w:t>h)</w:t>
      </w:r>
      <w:r>
        <w:rPr>
          <w:noProof/>
        </w:rPr>
        <w:tab/>
        <w:t>KMSOSi läbivaatamise tõttu ja selleks, et võtta arvesse valgustus- ja signaalsüsteemi suhtes kehtivaid ajakohastatud paigaldusnõudeid, on kategooria „Valgustus- ja signaalsüsteem“ all lisatud tabelisse alakategooria „Küljeääretulelatern“;</w:t>
      </w:r>
    </w:p>
    <w:p>
      <w:pPr>
        <w:pStyle w:val="Point1"/>
        <w:rPr>
          <w:noProof/>
        </w:rPr>
      </w:pPr>
      <w:r>
        <w:rPr>
          <w:noProof/>
        </w:rPr>
        <w:t>i)</w:t>
      </w:r>
      <w:r>
        <w:rPr>
          <w:noProof/>
        </w:rPr>
        <w:tab/>
        <w:t xml:space="preserve">kategooria „Valgustus- ja signaalsüsteem“ alakategooria „Helkurseadmed“ puhul on veerus „Asjakohased Korea tehnilised eeskirjad“ viide „KMSOS § 49 lõiked 1 ja 2, § 107“ asendatud viitega „KMSOS § 49“, seda KMSOSi läbivaatamise tõttu; </w:t>
      </w:r>
    </w:p>
    <w:p>
      <w:pPr>
        <w:pStyle w:val="Point1"/>
        <w:rPr>
          <w:noProof/>
        </w:rPr>
      </w:pPr>
      <w:r>
        <w:rPr>
          <w:noProof/>
        </w:rPr>
        <w:t>j)</w:t>
      </w:r>
      <w:r>
        <w:rPr>
          <w:noProof/>
        </w:rPr>
        <w:tab/>
        <w:t>kategooria „Mootori võimsus“ veerus „Asjakohased Korea tehnilised eeskirjad“ on viide „KMSOS § 11 lg 1 p 2, § 111“ asendatud viitega „KMSOS § 111“; seda KMSOSi läbivaatamise tõttu;</w:t>
      </w:r>
    </w:p>
    <w:p>
      <w:pPr>
        <w:pStyle w:val="Point1"/>
        <w:rPr>
          <w:noProof/>
        </w:rPr>
      </w:pPr>
      <w:r>
        <w:rPr>
          <w:noProof/>
        </w:rPr>
        <w:lastRenderedPageBreak/>
        <w:t>k)</w:t>
      </w:r>
      <w:r>
        <w:rPr>
          <w:noProof/>
        </w:rPr>
        <w:tab/>
        <w:t>kategooria „Nähtavuse tagamise seade“ puhul on veerus „Nõuded“ jäetud välja viited „78/318/EMÜ“ ja „78/317/EMÜ“, sest need õigusaktid on tunnistatud kehtetuks, ning nende asemele on lisatud määrus (EL) nr 1008/2010 ja määrus (EL) nr 672/2010. Asjakohased Korea tehnilised eeskirjad jäävad samaks;</w:t>
      </w:r>
    </w:p>
    <w:p>
      <w:pPr>
        <w:pStyle w:val="Point1"/>
        <w:rPr>
          <w:noProof/>
        </w:rPr>
      </w:pPr>
      <w:r>
        <w:rPr>
          <w:noProof/>
        </w:rPr>
        <w:t>l)</w:t>
      </w:r>
      <w:r>
        <w:rPr>
          <w:noProof/>
        </w:rPr>
        <w:tab/>
        <w:t xml:space="preserve">kategooria „Turvavööde kinnituskohad“ puhul viidatud „KMSOS § 27 lõiked 1, 2, 3, 4 ja 5; § 103 lõiked 1, 2 ja 3“ veerus „Asjakohased Korea tehnilised eeskirjad“ on asendatud viitega „KMSOS § 27 lõiked 1, 2, 3, 4; § 103“; seda KMSOSi läbivaatamise tõttu; </w:t>
      </w:r>
    </w:p>
    <w:p>
      <w:pPr>
        <w:pStyle w:val="Point1"/>
        <w:rPr>
          <w:noProof/>
        </w:rPr>
      </w:pPr>
      <w:r>
        <w:rPr>
          <w:noProof/>
        </w:rPr>
        <w:t>m)</w:t>
      </w:r>
      <w:r>
        <w:rPr>
          <w:noProof/>
        </w:rPr>
        <w:tab/>
        <w:t>kategooria „Mootorrataste heited ja müra (v.a kolme- või neljarattaliste sõidukite möödumismüra)“ puhul on veerus „Nõuded“ jäetud välja muu hulgas esitatud viide „direktiivid 2002/51/EÜ ja 2003/77/EÜ ning direktiivi 97/24/EÜ 5. ja 9. peatükk“, sest selle asemel on nüüd muu hulgas viide „määrused (EL) nr 168/2013 ja (EL) nr 134/2014“. Asjakohased Korea tehnilised eeskirjad jäävad samaks;</w:t>
      </w:r>
    </w:p>
    <w:p>
      <w:pPr>
        <w:pStyle w:val="Point1"/>
        <w:rPr>
          <w:noProof/>
        </w:rPr>
      </w:pPr>
      <w:r>
        <w:rPr>
          <w:noProof/>
        </w:rPr>
        <w:t>n)</w:t>
      </w:r>
      <w:r>
        <w:rPr>
          <w:noProof/>
        </w:rPr>
        <w:tab/>
        <w:t>kategooria „Diisliheited (k.a OBD)“ alakategooria „alla 3,5 t sõidukid“ on veergu „Nõuded“ lisatud järgmised viited: „määrused (EÜ) nr 715/2007“ ja „(EL) nr 459/2012“, sest need on KMSOSile vastavad kohaldatavad määrused. Asjakohased Korea tehnilised eeskirjad jäävad samaks;</w:t>
      </w:r>
    </w:p>
    <w:p>
      <w:pPr>
        <w:pStyle w:val="Point1"/>
        <w:rPr>
          <w:noProof/>
        </w:rPr>
      </w:pPr>
      <w:r>
        <w:rPr>
          <w:noProof/>
        </w:rPr>
        <w:t>o)</w:t>
      </w:r>
      <w:r>
        <w:rPr>
          <w:noProof/>
        </w:rPr>
        <w:tab/>
        <w:t>kategooria „Diisliheited (k.a OBD)“ alakategooria „üle 3,5 t sõidukid“ on veerus „Nõuded“ jäetud välja muu hulgas esitatud viide „määrus (EÜ) nr 692/2008“ ja selle asemel on nüüd muu hulgas viide „määrused (EÜ) nr 595/2009 ja (EL) nr 582/2011“, sest määruses (EÜ) nr 692/2008 ei käsitleta raskeveokeid. Asjakohased Korea tehnilised eeskirjad jäävad samaks;</w:t>
      </w:r>
    </w:p>
    <w:p>
      <w:pPr>
        <w:pStyle w:val="Point1"/>
        <w:rPr>
          <w:noProof/>
        </w:rPr>
      </w:pPr>
      <w:r>
        <w:rPr>
          <w:noProof/>
        </w:rPr>
        <w:t>p)</w:t>
      </w:r>
      <w:r>
        <w:rPr>
          <w:noProof/>
        </w:rPr>
        <w:tab/>
        <w:t>kategooria „Rehvid“ puhul viidatud „Tööstustoodete kvaliteedijuhtimise, ohutuse ja kontrolli seaduse §-d 19, 20 ja 21; selle rakendamise eeskirjade § 2 lg 2 ja § 19“ veerus „Asjakohased Korea tehnilised eeskirjad“ on asendatud viitega „Elektriseadmete ja tarbekaupade ohutuse kontrolli akti (Electrical Appliances and Consumer Products Safety Control Act) §-d 15, 18 ja 19; selle akti rakendamise eeskirjade § 3 lg 4 ja § 26; KMSOS § 12 lg 1“. Seda põhjusel, et tööstustoodete kvaliteedijuhtimise, ohutuse ja kontrolli seadus on asendatud elektriseadmete ja tarbekaupade ohutuse kontrolli aktiga.</w:t>
      </w:r>
    </w:p>
    <w:p>
      <w:pPr>
        <w:pStyle w:val="Point0"/>
        <w:rPr>
          <w:noProof/>
        </w:rPr>
      </w:pPr>
      <w:r>
        <w:rPr>
          <w:noProof/>
        </w:rPr>
        <w:t>(8)</w:t>
      </w:r>
      <w:r>
        <w:rPr>
          <w:noProof/>
        </w:rPr>
        <w:tab/>
        <w:t xml:space="preserve">2-C-3. liite tabelit 2 ei ole muudetud. </w:t>
      </w:r>
    </w:p>
    <w:p>
      <w:pPr>
        <w:pStyle w:val="Point0"/>
        <w:rPr>
          <w:noProof/>
        </w:rPr>
      </w:pPr>
      <w:r>
        <w:rPr>
          <w:noProof/>
        </w:rPr>
        <w:t>(9)</w:t>
      </w:r>
      <w:r>
        <w:rPr>
          <w:noProof/>
        </w:rPr>
        <w:tab/>
        <w:t>Vastavalt Korea-ELi kaubanduskomitee 23. detsembri 2011. aasta otsuse nr 1 (kaubanduskomitee töökorra vastuvõtmise kohta) lisa artikli 12 lõikele 2 võib kaubanduskomitee võtta mõlema lepinguosalise nõusolekul koosolekute vahel kirjaliku menetluse teel vastu otsuseid. Kirjalik menetlus toimub kaubanduskomitee eesistujate kirjavahetuse teel,</w:t>
      </w:r>
    </w:p>
    <w:p>
      <w:pPr>
        <w:spacing w:line="276" w:lineRule="auto"/>
        <w:rPr>
          <w:noProof/>
        </w:rPr>
      </w:pPr>
      <w:r>
        <w:rPr>
          <w:noProof/>
        </w:rPr>
        <w:t>ON VASTU VÕTNUD KÄESOLEVA OTSUSE:</w:t>
      </w:r>
    </w:p>
    <w:p>
      <w:pPr>
        <w:spacing w:line="276" w:lineRule="auto"/>
        <w:jc w:val="center"/>
        <w:rPr>
          <w:i/>
          <w:noProof/>
        </w:rPr>
      </w:pPr>
      <w:r>
        <w:rPr>
          <w:i/>
          <w:noProof/>
        </w:rPr>
        <w:t>Artikkel 1</w:t>
      </w:r>
    </w:p>
    <w:p>
      <w:pPr>
        <w:rPr>
          <w:noProof/>
        </w:rPr>
      </w:pPr>
      <w:r>
        <w:rPr>
          <w:noProof/>
        </w:rPr>
        <w:t>Lepingu 2-C lisa 2-C-2. liite tabel 1 asendatakse käesoleva otsuse 1. lisa tabeliga 1.</w:t>
      </w:r>
    </w:p>
    <w:p>
      <w:pPr>
        <w:spacing w:line="276" w:lineRule="auto"/>
        <w:jc w:val="center"/>
        <w:rPr>
          <w:i/>
          <w:noProof/>
        </w:rPr>
      </w:pPr>
      <w:r>
        <w:rPr>
          <w:i/>
          <w:noProof/>
        </w:rPr>
        <w:t>Artikkel 2</w:t>
      </w:r>
    </w:p>
    <w:p>
      <w:pPr>
        <w:rPr>
          <w:noProof/>
        </w:rPr>
      </w:pPr>
      <w:r>
        <w:rPr>
          <w:noProof/>
        </w:rPr>
        <w:lastRenderedPageBreak/>
        <w:t xml:space="preserve">Lepingu 2-C lisa 2-C-3. liite tabel 1 asendatakse käesoleva otsuse 2. lisa tabeliga 1. </w:t>
      </w:r>
    </w:p>
    <w:p>
      <w:pPr>
        <w:spacing w:line="276" w:lineRule="auto"/>
        <w:jc w:val="center"/>
        <w:rPr>
          <w:i/>
          <w:noProof/>
        </w:rPr>
      </w:pPr>
      <w:r>
        <w:rPr>
          <w:i/>
          <w:noProof/>
        </w:rPr>
        <w:t>Artikkel 3</w:t>
      </w:r>
    </w:p>
    <w:p>
      <w:pPr>
        <w:spacing w:after="480"/>
        <w:rPr>
          <w:noProof/>
        </w:rPr>
      </w:pPr>
      <w:r>
        <w:rPr>
          <w:noProof/>
        </w:rPr>
        <w:t>Käesolev otsus jõustub sellele kuupäevale järgneva kuu esimesel päeval, mil lepinguosalised on vahetanud diplomaatiliste kanalite kaudu kirjalikud teated, milles tõendatakse, et nad on oma vastavad käesoleva otsuse jõustumiseks vajalikud kohaldatavad õiguslikud nõuded täitnud ja menetlused lõpule viinud.</w:t>
      </w:r>
    </w:p>
    <w:tbl>
      <w:tblPr>
        <w:tblW w:w="0" w:type="auto"/>
        <w:tblLook w:val="04A0" w:firstRow="1" w:lastRow="0" w:firstColumn="1" w:lastColumn="0" w:noHBand="0" w:noVBand="1"/>
      </w:tblPr>
      <w:tblGrid>
        <w:gridCol w:w="4379"/>
        <w:gridCol w:w="38"/>
        <w:gridCol w:w="4341"/>
        <w:gridCol w:w="76"/>
      </w:tblGrid>
      <w:tr>
        <w:trPr>
          <w:gridAfter w:val="1"/>
          <w:wAfter w:w="76" w:type="dxa"/>
        </w:trPr>
        <w:tc>
          <w:tcPr>
            <w:tcW w:w="4379" w:type="dxa"/>
          </w:tcPr>
          <w:p>
            <w:pPr>
              <w:rPr>
                <w:noProof/>
              </w:rPr>
            </w:pPr>
            <w:r>
              <w:rPr>
                <w:noProof/>
              </w:rPr>
              <w:t xml:space="preserve">Kaubanduskomitee nimel </w:t>
            </w:r>
          </w:p>
        </w:tc>
        <w:tc>
          <w:tcPr>
            <w:tcW w:w="4379" w:type="dxa"/>
            <w:gridSpan w:val="2"/>
          </w:tcPr>
          <w:p>
            <w:pPr>
              <w:rPr>
                <w:noProof/>
              </w:rPr>
            </w:pPr>
          </w:p>
        </w:tc>
      </w:tr>
      <w:tr>
        <w:trPr>
          <w:gridAfter w:val="1"/>
          <w:wAfter w:w="76" w:type="dxa"/>
        </w:trPr>
        <w:tc>
          <w:tcPr>
            <w:tcW w:w="4379" w:type="dxa"/>
          </w:tcPr>
          <w:p>
            <w:pPr>
              <w:jc w:val="left"/>
              <w:rPr>
                <w:noProof/>
              </w:rPr>
            </w:pPr>
            <w:r>
              <w:rPr>
                <w:noProof/>
              </w:rPr>
              <w:t>Yoo Myung-hee</w:t>
            </w:r>
          </w:p>
          <w:p>
            <w:pPr>
              <w:jc w:val="left"/>
              <w:rPr>
                <w:noProof/>
              </w:rPr>
            </w:pPr>
            <w:r>
              <w:rPr>
                <w:noProof/>
              </w:rPr>
              <w:t>kaubandusminister</w:t>
            </w:r>
          </w:p>
          <w:p>
            <w:pPr>
              <w:rPr>
                <w:noProof/>
              </w:rPr>
            </w:pPr>
            <w:r>
              <w:rPr>
                <w:noProof/>
              </w:rPr>
              <w:t>Korea Vabariigi kaubandus-, tööstus- ja energeetikaministeerium</w:t>
            </w:r>
          </w:p>
        </w:tc>
        <w:tc>
          <w:tcPr>
            <w:tcW w:w="4379" w:type="dxa"/>
            <w:gridSpan w:val="2"/>
          </w:tcPr>
          <w:p>
            <w:pPr>
              <w:jc w:val="left"/>
              <w:rPr>
                <w:noProof/>
              </w:rPr>
            </w:pPr>
            <w:r>
              <w:rPr>
                <w:noProof/>
              </w:rPr>
              <w:t>Cecilia MALMSTRÖM</w:t>
            </w:r>
          </w:p>
          <w:p>
            <w:pPr>
              <w:jc w:val="left"/>
              <w:rPr>
                <w:noProof/>
              </w:rPr>
            </w:pPr>
            <w:r>
              <w:rPr>
                <w:noProof/>
              </w:rPr>
              <w:t>kaubanduse eest vastutav Euroopa Komisjoni liige</w:t>
            </w:r>
          </w:p>
          <w:p>
            <w:pPr>
              <w:rPr>
                <w:noProof/>
              </w:rPr>
            </w:pPr>
          </w:p>
        </w:tc>
      </w:tr>
      <w:tr>
        <w:tblPrEx>
          <w:tblLook w:val="01E0" w:firstRow="1" w:lastRow="1" w:firstColumn="1" w:lastColumn="1" w:noHBand="0" w:noVBand="0"/>
        </w:tblPrEx>
        <w:tc>
          <w:tcPr>
            <w:tcW w:w="4417" w:type="dxa"/>
            <w:gridSpan w:val="2"/>
            <w:shd w:val="clear" w:color="auto" w:fill="auto"/>
          </w:tcPr>
          <w:p>
            <w:pPr>
              <w:spacing w:before="0" w:after="0" w:line="276" w:lineRule="auto"/>
              <w:rPr>
                <w:noProof/>
              </w:rPr>
            </w:pPr>
          </w:p>
        </w:tc>
        <w:tc>
          <w:tcPr>
            <w:tcW w:w="4417" w:type="dxa"/>
            <w:gridSpan w:val="2"/>
            <w:shd w:val="clear" w:color="auto" w:fill="auto"/>
          </w:tcPr>
          <w:p>
            <w:pPr>
              <w:spacing w:before="0" w:after="0" w:line="276" w:lineRule="auto"/>
              <w:rPr>
                <w:noProof/>
              </w:rPr>
            </w:pPr>
          </w:p>
        </w:tc>
      </w:tr>
    </w:tbl>
    <w:p>
      <w:pPr>
        <w:spacing w:before="0" w:after="200" w:line="276" w:lineRule="auto"/>
        <w:jc w:val="left"/>
        <w:rPr>
          <w:noProof/>
        </w:rPr>
        <w:sectPr>
          <w:footerReference w:type="default" r:id="rId16"/>
          <w:footerReference w:type="first" r:id="rId17"/>
          <w:pgSz w:w="11906" w:h="16838"/>
          <w:pgMar w:top="1020" w:right="1701" w:bottom="1020" w:left="1587" w:header="601" w:footer="1077" w:gutter="0"/>
          <w:cols w:space="720"/>
          <w:docGrid w:linePitch="326"/>
        </w:sectPr>
      </w:pPr>
    </w:p>
    <w:p>
      <w:pPr>
        <w:jc w:val="right"/>
        <w:rPr>
          <w:noProof/>
        </w:rPr>
      </w:pPr>
      <w:r>
        <w:rPr>
          <w:noProof/>
        </w:rPr>
        <w:lastRenderedPageBreak/>
        <w:t>1. lisa</w:t>
      </w:r>
    </w:p>
    <w:p>
      <w:pPr>
        <w:jc w:val="center"/>
        <w:rPr>
          <w:noProof/>
        </w:rPr>
      </w:pPr>
      <w:r>
        <w:rPr>
          <w:noProof/>
        </w:rPr>
        <w:t>2-C-2. liide</w:t>
      </w:r>
    </w:p>
    <w:p>
      <w:pPr>
        <w:jc w:val="center"/>
        <w:rPr>
          <w:noProof/>
        </w:rPr>
      </w:pPr>
      <w:r>
        <w:rPr>
          <w:noProof/>
        </w:rPr>
        <w:t>Tabel 1</w:t>
      </w:r>
    </w:p>
    <w:p>
      <w:pPr>
        <w:jc w:val="center"/>
        <w:rPr>
          <w:b/>
          <w:noProof/>
        </w:rPr>
      </w:pPr>
      <w:r>
        <w:rPr>
          <w:b/>
          <w:noProof/>
        </w:rPr>
        <w:t>2-C lisa artikli 3 punkti a alapunktis i osutatud loetelu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2790"/>
        <w:gridCol w:w="2987"/>
      </w:tblGrid>
      <w:tr>
        <w:trPr>
          <w:tblHeader/>
        </w:trPr>
        <w:tc>
          <w:tcPr>
            <w:tcW w:w="3080" w:type="dxa"/>
            <w:shd w:val="clear" w:color="auto" w:fill="auto"/>
            <w:vAlign w:val="center"/>
          </w:tcPr>
          <w:p>
            <w:pPr>
              <w:shd w:val="clear" w:color="auto" w:fill="FFFFFF"/>
              <w:spacing w:line="220" w:lineRule="exact"/>
              <w:jc w:val="left"/>
              <w:rPr>
                <w:noProof/>
              </w:rPr>
            </w:pPr>
            <w:r>
              <w:rPr>
                <w:noProof/>
              </w:rPr>
              <w:t>Teema</w:t>
            </w:r>
          </w:p>
        </w:tc>
        <w:tc>
          <w:tcPr>
            <w:tcW w:w="3081" w:type="dxa"/>
            <w:shd w:val="clear" w:color="auto" w:fill="auto"/>
            <w:vAlign w:val="center"/>
          </w:tcPr>
          <w:p>
            <w:pPr>
              <w:shd w:val="clear" w:color="auto" w:fill="FFFFFF"/>
              <w:spacing w:line="220" w:lineRule="exact"/>
              <w:ind w:left="280"/>
              <w:jc w:val="left"/>
              <w:rPr>
                <w:noProof/>
              </w:rPr>
            </w:pPr>
            <w:r>
              <w:rPr>
                <w:noProof/>
              </w:rPr>
              <w:t>Nõuded</w:t>
            </w:r>
          </w:p>
        </w:tc>
        <w:tc>
          <w:tcPr>
            <w:tcW w:w="3081" w:type="dxa"/>
            <w:shd w:val="clear" w:color="auto" w:fill="auto"/>
            <w:vAlign w:val="bottom"/>
          </w:tcPr>
          <w:p>
            <w:pPr>
              <w:shd w:val="clear" w:color="auto" w:fill="FFFFFF"/>
              <w:spacing w:line="274" w:lineRule="exact"/>
              <w:jc w:val="left"/>
              <w:rPr>
                <w:noProof/>
              </w:rPr>
            </w:pPr>
            <w:r>
              <w:rPr>
                <w:noProof/>
              </w:rPr>
              <w:t>Asjakohane ELi tehniline eeskiri (kui see on olemas)</w:t>
            </w:r>
            <w:r>
              <w:rPr>
                <w:rStyle w:val="FootnoteReference"/>
                <w:noProof/>
              </w:rPr>
              <w:footnoteReference w:id="2"/>
            </w:r>
          </w:p>
        </w:tc>
      </w:tr>
      <w:tr>
        <w:tc>
          <w:tcPr>
            <w:tcW w:w="3080" w:type="dxa"/>
            <w:shd w:val="clear" w:color="auto" w:fill="auto"/>
            <w:vAlign w:val="center"/>
          </w:tcPr>
          <w:p>
            <w:pPr>
              <w:shd w:val="clear" w:color="auto" w:fill="FFFFFF"/>
              <w:spacing w:line="240" w:lineRule="atLeast"/>
              <w:jc w:val="left"/>
              <w:rPr>
                <w:noProof/>
              </w:rPr>
            </w:pPr>
            <w:r>
              <w:rPr>
                <w:noProof/>
              </w:rPr>
              <w:t>Lubatud müratase</w:t>
            </w:r>
          </w:p>
        </w:tc>
        <w:tc>
          <w:tcPr>
            <w:tcW w:w="3081" w:type="dxa"/>
            <w:shd w:val="clear" w:color="auto" w:fill="auto"/>
            <w:vAlign w:val="center"/>
          </w:tcPr>
          <w:p>
            <w:pPr>
              <w:shd w:val="clear" w:color="auto" w:fill="FFFFFF"/>
              <w:spacing w:line="240" w:lineRule="atLeast"/>
              <w:ind w:left="20"/>
              <w:jc w:val="left"/>
              <w:rPr>
                <w:noProof/>
              </w:rPr>
            </w:pPr>
            <w:r>
              <w:rPr>
                <w:noProof/>
              </w:rPr>
              <w:t>ÜRO eeskiri</w:t>
            </w:r>
            <w:r>
              <w:rPr>
                <w:rStyle w:val="FootnoteReference"/>
                <w:noProof/>
              </w:rPr>
              <w:footnoteReference w:id="3"/>
            </w:r>
            <w:r>
              <w:rPr>
                <w:noProof/>
              </w:rPr>
              <w:t xml:space="preserve"> nr 51</w:t>
            </w:r>
          </w:p>
        </w:tc>
        <w:tc>
          <w:tcPr>
            <w:tcW w:w="3081" w:type="dxa"/>
            <w:shd w:val="clear" w:color="auto" w:fill="auto"/>
            <w:vAlign w:val="center"/>
          </w:tcPr>
          <w:p>
            <w:pPr>
              <w:shd w:val="clear" w:color="auto" w:fill="FFFFFF"/>
              <w:spacing w:line="240" w:lineRule="atLeast"/>
              <w:ind w:left="20"/>
              <w:jc w:val="left"/>
              <w:rPr>
                <w:noProof/>
              </w:rPr>
            </w:pPr>
            <w:r>
              <w:rPr>
                <w:noProof/>
              </w:rPr>
              <w:t>Direktiiv 70/157/EMÜ, määrus (EL) nr 540/2014</w:t>
            </w:r>
          </w:p>
        </w:tc>
      </w:tr>
      <w:tr>
        <w:tc>
          <w:tcPr>
            <w:tcW w:w="3080" w:type="dxa"/>
            <w:shd w:val="clear" w:color="auto" w:fill="auto"/>
            <w:vAlign w:val="center"/>
          </w:tcPr>
          <w:p>
            <w:pPr>
              <w:shd w:val="clear" w:color="auto" w:fill="FFFFFF"/>
              <w:spacing w:line="240" w:lineRule="atLeast"/>
              <w:jc w:val="left"/>
              <w:rPr>
                <w:noProof/>
              </w:rPr>
            </w:pPr>
            <w:r>
              <w:rPr>
                <w:noProof/>
              </w:rPr>
              <w:t>Varusummutisüsteemid</w:t>
            </w:r>
          </w:p>
        </w:tc>
        <w:tc>
          <w:tcPr>
            <w:tcW w:w="3081" w:type="dxa"/>
            <w:shd w:val="clear" w:color="auto" w:fill="auto"/>
            <w:vAlign w:val="bottom"/>
          </w:tcPr>
          <w:p>
            <w:pPr>
              <w:shd w:val="clear" w:color="auto" w:fill="FFFFFF"/>
              <w:spacing w:line="240" w:lineRule="atLeast"/>
              <w:jc w:val="left"/>
              <w:rPr>
                <w:noProof/>
              </w:rPr>
            </w:pPr>
            <w:r>
              <w:rPr>
                <w:noProof/>
              </w:rPr>
              <w:t>ÜRO eeskiri nr 59</w:t>
            </w:r>
          </w:p>
        </w:tc>
        <w:tc>
          <w:tcPr>
            <w:tcW w:w="3081" w:type="dxa"/>
            <w:shd w:val="clear" w:color="auto" w:fill="auto"/>
            <w:vAlign w:val="bottom"/>
          </w:tcPr>
          <w:p>
            <w:pPr>
              <w:shd w:val="clear" w:color="auto" w:fill="FFFFFF"/>
              <w:spacing w:line="240" w:lineRule="atLeast"/>
              <w:jc w:val="left"/>
              <w:rPr>
                <w:noProof/>
              </w:rPr>
            </w:pPr>
            <w:r>
              <w:rPr>
                <w:noProof/>
              </w:rPr>
              <w:t>Direktiiv 70/157/EMÜ, määrus (EL) nr 540/2014</w:t>
            </w:r>
          </w:p>
        </w:tc>
      </w:tr>
      <w:tr>
        <w:tc>
          <w:tcPr>
            <w:tcW w:w="3080" w:type="dxa"/>
            <w:shd w:val="clear" w:color="auto" w:fill="auto"/>
          </w:tcPr>
          <w:p>
            <w:pPr>
              <w:shd w:val="clear" w:color="auto" w:fill="FFFFFF"/>
              <w:spacing w:line="240" w:lineRule="atLeast"/>
              <w:jc w:val="left"/>
              <w:rPr>
                <w:noProof/>
              </w:rPr>
            </w:pPr>
            <w:r>
              <w:rPr>
                <w:noProof/>
              </w:rPr>
              <w:t xml:space="preserve">Kergsõidukite heited </w:t>
            </w:r>
          </w:p>
        </w:tc>
        <w:tc>
          <w:tcPr>
            <w:tcW w:w="3081" w:type="dxa"/>
            <w:shd w:val="clear" w:color="auto" w:fill="auto"/>
          </w:tcPr>
          <w:p>
            <w:pPr>
              <w:shd w:val="clear" w:color="auto" w:fill="FFFFFF"/>
              <w:spacing w:line="240" w:lineRule="atLeast"/>
              <w:jc w:val="left"/>
              <w:rPr>
                <w:noProof/>
              </w:rPr>
            </w:pPr>
            <w:r>
              <w:rPr>
                <w:noProof/>
              </w:rPr>
              <w:t>ÜRO eeskiri nr 83</w:t>
            </w:r>
          </w:p>
        </w:tc>
        <w:tc>
          <w:tcPr>
            <w:tcW w:w="3081" w:type="dxa"/>
            <w:shd w:val="clear" w:color="auto" w:fill="auto"/>
          </w:tcPr>
          <w:p>
            <w:pPr>
              <w:shd w:val="clear" w:color="auto" w:fill="FFFFFF"/>
              <w:spacing w:line="240" w:lineRule="atLeast"/>
              <w:jc w:val="left"/>
              <w:rPr>
                <w:noProof/>
              </w:rPr>
            </w:pPr>
            <w:r>
              <w:rPr>
                <w:noProof/>
              </w:rPr>
              <w:t>Määrused (EÜ) nr 715/2007, (EÜ) nr 692/2008 ja (EL) nr 459/2012;</w:t>
            </w:r>
          </w:p>
          <w:p>
            <w:pPr>
              <w:shd w:val="clear" w:color="auto" w:fill="FFFFFF"/>
              <w:spacing w:line="240" w:lineRule="atLeast"/>
              <w:jc w:val="left"/>
              <w:rPr>
                <w:noProof/>
              </w:rPr>
            </w:pPr>
            <w:r>
              <w:rPr>
                <w:noProof/>
              </w:rPr>
              <w:t xml:space="preserve">määrused (EL) 2016/427, (EL) 2016/646, (EL) 2017/1151, (EL) 2017/1154 ja (EL) 2018/1832 </w:t>
            </w:r>
          </w:p>
        </w:tc>
      </w:tr>
      <w:tr>
        <w:tc>
          <w:tcPr>
            <w:tcW w:w="3080" w:type="dxa"/>
            <w:shd w:val="clear" w:color="auto" w:fill="auto"/>
          </w:tcPr>
          <w:p>
            <w:pPr>
              <w:shd w:val="clear" w:color="auto" w:fill="FFFFFF"/>
              <w:spacing w:line="240" w:lineRule="atLeast"/>
              <w:jc w:val="left"/>
              <w:rPr>
                <w:noProof/>
              </w:rPr>
            </w:pPr>
            <w:r>
              <w:rPr>
                <w:noProof/>
              </w:rPr>
              <w:t>Vahetatavad katalüüsmuundurid</w:t>
            </w:r>
          </w:p>
        </w:tc>
        <w:tc>
          <w:tcPr>
            <w:tcW w:w="3081" w:type="dxa"/>
            <w:shd w:val="clear" w:color="auto" w:fill="auto"/>
          </w:tcPr>
          <w:p>
            <w:pPr>
              <w:shd w:val="clear" w:color="auto" w:fill="FFFFFF"/>
              <w:spacing w:line="240" w:lineRule="atLeast"/>
              <w:jc w:val="left"/>
              <w:rPr>
                <w:noProof/>
              </w:rPr>
            </w:pPr>
            <w:r>
              <w:rPr>
                <w:noProof/>
              </w:rPr>
              <w:t>ÜRO eeskiri nr 103</w:t>
            </w:r>
          </w:p>
        </w:tc>
        <w:tc>
          <w:tcPr>
            <w:tcW w:w="3081" w:type="dxa"/>
            <w:shd w:val="clear" w:color="auto" w:fill="auto"/>
          </w:tcPr>
          <w:p>
            <w:pPr>
              <w:shd w:val="clear" w:color="auto" w:fill="FFFFFF"/>
              <w:spacing w:line="240" w:lineRule="atLeast"/>
              <w:jc w:val="left"/>
              <w:rPr>
                <w:noProof/>
              </w:rPr>
            </w:pPr>
            <w:r>
              <w:rPr>
                <w:noProof/>
              </w:rPr>
              <w:t>Määrused (EÜ) nr 715/2007 ja (EÜ) nr 692/2008</w:t>
            </w:r>
          </w:p>
        </w:tc>
      </w:tr>
      <w:tr>
        <w:tc>
          <w:tcPr>
            <w:tcW w:w="3080" w:type="dxa"/>
            <w:shd w:val="clear" w:color="auto" w:fill="auto"/>
          </w:tcPr>
          <w:p>
            <w:pPr>
              <w:shd w:val="clear" w:color="auto" w:fill="FFFFFF"/>
              <w:spacing w:line="240" w:lineRule="atLeast"/>
              <w:jc w:val="left"/>
              <w:rPr>
                <w:noProof/>
              </w:rPr>
            </w:pPr>
            <w:r>
              <w:rPr>
                <w:noProof/>
              </w:rPr>
              <w:t>Kütusepaagid</w:t>
            </w:r>
          </w:p>
        </w:tc>
        <w:tc>
          <w:tcPr>
            <w:tcW w:w="3081" w:type="dxa"/>
            <w:shd w:val="clear" w:color="auto" w:fill="auto"/>
          </w:tcPr>
          <w:p>
            <w:pPr>
              <w:shd w:val="clear" w:color="auto" w:fill="FFFFFF"/>
              <w:spacing w:line="240" w:lineRule="atLeast"/>
              <w:jc w:val="left"/>
              <w:rPr>
                <w:noProof/>
              </w:rPr>
            </w:pPr>
            <w:r>
              <w:rPr>
                <w:noProof/>
              </w:rPr>
              <w:t>ÜRO eeskiri nr 34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Vedeldatud naftagaasi paagid</w:t>
            </w:r>
          </w:p>
        </w:tc>
        <w:tc>
          <w:tcPr>
            <w:tcW w:w="3081" w:type="dxa"/>
            <w:shd w:val="clear" w:color="auto" w:fill="auto"/>
          </w:tcPr>
          <w:p>
            <w:pPr>
              <w:shd w:val="clear" w:color="auto" w:fill="FFFFFF"/>
              <w:spacing w:line="240" w:lineRule="atLeast"/>
              <w:jc w:val="left"/>
              <w:rPr>
                <w:noProof/>
              </w:rPr>
            </w:pPr>
            <w:r>
              <w:rPr>
                <w:noProof/>
              </w:rPr>
              <w:t>ÜRO eeskiri nr 67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Surumaagaasi paagid</w:t>
            </w:r>
          </w:p>
        </w:tc>
        <w:tc>
          <w:tcPr>
            <w:tcW w:w="3081" w:type="dxa"/>
            <w:shd w:val="clear" w:color="auto" w:fill="auto"/>
          </w:tcPr>
          <w:p>
            <w:pPr>
              <w:shd w:val="clear" w:color="auto" w:fill="FFFFFF"/>
              <w:spacing w:line="240" w:lineRule="atLeast"/>
              <w:jc w:val="left"/>
              <w:rPr>
                <w:noProof/>
              </w:rPr>
            </w:pPr>
            <w:r>
              <w:rPr>
                <w:noProof/>
              </w:rPr>
              <w:t>ÜRO eeskiri nr 110</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Tagumised allasõidutõkked</w:t>
            </w:r>
          </w:p>
        </w:tc>
        <w:tc>
          <w:tcPr>
            <w:tcW w:w="3081" w:type="dxa"/>
            <w:shd w:val="clear" w:color="auto" w:fill="auto"/>
          </w:tcPr>
          <w:p>
            <w:pPr>
              <w:shd w:val="clear" w:color="auto" w:fill="FFFFFF"/>
              <w:spacing w:line="240" w:lineRule="atLeast"/>
              <w:jc w:val="left"/>
              <w:rPr>
                <w:noProof/>
              </w:rPr>
            </w:pPr>
            <w:r>
              <w:rPr>
                <w:noProof/>
              </w:rPr>
              <w:t>ÜRO eeskiri nr 58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Juhtajami koormusjõud</w:t>
            </w:r>
          </w:p>
        </w:tc>
        <w:tc>
          <w:tcPr>
            <w:tcW w:w="3081" w:type="dxa"/>
            <w:shd w:val="clear" w:color="auto" w:fill="auto"/>
            <w:vAlign w:val="bottom"/>
          </w:tcPr>
          <w:p>
            <w:pPr>
              <w:shd w:val="clear" w:color="auto" w:fill="FFFFFF"/>
              <w:spacing w:line="240" w:lineRule="atLeast"/>
              <w:jc w:val="left"/>
              <w:rPr>
                <w:noProof/>
              </w:rPr>
            </w:pPr>
            <w:r>
              <w:rPr>
                <w:noProof/>
              </w:rPr>
              <w:t>ÜRO eeskiri nr 79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Uksesulgurid ja -hinged</w:t>
            </w:r>
          </w:p>
        </w:tc>
        <w:tc>
          <w:tcPr>
            <w:tcW w:w="3081" w:type="dxa"/>
            <w:shd w:val="clear" w:color="auto" w:fill="auto"/>
            <w:vAlign w:val="bottom"/>
          </w:tcPr>
          <w:p>
            <w:pPr>
              <w:shd w:val="clear" w:color="auto" w:fill="FFFFFF"/>
              <w:spacing w:line="240" w:lineRule="atLeast"/>
              <w:jc w:val="left"/>
              <w:rPr>
                <w:noProof/>
              </w:rPr>
            </w:pPr>
            <w:r>
              <w:rPr>
                <w:noProof/>
              </w:rPr>
              <w:t>ÜRO eeskiri nr 11</w:t>
            </w:r>
          </w:p>
        </w:tc>
        <w:tc>
          <w:tcPr>
            <w:tcW w:w="3081" w:type="dxa"/>
            <w:shd w:val="clear" w:color="auto" w:fill="auto"/>
            <w:vAlign w:val="bottom"/>
          </w:tcPr>
          <w:p>
            <w:pPr>
              <w:shd w:val="clear" w:color="auto" w:fill="FFFFFF"/>
              <w:spacing w:line="240" w:lineRule="atLeast"/>
              <w:jc w:val="left"/>
              <w:rPr>
                <w:noProof/>
              </w:rPr>
            </w:pPr>
            <w:r>
              <w:rPr>
                <w:noProof/>
              </w:rPr>
              <w:t xml:space="preserve"> </w:t>
            </w:r>
          </w:p>
        </w:tc>
      </w:tr>
      <w:tr>
        <w:tc>
          <w:tcPr>
            <w:tcW w:w="3080" w:type="dxa"/>
            <w:shd w:val="clear" w:color="auto" w:fill="auto"/>
            <w:vAlign w:val="bottom"/>
          </w:tcPr>
          <w:p>
            <w:pPr>
              <w:shd w:val="clear" w:color="auto" w:fill="FFFFFF"/>
              <w:spacing w:line="240" w:lineRule="atLeast"/>
              <w:jc w:val="left"/>
              <w:rPr>
                <w:noProof/>
              </w:rPr>
            </w:pPr>
            <w:r>
              <w:rPr>
                <w:noProof/>
              </w:rPr>
              <w:t>Helisignalisatsioon</w:t>
            </w:r>
          </w:p>
        </w:tc>
        <w:tc>
          <w:tcPr>
            <w:tcW w:w="3081" w:type="dxa"/>
            <w:shd w:val="clear" w:color="auto" w:fill="auto"/>
            <w:vAlign w:val="bottom"/>
          </w:tcPr>
          <w:p>
            <w:pPr>
              <w:shd w:val="clear" w:color="auto" w:fill="FFFFFF"/>
              <w:spacing w:line="240" w:lineRule="atLeast"/>
              <w:jc w:val="left"/>
              <w:rPr>
                <w:noProof/>
              </w:rPr>
            </w:pPr>
            <w:r>
              <w:rPr>
                <w:noProof/>
              </w:rPr>
              <w:t>ÜRO eeskiri nr 28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Kaudse nähtavuse seadmed</w:t>
            </w:r>
          </w:p>
        </w:tc>
        <w:tc>
          <w:tcPr>
            <w:tcW w:w="3081" w:type="dxa"/>
            <w:shd w:val="clear" w:color="auto" w:fill="auto"/>
            <w:vAlign w:val="bottom"/>
          </w:tcPr>
          <w:p>
            <w:pPr>
              <w:shd w:val="clear" w:color="auto" w:fill="FFFFFF"/>
              <w:spacing w:line="240" w:lineRule="atLeast"/>
              <w:jc w:val="left"/>
              <w:rPr>
                <w:noProof/>
              </w:rPr>
            </w:pPr>
            <w:r>
              <w:rPr>
                <w:noProof/>
              </w:rPr>
              <w:t>ÜRO eeskiri nr 46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Raskesõidukite pidurdusseadmed</w:t>
            </w:r>
          </w:p>
        </w:tc>
        <w:tc>
          <w:tcPr>
            <w:tcW w:w="3081" w:type="dxa"/>
            <w:shd w:val="clear" w:color="auto" w:fill="auto"/>
            <w:vAlign w:val="bottom"/>
          </w:tcPr>
          <w:p>
            <w:pPr>
              <w:shd w:val="clear" w:color="auto" w:fill="FFFFFF"/>
              <w:spacing w:line="240" w:lineRule="atLeast"/>
              <w:jc w:val="left"/>
              <w:rPr>
                <w:noProof/>
              </w:rPr>
            </w:pPr>
            <w:r>
              <w:rPr>
                <w:noProof/>
              </w:rPr>
              <w:t>ÜRO eeskiri nr 13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lastRenderedPageBreak/>
              <w:t>Kergsõidukite pidurdusseadmed</w:t>
            </w:r>
          </w:p>
        </w:tc>
        <w:tc>
          <w:tcPr>
            <w:tcW w:w="3081" w:type="dxa"/>
            <w:shd w:val="clear" w:color="auto" w:fill="auto"/>
            <w:vAlign w:val="bottom"/>
          </w:tcPr>
          <w:p>
            <w:pPr>
              <w:shd w:val="clear" w:color="auto" w:fill="FFFFFF"/>
              <w:spacing w:line="240" w:lineRule="atLeast"/>
              <w:jc w:val="left"/>
              <w:rPr>
                <w:noProof/>
              </w:rPr>
            </w:pPr>
            <w:r>
              <w:rPr>
                <w:noProof/>
              </w:rPr>
              <w:t>ÜRO eeskiri nr 13H</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Piduri hõõrdkatted</w:t>
            </w:r>
          </w:p>
        </w:tc>
        <w:tc>
          <w:tcPr>
            <w:tcW w:w="3081" w:type="dxa"/>
            <w:shd w:val="clear" w:color="auto" w:fill="auto"/>
            <w:vAlign w:val="bottom"/>
          </w:tcPr>
          <w:p>
            <w:pPr>
              <w:shd w:val="clear" w:color="auto" w:fill="FFFFFF"/>
              <w:spacing w:line="240" w:lineRule="atLeast"/>
              <w:jc w:val="left"/>
              <w:rPr>
                <w:noProof/>
              </w:rPr>
            </w:pPr>
            <w:r>
              <w:rPr>
                <w:noProof/>
              </w:rPr>
              <w:t>ÜRO eeskiri nr 90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Raadiohäired (elektromagnetiline ühilduvus)</w:t>
            </w:r>
          </w:p>
        </w:tc>
        <w:tc>
          <w:tcPr>
            <w:tcW w:w="3081" w:type="dxa"/>
            <w:shd w:val="clear" w:color="auto" w:fill="auto"/>
          </w:tcPr>
          <w:p>
            <w:pPr>
              <w:shd w:val="clear" w:color="auto" w:fill="FFFFFF"/>
              <w:spacing w:line="240" w:lineRule="atLeast"/>
              <w:jc w:val="left"/>
              <w:rPr>
                <w:noProof/>
              </w:rPr>
            </w:pPr>
            <w:r>
              <w:rPr>
                <w:noProof/>
              </w:rPr>
              <w:t>ÜRO eeskiri nr 10</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Diislisuits</w:t>
            </w:r>
          </w:p>
        </w:tc>
        <w:tc>
          <w:tcPr>
            <w:tcW w:w="3081" w:type="dxa"/>
            <w:shd w:val="clear" w:color="auto" w:fill="auto"/>
            <w:vAlign w:val="bottom"/>
          </w:tcPr>
          <w:p>
            <w:pPr>
              <w:shd w:val="clear" w:color="auto" w:fill="FFFFFF"/>
              <w:spacing w:line="240" w:lineRule="atLeast"/>
              <w:jc w:val="left"/>
              <w:rPr>
                <w:noProof/>
              </w:rPr>
            </w:pPr>
            <w:r>
              <w:rPr>
                <w:noProof/>
              </w:rPr>
              <w:t>ÜRO eeskiri nr 24</w:t>
            </w:r>
          </w:p>
        </w:tc>
        <w:tc>
          <w:tcPr>
            <w:tcW w:w="3081" w:type="dxa"/>
            <w:shd w:val="clear" w:color="auto" w:fill="auto"/>
            <w:vAlign w:val="bottom"/>
          </w:tcPr>
          <w:p>
            <w:pPr>
              <w:shd w:val="clear" w:color="auto" w:fill="FFFFFF"/>
              <w:spacing w:line="240" w:lineRule="atLeast"/>
              <w:jc w:val="left"/>
              <w:rPr>
                <w:noProof/>
              </w:rPr>
            </w:pPr>
            <w:r>
              <w:rPr>
                <w:noProof/>
              </w:rPr>
              <w:t>Määrus (EÜ) nr 692/2008</w:t>
            </w:r>
          </w:p>
        </w:tc>
      </w:tr>
      <w:tr>
        <w:tc>
          <w:tcPr>
            <w:tcW w:w="3080" w:type="dxa"/>
            <w:shd w:val="clear" w:color="auto" w:fill="auto"/>
            <w:vAlign w:val="bottom"/>
          </w:tcPr>
          <w:p>
            <w:pPr>
              <w:shd w:val="clear" w:color="auto" w:fill="FFFFFF"/>
              <w:spacing w:line="240" w:lineRule="atLeast"/>
              <w:jc w:val="left"/>
              <w:rPr>
                <w:noProof/>
              </w:rPr>
            </w:pPr>
            <w:r>
              <w:rPr>
                <w:noProof/>
              </w:rPr>
              <w:t>Sisustus</w:t>
            </w:r>
          </w:p>
        </w:tc>
        <w:tc>
          <w:tcPr>
            <w:tcW w:w="3081" w:type="dxa"/>
            <w:shd w:val="clear" w:color="auto" w:fill="auto"/>
            <w:vAlign w:val="bottom"/>
          </w:tcPr>
          <w:p>
            <w:pPr>
              <w:shd w:val="clear" w:color="auto" w:fill="FFFFFF"/>
              <w:spacing w:line="240" w:lineRule="atLeast"/>
              <w:jc w:val="left"/>
              <w:rPr>
                <w:noProof/>
              </w:rPr>
            </w:pPr>
            <w:r>
              <w:rPr>
                <w:noProof/>
              </w:rPr>
              <w:t>ÜRO eeskiri nr 21</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Kasutustõkis</w:t>
            </w:r>
          </w:p>
        </w:tc>
        <w:tc>
          <w:tcPr>
            <w:tcW w:w="3081" w:type="dxa"/>
            <w:shd w:val="clear" w:color="auto" w:fill="auto"/>
            <w:vAlign w:val="bottom"/>
          </w:tcPr>
          <w:p>
            <w:pPr>
              <w:shd w:val="clear" w:color="auto" w:fill="FFFFFF"/>
              <w:spacing w:line="240" w:lineRule="atLeast"/>
              <w:jc w:val="left"/>
              <w:rPr>
                <w:noProof/>
              </w:rPr>
            </w:pPr>
            <w:r>
              <w:rPr>
                <w:noProof/>
              </w:rPr>
              <w:t>ÜRO eeskiri nr 18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Kasutus- ja käivitustõkis</w:t>
            </w:r>
          </w:p>
        </w:tc>
        <w:tc>
          <w:tcPr>
            <w:tcW w:w="3081" w:type="dxa"/>
            <w:shd w:val="clear" w:color="auto" w:fill="auto"/>
            <w:vAlign w:val="bottom"/>
          </w:tcPr>
          <w:p>
            <w:pPr>
              <w:shd w:val="clear" w:color="auto" w:fill="FFFFFF"/>
              <w:spacing w:line="240" w:lineRule="atLeast"/>
              <w:jc w:val="left"/>
              <w:rPr>
                <w:noProof/>
              </w:rPr>
            </w:pPr>
            <w:r>
              <w:rPr>
                <w:noProof/>
              </w:rPr>
              <w:t>ÜRO eeskiri nr 116</w:t>
            </w:r>
          </w:p>
        </w:tc>
        <w:tc>
          <w:tcPr>
            <w:tcW w:w="3081" w:type="dxa"/>
            <w:shd w:val="clear" w:color="auto" w:fill="auto"/>
            <w:vAlign w:val="bottom"/>
          </w:tcPr>
          <w:p>
            <w:pPr>
              <w:shd w:val="clear" w:color="auto" w:fill="FFFFFF"/>
              <w:spacing w:line="240" w:lineRule="atLeast"/>
              <w:jc w:val="left"/>
              <w:rPr>
                <w:noProof/>
              </w:rPr>
            </w:pPr>
          </w:p>
        </w:tc>
      </w:tr>
      <w:tr>
        <w:tc>
          <w:tcPr>
            <w:tcW w:w="3080" w:type="dxa"/>
            <w:tcBorders>
              <w:bottom w:val="single" w:sz="4" w:space="0" w:color="auto"/>
            </w:tcBorders>
            <w:shd w:val="clear" w:color="auto" w:fill="auto"/>
          </w:tcPr>
          <w:p>
            <w:pPr>
              <w:shd w:val="clear" w:color="auto" w:fill="FFFFFF"/>
              <w:spacing w:line="240" w:lineRule="atLeast"/>
              <w:jc w:val="left"/>
              <w:rPr>
                <w:noProof/>
              </w:rPr>
            </w:pPr>
            <w:r>
              <w:rPr>
                <w:noProof/>
              </w:rPr>
              <w:t>Sõiduki alarmsüsteemid</w:t>
            </w:r>
          </w:p>
        </w:tc>
        <w:tc>
          <w:tcPr>
            <w:tcW w:w="3081" w:type="dxa"/>
            <w:tcBorders>
              <w:bottom w:val="single" w:sz="4" w:space="0" w:color="auto"/>
            </w:tcBorders>
            <w:shd w:val="clear" w:color="auto" w:fill="auto"/>
            <w:vAlign w:val="bottom"/>
          </w:tcPr>
          <w:p>
            <w:pPr>
              <w:shd w:val="clear" w:color="auto" w:fill="FFFFFF"/>
              <w:spacing w:line="240" w:lineRule="atLeast"/>
              <w:jc w:val="left"/>
              <w:rPr>
                <w:noProof/>
              </w:rPr>
            </w:pPr>
            <w:r>
              <w:rPr>
                <w:noProof/>
              </w:rPr>
              <w:t xml:space="preserve">ÜRO eeskiri nr 97 </w:t>
            </w:r>
          </w:p>
          <w:p>
            <w:pPr>
              <w:shd w:val="clear" w:color="auto" w:fill="FFFFFF"/>
              <w:spacing w:line="240" w:lineRule="atLeast"/>
              <w:jc w:val="left"/>
              <w:rPr>
                <w:noProof/>
              </w:rPr>
            </w:pPr>
            <w:r>
              <w:rPr>
                <w:noProof/>
              </w:rPr>
              <w:t>ÜRO eeskiri nr 116</w:t>
            </w:r>
          </w:p>
        </w:tc>
        <w:tc>
          <w:tcPr>
            <w:tcW w:w="3081" w:type="dxa"/>
            <w:tcBorders>
              <w:bottom w:val="single" w:sz="4" w:space="0" w:color="auto"/>
            </w:tcBorders>
            <w:shd w:val="clear" w:color="auto" w:fill="auto"/>
          </w:tcPr>
          <w:p>
            <w:pPr>
              <w:shd w:val="clear" w:color="auto" w:fill="FFFFFF"/>
              <w:spacing w:line="240" w:lineRule="atLeast"/>
              <w:jc w:val="left"/>
              <w:rPr>
                <w:noProof/>
              </w:rPr>
            </w:pPr>
          </w:p>
        </w:tc>
      </w:tr>
      <w:tr>
        <w:tc>
          <w:tcPr>
            <w:tcW w:w="3080" w:type="dxa"/>
            <w:tcBorders>
              <w:bottom w:val="single" w:sz="4" w:space="0" w:color="auto"/>
            </w:tcBorders>
            <w:shd w:val="clear" w:color="auto" w:fill="auto"/>
            <w:vAlign w:val="bottom"/>
          </w:tcPr>
          <w:p>
            <w:pPr>
              <w:keepNext/>
              <w:keepLines/>
              <w:shd w:val="clear" w:color="auto" w:fill="FFFFFF"/>
              <w:spacing w:line="240" w:lineRule="atLeast"/>
              <w:jc w:val="left"/>
              <w:rPr>
                <w:noProof/>
              </w:rPr>
            </w:pPr>
            <w:r>
              <w:rPr>
                <w:noProof/>
              </w:rPr>
              <w:t>Rooliseadme käitumine kokkupõrke korral</w:t>
            </w:r>
          </w:p>
        </w:tc>
        <w:tc>
          <w:tcPr>
            <w:tcW w:w="3081" w:type="dxa"/>
            <w:tcBorders>
              <w:bottom w:val="single" w:sz="4" w:space="0" w:color="auto"/>
            </w:tcBorders>
            <w:shd w:val="clear" w:color="auto" w:fill="auto"/>
            <w:vAlign w:val="bottom"/>
          </w:tcPr>
          <w:p>
            <w:pPr>
              <w:keepNext/>
              <w:keepLines/>
              <w:shd w:val="clear" w:color="auto" w:fill="FFFFFF"/>
              <w:spacing w:line="240" w:lineRule="atLeast"/>
              <w:jc w:val="left"/>
              <w:rPr>
                <w:noProof/>
              </w:rPr>
            </w:pPr>
            <w:r>
              <w:rPr>
                <w:noProof/>
              </w:rPr>
              <w:t>ÜRO eeskiri nr 12</w:t>
            </w:r>
          </w:p>
        </w:tc>
        <w:tc>
          <w:tcPr>
            <w:tcW w:w="3081" w:type="dxa"/>
            <w:tcBorders>
              <w:bottom w:val="single" w:sz="4" w:space="0" w:color="auto"/>
            </w:tcBorders>
            <w:shd w:val="clear" w:color="auto" w:fill="auto"/>
            <w:vAlign w:val="bottom"/>
          </w:tcPr>
          <w:p>
            <w:pPr>
              <w:keepNext/>
              <w:keepLines/>
              <w:shd w:val="clear" w:color="auto" w:fill="FFFFFF"/>
              <w:spacing w:line="240" w:lineRule="atLeast"/>
              <w:jc w:val="left"/>
              <w:rPr>
                <w:noProof/>
              </w:rPr>
            </w:pPr>
          </w:p>
        </w:tc>
      </w:tr>
      <w:tr>
        <w:tc>
          <w:tcPr>
            <w:tcW w:w="3080" w:type="dxa"/>
            <w:tcBorders>
              <w:top w:val="single" w:sz="4" w:space="0" w:color="auto"/>
            </w:tcBorders>
            <w:shd w:val="clear" w:color="auto" w:fill="auto"/>
            <w:vAlign w:val="bottom"/>
          </w:tcPr>
          <w:p>
            <w:pPr>
              <w:shd w:val="clear" w:color="auto" w:fill="FFFFFF"/>
              <w:spacing w:line="240" w:lineRule="atLeast"/>
              <w:jc w:val="left"/>
              <w:rPr>
                <w:noProof/>
              </w:rPr>
            </w:pPr>
            <w:r>
              <w:rPr>
                <w:noProof/>
              </w:rPr>
              <w:t>Istmete tugevus</w:t>
            </w:r>
          </w:p>
        </w:tc>
        <w:tc>
          <w:tcPr>
            <w:tcW w:w="3081" w:type="dxa"/>
            <w:tcBorders>
              <w:top w:val="single" w:sz="4" w:space="0" w:color="auto"/>
            </w:tcBorders>
            <w:shd w:val="clear" w:color="auto" w:fill="auto"/>
            <w:vAlign w:val="bottom"/>
          </w:tcPr>
          <w:p>
            <w:pPr>
              <w:shd w:val="clear" w:color="auto" w:fill="FFFFFF"/>
              <w:spacing w:line="240" w:lineRule="atLeast"/>
              <w:jc w:val="left"/>
              <w:rPr>
                <w:noProof/>
              </w:rPr>
            </w:pPr>
            <w:r>
              <w:rPr>
                <w:noProof/>
              </w:rPr>
              <w:t>ÜRO eeskiri nr 17</w:t>
            </w:r>
          </w:p>
        </w:tc>
        <w:tc>
          <w:tcPr>
            <w:tcW w:w="3081" w:type="dxa"/>
            <w:tcBorders>
              <w:top w:val="single" w:sz="4" w:space="0" w:color="auto"/>
            </w:tcBorders>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Istmete tugevus (bussides)</w:t>
            </w:r>
          </w:p>
        </w:tc>
        <w:tc>
          <w:tcPr>
            <w:tcW w:w="3081" w:type="dxa"/>
            <w:shd w:val="clear" w:color="auto" w:fill="auto"/>
            <w:vAlign w:val="bottom"/>
          </w:tcPr>
          <w:p>
            <w:pPr>
              <w:shd w:val="clear" w:color="auto" w:fill="FFFFFF"/>
              <w:spacing w:line="240" w:lineRule="atLeast"/>
              <w:jc w:val="left"/>
              <w:rPr>
                <w:noProof/>
              </w:rPr>
            </w:pPr>
            <w:r>
              <w:rPr>
                <w:noProof/>
              </w:rPr>
              <w:t>ÜRO eeskiri nr 80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Välispinnast väljaulatuvad osad</w:t>
            </w:r>
          </w:p>
        </w:tc>
        <w:tc>
          <w:tcPr>
            <w:tcW w:w="3081" w:type="dxa"/>
            <w:shd w:val="clear" w:color="auto" w:fill="auto"/>
            <w:vAlign w:val="bottom"/>
          </w:tcPr>
          <w:p>
            <w:pPr>
              <w:shd w:val="clear" w:color="auto" w:fill="FFFFFF"/>
              <w:spacing w:line="240" w:lineRule="atLeast"/>
              <w:jc w:val="left"/>
              <w:rPr>
                <w:noProof/>
              </w:rPr>
            </w:pPr>
            <w:r>
              <w:rPr>
                <w:noProof/>
              </w:rPr>
              <w:t>ÜRO eeskiri nr 26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Kiirusmõõdik</w:t>
            </w:r>
          </w:p>
        </w:tc>
        <w:tc>
          <w:tcPr>
            <w:tcW w:w="3081" w:type="dxa"/>
            <w:shd w:val="clear" w:color="auto" w:fill="auto"/>
            <w:vAlign w:val="bottom"/>
          </w:tcPr>
          <w:p>
            <w:pPr>
              <w:shd w:val="clear" w:color="auto" w:fill="FFFFFF"/>
              <w:spacing w:line="240" w:lineRule="atLeast"/>
              <w:jc w:val="left"/>
              <w:rPr>
                <w:noProof/>
              </w:rPr>
            </w:pPr>
            <w:r>
              <w:rPr>
                <w:noProof/>
              </w:rPr>
              <w:t>ÜRO eeskiri nr 39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Turvavööde kinnituskohad</w:t>
            </w:r>
          </w:p>
        </w:tc>
        <w:tc>
          <w:tcPr>
            <w:tcW w:w="3081" w:type="dxa"/>
            <w:shd w:val="clear" w:color="auto" w:fill="auto"/>
            <w:vAlign w:val="bottom"/>
          </w:tcPr>
          <w:p>
            <w:pPr>
              <w:shd w:val="clear" w:color="auto" w:fill="FFFFFF"/>
              <w:spacing w:line="240" w:lineRule="atLeast"/>
              <w:jc w:val="left"/>
              <w:rPr>
                <w:noProof/>
              </w:rPr>
            </w:pPr>
            <w:r>
              <w:rPr>
                <w:noProof/>
              </w:rPr>
              <w:t>ÜRO eeskiri nr 14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Valgustus- ja valgussignaalseadmete paigaldamine</w:t>
            </w:r>
          </w:p>
        </w:tc>
        <w:tc>
          <w:tcPr>
            <w:tcW w:w="3081" w:type="dxa"/>
            <w:shd w:val="clear" w:color="auto" w:fill="auto"/>
          </w:tcPr>
          <w:p>
            <w:pPr>
              <w:shd w:val="clear" w:color="auto" w:fill="FFFFFF"/>
              <w:spacing w:line="240" w:lineRule="atLeast"/>
              <w:jc w:val="left"/>
              <w:rPr>
                <w:noProof/>
              </w:rPr>
            </w:pPr>
            <w:r>
              <w:rPr>
                <w:noProof/>
              </w:rPr>
              <w:t>ÜRO eeskiri nr 48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Helkurid</w:t>
            </w:r>
          </w:p>
        </w:tc>
        <w:tc>
          <w:tcPr>
            <w:tcW w:w="3081" w:type="dxa"/>
            <w:shd w:val="clear" w:color="auto" w:fill="auto"/>
            <w:vAlign w:val="bottom"/>
          </w:tcPr>
          <w:p>
            <w:pPr>
              <w:shd w:val="clear" w:color="auto" w:fill="FFFFFF"/>
              <w:spacing w:line="240" w:lineRule="atLeast"/>
              <w:jc w:val="left"/>
              <w:rPr>
                <w:noProof/>
              </w:rPr>
            </w:pPr>
            <w:r>
              <w:rPr>
                <w:noProof/>
              </w:rPr>
              <w:t>ÜRO eeskiri nr 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Ülemised ääretulelaternad, eesmised ääretulelaternad, tagumised ääretulelaternad ja piduritulelaternad</w:t>
            </w:r>
          </w:p>
        </w:tc>
        <w:tc>
          <w:tcPr>
            <w:tcW w:w="3081" w:type="dxa"/>
            <w:shd w:val="clear" w:color="auto" w:fill="auto"/>
          </w:tcPr>
          <w:p>
            <w:pPr>
              <w:shd w:val="clear" w:color="auto" w:fill="FFFFFF"/>
              <w:spacing w:line="240" w:lineRule="atLeast"/>
              <w:jc w:val="left"/>
              <w:rPr>
                <w:noProof/>
              </w:rPr>
            </w:pPr>
            <w:r>
              <w:rPr>
                <w:noProof/>
              </w:rPr>
              <w:t>ÜRO eeskiri nr 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Päevatulelaternad</w:t>
            </w:r>
          </w:p>
        </w:tc>
        <w:tc>
          <w:tcPr>
            <w:tcW w:w="3081" w:type="dxa"/>
            <w:shd w:val="clear" w:color="auto" w:fill="auto"/>
            <w:vAlign w:val="bottom"/>
          </w:tcPr>
          <w:p>
            <w:pPr>
              <w:shd w:val="clear" w:color="auto" w:fill="FFFFFF"/>
              <w:spacing w:line="240" w:lineRule="atLeast"/>
              <w:jc w:val="left"/>
              <w:rPr>
                <w:noProof/>
              </w:rPr>
            </w:pPr>
            <w:r>
              <w:rPr>
                <w:noProof/>
              </w:rPr>
              <w:t>ÜRO eeskiri nr 87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lastRenderedPageBreak/>
              <w:t>Küljeääretulelaternad</w:t>
            </w:r>
          </w:p>
        </w:tc>
        <w:tc>
          <w:tcPr>
            <w:tcW w:w="3081" w:type="dxa"/>
            <w:shd w:val="clear" w:color="auto" w:fill="auto"/>
          </w:tcPr>
          <w:p>
            <w:pPr>
              <w:shd w:val="clear" w:color="auto" w:fill="FFFFFF"/>
              <w:spacing w:line="240" w:lineRule="atLeast"/>
              <w:jc w:val="left"/>
              <w:rPr>
                <w:noProof/>
              </w:rPr>
            </w:pPr>
            <w:r>
              <w:rPr>
                <w:noProof/>
              </w:rPr>
              <w:t>ÜRO eeskiri nr 91</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Suunatulelaternad</w:t>
            </w:r>
          </w:p>
        </w:tc>
        <w:tc>
          <w:tcPr>
            <w:tcW w:w="3081" w:type="dxa"/>
            <w:shd w:val="clear" w:color="auto" w:fill="auto"/>
            <w:vAlign w:val="bottom"/>
          </w:tcPr>
          <w:p>
            <w:pPr>
              <w:shd w:val="clear" w:color="auto" w:fill="FFFFFF"/>
              <w:spacing w:line="240" w:lineRule="atLeast"/>
              <w:jc w:val="left"/>
              <w:rPr>
                <w:noProof/>
              </w:rPr>
            </w:pPr>
            <w:r>
              <w:rPr>
                <w:noProof/>
              </w:rPr>
              <w:t>ÜRO eeskiri nr 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Tagumised numbritulelaternad</w:t>
            </w:r>
          </w:p>
        </w:tc>
        <w:tc>
          <w:tcPr>
            <w:tcW w:w="3081" w:type="dxa"/>
            <w:shd w:val="clear" w:color="auto" w:fill="auto"/>
            <w:vAlign w:val="bottom"/>
          </w:tcPr>
          <w:p>
            <w:pPr>
              <w:shd w:val="clear" w:color="auto" w:fill="FFFFFF"/>
              <w:spacing w:line="240" w:lineRule="atLeast"/>
              <w:jc w:val="left"/>
              <w:rPr>
                <w:noProof/>
              </w:rPr>
            </w:pPr>
            <w:r>
              <w:rPr>
                <w:noProof/>
              </w:rPr>
              <w:t>ÜRO eeskiri nr 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Esilaternad (R2 ja HS1)</w:t>
            </w:r>
          </w:p>
        </w:tc>
        <w:tc>
          <w:tcPr>
            <w:tcW w:w="3081" w:type="dxa"/>
            <w:shd w:val="clear" w:color="auto" w:fill="auto"/>
            <w:vAlign w:val="bottom"/>
          </w:tcPr>
          <w:p>
            <w:pPr>
              <w:shd w:val="clear" w:color="auto" w:fill="FFFFFF"/>
              <w:spacing w:line="240" w:lineRule="atLeast"/>
              <w:jc w:val="left"/>
              <w:rPr>
                <w:noProof/>
              </w:rPr>
            </w:pPr>
            <w:r>
              <w:rPr>
                <w:noProof/>
              </w:rPr>
              <w:t>ÜRO eeskiri nr 1</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Esilaternad (lamplaternad)</w:t>
            </w:r>
          </w:p>
        </w:tc>
        <w:tc>
          <w:tcPr>
            <w:tcW w:w="3081" w:type="dxa"/>
            <w:shd w:val="clear" w:color="auto" w:fill="auto"/>
            <w:vAlign w:val="bottom"/>
          </w:tcPr>
          <w:p>
            <w:pPr>
              <w:shd w:val="clear" w:color="auto" w:fill="FFFFFF"/>
              <w:spacing w:line="240" w:lineRule="atLeast"/>
              <w:jc w:val="left"/>
              <w:rPr>
                <w:noProof/>
              </w:rPr>
            </w:pPr>
            <w:r>
              <w:rPr>
                <w:noProof/>
              </w:rPr>
              <w:t>ÜRO eeskiri nr 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Esilaternad (H1, H2, H3, HB3, HB4, H7, ja/või H8, H9, HIR1, HIR2 ja/või H11)</w:t>
            </w:r>
          </w:p>
        </w:tc>
        <w:tc>
          <w:tcPr>
            <w:tcW w:w="3081" w:type="dxa"/>
            <w:shd w:val="clear" w:color="auto" w:fill="auto"/>
          </w:tcPr>
          <w:p>
            <w:pPr>
              <w:shd w:val="clear" w:color="auto" w:fill="FFFFFF"/>
              <w:spacing w:line="240" w:lineRule="atLeast"/>
              <w:jc w:val="left"/>
              <w:rPr>
                <w:noProof/>
              </w:rPr>
            </w:pPr>
            <w:r>
              <w:rPr>
                <w:noProof/>
              </w:rPr>
              <w:t>ÜRO eeskiri nr 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Esilaternad (H4)</w:t>
            </w:r>
          </w:p>
        </w:tc>
        <w:tc>
          <w:tcPr>
            <w:tcW w:w="3081" w:type="dxa"/>
            <w:shd w:val="clear" w:color="auto" w:fill="auto"/>
            <w:vAlign w:val="bottom"/>
          </w:tcPr>
          <w:p>
            <w:pPr>
              <w:shd w:val="clear" w:color="auto" w:fill="FFFFFF"/>
              <w:spacing w:line="240" w:lineRule="atLeast"/>
              <w:jc w:val="left"/>
              <w:rPr>
                <w:noProof/>
              </w:rPr>
            </w:pPr>
            <w:r>
              <w:rPr>
                <w:noProof/>
              </w:rPr>
              <w:t>ÜRO eeskiri nr 20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Esilaternad (halogeenlamplaternad)</w:t>
            </w:r>
          </w:p>
        </w:tc>
        <w:tc>
          <w:tcPr>
            <w:tcW w:w="3081" w:type="dxa"/>
            <w:shd w:val="clear" w:color="auto" w:fill="auto"/>
          </w:tcPr>
          <w:p>
            <w:pPr>
              <w:shd w:val="clear" w:color="auto" w:fill="FFFFFF"/>
              <w:spacing w:line="240" w:lineRule="atLeast"/>
              <w:jc w:val="left"/>
              <w:rPr>
                <w:noProof/>
              </w:rPr>
            </w:pPr>
            <w:r>
              <w:rPr>
                <w:noProof/>
              </w:rPr>
              <w:t>ÜRO eeskiri nr 31</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Tüübikinnitusega laternates kasutatavad hõõglambid</w:t>
            </w:r>
          </w:p>
        </w:tc>
        <w:tc>
          <w:tcPr>
            <w:tcW w:w="3081" w:type="dxa"/>
            <w:shd w:val="clear" w:color="auto" w:fill="auto"/>
          </w:tcPr>
          <w:p>
            <w:pPr>
              <w:shd w:val="clear" w:color="auto" w:fill="FFFFFF"/>
              <w:spacing w:line="240" w:lineRule="atLeast"/>
              <w:jc w:val="left"/>
              <w:rPr>
                <w:noProof/>
              </w:rPr>
            </w:pPr>
            <w:r>
              <w:rPr>
                <w:noProof/>
              </w:rPr>
              <w:t>ÜRO eeskiri nr 37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Gaaslahendusvalgusallikaga esilaternad</w:t>
            </w:r>
          </w:p>
        </w:tc>
        <w:tc>
          <w:tcPr>
            <w:tcW w:w="3081" w:type="dxa"/>
            <w:shd w:val="clear" w:color="auto" w:fill="auto"/>
          </w:tcPr>
          <w:p>
            <w:pPr>
              <w:shd w:val="clear" w:color="auto" w:fill="FFFFFF"/>
              <w:spacing w:line="240" w:lineRule="atLeast"/>
              <w:jc w:val="left"/>
              <w:rPr>
                <w:noProof/>
              </w:rPr>
            </w:pPr>
            <w:r>
              <w:rPr>
                <w:noProof/>
              </w:rPr>
              <w:t>ÜRO eeskiri nr 98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Tüübikinnitusega gaaslahenduslamplaternates kasutatavad gaaslahendusvalgusallikad</w:t>
            </w:r>
          </w:p>
        </w:tc>
        <w:tc>
          <w:tcPr>
            <w:tcW w:w="3081" w:type="dxa"/>
            <w:shd w:val="clear" w:color="auto" w:fill="auto"/>
          </w:tcPr>
          <w:p>
            <w:pPr>
              <w:shd w:val="clear" w:color="auto" w:fill="FFFFFF"/>
              <w:spacing w:line="240" w:lineRule="atLeast"/>
              <w:jc w:val="left"/>
              <w:rPr>
                <w:noProof/>
              </w:rPr>
            </w:pPr>
            <w:r>
              <w:rPr>
                <w:noProof/>
              </w:rPr>
              <w:t>ÜRO eeskiri nr 99</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Esilaternad (asümmeetriline lähituli)</w:t>
            </w:r>
          </w:p>
        </w:tc>
        <w:tc>
          <w:tcPr>
            <w:tcW w:w="3081" w:type="dxa"/>
            <w:shd w:val="clear" w:color="auto" w:fill="auto"/>
            <w:vAlign w:val="bottom"/>
          </w:tcPr>
          <w:p>
            <w:pPr>
              <w:shd w:val="clear" w:color="auto" w:fill="FFFFFF"/>
              <w:spacing w:line="240" w:lineRule="atLeast"/>
              <w:jc w:val="left"/>
              <w:rPr>
                <w:noProof/>
              </w:rPr>
            </w:pPr>
            <w:r>
              <w:rPr>
                <w:noProof/>
              </w:rPr>
              <w:t>ÜRO eeskiri nr 112</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Kohanduvad esitulede süsteemid</w:t>
            </w:r>
          </w:p>
        </w:tc>
        <w:tc>
          <w:tcPr>
            <w:tcW w:w="3081" w:type="dxa"/>
            <w:shd w:val="clear" w:color="auto" w:fill="auto"/>
            <w:vAlign w:val="bottom"/>
          </w:tcPr>
          <w:p>
            <w:pPr>
              <w:shd w:val="clear" w:color="auto" w:fill="FFFFFF"/>
              <w:spacing w:line="240" w:lineRule="atLeast"/>
              <w:jc w:val="left"/>
              <w:rPr>
                <w:noProof/>
              </w:rPr>
            </w:pPr>
            <w:r>
              <w:rPr>
                <w:noProof/>
              </w:rPr>
              <w:t>ÜRO eeskiri nr 123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Eesmised udutulelaternad</w:t>
            </w:r>
          </w:p>
        </w:tc>
        <w:tc>
          <w:tcPr>
            <w:tcW w:w="3081" w:type="dxa"/>
            <w:shd w:val="clear" w:color="auto" w:fill="auto"/>
            <w:vAlign w:val="bottom"/>
          </w:tcPr>
          <w:p>
            <w:pPr>
              <w:shd w:val="clear" w:color="auto" w:fill="FFFFFF"/>
              <w:spacing w:line="240" w:lineRule="atLeast"/>
              <w:jc w:val="left"/>
              <w:rPr>
                <w:noProof/>
              </w:rPr>
            </w:pPr>
            <w:r>
              <w:rPr>
                <w:noProof/>
              </w:rPr>
              <w:t>ÜRO eeskiri nr 19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Tagumised udutulelaternad</w:t>
            </w:r>
          </w:p>
        </w:tc>
        <w:tc>
          <w:tcPr>
            <w:tcW w:w="3081" w:type="dxa"/>
            <w:shd w:val="clear" w:color="auto" w:fill="auto"/>
            <w:vAlign w:val="bottom"/>
          </w:tcPr>
          <w:p>
            <w:pPr>
              <w:shd w:val="clear" w:color="auto" w:fill="FFFFFF"/>
              <w:spacing w:line="240" w:lineRule="atLeast"/>
              <w:jc w:val="left"/>
              <w:rPr>
                <w:noProof/>
              </w:rPr>
            </w:pPr>
            <w:r>
              <w:rPr>
                <w:noProof/>
              </w:rPr>
              <w:t>ÜRO eeskiri nr 38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Tagurdustulelaternad</w:t>
            </w:r>
          </w:p>
        </w:tc>
        <w:tc>
          <w:tcPr>
            <w:tcW w:w="3081" w:type="dxa"/>
            <w:shd w:val="clear" w:color="auto" w:fill="auto"/>
            <w:vAlign w:val="bottom"/>
          </w:tcPr>
          <w:p>
            <w:pPr>
              <w:shd w:val="clear" w:color="auto" w:fill="FFFFFF"/>
              <w:spacing w:line="240" w:lineRule="atLeast"/>
              <w:jc w:val="left"/>
              <w:rPr>
                <w:noProof/>
              </w:rPr>
            </w:pPr>
            <w:r>
              <w:rPr>
                <w:noProof/>
              </w:rPr>
              <w:t>ÜRO eeskiri nr 23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Seisutulelaternad</w:t>
            </w:r>
          </w:p>
        </w:tc>
        <w:tc>
          <w:tcPr>
            <w:tcW w:w="3081" w:type="dxa"/>
            <w:shd w:val="clear" w:color="auto" w:fill="auto"/>
            <w:vAlign w:val="bottom"/>
          </w:tcPr>
          <w:p>
            <w:pPr>
              <w:shd w:val="clear" w:color="auto" w:fill="FFFFFF"/>
              <w:spacing w:line="240" w:lineRule="atLeast"/>
              <w:jc w:val="left"/>
              <w:rPr>
                <w:noProof/>
              </w:rPr>
            </w:pPr>
            <w:r>
              <w:rPr>
                <w:noProof/>
              </w:rPr>
              <w:t>ÜRO eeskiri nr 77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Turvavööd ja turvasüsteemid</w:t>
            </w:r>
          </w:p>
        </w:tc>
        <w:tc>
          <w:tcPr>
            <w:tcW w:w="3081" w:type="dxa"/>
            <w:shd w:val="clear" w:color="auto" w:fill="auto"/>
            <w:vAlign w:val="bottom"/>
          </w:tcPr>
          <w:p>
            <w:pPr>
              <w:shd w:val="clear" w:color="auto" w:fill="FFFFFF"/>
              <w:spacing w:line="240" w:lineRule="atLeast"/>
              <w:jc w:val="left"/>
              <w:rPr>
                <w:noProof/>
              </w:rPr>
            </w:pPr>
            <w:r>
              <w:rPr>
                <w:noProof/>
              </w:rPr>
              <w:t>ÜRO eeskiri nr 16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lastRenderedPageBreak/>
              <w:t>Lapse turvasüsteemid</w:t>
            </w:r>
          </w:p>
        </w:tc>
        <w:tc>
          <w:tcPr>
            <w:tcW w:w="3081" w:type="dxa"/>
            <w:shd w:val="clear" w:color="auto" w:fill="auto"/>
            <w:vAlign w:val="bottom"/>
          </w:tcPr>
          <w:p>
            <w:pPr>
              <w:shd w:val="clear" w:color="auto" w:fill="FFFFFF"/>
              <w:spacing w:line="240" w:lineRule="atLeast"/>
              <w:jc w:val="left"/>
              <w:rPr>
                <w:noProof/>
              </w:rPr>
            </w:pPr>
            <w:r>
              <w:rPr>
                <w:noProof/>
              </w:rPr>
              <w:t xml:space="preserve">ÜRO eeskiri nr 44 </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Ettepoole jääv vaateväli</w:t>
            </w:r>
          </w:p>
        </w:tc>
        <w:tc>
          <w:tcPr>
            <w:tcW w:w="3081" w:type="dxa"/>
            <w:shd w:val="clear" w:color="auto" w:fill="auto"/>
            <w:vAlign w:val="bottom"/>
          </w:tcPr>
          <w:p>
            <w:pPr>
              <w:shd w:val="clear" w:color="auto" w:fill="FFFFFF"/>
              <w:spacing w:line="240" w:lineRule="atLeast"/>
              <w:jc w:val="left"/>
              <w:rPr>
                <w:noProof/>
              </w:rPr>
            </w:pPr>
            <w:r>
              <w:rPr>
                <w:noProof/>
              </w:rPr>
              <w:t>ÜRO eeskiri nr 125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keepNext/>
              <w:keepLines/>
              <w:shd w:val="clear" w:color="auto" w:fill="FFFFFF"/>
              <w:spacing w:line="240" w:lineRule="atLeast"/>
              <w:jc w:val="left"/>
              <w:rPr>
                <w:noProof/>
              </w:rPr>
            </w:pPr>
            <w:r>
              <w:rPr>
                <w:noProof/>
              </w:rPr>
              <w:t>Juhtseadiste, märgutulede ja näidikute tähised</w:t>
            </w:r>
          </w:p>
        </w:tc>
        <w:tc>
          <w:tcPr>
            <w:tcW w:w="3081" w:type="dxa"/>
            <w:shd w:val="clear" w:color="auto" w:fill="auto"/>
          </w:tcPr>
          <w:p>
            <w:pPr>
              <w:keepNext/>
              <w:keepLines/>
              <w:shd w:val="clear" w:color="auto" w:fill="FFFFFF"/>
              <w:spacing w:line="240" w:lineRule="atLeast"/>
              <w:jc w:val="left"/>
              <w:rPr>
                <w:noProof/>
              </w:rPr>
            </w:pPr>
            <w:r>
              <w:rPr>
                <w:noProof/>
              </w:rPr>
              <w:t>ÜRO eeskiri nr 121</w:t>
            </w:r>
          </w:p>
        </w:tc>
        <w:tc>
          <w:tcPr>
            <w:tcW w:w="3081" w:type="dxa"/>
            <w:shd w:val="clear" w:color="auto" w:fill="auto"/>
          </w:tcPr>
          <w:p>
            <w:pPr>
              <w:keepNext/>
              <w:keepLines/>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Kütteseadmed</w:t>
            </w:r>
          </w:p>
        </w:tc>
        <w:tc>
          <w:tcPr>
            <w:tcW w:w="3081" w:type="dxa"/>
            <w:shd w:val="clear" w:color="auto" w:fill="auto"/>
            <w:vAlign w:val="bottom"/>
          </w:tcPr>
          <w:p>
            <w:pPr>
              <w:shd w:val="clear" w:color="auto" w:fill="FFFFFF"/>
              <w:spacing w:line="240" w:lineRule="atLeast"/>
              <w:jc w:val="left"/>
              <w:rPr>
                <w:noProof/>
              </w:rPr>
            </w:pPr>
            <w:r>
              <w:rPr>
                <w:noProof/>
              </w:rPr>
              <w:t>ÜRO eeskiri nr 122</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Peatoed (koos istmetega)</w:t>
            </w:r>
          </w:p>
        </w:tc>
        <w:tc>
          <w:tcPr>
            <w:tcW w:w="3081" w:type="dxa"/>
            <w:shd w:val="clear" w:color="auto" w:fill="auto"/>
            <w:vAlign w:val="bottom"/>
          </w:tcPr>
          <w:p>
            <w:pPr>
              <w:shd w:val="clear" w:color="auto" w:fill="FFFFFF"/>
              <w:spacing w:line="240" w:lineRule="atLeast"/>
              <w:jc w:val="left"/>
              <w:rPr>
                <w:noProof/>
              </w:rPr>
            </w:pPr>
            <w:r>
              <w:rPr>
                <w:noProof/>
              </w:rPr>
              <w:t>ÜRO eeskiri nr 17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Peatoed</w:t>
            </w:r>
          </w:p>
        </w:tc>
        <w:tc>
          <w:tcPr>
            <w:tcW w:w="3081" w:type="dxa"/>
            <w:shd w:val="clear" w:color="auto" w:fill="auto"/>
          </w:tcPr>
          <w:p>
            <w:pPr>
              <w:shd w:val="clear" w:color="auto" w:fill="FFFFFF"/>
              <w:spacing w:line="240" w:lineRule="atLeast"/>
              <w:jc w:val="left"/>
              <w:rPr>
                <w:noProof/>
              </w:rPr>
            </w:pPr>
            <w:r>
              <w:rPr>
                <w:noProof/>
              </w:rPr>
              <w:t>ÜRO eeskiri nr 25</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Süsinikdioksiidi heited – kütusekulu sõiduautodel, millel on lisaks juhiistmele veel kuni kaheksa istet</w:t>
            </w:r>
          </w:p>
        </w:tc>
        <w:tc>
          <w:tcPr>
            <w:tcW w:w="3081" w:type="dxa"/>
            <w:shd w:val="clear" w:color="auto" w:fill="auto"/>
          </w:tcPr>
          <w:p>
            <w:pPr>
              <w:shd w:val="clear" w:color="auto" w:fill="FFFFFF"/>
              <w:spacing w:line="240" w:lineRule="atLeast"/>
              <w:jc w:val="left"/>
              <w:rPr>
                <w:noProof/>
              </w:rPr>
            </w:pPr>
            <w:r>
              <w:rPr>
                <w:noProof/>
              </w:rPr>
              <w:t>ÜRO eeskiri nr 101</w:t>
            </w:r>
          </w:p>
        </w:tc>
        <w:tc>
          <w:tcPr>
            <w:tcW w:w="3081" w:type="dxa"/>
            <w:shd w:val="clear" w:color="auto" w:fill="auto"/>
          </w:tcPr>
          <w:p>
            <w:pPr>
              <w:shd w:val="clear" w:color="auto" w:fill="FFFFFF"/>
              <w:spacing w:line="240" w:lineRule="atLeast"/>
              <w:jc w:val="left"/>
              <w:rPr>
                <w:noProof/>
              </w:rPr>
            </w:pPr>
            <w:r>
              <w:rPr>
                <w:noProof/>
              </w:rPr>
              <w:t xml:space="preserve">Määrus (EÜ) nr 692/2008 </w:t>
            </w:r>
          </w:p>
        </w:tc>
      </w:tr>
      <w:tr>
        <w:tc>
          <w:tcPr>
            <w:tcW w:w="3080" w:type="dxa"/>
            <w:shd w:val="clear" w:color="auto" w:fill="auto"/>
            <w:vAlign w:val="bottom"/>
          </w:tcPr>
          <w:p>
            <w:pPr>
              <w:shd w:val="clear" w:color="auto" w:fill="FFFFFF"/>
              <w:spacing w:line="240" w:lineRule="atLeast"/>
              <w:jc w:val="left"/>
              <w:rPr>
                <w:noProof/>
              </w:rPr>
            </w:pPr>
            <w:r>
              <w:rPr>
                <w:noProof/>
              </w:rPr>
              <w:t xml:space="preserve">Mootori võimsus </w:t>
            </w:r>
          </w:p>
        </w:tc>
        <w:tc>
          <w:tcPr>
            <w:tcW w:w="3081" w:type="dxa"/>
            <w:shd w:val="clear" w:color="auto" w:fill="auto"/>
            <w:vAlign w:val="bottom"/>
          </w:tcPr>
          <w:p>
            <w:pPr>
              <w:shd w:val="clear" w:color="auto" w:fill="FFFFFF"/>
              <w:spacing w:line="240" w:lineRule="atLeast"/>
              <w:jc w:val="left"/>
              <w:rPr>
                <w:noProof/>
              </w:rPr>
            </w:pPr>
            <w:r>
              <w:rPr>
                <w:noProof/>
              </w:rPr>
              <w:t>ÜRO eeskiri nr 85</w:t>
            </w:r>
          </w:p>
        </w:tc>
        <w:tc>
          <w:tcPr>
            <w:tcW w:w="3081" w:type="dxa"/>
            <w:shd w:val="clear" w:color="auto" w:fill="auto"/>
            <w:vAlign w:val="bottom"/>
          </w:tcPr>
          <w:p>
            <w:pPr>
              <w:shd w:val="clear" w:color="auto" w:fill="FFFFFF"/>
              <w:spacing w:line="240" w:lineRule="atLeast"/>
              <w:jc w:val="left"/>
              <w:rPr>
                <w:noProof/>
              </w:rPr>
            </w:pPr>
            <w:r>
              <w:rPr>
                <w:noProof/>
              </w:rPr>
              <w:t xml:space="preserve">Määrused (EÜ) nr 692/2008 ja (EL) nr 582/2011 </w:t>
            </w:r>
          </w:p>
        </w:tc>
      </w:tr>
      <w:tr>
        <w:tc>
          <w:tcPr>
            <w:tcW w:w="3080" w:type="dxa"/>
            <w:shd w:val="clear" w:color="auto" w:fill="auto"/>
          </w:tcPr>
          <w:p>
            <w:pPr>
              <w:shd w:val="clear" w:color="auto" w:fill="FFFFFF"/>
              <w:spacing w:line="240" w:lineRule="atLeast"/>
              <w:jc w:val="left"/>
              <w:rPr>
                <w:noProof/>
              </w:rPr>
            </w:pPr>
            <w:r>
              <w:rPr>
                <w:noProof/>
              </w:rPr>
              <w:t>Raskeveokite heited</w:t>
            </w:r>
          </w:p>
        </w:tc>
        <w:tc>
          <w:tcPr>
            <w:tcW w:w="3081" w:type="dxa"/>
            <w:shd w:val="clear" w:color="auto" w:fill="auto"/>
          </w:tcPr>
          <w:p>
            <w:pPr>
              <w:shd w:val="clear" w:color="auto" w:fill="FFFFFF"/>
              <w:spacing w:line="240" w:lineRule="atLeast"/>
              <w:jc w:val="left"/>
              <w:rPr>
                <w:noProof/>
              </w:rPr>
            </w:pPr>
            <w:r>
              <w:rPr>
                <w:noProof/>
              </w:rPr>
              <w:t>ÜRO eeskiri nr 49</w:t>
            </w:r>
          </w:p>
        </w:tc>
        <w:tc>
          <w:tcPr>
            <w:tcW w:w="3081" w:type="dxa"/>
            <w:shd w:val="clear" w:color="auto" w:fill="auto"/>
          </w:tcPr>
          <w:p>
            <w:pPr>
              <w:shd w:val="clear" w:color="auto" w:fill="FFFFFF"/>
              <w:spacing w:line="240" w:lineRule="atLeast"/>
              <w:jc w:val="left"/>
              <w:rPr>
                <w:noProof/>
              </w:rPr>
            </w:pPr>
            <w:r>
              <w:rPr>
                <w:noProof/>
              </w:rPr>
              <w:t xml:space="preserve">Määrus (EÜ) nr 595/2009, määrus (EL) nr 582/2011; </w:t>
            </w:r>
          </w:p>
          <w:p>
            <w:pPr>
              <w:shd w:val="clear" w:color="auto" w:fill="FFFFFF"/>
              <w:spacing w:line="240" w:lineRule="atLeast"/>
              <w:jc w:val="left"/>
              <w:rPr>
                <w:noProof/>
              </w:rPr>
            </w:pPr>
            <w:r>
              <w:rPr>
                <w:noProof/>
              </w:rPr>
              <w:t>määrus (EL) 2016/1718</w:t>
            </w:r>
          </w:p>
        </w:tc>
      </w:tr>
      <w:tr>
        <w:tc>
          <w:tcPr>
            <w:tcW w:w="3080" w:type="dxa"/>
            <w:shd w:val="clear" w:color="auto" w:fill="auto"/>
            <w:vAlign w:val="bottom"/>
          </w:tcPr>
          <w:p>
            <w:pPr>
              <w:shd w:val="clear" w:color="auto" w:fill="FFFFFF"/>
              <w:spacing w:line="240" w:lineRule="atLeast"/>
              <w:jc w:val="left"/>
              <w:rPr>
                <w:noProof/>
              </w:rPr>
            </w:pPr>
            <w:r>
              <w:rPr>
                <w:noProof/>
              </w:rPr>
              <w:t>Külgmised allasõidutõkked</w:t>
            </w:r>
          </w:p>
        </w:tc>
        <w:tc>
          <w:tcPr>
            <w:tcW w:w="3081" w:type="dxa"/>
            <w:shd w:val="clear" w:color="auto" w:fill="auto"/>
            <w:vAlign w:val="bottom"/>
          </w:tcPr>
          <w:p>
            <w:pPr>
              <w:shd w:val="clear" w:color="auto" w:fill="FFFFFF"/>
              <w:spacing w:line="240" w:lineRule="atLeast"/>
              <w:jc w:val="left"/>
              <w:rPr>
                <w:noProof/>
              </w:rPr>
            </w:pPr>
            <w:r>
              <w:rPr>
                <w:noProof/>
              </w:rPr>
              <w:t>ÜRO eeskiri nr 73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Turvaklaasid</w:t>
            </w:r>
          </w:p>
        </w:tc>
        <w:tc>
          <w:tcPr>
            <w:tcW w:w="3081" w:type="dxa"/>
            <w:shd w:val="clear" w:color="auto" w:fill="auto"/>
          </w:tcPr>
          <w:p>
            <w:pPr>
              <w:shd w:val="clear" w:color="auto" w:fill="FFFFFF"/>
              <w:spacing w:line="240" w:lineRule="atLeast"/>
              <w:jc w:val="left"/>
              <w:rPr>
                <w:noProof/>
              </w:rPr>
            </w:pPr>
            <w:r>
              <w:rPr>
                <w:noProof/>
              </w:rPr>
              <w:t>ÜRO eeskiri nr 43</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Mootorsõidukite ja nende haagiste rehvid</w:t>
            </w:r>
          </w:p>
        </w:tc>
        <w:tc>
          <w:tcPr>
            <w:tcW w:w="3081" w:type="dxa"/>
            <w:shd w:val="clear" w:color="auto" w:fill="auto"/>
            <w:vAlign w:val="bottom"/>
          </w:tcPr>
          <w:p>
            <w:pPr>
              <w:shd w:val="clear" w:color="auto" w:fill="FFFFFF"/>
              <w:spacing w:line="240" w:lineRule="atLeast"/>
              <w:jc w:val="left"/>
              <w:rPr>
                <w:noProof/>
              </w:rPr>
            </w:pPr>
            <w:r>
              <w:rPr>
                <w:noProof/>
              </w:rPr>
              <w:t>ÜRO eeskiri nr 30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Kommertssõidukite ja nende haagiste rehvid</w:t>
            </w:r>
          </w:p>
        </w:tc>
        <w:tc>
          <w:tcPr>
            <w:tcW w:w="3081" w:type="dxa"/>
            <w:shd w:val="clear" w:color="auto" w:fill="auto"/>
          </w:tcPr>
          <w:p>
            <w:pPr>
              <w:shd w:val="clear" w:color="auto" w:fill="FFFFFF"/>
              <w:spacing w:line="240" w:lineRule="atLeast"/>
              <w:jc w:val="left"/>
              <w:rPr>
                <w:noProof/>
              </w:rPr>
            </w:pPr>
            <w:r>
              <w:rPr>
                <w:noProof/>
              </w:rPr>
              <w:t>ÜRO eeskiri nr 54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Ajutiseks kasutamiseks mõeldud varuveljed/-rehvid</w:t>
            </w:r>
          </w:p>
        </w:tc>
        <w:tc>
          <w:tcPr>
            <w:tcW w:w="3081" w:type="dxa"/>
            <w:shd w:val="clear" w:color="auto" w:fill="auto"/>
            <w:vAlign w:val="bottom"/>
          </w:tcPr>
          <w:p>
            <w:pPr>
              <w:shd w:val="clear" w:color="auto" w:fill="FFFFFF"/>
              <w:spacing w:line="240" w:lineRule="atLeast"/>
              <w:jc w:val="left"/>
              <w:rPr>
                <w:noProof/>
              </w:rPr>
            </w:pPr>
            <w:r>
              <w:rPr>
                <w:noProof/>
              </w:rPr>
              <w:t>ÜRO eeskiri nr 64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Veeremismüra</w:t>
            </w:r>
          </w:p>
        </w:tc>
        <w:tc>
          <w:tcPr>
            <w:tcW w:w="3081" w:type="dxa"/>
            <w:shd w:val="clear" w:color="auto" w:fill="auto"/>
          </w:tcPr>
          <w:p>
            <w:pPr>
              <w:shd w:val="clear" w:color="auto" w:fill="FFFFFF"/>
              <w:spacing w:line="240" w:lineRule="atLeast"/>
              <w:jc w:val="left"/>
              <w:rPr>
                <w:noProof/>
              </w:rPr>
            </w:pPr>
            <w:r>
              <w:rPr>
                <w:noProof/>
              </w:rPr>
              <w:t>ÜRO eeskiri nr 117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Kiiruspiirikud</w:t>
            </w:r>
          </w:p>
        </w:tc>
        <w:tc>
          <w:tcPr>
            <w:tcW w:w="3081" w:type="dxa"/>
            <w:shd w:val="clear" w:color="auto" w:fill="auto"/>
            <w:vAlign w:val="bottom"/>
          </w:tcPr>
          <w:p>
            <w:pPr>
              <w:shd w:val="clear" w:color="auto" w:fill="FFFFFF"/>
              <w:spacing w:line="240" w:lineRule="atLeast"/>
              <w:jc w:val="left"/>
              <w:rPr>
                <w:noProof/>
              </w:rPr>
            </w:pPr>
            <w:r>
              <w:rPr>
                <w:noProof/>
              </w:rPr>
              <w:t>ÜRO eeskiri nr 89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Haakeseadised</w:t>
            </w:r>
          </w:p>
        </w:tc>
        <w:tc>
          <w:tcPr>
            <w:tcW w:w="3081" w:type="dxa"/>
            <w:shd w:val="clear" w:color="auto" w:fill="auto"/>
            <w:vAlign w:val="bottom"/>
          </w:tcPr>
          <w:p>
            <w:pPr>
              <w:shd w:val="clear" w:color="auto" w:fill="FFFFFF"/>
              <w:spacing w:line="240" w:lineRule="atLeast"/>
              <w:jc w:val="left"/>
              <w:rPr>
                <w:noProof/>
              </w:rPr>
            </w:pPr>
            <w:r>
              <w:rPr>
                <w:noProof/>
              </w:rPr>
              <w:t>ÜRO eeskiri nr 55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Automaatse reguleerimisega haakeseade</w:t>
            </w:r>
          </w:p>
        </w:tc>
        <w:tc>
          <w:tcPr>
            <w:tcW w:w="3081" w:type="dxa"/>
            <w:shd w:val="clear" w:color="auto" w:fill="auto"/>
          </w:tcPr>
          <w:p>
            <w:pPr>
              <w:shd w:val="clear" w:color="auto" w:fill="FFFFFF"/>
              <w:spacing w:line="240" w:lineRule="atLeast"/>
              <w:jc w:val="left"/>
              <w:rPr>
                <w:noProof/>
              </w:rPr>
            </w:pPr>
            <w:r>
              <w:rPr>
                <w:noProof/>
              </w:rPr>
              <w:t>ÜRO eeskiri nr 102</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lastRenderedPageBreak/>
              <w:t>Süttivus</w:t>
            </w:r>
          </w:p>
        </w:tc>
        <w:tc>
          <w:tcPr>
            <w:tcW w:w="3081" w:type="dxa"/>
            <w:shd w:val="clear" w:color="auto" w:fill="auto"/>
            <w:vAlign w:val="bottom"/>
          </w:tcPr>
          <w:p>
            <w:pPr>
              <w:shd w:val="clear" w:color="auto" w:fill="FFFFFF"/>
              <w:spacing w:line="240" w:lineRule="atLeast"/>
              <w:jc w:val="left"/>
              <w:rPr>
                <w:noProof/>
              </w:rPr>
            </w:pPr>
            <w:r>
              <w:rPr>
                <w:noProof/>
              </w:rPr>
              <w:t>ÜRO eeskiri nr 118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Bussid</w:t>
            </w:r>
          </w:p>
        </w:tc>
        <w:tc>
          <w:tcPr>
            <w:tcW w:w="3081" w:type="dxa"/>
            <w:shd w:val="clear" w:color="auto" w:fill="auto"/>
          </w:tcPr>
          <w:p>
            <w:pPr>
              <w:shd w:val="clear" w:color="auto" w:fill="FFFFFF"/>
              <w:spacing w:line="240" w:lineRule="atLeast"/>
              <w:jc w:val="left"/>
              <w:rPr>
                <w:noProof/>
              </w:rPr>
            </w:pPr>
            <w:r>
              <w:rPr>
                <w:noProof/>
              </w:rPr>
              <w:t>ÜRO eeskiri nr 107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Pealisehituse tugevus (bussidel)</w:t>
            </w:r>
          </w:p>
        </w:tc>
        <w:tc>
          <w:tcPr>
            <w:tcW w:w="3081" w:type="dxa"/>
            <w:shd w:val="clear" w:color="auto" w:fill="auto"/>
          </w:tcPr>
          <w:p>
            <w:pPr>
              <w:shd w:val="clear" w:color="auto" w:fill="FFFFFF"/>
              <w:spacing w:line="240" w:lineRule="atLeast"/>
              <w:jc w:val="left"/>
              <w:rPr>
                <w:noProof/>
              </w:rPr>
            </w:pPr>
            <w:r>
              <w:rPr>
                <w:noProof/>
              </w:rPr>
              <w:t>ÜRO eeskiri nr 66</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Laupkokkupõrge</w:t>
            </w:r>
          </w:p>
        </w:tc>
        <w:tc>
          <w:tcPr>
            <w:tcW w:w="3081" w:type="dxa"/>
            <w:shd w:val="clear" w:color="auto" w:fill="auto"/>
          </w:tcPr>
          <w:p>
            <w:pPr>
              <w:shd w:val="clear" w:color="auto" w:fill="FFFFFF"/>
              <w:spacing w:line="240" w:lineRule="atLeast"/>
              <w:jc w:val="left"/>
              <w:rPr>
                <w:noProof/>
              </w:rPr>
            </w:pPr>
            <w:r>
              <w:rPr>
                <w:noProof/>
              </w:rPr>
              <w:t>ÜRO eeskiri nr 94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Külgkokkupõrge</w:t>
            </w:r>
          </w:p>
        </w:tc>
        <w:tc>
          <w:tcPr>
            <w:tcW w:w="3081" w:type="dxa"/>
            <w:shd w:val="clear" w:color="auto" w:fill="auto"/>
            <w:vAlign w:val="bottom"/>
          </w:tcPr>
          <w:p>
            <w:pPr>
              <w:shd w:val="clear" w:color="auto" w:fill="FFFFFF"/>
              <w:spacing w:line="240" w:lineRule="atLeast"/>
              <w:jc w:val="left"/>
              <w:rPr>
                <w:noProof/>
              </w:rPr>
            </w:pPr>
            <w:r>
              <w:rPr>
                <w:noProof/>
              </w:rPr>
              <w:t>ÜRO eeskiri nr 95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Ohtlike kaupade veoks ettenähtud sõidukid</w:t>
            </w:r>
          </w:p>
        </w:tc>
        <w:tc>
          <w:tcPr>
            <w:tcW w:w="3081" w:type="dxa"/>
            <w:shd w:val="clear" w:color="auto" w:fill="auto"/>
          </w:tcPr>
          <w:p>
            <w:pPr>
              <w:shd w:val="clear" w:color="auto" w:fill="FFFFFF"/>
              <w:spacing w:line="240" w:lineRule="atLeast"/>
              <w:jc w:val="left"/>
              <w:rPr>
                <w:noProof/>
              </w:rPr>
            </w:pPr>
            <w:r>
              <w:rPr>
                <w:noProof/>
              </w:rPr>
              <w:t>ÜRO eeskiri nr 105</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Eesmised allasõidutõkked</w:t>
            </w:r>
          </w:p>
        </w:tc>
        <w:tc>
          <w:tcPr>
            <w:tcW w:w="3081" w:type="dxa"/>
            <w:shd w:val="clear" w:color="auto" w:fill="auto"/>
          </w:tcPr>
          <w:p>
            <w:pPr>
              <w:shd w:val="clear" w:color="auto" w:fill="FFFFFF"/>
              <w:spacing w:line="240" w:lineRule="atLeast"/>
              <w:jc w:val="left"/>
              <w:rPr>
                <w:noProof/>
              </w:rPr>
            </w:pPr>
            <w:r>
              <w:rPr>
                <w:noProof/>
              </w:rPr>
              <w:t>ÜRO eeskiri nr 93</w:t>
            </w:r>
          </w:p>
        </w:tc>
        <w:tc>
          <w:tcPr>
            <w:tcW w:w="3081" w:type="dxa"/>
            <w:shd w:val="clear" w:color="auto" w:fill="auto"/>
          </w:tcPr>
          <w:p>
            <w:pPr>
              <w:shd w:val="clear" w:color="auto" w:fill="FFFFFF"/>
              <w:spacing w:line="240" w:lineRule="atLeast"/>
              <w:jc w:val="left"/>
              <w:rPr>
                <w:noProof/>
              </w:rPr>
            </w:pPr>
          </w:p>
        </w:tc>
      </w:tr>
    </w:tbl>
    <w:p>
      <w:pPr>
        <w:widowControl w:val="0"/>
        <w:spacing w:after="0" w:line="360" w:lineRule="auto"/>
        <w:jc w:val="left"/>
        <w:outlineLvl w:val="0"/>
        <w:rPr>
          <w:noProof/>
        </w:rPr>
        <w:sectPr>
          <w:pgSz w:w="11906" w:h="16838"/>
          <w:pgMar w:top="1020" w:right="1701" w:bottom="1020" w:left="1587" w:header="601" w:footer="1077" w:gutter="0"/>
          <w:cols w:space="720"/>
          <w:docGrid w:linePitch="326"/>
        </w:sectPr>
      </w:pPr>
    </w:p>
    <w:p>
      <w:pPr>
        <w:widowControl w:val="0"/>
        <w:spacing w:after="0" w:line="360" w:lineRule="auto"/>
        <w:jc w:val="right"/>
        <w:outlineLvl w:val="0"/>
        <w:rPr>
          <w:noProof/>
        </w:rPr>
      </w:pPr>
      <w:r>
        <w:rPr>
          <w:noProof/>
        </w:rPr>
        <w:lastRenderedPageBreak/>
        <w:t>2. lisa</w:t>
      </w:r>
    </w:p>
    <w:p>
      <w:pPr>
        <w:widowControl w:val="0"/>
        <w:spacing w:after="0" w:line="360" w:lineRule="auto"/>
        <w:jc w:val="center"/>
        <w:outlineLvl w:val="0"/>
        <w:rPr>
          <w:noProof/>
        </w:rPr>
      </w:pPr>
      <w:r>
        <w:rPr>
          <w:noProof/>
        </w:rPr>
        <w:t>2-C-3. liide</w:t>
      </w:r>
    </w:p>
    <w:p>
      <w:pPr>
        <w:widowControl w:val="0"/>
        <w:spacing w:after="0" w:line="360" w:lineRule="auto"/>
        <w:jc w:val="center"/>
        <w:outlineLvl w:val="0"/>
        <w:rPr>
          <w:noProof/>
        </w:rPr>
      </w:pPr>
      <w:r>
        <w:rPr>
          <w:noProof/>
        </w:rPr>
        <w:t>Tabel 1</w:t>
      </w:r>
    </w:p>
    <w:p>
      <w:pPr>
        <w:widowControl w:val="0"/>
        <w:spacing w:after="0" w:line="360" w:lineRule="auto"/>
        <w:jc w:val="center"/>
        <w:outlineLvl w:val="0"/>
        <w:rPr>
          <w:b/>
          <w:noProof/>
        </w:rPr>
      </w:pPr>
      <w:r>
        <w:rPr>
          <w:b/>
          <w:noProof/>
        </w:rPr>
        <w:t>2-C lisa artikli 3 punkti a alapunktis ii osutatud loetelu</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
        <w:gridCol w:w="1800"/>
        <w:gridCol w:w="270"/>
        <w:gridCol w:w="127"/>
        <w:gridCol w:w="1917"/>
        <w:gridCol w:w="6"/>
        <w:gridCol w:w="23"/>
        <w:gridCol w:w="1951"/>
        <w:gridCol w:w="8"/>
        <w:gridCol w:w="22"/>
        <w:gridCol w:w="2850"/>
        <w:gridCol w:w="11"/>
        <w:gridCol w:w="20"/>
      </w:tblGrid>
      <w:tr>
        <w:trPr>
          <w:gridAfter w:val="1"/>
          <w:wAfter w:w="20" w:type="dxa"/>
          <w:tblHeader/>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Teema</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Nõuded</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Asjakohased Korea</w:t>
            </w:r>
            <w:r>
              <w:rPr>
                <w:noProof/>
              </w:rPr>
              <w:br/>
              <w:t>tehnilised eeskirjad</w:t>
            </w:r>
          </w:p>
        </w:tc>
      </w:tr>
      <w:tr>
        <w:trPr>
          <w:gridAfter w:val="1"/>
          <w:wAfter w:w="20" w:type="dxa"/>
          <w:jc w:val="center"/>
        </w:trPr>
        <w:tc>
          <w:tcPr>
            <w:tcW w:w="2226" w:type="dxa"/>
            <w:gridSpan w:val="4"/>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Sõitjate</w:t>
            </w:r>
          </w:p>
          <w:p>
            <w:pPr>
              <w:widowControl w:val="0"/>
              <w:spacing w:after="0" w:line="276" w:lineRule="auto"/>
              <w:jc w:val="left"/>
              <w:rPr>
                <w:noProof/>
              </w:rPr>
            </w:pPr>
            <w:r>
              <w:rPr>
                <w:noProof/>
              </w:rPr>
              <w:t>kaitse kokkupõrke korral</w:t>
            </w:r>
          </w:p>
        </w:tc>
        <w:tc>
          <w:tcPr>
            <w:tcW w:w="192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Laupkokkupõrke korral</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ÜRO eeskiri nr 94 </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w:t>
            </w:r>
            <w:r>
              <w:rPr>
                <w:rStyle w:val="FootnoteReference"/>
                <w:noProof/>
              </w:rPr>
              <w:footnoteReference w:id="4"/>
            </w:r>
            <w:r>
              <w:rPr>
                <w:noProof/>
              </w:rPr>
              <w:t> § 102</w:t>
            </w:r>
          </w:p>
          <w:p>
            <w:pPr>
              <w:widowControl w:val="0"/>
              <w:spacing w:after="0" w:line="276" w:lineRule="auto"/>
              <w:jc w:val="left"/>
              <w:rPr>
                <w:noProof/>
              </w:rPr>
            </w:pPr>
            <w:r>
              <w:rPr>
                <w:noProof/>
              </w:rPr>
              <w:t>lõiked 1 ja 3</w:t>
            </w:r>
          </w:p>
        </w:tc>
      </w:tr>
      <w:tr>
        <w:trPr>
          <w:gridAfter w:val="1"/>
          <w:wAfter w:w="20" w:type="dxa"/>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192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Külgkokkupõrke korral</w:t>
            </w:r>
          </w:p>
        </w:tc>
        <w:tc>
          <w:tcPr>
            <w:tcW w:w="1982"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ÜRO eeskiri nr 95</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102</w:t>
            </w:r>
          </w:p>
          <w:p>
            <w:pPr>
              <w:widowControl w:val="0"/>
              <w:spacing w:after="0" w:line="276" w:lineRule="auto"/>
              <w:jc w:val="left"/>
              <w:rPr>
                <w:noProof/>
              </w:rPr>
            </w:pPr>
            <w:r>
              <w:rPr>
                <w:noProof/>
              </w:rPr>
              <w:t>lg 1</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Rooliseadme tahapoole nihkumine</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12</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89 lg 1 p 2</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Juhi kaitse rooliseadme eest kokkupõrke korral</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12</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89 lg 1 p 1</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Istmesüsteemid</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17</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97</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Peatoed</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ÜRO eeskiri nr 17, </w:t>
            </w:r>
            <w:r>
              <w:rPr>
                <w:noProof/>
              </w:rPr>
              <w:br/>
              <w:t>ÜRO eeskiri nr 25,</w:t>
            </w:r>
            <w:r>
              <w:rPr>
                <w:noProof/>
              </w:rPr>
              <w:br/>
              <w:t>üldine tehniline eeskiri nr 7</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26 ja 99</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Ukselukud ja ukse kinnitusosad</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11,</w:t>
            </w:r>
            <w:r>
              <w:rPr>
                <w:noProof/>
              </w:rPr>
              <w:br/>
              <w:t>üldine tehniline eeskiri nr 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104 lg 2</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Kokkupõrge armatuurlauaga</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88</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Kokkupõrge seljatoega</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98</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Kokkupõrge käetoega</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100</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Kokkupõrge päikesesirmiga</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101</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Kokkupõrge sisemise tahavaatepeegliga</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46</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108</w:t>
            </w:r>
          </w:p>
        </w:tc>
      </w:tr>
      <w:tr>
        <w:trPr>
          <w:gridAfter w:val="2"/>
          <w:wAfter w:w="31" w:type="dxa"/>
          <w:jc w:val="center"/>
        </w:trPr>
        <w:tc>
          <w:tcPr>
            <w:tcW w:w="41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Pukseerimisseadised</w:t>
            </w:r>
          </w:p>
        </w:tc>
        <w:tc>
          <w:tcPr>
            <w:tcW w:w="19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Määrus (EL) </w:t>
            </w:r>
            <w:r>
              <w:rPr>
                <w:noProof/>
              </w:rPr>
              <w:lastRenderedPageBreak/>
              <w:t>nr 1005/2010</w:t>
            </w:r>
          </w:p>
        </w:tc>
        <w:tc>
          <w:tcPr>
            <w:tcW w:w="28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lastRenderedPageBreak/>
              <w:t xml:space="preserve">KMSOS § 20 lg 1 </w:t>
            </w:r>
          </w:p>
        </w:tc>
      </w:tr>
      <w:tr>
        <w:trPr>
          <w:gridAfter w:val="2"/>
          <w:wAfter w:w="31" w:type="dxa"/>
          <w:jc w:val="center"/>
        </w:trPr>
        <w:tc>
          <w:tcPr>
            <w:tcW w:w="41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lastRenderedPageBreak/>
              <w:t>Tagumised allasõidutõkked</w:t>
            </w:r>
          </w:p>
        </w:tc>
        <w:tc>
          <w:tcPr>
            <w:tcW w:w="19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58</w:t>
            </w:r>
          </w:p>
        </w:tc>
        <w:tc>
          <w:tcPr>
            <w:tcW w:w="28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KMSOS § 19 lg 4 ja § 96 </w:t>
            </w:r>
          </w:p>
        </w:tc>
      </w:tr>
      <w:tr>
        <w:trPr>
          <w:gridBefore w:val="1"/>
          <w:wBefore w:w="29" w:type="dxa"/>
          <w:jc w:val="center"/>
        </w:trPr>
        <w:tc>
          <w:tcPr>
            <w:tcW w:w="180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pageBreakBefore/>
              <w:widowControl w:val="0"/>
              <w:spacing w:after="0" w:line="276" w:lineRule="auto"/>
              <w:jc w:val="left"/>
              <w:rPr>
                <w:noProof/>
              </w:rPr>
            </w:pPr>
            <w:r>
              <w:rPr>
                <w:noProof/>
              </w:rPr>
              <w:lastRenderedPageBreak/>
              <w:t xml:space="preserve">Valgustus- ja </w:t>
            </w:r>
            <w:r>
              <w:rPr>
                <w:noProof/>
              </w:rPr>
              <w:br w:type="page"/>
              <w:t>signaalsüsteem</w:t>
            </w: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Paigaldamine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48</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38, 38-2, 38-3, 38-4, 38-5, 39, 40, 41, 42, 43, 44, 44-2, 45, 45-2, 47 ja 49</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Esilatern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ÜRO eeskirjad nr 1, 2, 5, 8, 20, 31, 37, </w:t>
            </w:r>
          </w:p>
          <w:p>
            <w:pPr>
              <w:widowControl w:val="0"/>
              <w:spacing w:after="0" w:line="276" w:lineRule="auto"/>
              <w:jc w:val="left"/>
              <w:rPr>
                <w:noProof/>
              </w:rPr>
            </w:pPr>
            <w:r>
              <w:rPr>
                <w:noProof/>
              </w:rPr>
              <w:t xml:space="preserve">98, 99, 112, 113, 123 </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38, § 48 lg 3</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Eesmine udutulelatern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19</w:t>
            </w:r>
          </w:p>
        </w:tc>
        <w:tc>
          <w:tcPr>
            <w:tcW w:w="2881" w:type="dxa"/>
            <w:gridSpan w:val="3"/>
            <w:tcBorders>
              <w:top w:val="single" w:sz="4" w:space="0" w:color="auto"/>
              <w:left w:val="single" w:sz="4" w:space="0" w:color="auto"/>
              <w:bottom w:val="single" w:sz="4" w:space="0" w:color="auto"/>
              <w:right w:val="single" w:sz="4" w:space="0" w:color="auto"/>
            </w:tcBorders>
            <w:vAlign w:val="center"/>
          </w:tcPr>
          <w:p>
            <w:pPr>
              <w:widowControl w:val="0"/>
              <w:spacing w:after="0" w:line="276" w:lineRule="auto"/>
              <w:jc w:val="left"/>
              <w:rPr>
                <w:noProof/>
              </w:rPr>
            </w:pPr>
            <w:r>
              <w:rPr>
                <w:noProof/>
              </w:rPr>
              <w:t>KMSOS § 38-2 lg 1</w:t>
            </w:r>
          </w:p>
          <w:p>
            <w:pPr>
              <w:widowControl w:val="0"/>
              <w:spacing w:after="0" w:line="276" w:lineRule="auto"/>
              <w:jc w:val="left"/>
              <w:rPr>
                <w:noProof/>
              </w:rPr>
            </w:pP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Päevatulelatern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87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38-4</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Pöördelatern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119</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38-5</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Tagurdustulelatern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23</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39</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Gabariiditulelatern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40</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Numbritulelatern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4</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41</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Tagatulelatern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42</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Piduritulelatern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43 lg 1</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Keskmine kõrge paigutusega</w:t>
            </w:r>
          </w:p>
          <w:p>
            <w:pPr>
              <w:widowControl w:val="0"/>
              <w:spacing w:after="0" w:line="276" w:lineRule="auto"/>
              <w:jc w:val="left"/>
              <w:rPr>
                <w:noProof/>
              </w:rPr>
            </w:pPr>
            <w:r>
              <w:rPr>
                <w:noProof/>
              </w:rPr>
              <w:t>piduritulelatern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43 lg 2</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Suunatuli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6</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44</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Lisasuunatuli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44</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Küljeääretulelatern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91</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44-2</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Tagumine udutulelatern </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38</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38-2</w:t>
            </w:r>
          </w:p>
          <w:p>
            <w:pPr>
              <w:widowControl w:val="0"/>
              <w:spacing w:after="0" w:line="276" w:lineRule="auto"/>
              <w:jc w:val="left"/>
              <w:rPr>
                <w:noProof/>
              </w:rPr>
            </w:pPr>
            <w:r>
              <w:rPr>
                <w:noProof/>
              </w:rPr>
              <w:t>lg 2</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Helkurseadmed</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70,</w:t>
            </w:r>
            <w:r>
              <w:rPr>
                <w:noProof/>
              </w:rPr>
              <w:br/>
            </w:r>
            <w:r>
              <w:rPr>
                <w:noProof/>
              </w:rPr>
              <w:lastRenderedPageBreak/>
              <w:t>ÜRO eeskiri nr 3</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lastRenderedPageBreak/>
              <w:t xml:space="preserve">KMSOS § 49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pageBreakBefore/>
              <w:widowControl w:val="0"/>
              <w:spacing w:after="0" w:line="276" w:lineRule="auto"/>
              <w:jc w:val="left"/>
              <w:rPr>
                <w:noProof/>
              </w:rPr>
            </w:pPr>
            <w:r>
              <w:rPr>
                <w:noProof/>
              </w:rPr>
              <w:lastRenderedPageBreak/>
              <w:t>Nähtavus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46</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50,</w:t>
            </w:r>
          </w:p>
          <w:p>
            <w:pPr>
              <w:widowControl w:val="0"/>
              <w:spacing w:after="0" w:line="276" w:lineRule="auto"/>
              <w:jc w:val="left"/>
              <w:rPr>
                <w:noProof/>
              </w:rPr>
            </w:pPr>
            <w:r>
              <w:rPr>
                <w:noProof/>
              </w:rPr>
              <w:t>§ 94</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Mootori võimsus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85</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111</w:t>
            </w:r>
          </w:p>
        </w:tc>
      </w:tr>
      <w:tr>
        <w:trPr>
          <w:gridBefore w:val="1"/>
          <w:wBefore w:w="29" w:type="dxa"/>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Nähtavuse</w:t>
            </w:r>
            <w:r>
              <w:rPr>
                <w:noProof/>
              </w:rPr>
              <w:br/>
              <w:t>tagamise</w:t>
            </w:r>
            <w:r>
              <w:rPr>
                <w:noProof/>
              </w:rPr>
              <w:br/>
              <w:t>seade</w:t>
            </w: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Esiklaasi puhastamise süsteem</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Määrus </w:t>
            </w:r>
          </w:p>
          <w:p>
            <w:pPr>
              <w:widowControl w:val="0"/>
              <w:spacing w:after="0" w:line="276" w:lineRule="auto"/>
              <w:jc w:val="left"/>
              <w:rPr>
                <w:noProof/>
              </w:rPr>
            </w:pPr>
            <w:r>
              <w:rPr>
                <w:noProof/>
              </w:rPr>
              <w:t>(EL) nr 1008/2010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KMSOS § 51 lg 2, § 109 p 1 </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Jäite eemaldamise süsteem</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Määrus (EL) nr 672/2010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109 p 2</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Niiskuse eemaldamise süsteem </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Määrus (EL) nr 672/2010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109 p 3</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Esiklaasi pesemise süsteem</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Määrus (EL) nr 1008/2010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KMSOS § 109 p 4</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Sõiduautode pidurid</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13H</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KMSOS § 15, § 90 p 1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Piduriseadmed (v.a sõiduautodel ja haagistel)</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15, § 90 p 2</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Haagiste piduriseadmed</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15, § 90 p 3</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Blokeerumisvastane pidurdussüsteem, v.a haagistel</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ÜRO eeskiri nr 13 </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15, § 90 p 4</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Haagiste blokeerumisvastane pidurdussüsteem</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15, § 90 p 5</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br w:type="page"/>
              <w:t>Juhtajami koormusjõud</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79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14,</w:t>
            </w:r>
          </w:p>
          <w:p>
            <w:pPr>
              <w:widowControl w:val="0"/>
              <w:spacing w:after="0" w:line="276" w:lineRule="auto"/>
              <w:jc w:val="left"/>
              <w:rPr>
                <w:noProof/>
              </w:rPr>
            </w:pPr>
            <w:r>
              <w:rPr>
                <w:noProof/>
              </w:rPr>
              <w:t xml:space="preserve">§ 89 lg 2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Kiiruspiirik</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89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110-2</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Kiirusmõõdik</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39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KMSOS § 110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Elektromagnetiline ühilduvus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10</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111-2</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Kütuseleke kokkupõrke korral</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eeskirjad nr 34,</w:t>
            </w:r>
            <w:r>
              <w:rPr>
                <w:noProof/>
              </w:rPr>
              <w:br/>
              <w:t>nr 94,</w:t>
            </w:r>
            <w:r>
              <w:rPr>
                <w:noProof/>
              </w:rPr>
              <w:br/>
            </w:r>
            <w:r>
              <w:rPr>
                <w:noProof/>
              </w:rPr>
              <w:lastRenderedPageBreak/>
              <w:t>ja nr 95</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lastRenderedPageBreak/>
              <w:t>KMSOS § 91</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pageBreakBefore/>
              <w:widowControl w:val="0"/>
              <w:spacing w:after="0" w:line="276" w:lineRule="auto"/>
              <w:jc w:val="left"/>
              <w:rPr>
                <w:noProof/>
              </w:rPr>
            </w:pPr>
            <w:r>
              <w:rPr>
                <w:noProof/>
              </w:rPr>
              <w:lastRenderedPageBreak/>
              <w:t>Kokkupõrge kaitserauaga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42</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93</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Turvavööde kinnituskohad</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ÜRO eeskirjad nr 14 </w:t>
            </w:r>
          </w:p>
          <w:p>
            <w:pPr>
              <w:widowControl w:val="0"/>
              <w:spacing w:after="0" w:line="276" w:lineRule="auto"/>
              <w:jc w:val="left"/>
              <w:rPr>
                <w:noProof/>
              </w:rPr>
            </w:pPr>
            <w:r>
              <w:rPr>
                <w:noProof/>
              </w:rPr>
              <w:t>ja nr 16</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KMSOS § 27 lõiked 1, 2, 3, 4; § 103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Lapse turvatooli kinnituskohad</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ÜRO eeskiri nr 14 </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 27-2, § 103-2</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Sõidukite (neljarattaliste) helisignaalseadme müra, püsimüra ja summuti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eeskirjad nr 28</w:t>
            </w:r>
          </w:p>
          <w:p>
            <w:pPr>
              <w:widowControl w:val="0"/>
              <w:spacing w:after="0" w:line="276" w:lineRule="auto"/>
              <w:jc w:val="left"/>
              <w:rPr>
                <w:noProof/>
              </w:rPr>
            </w:pPr>
            <w:r>
              <w:rPr>
                <w:noProof/>
              </w:rPr>
              <w:t>ja nr 51</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KMSOS §-d 35 ja 53, müra- ja vibratsioonikontrolli seaduse § 30 ja sellega seotud keskkonnaministeeriumi</w:t>
            </w:r>
            <w:r>
              <w:rPr>
                <w:rStyle w:val="FootnoteReference"/>
                <w:noProof/>
              </w:rPr>
              <w:footnoteReference w:id="5"/>
            </w:r>
            <w:r>
              <w:rPr>
                <w:noProof/>
              </w:rPr>
              <w:t xml:space="preserve"> määruse § 29</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Mootorrataste heited ja müra (v.a kolme- või neljarattaliste sõidukite möödumismüra)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ÜRO eeskirjad nr 40, </w:t>
            </w:r>
            <w:r>
              <w:rPr>
                <w:noProof/>
              </w:rPr>
              <w:br/>
              <w:t xml:space="preserve">nr 41, </w:t>
            </w:r>
            <w:r>
              <w:rPr>
                <w:noProof/>
              </w:rPr>
              <w:br/>
              <w:t xml:space="preserve">ja nr 47; </w:t>
            </w:r>
          </w:p>
          <w:p>
            <w:pPr>
              <w:widowControl w:val="0"/>
              <w:spacing w:after="0" w:line="276" w:lineRule="auto"/>
              <w:jc w:val="left"/>
              <w:rPr>
                <w:noProof/>
              </w:rPr>
            </w:pPr>
            <w:r>
              <w:rPr>
                <w:noProof/>
              </w:rPr>
              <w:t>määrused (EL) nr 168/2013 ja (EL) nr 134/2014</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CACA</w:t>
            </w:r>
            <w:r>
              <w:rPr>
                <w:rStyle w:val="FootnoteReference"/>
                <w:noProof/>
              </w:rPr>
              <w:footnoteReference w:id="6"/>
            </w:r>
            <w:r>
              <w:rPr>
                <w:noProof/>
              </w:rPr>
              <w:t> § 46 ja sellega seotud keskkonnaministeeriumi määruse § 62, müra- ja vibratsioonikontrolli seaduse § 30 ja sellega seotud keskkonnaministeeriumi määruse § 29</w:t>
            </w:r>
          </w:p>
        </w:tc>
      </w:tr>
      <w:tr>
        <w:trPr>
          <w:gridBefore w:val="1"/>
          <w:wBefore w:w="29" w:type="dxa"/>
          <w:jc w:val="center"/>
        </w:trPr>
        <w:tc>
          <w:tcPr>
            <w:tcW w:w="2070" w:type="dxa"/>
            <w:gridSpan w:val="2"/>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Diisliheited (k.a OBD)</w:t>
            </w:r>
          </w:p>
        </w:tc>
        <w:tc>
          <w:tcPr>
            <w:tcW w:w="2073" w:type="dxa"/>
            <w:gridSpan w:val="4"/>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alla 3,5 t sõidukid</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ÜRO eeskirjad nr 83 </w:t>
            </w:r>
            <w:r>
              <w:rPr>
                <w:noProof/>
              </w:rPr>
              <w:br/>
              <w:t>ja nr 24;</w:t>
            </w:r>
          </w:p>
          <w:p>
            <w:pPr>
              <w:widowControl w:val="0"/>
              <w:spacing w:after="0" w:line="276" w:lineRule="auto"/>
              <w:jc w:val="left"/>
              <w:rPr>
                <w:noProof/>
              </w:rPr>
            </w:pPr>
            <w:r>
              <w:rPr>
                <w:noProof/>
              </w:rPr>
              <w:t>Määrused (EÜ) nr 715/2007, (EÜ) nr 692/2008 ja (EL) nr 459/2012</w:t>
            </w:r>
          </w:p>
        </w:tc>
        <w:tc>
          <w:tcPr>
            <w:tcW w:w="2881" w:type="dxa"/>
            <w:gridSpan w:val="3"/>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CACA § 46 ja sellega seotud keskkonnaministeeriumi määruse § 62</w:t>
            </w:r>
          </w:p>
        </w:tc>
      </w:tr>
      <w:tr>
        <w:trPr>
          <w:gridBefore w:val="1"/>
          <w:wBefore w:w="29" w:type="dxa"/>
          <w:jc w:val="center"/>
        </w:trPr>
        <w:tc>
          <w:tcPr>
            <w:tcW w:w="0" w:type="auto"/>
            <w:gridSpan w:val="2"/>
            <w:vMerge/>
            <w:tcBorders>
              <w:top w:val="single" w:sz="4" w:space="0" w:color="auto"/>
              <w:left w:val="single" w:sz="4" w:space="0" w:color="auto"/>
              <w:bottom w:val="single" w:sz="4" w:space="0" w:color="auto"/>
              <w:right w:val="nil"/>
            </w:tcBorders>
            <w:vAlign w:val="center"/>
            <w:hideMark/>
          </w:tcPr>
          <w:p>
            <w:pPr>
              <w:spacing w:after="0"/>
              <w:jc w:val="left"/>
              <w:rPr>
                <w:noProof/>
              </w:rPr>
            </w:pPr>
          </w:p>
        </w:tc>
        <w:tc>
          <w:tcPr>
            <w:tcW w:w="2073" w:type="dxa"/>
            <w:gridSpan w:val="4"/>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üle 3,5 t sõidukid</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ÜRO eeskiri nr 49;</w:t>
            </w:r>
          </w:p>
          <w:p>
            <w:pPr>
              <w:widowControl w:val="0"/>
              <w:spacing w:after="0" w:line="276" w:lineRule="auto"/>
              <w:jc w:val="left"/>
              <w:rPr>
                <w:noProof/>
              </w:rPr>
            </w:pPr>
          </w:p>
          <w:p>
            <w:pPr>
              <w:widowControl w:val="0"/>
              <w:spacing w:before="0" w:after="0" w:line="276" w:lineRule="auto"/>
              <w:jc w:val="left"/>
              <w:rPr>
                <w:noProof/>
              </w:rPr>
            </w:pPr>
            <w:r>
              <w:rPr>
                <w:noProof/>
              </w:rPr>
              <w:t>määrused (EÜ) nr 595/2009 ja (EL) nr 582/2011</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lastRenderedPageBreak/>
              <w:t xml:space="preserve">Rehvid </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ÜRO eeskirjad nr 30, 54, 75, 106, 117, 108, 109</w:t>
            </w:r>
          </w:p>
        </w:tc>
        <w:tc>
          <w:tcPr>
            <w:tcW w:w="2881" w:type="dxa"/>
            <w:gridSpan w:val="3"/>
            <w:tcBorders>
              <w:top w:val="single" w:sz="4" w:space="0" w:color="auto"/>
              <w:left w:val="single" w:sz="4" w:space="0" w:color="auto"/>
              <w:bottom w:val="single" w:sz="4" w:space="0" w:color="auto"/>
              <w:right w:val="single" w:sz="4" w:space="0" w:color="auto"/>
            </w:tcBorders>
            <w:vAlign w:val="center"/>
          </w:tcPr>
          <w:p>
            <w:pPr>
              <w:widowControl w:val="0"/>
              <w:spacing w:after="0" w:line="276" w:lineRule="auto"/>
              <w:jc w:val="left"/>
              <w:rPr>
                <w:noProof/>
              </w:rPr>
            </w:pPr>
            <w:r>
              <w:rPr>
                <w:noProof/>
              </w:rPr>
              <w:t>Elektriseadmete ja tarbekaupade ohutuse kontrolli akti (Electrical Appliances and Consumer Products Safety Control Act) §-d 15, 18 ja 19;</w:t>
            </w:r>
          </w:p>
          <w:p>
            <w:pPr>
              <w:widowControl w:val="0"/>
              <w:spacing w:after="0" w:line="276" w:lineRule="auto"/>
              <w:jc w:val="left"/>
              <w:rPr>
                <w:noProof/>
              </w:rPr>
            </w:pPr>
            <w:r>
              <w:rPr>
                <w:noProof/>
              </w:rPr>
              <w:t>selle akti rakendamise eeskirjade § 3 lg 4 ja § 26;</w:t>
            </w:r>
          </w:p>
          <w:p>
            <w:pPr>
              <w:widowControl w:val="0"/>
              <w:spacing w:after="0" w:line="276" w:lineRule="auto"/>
              <w:jc w:val="left"/>
              <w:rPr>
                <w:noProof/>
              </w:rPr>
            </w:pPr>
            <w:r>
              <w:rPr>
                <w:noProof/>
              </w:rPr>
              <w:t>KMSOS § 12 lg 1</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E/ECE/TRANS/505/Rev.3.</w:t>
      </w:r>
    </w:p>
  </w:footnote>
  <w:footnote w:id="2">
    <w:p>
      <w:pPr>
        <w:pStyle w:val="FootnoteText"/>
        <w:rPr>
          <w:rFonts w:eastAsiaTheme="minorEastAsia"/>
          <w:color w:val="000000" w:themeColor="text1"/>
          <w:lang w:eastAsia="ko-KR"/>
        </w:rPr>
      </w:pPr>
      <w:r>
        <w:rPr>
          <w:rStyle w:val="FootnoteReference"/>
        </w:rPr>
        <w:footnoteRef/>
      </w:r>
      <w:r>
        <w:tab/>
      </w:r>
      <w:r>
        <w:rPr>
          <w:rFonts w:eastAsiaTheme="minorEastAsia"/>
          <w:color w:val="000000" w:themeColor="text1"/>
        </w:rPr>
        <w:t>Kui kolmas veerg („Asjakohane ELi tehniline eeskiri“) on jäetud tühjaks, tähendab see, et asjakohane eeskiri on sama, mis teises veerus („Nõuded“) esitatud ÜRO eeskiri.</w:t>
      </w:r>
    </w:p>
  </w:footnote>
  <w:footnote w:id="3">
    <w:p>
      <w:pPr>
        <w:pStyle w:val="FootnoteText"/>
      </w:pPr>
      <w:r>
        <w:rPr>
          <w:rStyle w:val="FootnoteReference"/>
        </w:rPr>
        <w:footnoteRef/>
      </w:r>
      <w:r>
        <w:tab/>
        <w:t>ÜRO eeskirja asemel kasutati varem nimetust „UN/ECE“.</w:t>
      </w:r>
    </w:p>
  </w:footnote>
  <w:footnote w:id="4">
    <w:p>
      <w:pPr>
        <w:pStyle w:val="FootnoteText"/>
        <w:rPr>
          <w:lang w:eastAsia="en-GB"/>
        </w:rPr>
      </w:pPr>
      <w:r>
        <w:rPr>
          <w:rStyle w:val="FootnoteReference"/>
        </w:rPr>
        <w:footnoteRef/>
      </w:r>
      <w:r>
        <w:tab/>
        <w:t>Varem Korea mootorsõidukite ohutusnõuded (Korea Motor Vehicle Safety Standards, KMVSS), mille uus nimetus on alates 1. juulist 2014 Korea mootorsõidukite ja nende osade toimivuse ja nõuete eeskirjad (Rules on the Performances and Standards of Korean Motor Vehicles and Parts).</w:t>
      </w:r>
    </w:p>
  </w:footnote>
  <w:footnote w:id="5">
    <w:p>
      <w:pPr>
        <w:pStyle w:val="FootnoteText"/>
      </w:pPr>
      <w:r>
        <w:rPr>
          <w:rStyle w:val="FootnoteReference"/>
        </w:rPr>
        <w:footnoteRef/>
      </w:r>
      <w:r>
        <w:tab/>
        <w:t>Korea keskkonnaministeerium.</w:t>
      </w:r>
    </w:p>
  </w:footnote>
  <w:footnote w:id="6">
    <w:p>
      <w:pPr>
        <w:pStyle w:val="FootnoteText"/>
      </w:pPr>
      <w:r>
        <w:rPr>
          <w:rStyle w:val="FootnoteReference"/>
        </w:rPr>
        <w:footnoteRef/>
      </w:r>
      <w:r>
        <w:tab/>
        <w:t>Korea puhta õhu kaitse seadus (Clean Air Conservation Act of Korea).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E2CB9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5EB0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9216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5A33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A21C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E5A93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3A3ADC"/>
    <w:lvl w:ilvl="0">
      <w:start w:val="1"/>
      <w:numFmt w:val="decimal"/>
      <w:pStyle w:val="ListNumber"/>
      <w:lvlText w:val="%1."/>
      <w:lvlJc w:val="left"/>
      <w:pPr>
        <w:tabs>
          <w:tab w:val="num" w:pos="360"/>
        </w:tabs>
        <w:ind w:left="360" w:hanging="360"/>
      </w:pPr>
    </w:lvl>
  </w:abstractNum>
  <w:abstractNum w:abstractNumId="7">
    <w:nsid w:val="FFFFFF89"/>
    <w:multiLevelType w:val="singleLevel"/>
    <w:tmpl w:val="51A6CF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55: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7D78B731-4F7E-45C1-A708-EAE54807B541"/>
    <w:docVar w:name="LW_COVERPAGE_TYPE" w:val="1"/>
    <w:docVar w:name="LW_CROSSREFERENCE" w:val="&lt;UNUSED&gt;"/>
    <w:docVar w:name="LW_DocType" w:val="ANNEX"/>
    <w:docVar w:name="LW_EMISSION" w:val="12.6.2019"/>
    <w:docVar w:name="LW_EMISSION_ISODATE" w:val="2019-06-12"/>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seisukoha kohta, mis võetakse Euroopa Liidu nimel ühelt poolt Euroopa Liidu ja selle liikmesriikide ning teiselt poolt Korea Vabariigi vahelise vabakaubanduslepingu alusel moodustatud kaubanduskomitees seoses kõnealuse lepingu 2-C&lt;LWCR:NBS&gt;lisa liidete 2-C-2 ja 2-C-3 muutmisega"/>
    <w:docVar w:name="LW_OBJETACTEPRINCIPAL.CP" w:val="seisukoha kohta, mis võetakse Euroopa Liidu nimel ühelt poolt Euroopa Liidu ja selle liikmesriikide ning teiselt poolt Korea Vabariigi vahelise vabakaubanduslepingu alusel moodustatud kaubanduskomitees seoses kõnealuse lepingu 2-C lisa liidete 2-C-2 ja 2-C-3 muutmisega"/>
    <w:docVar w:name="LW_PART_NBR" w:val="1"/>
    <w:docVar w:name="LW_PART_NBR_TOTAL" w:val="1"/>
    <w:docVar w:name="LW_REF.INST.NEW" w:val="COM"/>
    <w:docVar w:name="LW_REF.INST.NEW_ADOPTED" w:val="final"/>
    <w:docVar w:name="LW_REF.INST.NEW_TEXT" w:val="(2019)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link w:val="En-tte10"/>
    <w:uiPriority w:val="99"/>
    <w:locked/>
    <w:rPr>
      <w:b/>
      <w:bCs/>
      <w:smallCaps/>
      <w:sz w:val="26"/>
      <w:szCs w:val="26"/>
      <w:shd w:val="clear" w:color="auto" w:fill="FFFFFF"/>
    </w:rPr>
  </w:style>
  <w:style w:type="paragraph" w:customStyle="1" w:styleId="En-tte10">
    <w:name w:val="En-tête #1"/>
    <w:basedOn w:val="Normal"/>
    <w:link w:val="En-tte1"/>
    <w:uiPriority w:val="99"/>
    <w:pPr>
      <w:widowControl w:val="0"/>
      <w:shd w:val="clear" w:color="auto" w:fill="FFFFFF"/>
      <w:spacing w:before="0" w:after="720" w:line="240" w:lineRule="atLeast"/>
      <w:jc w:val="center"/>
      <w:outlineLvl w:val="0"/>
    </w:pPr>
    <w:rPr>
      <w:rFonts w:asciiTheme="minorHAnsi" w:hAnsiTheme="minorHAnsi" w:cstheme="minorBidi"/>
      <w:b/>
      <w:bCs/>
      <w:smallCaps/>
      <w:sz w:val="26"/>
      <w:szCs w:val="26"/>
    </w:rPr>
  </w:style>
  <w:style w:type="character" w:customStyle="1" w:styleId="Lgendedutableau">
    <w:name w:val="Légende du tableau_"/>
    <w:link w:val="Lgendedutableau0"/>
    <w:uiPriority w:val="99"/>
    <w:locked/>
    <w:rPr>
      <w:b/>
      <w:bCs/>
      <w:shd w:val="clear" w:color="auto" w:fill="FFFFFF"/>
    </w:rPr>
  </w:style>
  <w:style w:type="paragraph" w:customStyle="1" w:styleId="Lgendedutableau0">
    <w:name w:val="Légende du tableau"/>
    <w:basedOn w:val="Normal"/>
    <w:link w:val="Lgendedutableau"/>
    <w:uiPriority w:val="99"/>
    <w:pPr>
      <w:widowControl w:val="0"/>
      <w:shd w:val="clear" w:color="auto" w:fill="FFFFFF"/>
      <w:spacing w:before="0" w:after="60" w:line="240" w:lineRule="atLeast"/>
      <w:jc w:val="center"/>
    </w:pPr>
    <w:rPr>
      <w:rFonts w:asciiTheme="minorHAnsi" w:hAnsiTheme="minorHAnsi" w:cstheme="minorBidi"/>
      <w:b/>
      <w:bCs/>
      <w:sz w:val="22"/>
    </w:rPr>
  </w:style>
  <w:style w:type="paragraph" w:styleId="CommentText">
    <w:name w:val="annotation text"/>
    <w:basedOn w:val="Normal"/>
    <w:link w:val="CommentTextChar"/>
    <w:uiPriority w:val="99"/>
    <w:semiHidden/>
    <w:unhideWhenUsed/>
    <w:rPr>
      <w:rFonts w:eastAsia="Calibri"/>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val="et-EE"/>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t-EE"/>
    </w:rPr>
  </w:style>
  <w:style w:type="paragraph" w:styleId="BalloonText">
    <w:name w:val="Balloon Text"/>
    <w:basedOn w:val="Normal"/>
    <w:link w:val="BalloonTextChar"/>
    <w:uiPriority w:val="99"/>
    <w:semiHidden/>
    <w:unhideWhenUsed/>
    <w:pPr>
      <w:spacing w:before="0" w:after="0"/>
    </w:pPr>
    <w:rPr>
      <w:rFonts w:ascii="Tahoma" w:eastAsia="Calibri" w:hAnsi="Tahoma" w:cs="Tahoma"/>
      <w:sz w:val="16"/>
      <w:szCs w:val="16"/>
    </w:rPr>
  </w:style>
  <w:style w:type="paragraph" w:styleId="ListParagraph">
    <w:name w:val="List Paragraph"/>
    <w:basedOn w:val="Normal"/>
    <w:uiPriority w:val="34"/>
    <w:qFormat/>
    <w:pPr>
      <w:ind w:left="720"/>
      <w:contextualSpacing/>
    </w:pPr>
    <w:rPr>
      <w:rFonts w:eastAsia="Calibri"/>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link w:val="En-tte10"/>
    <w:uiPriority w:val="99"/>
    <w:locked/>
    <w:rPr>
      <w:b/>
      <w:bCs/>
      <w:smallCaps/>
      <w:sz w:val="26"/>
      <w:szCs w:val="26"/>
      <w:shd w:val="clear" w:color="auto" w:fill="FFFFFF"/>
    </w:rPr>
  </w:style>
  <w:style w:type="paragraph" w:customStyle="1" w:styleId="En-tte10">
    <w:name w:val="En-tête #1"/>
    <w:basedOn w:val="Normal"/>
    <w:link w:val="En-tte1"/>
    <w:uiPriority w:val="99"/>
    <w:pPr>
      <w:widowControl w:val="0"/>
      <w:shd w:val="clear" w:color="auto" w:fill="FFFFFF"/>
      <w:spacing w:before="0" w:after="720" w:line="240" w:lineRule="atLeast"/>
      <w:jc w:val="center"/>
      <w:outlineLvl w:val="0"/>
    </w:pPr>
    <w:rPr>
      <w:rFonts w:asciiTheme="minorHAnsi" w:hAnsiTheme="minorHAnsi" w:cstheme="minorBidi"/>
      <w:b/>
      <w:bCs/>
      <w:smallCaps/>
      <w:sz w:val="26"/>
      <w:szCs w:val="26"/>
    </w:rPr>
  </w:style>
  <w:style w:type="character" w:customStyle="1" w:styleId="Lgendedutableau">
    <w:name w:val="Légende du tableau_"/>
    <w:link w:val="Lgendedutableau0"/>
    <w:uiPriority w:val="99"/>
    <w:locked/>
    <w:rPr>
      <w:b/>
      <w:bCs/>
      <w:shd w:val="clear" w:color="auto" w:fill="FFFFFF"/>
    </w:rPr>
  </w:style>
  <w:style w:type="paragraph" w:customStyle="1" w:styleId="Lgendedutableau0">
    <w:name w:val="Légende du tableau"/>
    <w:basedOn w:val="Normal"/>
    <w:link w:val="Lgendedutableau"/>
    <w:uiPriority w:val="99"/>
    <w:pPr>
      <w:widowControl w:val="0"/>
      <w:shd w:val="clear" w:color="auto" w:fill="FFFFFF"/>
      <w:spacing w:before="0" w:after="60" w:line="240" w:lineRule="atLeast"/>
      <w:jc w:val="center"/>
    </w:pPr>
    <w:rPr>
      <w:rFonts w:asciiTheme="minorHAnsi" w:hAnsiTheme="minorHAnsi" w:cstheme="minorBidi"/>
      <w:b/>
      <w:bCs/>
      <w:sz w:val="22"/>
    </w:rPr>
  </w:style>
  <w:style w:type="paragraph" w:styleId="CommentText">
    <w:name w:val="annotation text"/>
    <w:basedOn w:val="Normal"/>
    <w:link w:val="CommentTextChar"/>
    <w:uiPriority w:val="99"/>
    <w:semiHidden/>
    <w:unhideWhenUsed/>
    <w:rPr>
      <w:rFonts w:eastAsia="Calibri"/>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val="et-EE"/>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t-EE"/>
    </w:rPr>
  </w:style>
  <w:style w:type="paragraph" w:styleId="BalloonText">
    <w:name w:val="Balloon Text"/>
    <w:basedOn w:val="Normal"/>
    <w:link w:val="BalloonTextChar"/>
    <w:uiPriority w:val="99"/>
    <w:semiHidden/>
    <w:unhideWhenUsed/>
    <w:pPr>
      <w:spacing w:before="0" w:after="0"/>
    </w:pPr>
    <w:rPr>
      <w:rFonts w:ascii="Tahoma" w:eastAsia="Calibri" w:hAnsi="Tahoma" w:cs="Tahoma"/>
      <w:sz w:val="16"/>
      <w:szCs w:val="16"/>
    </w:rPr>
  </w:style>
  <w:style w:type="paragraph" w:styleId="ListParagraph">
    <w:name w:val="List Paragraph"/>
    <w:basedOn w:val="Normal"/>
    <w:uiPriority w:val="34"/>
    <w:qFormat/>
    <w:pPr>
      <w:ind w:left="720"/>
      <w:contextualSpacing/>
    </w:pPr>
    <w:rPr>
      <w:rFonts w:eastAsia="Calibri"/>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D4DAF6-7564-48EC-9267-1507F61F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19</Pages>
  <Words>2927</Words>
  <Characters>17100</Characters>
  <Application>Microsoft Office Word</Application>
  <DocSecurity>0</DocSecurity>
  <Lines>777</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8</cp:revision>
  <cp:lastPrinted>2019-05-24T12:30:00Z</cp:lastPrinted>
  <dcterms:created xsi:type="dcterms:W3CDTF">2019-05-27T06:11:00Z</dcterms:created>
  <dcterms:modified xsi:type="dcterms:W3CDTF">2019-06-04T09:55:00Z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