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90BD7440-FC77-4C2F-A695-49418FA64999" style="width:450.6pt;height:410.1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spacing w:after="360"/>
        <w:rPr>
          <w:noProof/>
        </w:rPr>
      </w:pPr>
      <w:bookmarkStart w:id="0" w:name="_GoBack"/>
      <w:bookmarkEnd w:id="0"/>
      <w:r>
        <w:rPr>
          <w:noProof/>
        </w:rPr>
        <w:lastRenderedPageBreak/>
        <w:t>BIHANG</w:t>
      </w:r>
    </w:p>
    <w:p>
      <w:pPr>
        <w:spacing w:line="360" w:lineRule="auto"/>
        <w:jc w:val="center"/>
        <w:rPr>
          <w:noProof/>
        </w:rPr>
      </w:pPr>
      <w:r>
        <w:rPr>
          <w:noProof/>
        </w:rPr>
        <w:t xml:space="preserve">BESLUT nr 3 AV HANDELSKOMMITTÉN SYDKOREA–EU </w:t>
      </w:r>
    </w:p>
    <w:p>
      <w:pPr>
        <w:spacing w:line="360" w:lineRule="auto"/>
        <w:jc w:val="center"/>
        <w:rPr>
          <w:noProof/>
        </w:rPr>
      </w:pPr>
      <w:r>
        <w:rPr>
          <w:noProof/>
        </w:rPr>
        <w:t>av den xx april 2019</w:t>
      </w:r>
    </w:p>
    <w:p>
      <w:pPr>
        <w:spacing w:line="360" w:lineRule="auto"/>
        <w:jc w:val="center"/>
        <w:rPr>
          <w:noProof/>
        </w:rPr>
      </w:pPr>
      <w:r>
        <w:rPr>
          <w:noProof/>
        </w:rPr>
        <w:t xml:space="preserve">om ändring av tilläggen 2-C-2 och 2-C-3 till bilaga 2-C till frihandelsavtalet mellan Sydkorea och EU </w:t>
      </w:r>
    </w:p>
    <w:p>
      <w:pPr>
        <w:rPr>
          <w:noProof/>
        </w:rPr>
      </w:pPr>
      <w:r>
        <w:rPr>
          <w:noProof/>
        </w:rPr>
        <w:t>HANDELSKOMMITTÉN HAR ANTAGIT DETTA BESLUT</w:t>
      </w:r>
    </w:p>
    <w:p>
      <w:pPr>
        <w:rPr>
          <w:noProof/>
        </w:rPr>
      </w:pPr>
      <w:r>
        <w:rPr>
          <w:noProof/>
        </w:rPr>
        <w:t xml:space="preserve">med beaktande av frihandelsavtalet mellan Europeiska unionen och dess medlemsstater, å ena sidan, och Republiken Korea (nedan kallad </w:t>
      </w:r>
      <w:r>
        <w:rPr>
          <w:i/>
          <w:noProof/>
        </w:rPr>
        <w:t>Sydkorea</w:t>
      </w:r>
      <w:r>
        <w:rPr>
          <w:noProof/>
        </w:rPr>
        <w:t xml:space="preserve">), å andra sidan (nedan kallade </w:t>
      </w:r>
      <w:r>
        <w:rPr>
          <w:i/>
          <w:noProof/>
        </w:rPr>
        <w:t>avtalet</w:t>
      </w:r>
      <w:r>
        <w:rPr>
          <w:noProof/>
        </w:rPr>
        <w:t xml:space="preserve"> respektive </w:t>
      </w:r>
      <w:r>
        <w:rPr>
          <w:i/>
          <w:noProof/>
        </w:rPr>
        <w:t>parterna</w:t>
      </w:r>
      <w:r>
        <w:rPr>
          <w:noProof/>
        </w:rPr>
        <w:t>, särskilt artiklarna 15.1.4 c och 15.5.2 samt artikel 3 d i bilaga 2-C, och</w:t>
      </w:r>
    </w:p>
    <w:p>
      <w:pPr>
        <w:rPr>
          <w:noProof/>
        </w:rPr>
      </w:pPr>
      <w:r>
        <w:rPr>
          <w:noProof/>
        </w:rPr>
        <w:t>av följande skäl:</w:t>
      </w:r>
    </w:p>
    <w:p>
      <w:pPr>
        <w:pStyle w:val="Point0"/>
        <w:rPr>
          <w:noProof/>
        </w:rPr>
      </w:pPr>
      <w:r>
        <w:rPr>
          <w:noProof/>
        </w:rPr>
        <w:t>(1)</w:t>
      </w:r>
      <w:r>
        <w:rPr>
          <w:noProof/>
        </w:rPr>
        <w:tab/>
        <w:t xml:space="preserve">I enlighet med artikel 15.1.4 c i avtalet får den handelskommitté som inrättats av parterna överväga ändringar av avtalet eller ändra bestämmelser i avtalet i de fall som särskilt föreskrivs i avtalet. </w:t>
      </w:r>
    </w:p>
    <w:p>
      <w:pPr>
        <w:pStyle w:val="Point0"/>
        <w:rPr>
          <w:noProof/>
        </w:rPr>
      </w:pPr>
      <w:r>
        <w:rPr>
          <w:noProof/>
        </w:rPr>
        <w:t>(2)</w:t>
      </w:r>
      <w:r>
        <w:rPr>
          <w:noProof/>
        </w:rPr>
        <w:tab/>
        <w:t xml:space="preserve">I artikel 15.5.2 i avtalet anges att parterna i handelskommittén får ändra bilagorna, tilläggen, protokollen och anmärkningarna till avtalet genom ett beslut som antas i enlighet med parternas respektive tillämpliga rättsliga krav och förfaranden. </w:t>
      </w:r>
    </w:p>
    <w:p>
      <w:pPr>
        <w:pStyle w:val="Point0"/>
        <w:rPr>
          <w:noProof/>
        </w:rPr>
      </w:pPr>
      <w:r>
        <w:rPr>
          <w:noProof/>
        </w:rPr>
        <w:t>(3)</w:t>
      </w:r>
      <w:r>
        <w:rPr>
          <w:noProof/>
        </w:rPr>
        <w:tab/>
        <w:t>Enligt artikel 3 d i bilaga 2-C till avtalet ska parterna minst vart tredje år efter avtalets ikraftträdande se över tilläggen 2-C-2 och 2-C-3 till bilaga 2-C i syfte att utöka godtagandet av produkter i enlighet med led a i samma artikel, med hänsyn till eventuella ändringar i föreskrifterna på det internationella planet eller i parterna. I artikel 3 d anges också att det är handelskommittén som ska besluta om alla ändringar i tilläggen 2-C-2 och 2-C-3.</w:t>
      </w:r>
    </w:p>
    <w:p>
      <w:pPr>
        <w:pStyle w:val="Point0"/>
        <w:rPr>
          <w:noProof/>
        </w:rPr>
      </w:pPr>
      <w:r>
        <w:rPr>
          <w:noProof/>
        </w:rPr>
        <w:t>(4)</w:t>
      </w:r>
      <w:r>
        <w:rPr>
          <w:noProof/>
        </w:rPr>
        <w:tab/>
        <w:t>Sydkorea och EU har ändrat sina tekniska föreskrifter i syfte att upprätthålla samma grad av marknadstillträde som fastställs i artikel 1.2 i bilaga 2-C till avtalet. Hänvisningarna till ”Unece” i tilläggen 2-C-2 och 2-C-3 bör vidare nu läsas som hänvisningar till ”FN-föreskrift” enligt överenskommelsen om antagande av enhetliga tekniska föreskrifter för hjulförsedda fordon och för utrustning och delar som kan monteras eller användas på hjulförsett fordon samt om villkoren för ömsesidigt erkännande av typgodkännanden utfärdade på grundval av dessa föreskrifter från Förenta nationerna (Revision 3)</w:t>
      </w:r>
      <w:r>
        <w:rPr>
          <w:rStyle w:val="FootnoteReference"/>
          <w:noProof/>
        </w:rPr>
        <w:footnoteReference w:id="1"/>
      </w:r>
      <w:r>
        <w:rPr>
          <w:noProof/>
        </w:rPr>
        <w:t xml:space="preserve"> av den 20 oktober 2017.</w:t>
      </w:r>
    </w:p>
    <w:p>
      <w:pPr>
        <w:pStyle w:val="Point0"/>
        <w:rPr>
          <w:noProof/>
        </w:rPr>
      </w:pPr>
      <w:r>
        <w:rPr>
          <w:noProof/>
        </w:rPr>
        <w:t>(5)</w:t>
      </w:r>
      <w:r>
        <w:rPr>
          <w:noProof/>
        </w:rPr>
        <w:tab/>
        <w:t xml:space="preserve">Tabell 1 i tillägg 2-C-2 har ändrats på följande sätt: </w:t>
      </w:r>
    </w:p>
    <w:p>
      <w:pPr>
        <w:pStyle w:val="Point1"/>
        <w:rPr>
          <w:noProof/>
        </w:rPr>
      </w:pPr>
      <w:r>
        <w:rPr>
          <w:noProof/>
        </w:rPr>
        <w:t>a)</w:t>
      </w:r>
      <w:r>
        <w:rPr>
          <w:noProof/>
        </w:rPr>
        <w:tab/>
        <w:t xml:space="preserve">Eftersom FN-föreskrifter måste tillämpas i EU har av förenklingsskäl hänvisningarna till EU-förordningar (till exempel förordningen om allmän säkerhet) och EU-direktiv i kolumnen ”EU:s motsvarande tekniska föreskrifter” strukits och kolumnen ofta lämnats tom. </w:t>
      </w:r>
    </w:p>
    <w:p>
      <w:pPr>
        <w:pStyle w:val="Point1"/>
        <w:rPr>
          <w:noProof/>
        </w:rPr>
      </w:pPr>
      <w:r>
        <w:rPr>
          <w:noProof/>
        </w:rPr>
        <w:t>b)</w:t>
      </w:r>
      <w:r>
        <w:rPr>
          <w:noProof/>
        </w:rPr>
        <w:tab/>
        <w:t>Om det dock inte finns några tillämpliga FN-föreskrifter eller om tillämpningsområdet för FN-föreskrifterna är otillräckligt, som exempelvis i fallet med ”Tillåten ljudnivå”, ersätter EU-förordningar eller EU-direktiv FN-föreskrifterna eller kompletterar dem. Av detta skäl har uppgiften ”om sådana finns” införts i rubriken för kolumnen ”EU:s motsvarande tekniska föreskrifter”.</w:t>
      </w:r>
    </w:p>
    <w:p>
      <w:pPr>
        <w:pStyle w:val="Point1"/>
        <w:rPr>
          <w:noProof/>
        </w:rPr>
      </w:pPr>
      <w:r>
        <w:rPr>
          <w:noProof/>
        </w:rPr>
        <w:t>c) När det gäller ”Tillåten ljudnivå” och ”Reservljuddämparsystem” har förordning (EU) nr 540/2014 lagts till i kolumnen ”EU:s motsvarande tekniska föreskrifter”, eftersom den upphäver direktiv 70/157/EEG och ska börja tillämpas i olika faser.</w:t>
      </w:r>
    </w:p>
    <w:p>
      <w:pPr>
        <w:pStyle w:val="Point1"/>
        <w:rPr>
          <w:noProof/>
        </w:rPr>
      </w:pPr>
      <w:r>
        <w:rPr>
          <w:noProof/>
        </w:rPr>
        <w:t>d)</w:t>
      </w:r>
      <w:r>
        <w:rPr>
          <w:noProof/>
        </w:rPr>
        <w:tab/>
        <w:t>Ämnet ”Utsläpp” har ersatts med ”Utsläppssnåla fordon” eftersom kraven enligt FN-föreskrift 83 bara gäller fordon i kategorierna M1 och N1. Hänvisningen till ”Direktiv 70/220/EEG” har vidare strukits eftersom direktivet har upphört att gälla och ersatts med förordningarna (EG) nr 715/2007, (EG) nr 692/2008, (EU) nr 459/2012, (EU) 2016/427, (EU) 2016/646, (EU) 2017/1151, (EU) 2017/1154 och (EU) 2018/1832, vilka har lagts till i kolumnen ”EU:s motsvarande tekniska föreskrifter”.</w:t>
      </w:r>
    </w:p>
    <w:p>
      <w:pPr>
        <w:pStyle w:val="Point1"/>
        <w:rPr>
          <w:noProof/>
        </w:rPr>
      </w:pPr>
      <w:r>
        <w:rPr>
          <w:noProof/>
        </w:rPr>
        <w:t>e)</w:t>
      </w:r>
      <w:r>
        <w:rPr>
          <w:noProof/>
        </w:rPr>
        <w:tab/>
        <w:t xml:space="preserve">När det gäller ”Ersättningskatalysatorer” har hänvisningen till ”Direktiv 70/220/EEG” strukits eftersom direktivet har upphört att gälla och ersatts med förordningarna (EG) nr 715/2007 och (EG) nr 692/2008, vilka har lagts till i kolumnen ”EU:s motsvarande tekniska föreskrifter”. </w:t>
      </w:r>
    </w:p>
    <w:p>
      <w:pPr>
        <w:pStyle w:val="Point1"/>
        <w:rPr>
          <w:noProof/>
        </w:rPr>
      </w:pPr>
      <w:r>
        <w:rPr>
          <w:noProof/>
        </w:rPr>
        <w:t>f)</w:t>
      </w:r>
      <w:r>
        <w:rPr>
          <w:noProof/>
        </w:rPr>
        <w:tab/>
        <w:t xml:space="preserve">Några ämnen har för tydlighetens skull bytt namn, exempelvis från ”Bromsutrustning” och ”Bromsutrustning” till ”Bromsutrustning på tunga fordon” och ”Bromsutrustning på lätta fordon”. </w:t>
      </w:r>
    </w:p>
    <w:p>
      <w:pPr>
        <w:pStyle w:val="Point1"/>
        <w:rPr>
          <w:noProof/>
        </w:rPr>
      </w:pPr>
      <w:r>
        <w:rPr>
          <w:noProof/>
        </w:rPr>
        <w:t>g)</w:t>
      </w:r>
      <w:r>
        <w:rPr>
          <w:noProof/>
        </w:rPr>
        <w:tab/>
        <w:t xml:space="preserve">När det gäller ”Föroreningar från dieselmotorer” har hänvisningen till ”Direktiv 72/306/EEG” strukits eftersom direktivet har ersatts med ”Förordning (EG) nr 692/2008”, som har lagts till i tabell 1 i kolumnen ”EU:s motsvarande tekniska föreskrifter”. </w:t>
      </w:r>
    </w:p>
    <w:p>
      <w:pPr>
        <w:pStyle w:val="Point1"/>
        <w:rPr>
          <w:noProof/>
        </w:rPr>
      </w:pPr>
      <w:r>
        <w:rPr>
          <w:noProof/>
        </w:rPr>
        <w:t>h)</w:t>
      </w:r>
      <w:r>
        <w:rPr>
          <w:noProof/>
        </w:rPr>
        <w:tab/>
        <w:t xml:space="preserve">När det gäller ”Koldioxidutsläpp/bränsleförbrukning” har hänvisningen till ”Direktiv 80/1268/EEG” ersatts med ”Förordning (EG) nr 692/2008”, som har lagts till i tabell 1 i kolumnen ”EU:s motsvarande tekniska föreskrifter”, och ämnet är nu ”Koldioxidutsläpp – Bränsleförbrukning: personbilar med högst åtta säten utöver förarsätet”, för att följa förordningens tillämpningsområde. </w:t>
      </w:r>
    </w:p>
    <w:p>
      <w:pPr>
        <w:pStyle w:val="Point1"/>
        <w:rPr>
          <w:noProof/>
        </w:rPr>
      </w:pPr>
      <w:r>
        <w:rPr>
          <w:noProof/>
        </w:rPr>
        <w:t>i)</w:t>
      </w:r>
      <w:r>
        <w:rPr>
          <w:noProof/>
        </w:rPr>
        <w:tab/>
        <w:t>När det gäller ”Motoreffekt” har hänvisningen till ”Direktiv 80/1269/EEG” strukits eftersom direktivet har ersatts med förordningarna (EG) nr 692/2008 och (EU) nr 582/2011”, vilka har lagts till i tabell 1 i kolumnen ”EU:s motsvarande tekniska föreskrifter”.</w:t>
      </w:r>
    </w:p>
    <w:p>
      <w:pPr>
        <w:pStyle w:val="Point1"/>
        <w:rPr>
          <w:noProof/>
        </w:rPr>
      </w:pPr>
      <w:r>
        <w:rPr>
          <w:noProof/>
        </w:rPr>
        <w:t>j)</w:t>
      </w:r>
      <w:r>
        <w:rPr>
          <w:noProof/>
        </w:rPr>
        <w:tab/>
        <w:t>När det gäller ”Utsläpp (Euro 4 och 5) från tunga fordon” har ”Direktiv 2005/55/EG” ersatts med förordningarna (EG) nr 595/2009, (EU) nr 582/2011 och (EU) 2016/1718”, vilka har lagts till i tabell 1 i kolumnen ”EU:s motsvarande tekniska föreskrifter”. Ämnet har bytt namn till ”Utsläpp från tunga fordon” eftersom FN-föreskrift 49 gäller för tunga fordon (dvs. fordon med en referensvikt på över 2 610 kg).</w:t>
      </w:r>
    </w:p>
    <w:p>
      <w:pPr>
        <w:pStyle w:val="Point0"/>
        <w:rPr>
          <w:noProof/>
        </w:rPr>
      </w:pPr>
      <w:r>
        <w:rPr>
          <w:noProof/>
        </w:rPr>
        <w:t>(6)</w:t>
      </w:r>
      <w:r>
        <w:rPr>
          <w:noProof/>
        </w:rPr>
        <w:tab/>
        <w:t xml:space="preserve">Tabell 2 i tillägg 2-C-2 ändras inte. </w:t>
      </w:r>
    </w:p>
    <w:p>
      <w:pPr>
        <w:pStyle w:val="Point0"/>
        <w:rPr>
          <w:noProof/>
        </w:rPr>
      </w:pPr>
      <w:r>
        <w:rPr>
          <w:noProof/>
        </w:rPr>
        <w:t>(7)</w:t>
      </w:r>
      <w:r>
        <w:rPr>
          <w:noProof/>
        </w:rPr>
        <w:tab/>
        <w:t>Tabell 1 i tillägg 2-C-3 har ändrats på följande sätt:</w:t>
      </w:r>
    </w:p>
    <w:p>
      <w:pPr>
        <w:pStyle w:val="Point1"/>
        <w:rPr>
          <w:noProof/>
        </w:rPr>
      </w:pPr>
      <w:r>
        <w:rPr>
          <w:noProof/>
        </w:rPr>
        <w:t>a) När det gäller ’’Passagerarskydd vid kollision” – ”Frontalkollision’’ har ”KMVSS, artikel 102 punkterna 1 och 3” ersatt hänvisningen till ”KMVSS, artikel 102” i kolumnen ”Motsvarande koreanska tekniska föreskrifter”, till följd av en översyn av KMVSS.</w:t>
      </w:r>
    </w:p>
    <w:p>
      <w:pPr>
        <w:pStyle w:val="Point1"/>
        <w:rPr>
          <w:noProof/>
        </w:rPr>
      </w:pPr>
      <w:r>
        <w:rPr>
          <w:noProof/>
        </w:rPr>
        <w:t>b)</w:t>
      </w:r>
      <w:r>
        <w:rPr>
          <w:noProof/>
        </w:rPr>
        <w:tab/>
        <w:t>När det gäller ’’Passagerarskydd vid kollision” – ”Sidokollision’’ har ”KMVSS, artikel 102 punkt 1” ersatt hänvisningen till ”KMVSS, artikel 102” i kolumnen ”Motsvarande koreanska tekniska föreskrifter”, till följd av en översyn av KMVSS.</w:t>
      </w:r>
    </w:p>
    <w:p>
      <w:pPr>
        <w:pStyle w:val="Point1"/>
        <w:rPr>
          <w:noProof/>
        </w:rPr>
      </w:pPr>
      <w:r>
        <w:rPr>
          <w:noProof/>
        </w:rPr>
        <w:t>c)</w:t>
      </w:r>
      <w:r>
        <w:rPr>
          <w:noProof/>
        </w:rPr>
        <w:tab/>
        <w:t>Hela raden för ”Draganordning” har ersatts. Begreppet ”Draganordning” har ersatts med ”Bogseringsanordningar”, eftersom det är det officiella begrepp som används i förordning (EU) nr 1005/2010. Dessutom anges kraven för ”Bogseringsanordningar” nu i ”Förordning (EU) nr 1005/2010” och inte i direktiv ”77/389/EEG”. Slutligen hänvisar de motsvarande koreanska tekniska föreskrifterna nu till ”KMVSS, artikel 20.1” som ersätter den tidigare hänvisningen till ”KMVSS, artikel 20.1, 20.2, och 20.4”.</w:t>
      </w:r>
    </w:p>
    <w:p>
      <w:pPr>
        <w:pStyle w:val="Point1"/>
        <w:rPr>
          <w:noProof/>
        </w:rPr>
      </w:pPr>
      <w:r>
        <w:rPr>
          <w:noProof/>
        </w:rPr>
        <w:t>d)</w:t>
      </w:r>
      <w:r>
        <w:rPr>
          <w:noProof/>
        </w:rPr>
        <w:tab/>
        <w:t>När det gäller ”Belysnings- och ljussignalanordningar” har artikel 106.1–106.10 i KMVSS strukits från motsvarande koreanska tekniska föreskrifter i fråga om ”Strålkastare”, ”Dimstrålkastare”, ”Backningsstrålkastare”, ”Markeringslyktor”, ”Skyltlyktor”, ”Baklyktor”, ”Stopplyktor”, ”Stopplyktor, monterade högt upp i mitten”, ”Körriktningsvisare”, ”Extra körriktningsvisare” och ”Dimbaklyktor”, till följd av en översyn av KMVSS.</w:t>
      </w:r>
    </w:p>
    <w:p>
      <w:pPr>
        <w:pStyle w:val="Point1"/>
        <w:rPr>
          <w:noProof/>
        </w:rPr>
      </w:pPr>
      <w:r>
        <w:rPr>
          <w:noProof/>
        </w:rPr>
        <w:t>e)</w:t>
      </w:r>
      <w:r>
        <w:rPr>
          <w:noProof/>
        </w:rPr>
        <w:tab/>
        <w:t>När det gäller ”Belysnings- och ljussignalanordningar” – ”Montering” hänvisar kolumnen för motsvarande koreanska tekniska föreskrifter nu till ”KMVSS, artiklarna 38, 38-2, 38-3, 38-4, 38-5, 39, 40, 41, 42, 43, 44, 44-2, 45, 45-2, 47 och 49” i stället för ”KMVSS, artiklarna 38, 39, 40, 41, 42, 43, 44, 45 och 47”. Detta beror på en översyn av KMVSS.</w:t>
      </w:r>
    </w:p>
    <w:p>
      <w:pPr>
        <w:pStyle w:val="Point1"/>
        <w:rPr>
          <w:noProof/>
        </w:rPr>
      </w:pPr>
      <w:r>
        <w:rPr>
          <w:noProof/>
        </w:rPr>
        <w:t>f)</w:t>
      </w:r>
      <w:r>
        <w:rPr>
          <w:noProof/>
        </w:rPr>
        <w:tab/>
        <w:t>När det gäller ”Belysnings- och ljussignalanordningar” har ”Varsellyktor” och ”Kurvtagningslyktor” lagts till i tabellen, till följd av en översyn av KMVSS och för att återspegla de uppdaterade monteringskraven i fråga om ”Belysnings- och ljussignalanordningar”.</w:t>
      </w:r>
    </w:p>
    <w:p>
      <w:pPr>
        <w:pStyle w:val="Point1"/>
        <w:rPr>
          <w:noProof/>
        </w:rPr>
      </w:pPr>
      <w:r>
        <w:rPr>
          <w:noProof/>
        </w:rPr>
        <w:t>g)</w:t>
      </w:r>
      <w:r>
        <w:rPr>
          <w:noProof/>
        </w:rPr>
        <w:tab/>
        <w:t>När det gäller ”Belysnings- och ljussignalanordningar” – ”Stopplyktor, monterade högt upp i mitten” hänvisar kolumnen för motsvarande koreanska tekniska föreskrifter nu till ”KMVSS, artikel 43.2”, eftersom hänvisningen till artiklarna 43.3 och 106.8 i KMVSS har strukits.</w:t>
      </w:r>
    </w:p>
    <w:p>
      <w:pPr>
        <w:pStyle w:val="Point1"/>
        <w:rPr>
          <w:noProof/>
        </w:rPr>
      </w:pPr>
      <w:r>
        <w:rPr>
          <w:noProof/>
        </w:rPr>
        <w:t>h)</w:t>
      </w:r>
      <w:r>
        <w:rPr>
          <w:noProof/>
        </w:rPr>
        <w:tab/>
        <w:t>När det gäller ”Belysnings- och ljussignalanordningar” har ”Sidomarkeringslyktor” lagts till i tabellen, till följd av en översyn av KMVSS och för att återspegla de uppdaterade monteringskraven i fråga om ”Belysnings- och ljussignalanordningar”.</w:t>
      </w:r>
    </w:p>
    <w:p>
      <w:pPr>
        <w:pStyle w:val="Point1"/>
        <w:rPr>
          <w:noProof/>
        </w:rPr>
      </w:pPr>
      <w:r>
        <w:rPr>
          <w:noProof/>
        </w:rPr>
        <w:t>i)</w:t>
      </w:r>
      <w:r>
        <w:rPr>
          <w:noProof/>
        </w:rPr>
        <w:tab/>
        <w:t xml:space="preserve">När det gäller ”Belysnings- och ljussignalanordningar” – ”Reflexanordningar” hänvisar kolumnen för motsvarande koreanska tekniska föreskrifter nu till ”KMVSS, artikel 49” i stället för ”KMVSS, artiklarna 49.1, 49.2 och 107”. Detta beror på en översyn av KMVSS. </w:t>
      </w:r>
    </w:p>
    <w:p>
      <w:pPr>
        <w:pStyle w:val="Point1"/>
        <w:rPr>
          <w:noProof/>
        </w:rPr>
      </w:pPr>
      <w:r>
        <w:rPr>
          <w:noProof/>
        </w:rPr>
        <w:t>j)</w:t>
      </w:r>
      <w:r>
        <w:rPr>
          <w:noProof/>
        </w:rPr>
        <w:tab/>
        <w:t>När det gäller ”Motoreffekt” hänvisar kolumnen för motsvarande koreanska tekniska föreskrifter nu till ”KMVSS, artikel 111” i stället för ”KMVSS, artiklarna 11.1.2 och 111”. Detta beror på en översyn av KMVSS.</w:t>
      </w:r>
    </w:p>
    <w:p>
      <w:pPr>
        <w:pStyle w:val="Point1"/>
        <w:rPr>
          <w:noProof/>
        </w:rPr>
      </w:pPr>
      <w:r>
        <w:rPr>
          <w:noProof/>
        </w:rPr>
        <w:t>k)</w:t>
      </w:r>
      <w:r>
        <w:rPr>
          <w:noProof/>
        </w:rPr>
        <w:tab/>
        <w:t>När det gäller ”Anordningar för att säkra förarens sikt” har hänvisningarna i kolumnen ”Krav” till ”78/318/EEG” och ”78/317/EEG” strukits, eftersom direktiven har upphört att gälla och ersatts med ”Förordning (EU) nr 1008/2010” eller ”Förordning (EU) nr 672/2010”. Motsvarande koreanska tekniska föreskrifter ändras inte.</w:t>
      </w:r>
    </w:p>
    <w:p>
      <w:pPr>
        <w:pStyle w:val="Point1"/>
        <w:rPr>
          <w:noProof/>
        </w:rPr>
      </w:pPr>
      <w:r>
        <w:rPr>
          <w:noProof/>
        </w:rPr>
        <w:t>l)</w:t>
      </w:r>
      <w:r>
        <w:rPr>
          <w:noProof/>
        </w:rPr>
        <w:tab/>
        <w:t xml:space="preserve">När det gäller ”Säkerhetsbältenas förankringar” hänvisar kolumnen för motsvarande koreanska tekniska föreskrifter nu till ”KMVSS, artikel 27.1–27.4; artikel 103” i stället för ”KMVSS, artiklarna 27.1, 27.2, 27.3, 27.4, 27.5 och 103.1, 103.2, 103.3”. Detta beror på en översyn av KMVSS. </w:t>
      </w:r>
    </w:p>
    <w:p>
      <w:pPr>
        <w:pStyle w:val="Point1"/>
        <w:rPr>
          <w:noProof/>
        </w:rPr>
      </w:pPr>
      <w:r>
        <w:rPr>
          <w:noProof/>
        </w:rPr>
        <w:t>m)</w:t>
      </w:r>
      <w:r>
        <w:rPr>
          <w:noProof/>
        </w:rPr>
        <w:tab/>
        <w:t>När det gäller ”Utsläpp och buller (utom buller från förbipasserande fordon med tre eller fyra hjul) för motorcyklar” har hänvisningarna i kolumnen ”Krav” till bland annat ”Direktiven 2002/51/EG, 2003/77/EG, 97/24/EG, kapitlen 5 och 9” strukits, eftersom dessa direktiv har upphört att gälla och ersatts med bland annat ”Förordningar (EU) nr 168/2013 och (EU) nr 134/2014”. Motsvarande koreanska tekniska föreskrifter ändras inte.</w:t>
      </w:r>
    </w:p>
    <w:p>
      <w:pPr>
        <w:pStyle w:val="Point1"/>
        <w:rPr>
          <w:noProof/>
        </w:rPr>
      </w:pPr>
      <w:r>
        <w:rPr>
          <w:noProof/>
        </w:rPr>
        <w:t>n)</w:t>
      </w:r>
      <w:r>
        <w:rPr>
          <w:noProof/>
        </w:rPr>
        <w:tab/>
        <w:t>När det gäller ”Utsläpp från dieselmotorer (inkl. OBD)” – ”Fordon &lt; 3,5 ton” har i kolumnen ”Krav” hänvisningar till ”Förordningar (EG) nr 715/2007” och ”(EU) nr 459/2012” lagts till, eftersom dessa akter är de tillämpliga föreskrifter som motsvarar KMVSS. Motsvarande koreanska tekniska föreskrifter ändras inte.</w:t>
      </w:r>
    </w:p>
    <w:p>
      <w:pPr>
        <w:pStyle w:val="Point1"/>
        <w:rPr>
          <w:noProof/>
        </w:rPr>
      </w:pPr>
      <w:r>
        <w:rPr>
          <w:noProof/>
        </w:rPr>
        <w:t>o)</w:t>
      </w:r>
      <w:r>
        <w:rPr>
          <w:noProof/>
        </w:rPr>
        <w:tab/>
        <w:t>När det gäller ”Utsläpp från dieselmotorer (inkl. OBD)” – ”Fordon &gt; 3,5 ton” har hänvisningen i kolumnen ”Krav” till bland annat ”Förordning (EG) nr 692/2008” strukits och ersatts med bland annat ”Förordningar (EG) nr 595/2009, (EU) nr 582/2011”, eftersom ”Förordning (EG) nr 692/2008” inte behandlar tunga fordon. Motsvarande koreanska tekniska föreskrifter ändras inte.</w:t>
      </w:r>
    </w:p>
    <w:p>
      <w:pPr>
        <w:pStyle w:val="Point1"/>
        <w:rPr>
          <w:noProof/>
        </w:rPr>
      </w:pPr>
      <w:r>
        <w:rPr>
          <w:noProof/>
        </w:rPr>
        <w:t>p)</w:t>
      </w:r>
      <w:r>
        <w:rPr>
          <w:noProof/>
        </w:rPr>
        <w:tab/>
        <w:t>När det gäller ”Däck” hänvisar motsvarande koreanska tekniska föreskrifter nu till ”Lagen om kontroll av elektriska apparaters och konsumentprodukters säkerhet, artiklarna 15, 18 och 19; tillämpningsföreskrifter för lagen om kontroll av elektriska apparaters och konsumentprodukters säkerhet, artiklarna 3.4 och 26; KMVSS, artikel 12.1” i stället för ”Lagen om kvalitetsledning, säkerhet och kontroll för industriprodukter (QMSCIPA), artiklarna 19, 20 och 21, tillämpningsföreskrifterna för QMSCIPA, artiklarna 2.2 och 19”. Detta beror på att QMSCIPA har ersatts med ”Lagen om kontroll av elektriska apparaters och konsumentprodukters säkerhet”.</w:t>
      </w:r>
    </w:p>
    <w:p>
      <w:pPr>
        <w:pStyle w:val="Point0"/>
        <w:rPr>
          <w:noProof/>
        </w:rPr>
      </w:pPr>
      <w:r>
        <w:rPr>
          <w:noProof/>
        </w:rPr>
        <w:t>(8)</w:t>
      </w:r>
      <w:r>
        <w:rPr>
          <w:noProof/>
        </w:rPr>
        <w:tab/>
        <w:t xml:space="preserve">Tabell 2 i tillägg 2-C-3 ändras inte. </w:t>
      </w:r>
    </w:p>
    <w:p>
      <w:pPr>
        <w:pStyle w:val="Point0"/>
        <w:rPr>
          <w:noProof/>
        </w:rPr>
      </w:pPr>
      <w:r>
        <w:rPr>
          <w:noProof/>
        </w:rPr>
        <w:t>(9)</w:t>
      </w:r>
      <w:r>
        <w:rPr>
          <w:noProof/>
        </w:rPr>
        <w:tab/>
        <w:t>Enligt artikel 12.2 i bilagan till beslut nr 1 av handelskommittén Sydkorea–EU av den 23 december 2011 om antagande av handelskommitténs arbetsordning får kommittén mellan sammanträdena anta beslut genom ett skriftligt förfarande, om båda parterna är överens om det. Det skriftliga förfarandet ska utgöras av en notväxling mellan ordförandena i handelskommittén.</w:t>
      </w:r>
    </w:p>
    <w:p>
      <w:pPr>
        <w:spacing w:line="276" w:lineRule="auto"/>
        <w:rPr>
          <w:noProof/>
        </w:rPr>
      </w:pPr>
      <w:r>
        <w:rPr>
          <w:noProof/>
        </w:rPr>
        <w:t>HÄRIGENOM FÖRESKRIVS FÖLJANDE.</w:t>
      </w:r>
    </w:p>
    <w:p>
      <w:pPr>
        <w:spacing w:line="276" w:lineRule="auto"/>
        <w:jc w:val="center"/>
        <w:rPr>
          <w:i/>
          <w:noProof/>
        </w:rPr>
      </w:pPr>
      <w:r>
        <w:rPr>
          <w:i/>
          <w:noProof/>
        </w:rPr>
        <w:t>Artikel 1</w:t>
      </w:r>
    </w:p>
    <w:p>
      <w:pPr>
        <w:rPr>
          <w:noProof/>
        </w:rPr>
      </w:pPr>
      <w:r>
        <w:rPr>
          <w:noProof/>
        </w:rPr>
        <w:t>Tabell 1 i tillägg 2-C-2 till bilaga 2-C till avtalet ska ersättas med tabell 1 i bilaga 1 till detta beslut.</w:t>
      </w:r>
    </w:p>
    <w:p>
      <w:pPr>
        <w:spacing w:line="276" w:lineRule="auto"/>
        <w:jc w:val="center"/>
        <w:rPr>
          <w:i/>
          <w:noProof/>
        </w:rPr>
      </w:pPr>
      <w:r>
        <w:rPr>
          <w:i/>
          <w:noProof/>
        </w:rPr>
        <w:t>Artikel 2</w:t>
      </w:r>
    </w:p>
    <w:p>
      <w:pPr>
        <w:rPr>
          <w:noProof/>
        </w:rPr>
      </w:pPr>
      <w:r>
        <w:rPr>
          <w:noProof/>
        </w:rPr>
        <w:t xml:space="preserve">Tabell 1 i tillägg 2-C-3 till bilaga 2-C till avtalet ska ersättas med tabell 1 i bilaga 2 till detta beslut. </w:t>
      </w:r>
    </w:p>
    <w:p>
      <w:pPr>
        <w:spacing w:line="276" w:lineRule="auto"/>
        <w:jc w:val="center"/>
        <w:rPr>
          <w:i/>
          <w:noProof/>
        </w:rPr>
      </w:pPr>
      <w:r>
        <w:rPr>
          <w:i/>
          <w:noProof/>
        </w:rPr>
        <w:t>Artikel 3</w:t>
      </w:r>
    </w:p>
    <w:p>
      <w:pPr>
        <w:spacing w:after="480"/>
        <w:rPr>
          <w:noProof/>
        </w:rPr>
      </w:pPr>
      <w:r>
        <w:rPr>
          <w:noProof/>
        </w:rPr>
        <w:t>Detta beslut träder i kraft den första dagen i månaden efter den dag då parterna till varandra skriftligen anmäler genom diplomatiska kanaler att de har iakttagit alla sina respektive tillämpliga rättsliga krav och förfaranden som krävs för dess ikraftträdande.</w:t>
      </w:r>
    </w:p>
    <w:tbl>
      <w:tblPr>
        <w:tblW w:w="0" w:type="auto"/>
        <w:tblLook w:val="04A0" w:firstRow="1" w:lastRow="0" w:firstColumn="1" w:lastColumn="0" w:noHBand="0" w:noVBand="1"/>
      </w:tblPr>
      <w:tblGrid>
        <w:gridCol w:w="4379"/>
        <w:gridCol w:w="38"/>
        <w:gridCol w:w="4341"/>
        <w:gridCol w:w="76"/>
      </w:tblGrid>
      <w:tr>
        <w:trPr>
          <w:gridAfter w:val="1"/>
          <w:wAfter w:w="76" w:type="dxa"/>
        </w:trPr>
        <w:tc>
          <w:tcPr>
            <w:tcW w:w="4379" w:type="dxa"/>
          </w:tcPr>
          <w:p>
            <w:pPr>
              <w:rPr>
                <w:noProof/>
              </w:rPr>
            </w:pPr>
            <w:r>
              <w:rPr>
                <w:noProof/>
              </w:rPr>
              <w:t xml:space="preserve">För handelskommittén </w:t>
            </w:r>
          </w:p>
        </w:tc>
        <w:tc>
          <w:tcPr>
            <w:tcW w:w="4379" w:type="dxa"/>
            <w:gridSpan w:val="2"/>
          </w:tcPr>
          <w:p>
            <w:pPr>
              <w:rPr>
                <w:noProof/>
              </w:rPr>
            </w:pPr>
          </w:p>
        </w:tc>
      </w:tr>
      <w:tr>
        <w:trPr>
          <w:gridAfter w:val="1"/>
          <w:wAfter w:w="76" w:type="dxa"/>
        </w:trPr>
        <w:tc>
          <w:tcPr>
            <w:tcW w:w="4379" w:type="dxa"/>
          </w:tcPr>
          <w:p>
            <w:pPr>
              <w:jc w:val="left"/>
              <w:rPr>
                <w:noProof/>
              </w:rPr>
            </w:pPr>
            <w:r>
              <w:rPr>
                <w:noProof/>
              </w:rPr>
              <w:t>Yoo Myung-hee</w:t>
            </w:r>
          </w:p>
          <w:p>
            <w:pPr>
              <w:jc w:val="left"/>
              <w:rPr>
                <w:noProof/>
              </w:rPr>
            </w:pPr>
            <w:r>
              <w:rPr>
                <w:noProof/>
              </w:rPr>
              <w:t>Handelsminister</w:t>
            </w:r>
          </w:p>
          <w:p>
            <w:pPr>
              <w:rPr>
                <w:noProof/>
              </w:rPr>
            </w:pPr>
            <w:r>
              <w:rPr>
                <w:noProof/>
              </w:rPr>
              <w:t>Ministeriet för handel, industri och energi i Republiken Korea</w:t>
            </w:r>
          </w:p>
        </w:tc>
        <w:tc>
          <w:tcPr>
            <w:tcW w:w="4379" w:type="dxa"/>
            <w:gridSpan w:val="2"/>
          </w:tcPr>
          <w:p>
            <w:pPr>
              <w:jc w:val="left"/>
              <w:rPr>
                <w:noProof/>
              </w:rPr>
            </w:pPr>
            <w:r>
              <w:rPr>
                <w:noProof/>
              </w:rPr>
              <w:t>Cecilia MALMSTRÖM</w:t>
            </w:r>
          </w:p>
          <w:p>
            <w:pPr>
              <w:jc w:val="left"/>
              <w:rPr>
                <w:noProof/>
              </w:rPr>
            </w:pPr>
            <w:r>
              <w:rPr>
                <w:noProof/>
              </w:rPr>
              <w:t>Ledamot av Europeiska kommissionen med ansvar för handel</w:t>
            </w:r>
          </w:p>
          <w:p>
            <w:pPr>
              <w:rPr>
                <w:noProof/>
              </w:rPr>
            </w:pPr>
          </w:p>
        </w:tc>
      </w:tr>
      <w:tr>
        <w:tblPrEx>
          <w:tblLook w:val="01E0" w:firstRow="1" w:lastRow="1" w:firstColumn="1" w:lastColumn="1" w:noHBand="0" w:noVBand="0"/>
        </w:tblPrEx>
        <w:tc>
          <w:tcPr>
            <w:tcW w:w="4417" w:type="dxa"/>
            <w:gridSpan w:val="2"/>
            <w:shd w:val="clear" w:color="auto" w:fill="auto"/>
          </w:tcPr>
          <w:p>
            <w:pPr>
              <w:spacing w:before="0" w:after="0" w:line="276" w:lineRule="auto"/>
              <w:rPr>
                <w:noProof/>
              </w:rPr>
            </w:pPr>
          </w:p>
        </w:tc>
        <w:tc>
          <w:tcPr>
            <w:tcW w:w="4417" w:type="dxa"/>
            <w:gridSpan w:val="2"/>
            <w:shd w:val="clear" w:color="auto" w:fill="auto"/>
          </w:tcPr>
          <w:p>
            <w:pPr>
              <w:spacing w:before="0" w:after="0" w:line="276" w:lineRule="auto"/>
              <w:rPr>
                <w:noProof/>
              </w:rPr>
            </w:pPr>
          </w:p>
        </w:tc>
      </w:tr>
    </w:tbl>
    <w:p>
      <w:pPr>
        <w:spacing w:before="0" w:after="200" w:line="276" w:lineRule="auto"/>
        <w:jc w:val="left"/>
        <w:rPr>
          <w:noProof/>
        </w:rPr>
        <w:sectPr>
          <w:footerReference w:type="default" r:id="rId16"/>
          <w:footerReference w:type="first" r:id="rId17"/>
          <w:pgSz w:w="11906" w:h="16838"/>
          <w:pgMar w:top="1020" w:right="1701" w:bottom="1020" w:left="1587" w:header="601" w:footer="1077" w:gutter="0"/>
          <w:cols w:space="720"/>
          <w:docGrid w:linePitch="326"/>
        </w:sectPr>
      </w:pPr>
    </w:p>
    <w:p>
      <w:pPr>
        <w:jc w:val="right"/>
        <w:rPr>
          <w:noProof/>
        </w:rPr>
      </w:pPr>
      <w:r>
        <w:rPr>
          <w:noProof/>
        </w:rPr>
        <w:t>Bilaga 1</w:t>
      </w:r>
    </w:p>
    <w:p>
      <w:pPr>
        <w:jc w:val="center"/>
        <w:rPr>
          <w:noProof/>
        </w:rPr>
      </w:pPr>
      <w:r>
        <w:rPr>
          <w:noProof/>
        </w:rPr>
        <w:t>Tillägg 2-C-2</w:t>
      </w:r>
    </w:p>
    <w:p>
      <w:pPr>
        <w:jc w:val="center"/>
        <w:rPr>
          <w:noProof/>
        </w:rPr>
      </w:pPr>
      <w:r>
        <w:rPr>
          <w:noProof/>
        </w:rPr>
        <w:t>Tabell 1</w:t>
      </w:r>
    </w:p>
    <w:p>
      <w:pPr>
        <w:jc w:val="center"/>
        <w:rPr>
          <w:b/>
          <w:noProof/>
        </w:rPr>
      </w:pPr>
      <w:r>
        <w:rPr>
          <w:b/>
          <w:noProof/>
        </w:rPr>
        <w:t>Förteckning som avses i artikel 3 a i i bilaga 2-C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2874"/>
        <w:gridCol w:w="2905"/>
      </w:tblGrid>
      <w:tr>
        <w:trPr>
          <w:tblHeader/>
        </w:trPr>
        <w:tc>
          <w:tcPr>
            <w:tcW w:w="3080" w:type="dxa"/>
            <w:shd w:val="clear" w:color="auto" w:fill="auto"/>
            <w:vAlign w:val="center"/>
          </w:tcPr>
          <w:p>
            <w:pPr>
              <w:shd w:val="clear" w:color="auto" w:fill="FFFFFF"/>
              <w:spacing w:line="220" w:lineRule="exact"/>
              <w:jc w:val="left"/>
              <w:rPr>
                <w:noProof/>
              </w:rPr>
            </w:pPr>
            <w:r>
              <w:rPr>
                <w:noProof/>
              </w:rPr>
              <w:t>Ämne</w:t>
            </w:r>
          </w:p>
        </w:tc>
        <w:tc>
          <w:tcPr>
            <w:tcW w:w="3081" w:type="dxa"/>
            <w:shd w:val="clear" w:color="auto" w:fill="auto"/>
            <w:vAlign w:val="center"/>
          </w:tcPr>
          <w:p>
            <w:pPr>
              <w:shd w:val="clear" w:color="auto" w:fill="FFFFFF"/>
              <w:spacing w:line="220" w:lineRule="exact"/>
              <w:ind w:left="280"/>
              <w:jc w:val="left"/>
              <w:rPr>
                <w:noProof/>
              </w:rPr>
            </w:pPr>
            <w:r>
              <w:rPr>
                <w:noProof/>
              </w:rPr>
              <w:t>Krav</w:t>
            </w:r>
          </w:p>
        </w:tc>
        <w:tc>
          <w:tcPr>
            <w:tcW w:w="3081" w:type="dxa"/>
            <w:shd w:val="clear" w:color="auto" w:fill="auto"/>
            <w:vAlign w:val="bottom"/>
          </w:tcPr>
          <w:p>
            <w:pPr>
              <w:shd w:val="clear" w:color="auto" w:fill="FFFFFF"/>
              <w:spacing w:line="274" w:lineRule="exact"/>
              <w:jc w:val="left"/>
              <w:rPr>
                <w:noProof/>
              </w:rPr>
            </w:pPr>
            <w:r>
              <w:rPr>
                <w:noProof/>
              </w:rPr>
              <w:t>EU:s motsvarande tekniska föreskrifter (om sådana finns)</w:t>
            </w:r>
            <w:r>
              <w:rPr>
                <w:rStyle w:val="FootnoteReference"/>
                <w:noProof/>
              </w:rPr>
              <w:footnoteReference w:id="2"/>
            </w:r>
          </w:p>
        </w:tc>
      </w:tr>
      <w:tr>
        <w:tc>
          <w:tcPr>
            <w:tcW w:w="3080" w:type="dxa"/>
            <w:shd w:val="clear" w:color="auto" w:fill="auto"/>
            <w:vAlign w:val="center"/>
          </w:tcPr>
          <w:p>
            <w:pPr>
              <w:shd w:val="clear" w:color="auto" w:fill="FFFFFF"/>
              <w:spacing w:line="240" w:lineRule="atLeast"/>
              <w:jc w:val="left"/>
              <w:rPr>
                <w:noProof/>
              </w:rPr>
            </w:pPr>
            <w:r>
              <w:rPr>
                <w:noProof/>
              </w:rPr>
              <w:t>Tillåten ljudnivå</w:t>
            </w:r>
          </w:p>
        </w:tc>
        <w:tc>
          <w:tcPr>
            <w:tcW w:w="3081" w:type="dxa"/>
            <w:shd w:val="clear" w:color="auto" w:fill="auto"/>
            <w:vAlign w:val="center"/>
          </w:tcPr>
          <w:p>
            <w:pPr>
              <w:shd w:val="clear" w:color="auto" w:fill="FFFFFF"/>
              <w:spacing w:line="240" w:lineRule="atLeast"/>
              <w:ind w:left="20"/>
              <w:jc w:val="left"/>
              <w:rPr>
                <w:noProof/>
              </w:rPr>
            </w:pPr>
            <w:r>
              <w:rPr>
                <w:noProof/>
              </w:rPr>
              <w:t>FN-föreskrift</w:t>
            </w:r>
            <w:r>
              <w:rPr>
                <w:rStyle w:val="FootnoteReference"/>
                <w:noProof/>
              </w:rPr>
              <w:footnoteReference w:id="3"/>
            </w:r>
            <w:r>
              <w:rPr>
                <w:noProof/>
              </w:rPr>
              <w:t xml:space="preserve"> 51</w:t>
            </w:r>
          </w:p>
        </w:tc>
        <w:tc>
          <w:tcPr>
            <w:tcW w:w="3081" w:type="dxa"/>
            <w:shd w:val="clear" w:color="auto" w:fill="auto"/>
            <w:vAlign w:val="center"/>
          </w:tcPr>
          <w:p>
            <w:pPr>
              <w:shd w:val="clear" w:color="auto" w:fill="FFFFFF"/>
              <w:spacing w:line="240" w:lineRule="atLeast"/>
              <w:ind w:left="20"/>
              <w:jc w:val="left"/>
              <w:rPr>
                <w:noProof/>
                <w:lang w:val="nn-NO"/>
              </w:rPr>
            </w:pPr>
            <w:r>
              <w:rPr>
                <w:noProof/>
                <w:lang w:val="nn-NO"/>
              </w:rPr>
              <w:t>Direktiv 70/157/EEG, förordning (EU) nr 540/2014</w:t>
            </w:r>
          </w:p>
        </w:tc>
      </w:tr>
      <w:tr>
        <w:tc>
          <w:tcPr>
            <w:tcW w:w="3080" w:type="dxa"/>
            <w:shd w:val="clear" w:color="auto" w:fill="auto"/>
            <w:vAlign w:val="center"/>
          </w:tcPr>
          <w:p>
            <w:pPr>
              <w:shd w:val="clear" w:color="auto" w:fill="FFFFFF"/>
              <w:spacing w:line="240" w:lineRule="atLeast"/>
              <w:jc w:val="left"/>
              <w:rPr>
                <w:noProof/>
              </w:rPr>
            </w:pPr>
            <w:r>
              <w:rPr>
                <w:noProof/>
              </w:rPr>
              <w:t>Reservljuddämparsystem</w:t>
            </w:r>
          </w:p>
        </w:tc>
        <w:tc>
          <w:tcPr>
            <w:tcW w:w="3081" w:type="dxa"/>
            <w:shd w:val="clear" w:color="auto" w:fill="auto"/>
            <w:vAlign w:val="bottom"/>
          </w:tcPr>
          <w:p>
            <w:pPr>
              <w:shd w:val="clear" w:color="auto" w:fill="FFFFFF"/>
              <w:spacing w:line="240" w:lineRule="atLeast"/>
              <w:jc w:val="left"/>
              <w:rPr>
                <w:noProof/>
              </w:rPr>
            </w:pPr>
            <w:r>
              <w:rPr>
                <w:noProof/>
              </w:rPr>
              <w:t>FN-föreskrift 59</w:t>
            </w:r>
          </w:p>
        </w:tc>
        <w:tc>
          <w:tcPr>
            <w:tcW w:w="3081" w:type="dxa"/>
            <w:shd w:val="clear" w:color="auto" w:fill="auto"/>
            <w:vAlign w:val="bottom"/>
          </w:tcPr>
          <w:p>
            <w:pPr>
              <w:shd w:val="clear" w:color="auto" w:fill="FFFFFF"/>
              <w:spacing w:line="240" w:lineRule="atLeast"/>
              <w:jc w:val="left"/>
              <w:rPr>
                <w:noProof/>
                <w:lang w:val="nn-NO"/>
              </w:rPr>
            </w:pPr>
            <w:r>
              <w:rPr>
                <w:noProof/>
                <w:lang w:val="nn-NO"/>
              </w:rPr>
              <w:t>Direktiv 70/157/EEG, förordning (EU) nr 540/2014</w:t>
            </w:r>
          </w:p>
        </w:tc>
      </w:tr>
      <w:tr>
        <w:tc>
          <w:tcPr>
            <w:tcW w:w="3080" w:type="dxa"/>
            <w:shd w:val="clear" w:color="auto" w:fill="auto"/>
          </w:tcPr>
          <w:p>
            <w:pPr>
              <w:shd w:val="clear" w:color="auto" w:fill="FFFFFF"/>
              <w:spacing w:line="240" w:lineRule="atLeast"/>
              <w:jc w:val="left"/>
              <w:rPr>
                <w:noProof/>
              </w:rPr>
            </w:pPr>
            <w:r>
              <w:rPr>
                <w:noProof/>
              </w:rPr>
              <w:t xml:space="preserve">Utsläppssnåla fordon </w:t>
            </w:r>
          </w:p>
        </w:tc>
        <w:tc>
          <w:tcPr>
            <w:tcW w:w="3081" w:type="dxa"/>
            <w:shd w:val="clear" w:color="auto" w:fill="auto"/>
          </w:tcPr>
          <w:p>
            <w:pPr>
              <w:shd w:val="clear" w:color="auto" w:fill="FFFFFF"/>
              <w:spacing w:line="240" w:lineRule="atLeast"/>
              <w:jc w:val="left"/>
              <w:rPr>
                <w:noProof/>
              </w:rPr>
            </w:pPr>
            <w:r>
              <w:rPr>
                <w:noProof/>
              </w:rPr>
              <w:t>FN-föreskrift 83</w:t>
            </w:r>
          </w:p>
        </w:tc>
        <w:tc>
          <w:tcPr>
            <w:tcW w:w="3081" w:type="dxa"/>
            <w:shd w:val="clear" w:color="auto" w:fill="auto"/>
          </w:tcPr>
          <w:p>
            <w:pPr>
              <w:shd w:val="clear" w:color="auto" w:fill="FFFFFF"/>
              <w:spacing w:line="240" w:lineRule="atLeast"/>
              <w:jc w:val="left"/>
              <w:rPr>
                <w:noProof/>
                <w:lang w:val="nn-NO"/>
              </w:rPr>
            </w:pPr>
            <w:r>
              <w:rPr>
                <w:noProof/>
                <w:lang w:val="nn-NO"/>
              </w:rPr>
              <w:t>Förordningar (EG) nr 715/2007, (EG) nr 692/2008, (EU) nr 459/2012</w:t>
            </w:r>
          </w:p>
          <w:p>
            <w:pPr>
              <w:shd w:val="clear" w:color="auto" w:fill="FFFFFF"/>
              <w:spacing w:line="240" w:lineRule="atLeast"/>
              <w:jc w:val="left"/>
              <w:rPr>
                <w:noProof/>
              </w:rPr>
            </w:pPr>
            <w:r>
              <w:rPr>
                <w:noProof/>
              </w:rPr>
              <w:t xml:space="preserve">Förordningar (EU) 2016/427, (EU) 2016/646, (EU) 2017/1151, (EU) 2017/1154 och (EU) 2018/1832 </w:t>
            </w:r>
          </w:p>
        </w:tc>
      </w:tr>
      <w:tr>
        <w:tc>
          <w:tcPr>
            <w:tcW w:w="3080" w:type="dxa"/>
            <w:shd w:val="clear" w:color="auto" w:fill="auto"/>
          </w:tcPr>
          <w:p>
            <w:pPr>
              <w:shd w:val="clear" w:color="auto" w:fill="FFFFFF"/>
              <w:spacing w:line="240" w:lineRule="atLeast"/>
              <w:jc w:val="left"/>
              <w:rPr>
                <w:noProof/>
              </w:rPr>
            </w:pPr>
            <w:r>
              <w:rPr>
                <w:noProof/>
              </w:rPr>
              <w:t>Ersättningskatalysatorer</w:t>
            </w:r>
          </w:p>
        </w:tc>
        <w:tc>
          <w:tcPr>
            <w:tcW w:w="3081" w:type="dxa"/>
            <w:shd w:val="clear" w:color="auto" w:fill="auto"/>
          </w:tcPr>
          <w:p>
            <w:pPr>
              <w:shd w:val="clear" w:color="auto" w:fill="FFFFFF"/>
              <w:spacing w:line="240" w:lineRule="atLeast"/>
              <w:jc w:val="left"/>
              <w:rPr>
                <w:noProof/>
              </w:rPr>
            </w:pPr>
            <w:r>
              <w:rPr>
                <w:noProof/>
              </w:rPr>
              <w:t>FN-föreskrift 103</w:t>
            </w:r>
          </w:p>
        </w:tc>
        <w:tc>
          <w:tcPr>
            <w:tcW w:w="3081" w:type="dxa"/>
            <w:shd w:val="clear" w:color="auto" w:fill="auto"/>
          </w:tcPr>
          <w:p>
            <w:pPr>
              <w:shd w:val="clear" w:color="auto" w:fill="FFFFFF"/>
              <w:spacing w:line="240" w:lineRule="atLeast"/>
              <w:jc w:val="left"/>
              <w:rPr>
                <w:noProof/>
                <w:lang w:val="nn-NO"/>
              </w:rPr>
            </w:pPr>
            <w:r>
              <w:rPr>
                <w:noProof/>
                <w:lang w:val="nn-NO"/>
              </w:rPr>
              <w:t>Förordningar (EG) nr 715/2007, (EG) nr 692/2008</w:t>
            </w:r>
          </w:p>
        </w:tc>
      </w:tr>
      <w:tr>
        <w:tc>
          <w:tcPr>
            <w:tcW w:w="3080" w:type="dxa"/>
            <w:shd w:val="clear" w:color="auto" w:fill="auto"/>
          </w:tcPr>
          <w:p>
            <w:pPr>
              <w:shd w:val="clear" w:color="auto" w:fill="FFFFFF"/>
              <w:spacing w:line="240" w:lineRule="atLeast"/>
              <w:jc w:val="left"/>
              <w:rPr>
                <w:noProof/>
              </w:rPr>
            </w:pPr>
            <w:r>
              <w:rPr>
                <w:noProof/>
              </w:rPr>
              <w:t>Bränsletankar</w:t>
            </w:r>
          </w:p>
        </w:tc>
        <w:tc>
          <w:tcPr>
            <w:tcW w:w="3081" w:type="dxa"/>
            <w:shd w:val="clear" w:color="auto" w:fill="auto"/>
          </w:tcPr>
          <w:p>
            <w:pPr>
              <w:shd w:val="clear" w:color="auto" w:fill="FFFFFF"/>
              <w:spacing w:line="240" w:lineRule="atLeast"/>
              <w:jc w:val="left"/>
              <w:rPr>
                <w:noProof/>
              </w:rPr>
            </w:pPr>
            <w:r>
              <w:rPr>
                <w:noProof/>
              </w:rPr>
              <w:t>FN-föreskrift 34</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Motorgastankar</w:t>
            </w:r>
          </w:p>
        </w:tc>
        <w:tc>
          <w:tcPr>
            <w:tcW w:w="3081" w:type="dxa"/>
            <w:shd w:val="clear" w:color="auto" w:fill="auto"/>
          </w:tcPr>
          <w:p>
            <w:pPr>
              <w:shd w:val="clear" w:color="auto" w:fill="FFFFFF"/>
              <w:spacing w:line="240" w:lineRule="atLeast"/>
              <w:jc w:val="left"/>
              <w:rPr>
                <w:noProof/>
              </w:rPr>
            </w:pPr>
            <w:r>
              <w:rPr>
                <w:noProof/>
              </w:rPr>
              <w:t>FN-föreskrift 67</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CNG-tankar</w:t>
            </w:r>
          </w:p>
        </w:tc>
        <w:tc>
          <w:tcPr>
            <w:tcW w:w="3081" w:type="dxa"/>
            <w:shd w:val="clear" w:color="auto" w:fill="auto"/>
          </w:tcPr>
          <w:p>
            <w:pPr>
              <w:shd w:val="clear" w:color="auto" w:fill="FFFFFF"/>
              <w:spacing w:line="240" w:lineRule="atLeast"/>
              <w:jc w:val="left"/>
              <w:rPr>
                <w:noProof/>
              </w:rPr>
            </w:pPr>
            <w:r>
              <w:rPr>
                <w:noProof/>
              </w:rPr>
              <w:t>FN-föreskrift 110</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Bakre underkörningsskydd</w:t>
            </w:r>
          </w:p>
        </w:tc>
        <w:tc>
          <w:tcPr>
            <w:tcW w:w="3081" w:type="dxa"/>
            <w:shd w:val="clear" w:color="auto" w:fill="auto"/>
          </w:tcPr>
          <w:p>
            <w:pPr>
              <w:shd w:val="clear" w:color="auto" w:fill="FFFFFF"/>
              <w:spacing w:line="240" w:lineRule="atLeast"/>
              <w:jc w:val="left"/>
              <w:rPr>
                <w:noProof/>
              </w:rPr>
            </w:pPr>
            <w:r>
              <w:rPr>
                <w:noProof/>
              </w:rPr>
              <w:t>FN-föreskrift 58</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Aktiveringskraft</w:t>
            </w:r>
          </w:p>
        </w:tc>
        <w:tc>
          <w:tcPr>
            <w:tcW w:w="3081" w:type="dxa"/>
            <w:shd w:val="clear" w:color="auto" w:fill="auto"/>
            <w:vAlign w:val="bottom"/>
          </w:tcPr>
          <w:p>
            <w:pPr>
              <w:shd w:val="clear" w:color="auto" w:fill="FFFFFF"/>
              <w:spacing w:line="240" w:lineRule="atLeast"/>
              <w:jc w:val="left"/>
              <w:rPr>
                <w:noProof/>
              </w:rPr>
            </w:pPr>
            <w:r>
              <w:rPr>
                <w:noProof/>
              </w:rPr>
              <w:t>FN-föreskrift 79</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Dörrlås och gångjärn</w:t>
            </w:r>
          </w:p>
        </w:tc>
        <w:tc>
          <w:tcPr>
            <w:tcW w:w="3081" w:type="dxa"/>
            <w:shd w:val="clear" w:color="auto" w:fill="auto"/>
            <w:vAlign w:val="bottom"/>
          </w:tcPr>
          <w:p>
            <w:pPr>
              <w:shd w:val="clear" w:color="auto" w:fill="FFFFFF"/>
              <w:spacing w:line="240" w:lineRule="atLeast"/>
              <w:jc w:val="left"/>
              <w:rPr>
                <w:noProof/>
              </w:rPr>
            </w:pPr>
            <w:r>
              <w:rPr>
                <w:noProof/>
              </w:rPr>
              <w:t>FN-föreskrift 11</w:t>
            </w:r>
          </w:p>
        </w:tc>
        <w:tc>
          <w:tcPr>
            <w:tcW w:w="3081" w:type="dxa"/>
            <w:shd w:val="clear" w:color="auto" w:fill="auto"/>
            <w:vAlign w:val="bottom"/>
          </w:tcPr>
          <w:p>
            <w:pPr>
              <w:shd w:val="clear" w:color="auto" w:fill="FFFFFF"/>
              <w:spacing w:line="240" w:lineRule="atLeast"/>
              <w:jc w:val="left"/>
              <w:rPr>
                <w:noProof/>
              </w:rPr>
            </w:pPr>
            <w:r>
              <w:rPr>
                <w:noProof/>
              </w:rPr>
              <w:t xml:space="preserve"> </w:t>
            </w:r>
          </w:p>
        </w:tc>
      </w:tr>
      <w:tr>
        <w:tc>
          <w:tcPr>
            <w:tcW w:w="3080" w:type="dxa"/>
            <w:shd w:val="clear" w:color="auto" w:fill="auto"/>
            <w:vAlign w:val="bottom"/>
          </w:tcPr>
          <w:p>
            <w:pPr>
              <w:shd w:val="clear" w:color="auto" w:fill="FFFFFF"/>
              <w:spacing w:line="240" w:lineRule="atLeast"/>
              <w:jc w:val="left"/>
              <w:rPr>
                <w:noProof/>
              </w:rPr>
            </w:pPr>
            <w:r>
              <w:rPr>
                <w:noProof/>
              </w:rPr>
              <w:t>Ljudsignalanordningar</w:t>
            </w:r>
          </w:p>
        </w:tc>
        <w:tc>
          <w:tcPr>
            <w:tcW w:w="3081" w:type="dxa"/>
            <w:shd w:val="clear" w:color="auto" w:fill="auto"/>
            <w:vAlign w:val="bottom"/>
          </w:tcPr>
          <w:p>
            <w:pPr>
              <w:shd w:val="clear" w:color="auto" w:fill="FFFFFF"/>
              <w:spacing w:line="240" w:lineRule="atLeast"/>
              <w:jc w:val="left"/>
              <w:rPr>
                <w:noProof/>
              </w:rPr>
            </w:pPr>
            <w:r>
              <w:rPr>
                <w:noProof/>
              </w:rPr>
              <w:t>FN-föreskrift 28</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Anordningar för indirekt sikt</w:t>
            </w:r>
          </w:p>
        </w:tc>
        <w:tc>
          <w:tcPr>
            <w:tcW w:w="3081" w:type="dxa"/>
            <w:shd w:val="clear" w:color="auto" w:fill="auto"/>
            <w:vAlign w:val="bottom"/>
          </w:tcPr>
          <w:p>
            <w:pPr>
              <w:shd w:val="clear" w:color="auto" w:fill="FFFFFF"/>
              <w:spacing w:line="240" w:lineRule="atLeast"/>
              <w:jc w:val="left"/>
              <w:rPr>
                <w:noProof/>
              </w:rPr>
            </w:pPr>
            <w:r>
              <w:rPr>
                <w:noProof/>
              </w:rPr>
              <w:t>FN-föreskrift 46</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Bromsutrustning på tunga fordon</w:t>
            </w:r>
          </w:p>
        </w:tc>
        <w:tc>
          <w:tcPr>
            <w:tcW w:w="3081" w:type="dxa"/>
            <w:shd w:val="clear" w:color="auto" w:fill="auto"/>
            <w:vAlign w:val="bottom"/>
          </w:tcPr>
          <w:p>
            <w:pPr>
              <w:shd w:val="clear" w:color="auto" w:fill="FFFFFF"/>
              <w:spacing w:line="240" w:lineRule="atLeast"/>
              <w:jc w:val="left"/>
              <w:rPr>
                <w:noProof/>
              </w:rPr>
            </w:pPr>
            <w:r>
              <w:rPr>
                <w:noProof/>
              </w:rPr>
              <w:t>FN-föreskrift 13</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Bromsutrustning på lätta fordon</w:t>
            </w:r>
          </w:p>
        </w:tc>
        <w:tc>
          <w:tcPr>
            <w:tcW w:w="3081" w:type="dxa"/>
            <w:shd w:val="clear" w:color="auto" w:fill="auto"/>
            <w:vAlign w:val="bottom"/>
          </w:tcPr>
          <w:p>
            <w:pPr>
              <w:shd w:val="clear" w:color="auto" w:fill="FFFFFF"/>
              <w:spacing w:line="240" w:lineRule="atLeast"/>
              <w:jc w:val="left"/>
              <w:rPr>
                <w:noProof/>
              </w:rPr>
            </w:pPr>
            <w:r>
              <w:rPr>
                <w:noProof/>
              </w:rPr>
              <w:t>FN-föreskrift 13H</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Bromsbelägg</w:t>
            </w:r>
          </w:p>
        </w:tc>
        <w:tc>
          <w:tcPr>
            <w:tcW w:w="3081" w:type="dxa"/>
            <w:shd w:val="clear" w:color="auto" w:fill="auto"/>
            <w:vAlign w:val="bottom"/>
          </w:tcPr>
          <w:p>
            <w:pPr>
              <w:shd w:val="clear" w:color="auto" w:fill="FFFFFF"/>
              <w:spacing w:line="240" w:lineRule="atLeast"/>
              <w:jc w:val="left"/>
              <w:rPr>
                <w:noProof/>
              </w:rPr>
            </w:pPr>
            <w:r>
              <w:rPr>
                <w:noProof/>
              </w:rPr>
              <w:t>FN-föreskrift 90</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Radiostörningar (elektromagnetisk kompatibilitet)</w:t>
            </w:r>
          </w:p>
        </w:tc>
        <w:tc>
          <w:tcPr>
            <w:tcW w:w="3081" w:type="dxa"/>
            <w:shd w:val="clear" w:color="auto" w:fill="auto"/>
          </w:tcPr>
          <w:p>
            <w:pPr>
              <w:shd w:val="clear" w:color="auto" w:fill="FFFFFF"/>
              <w:spacing w:line="240" w:lineRule="atLeast"/>
              <w:jc w:val="left"/>
              <w:rPr>
                <w:noProof/>
              </w:rPr>
            </w:pPr>
            <w:r>
              <w:rPr>
                <w:noProof/>
              </w:rPr>
              <w:t>FN-föreskrift 10</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Föroreningar från dieselmotorer</w:t>
            </w:r>
          </w:p>
        </w:tc>
        <w:tc>
          <w:tcPr>
            <w:tcW w:w="3081" w:type="dxa"/>
            <w:shd w:val="clear" w:color="auto" w:fill="auto"/>
            <w:vAlign w:val="bottom"/>
          </w:tcPr>
          <w:p>
            <w:pPr>
              <w:shd w:val="clear" w:color="auto" w:fill="FFFFFF"/>
              <w:spacing w:line="240" w:lineRule="atLeast"/>
              <w:jc w:val="left"/>
              <w:rPr>
                <w:noProof/>
              </w:rPr>
            </w:pPr>
            <w:r>
              <w:rPr>
                <w:noProof/>
              </w:rPr>
              <w:t>FN-föreskrift 24</w:t>
            </w:r>
          </w:p>
        </w:tc>
        <w:tc>
          <w:tcPr>
            <w:tcW w:w="3081" w:type="dxa"/>
            <w:shd w:val="clear" w:color="auto" w:fill="auto"/>
            <w:vAlign w:val="bottom"/>
          </w:tcPr>
          <w:p>
            <w:pPr>
              <w:shd w:val="clear" w:color="auto" w:fill="FFFFFF"/>
              <w:spacing w:line="240" w:lineRule="atLeast"/>
              <w:jc w:val="left"/>
              <w:rPr>
                <w:noProof/>
              </w:rPr>
            </w:pPr>
            <w:r>
              <w:rPr>
                <w:noProof/>
              </w:rPr>
              <w:t>Förordning (EG) nr 692/2008</w:t>
            </w:r>
          </w:p>
        </w:tc>
      </w:tr>
      <w:tr>
        <w:tc>
          <w:tcPr>
            <w:tcW w:w="3080" w:type="dxa"/>
            <w:shd w:val="clear" w:color="auto" w:fill="auto"/>
            <w:vAlign w:val="bottom"/>
          </w:tcPr>
          <w:p>
            <w:pPr>
              <w:shd w:val="clear" w:color="auto" w:fill="FFFFFF"/>
              <w:spacing w:line="240" w:lineRule="atLeast"/>
              <w:jc w:val="left"/>
              <w:rPr>
                <w:noProof/>
              </w:rPr>
            </w:pPr>
            <w:r>
              <w:rPr>
                <w:noProof/>
              </w:rPr>
              <w:t>Inredningsdetaljer</w:t>
            </w:r>
          </w:p>
        </w:tc>
        <w:tc>
          <w:tcPr>
            <w:tcW w:w="3081" w:type="dxa"/>
            <w:shd w:val="clear" w:color="auto" w:fill="auto"/>
            <w:vAlign w:val="bottom"/>
          </w:tcPr>
          <w:p>
            <w:pPr>
              <w:shd w:val="clear" w:color="auto" w:fill="FFFFFF"/>
              <w:spacing w:line="240" w:lineRule="atLeast"/>
              <w:jc w:val="left"/>
              <w:rPr>
                <w:noProof/>
              </w:rPr>
            </w:pPr>
            <w:r>
              <w:rPr>
                <w:noProof/>
              </w:rPr>
              <w:t>FN-föreskrift 21</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Stöldskydd</w:t>
            </w:r>
          </w:p>
        </w:tc>
        <w:tc>
          <w:tcPr>
            <w:tcW w:w="3081" w:type="dxa"/>
            <w:shd w:val="clear" w:color="auto" w:fill="auto"/>
            <w:vAlign w:val="bottom"/>
          </w:tcPr>
          <w:p>
            <w:pPr>
              <w:shd w:val="clear" w:color="auto" w:fill="FFFFFF"/>
              <w:spacing w:line="240" w:lineRule="atLeast"/>
              <w:jc w:val="left"/>
              <w:rPr>
                <w:noProof/>
              </w:rPr>
            </w:pPr>
            <w:r>
              <w:rPr>
                <w:noProof/>
              </w:rPr>
              <w:t>FN-föreskrift 18</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Stöldskydd och startspärr</w:t>
            </w:r>
          </w:p>
        </w:tc>
        <w:tc>
          <w:tcPr>
            <w:tcW w:w="3081" w:type="dxa"/>
            <w:shd w:val="clear" w:color="auto" w:fill="auto"/>
            <w:vAlign w:val="bottom"/>
          </w:tcPr>
          <w:p>
            <w:pPr>
              <w:shd w:val="clear" w:color="auto" w:fill="FFFFFF"/>
              <w:spacing w:line="240" w:lineRule="atLeast"/>
              <w:jc w:val="left"/>
              <w:rPr>
                <w:noProof/>
              </w:rPr>
            </w:pPr>
            <w:r>
              <w:rPr>
                <w:noProof/>
              </w:rPr>
              <w:t>FN-föreskrift 116</w:t>
            </w:r>
          </w:p>
        </w:tc>
        <w:tc>
          <w:tcPr>
            <w:tcW w:w="3081" w:type="dxa"/>
            <w:shd w:val="clear" w:color="auto" w:fill="auto"/>
            <w:vAlign w:val="bottom"/>
          </w:tcPr>
          <w:p>
            <w:pPr>
              <w:shd w:val="clear" w:color="auto" w:fill="FFFFFF"/>
              <w:spacing w:line="240" w:lineRule="atLeast"/>
              <w:jc w:val="left"/>
              <w:rPr>
                <w:noProof/>
              </w:rPr>
            </w:pPr>
          </w:p>
        </w:tc>
      </w:tr>
      <w:tr>
        <w:tc>
          <w:tcPr>
            <w:tcW w:w="3080" w:type="dxa"/>
            <w:tcBorders>
              <w:bottom w:val="single" w:sz="4" w:space="0" w:color="auto"/>
            </w:tcBorders>
            <w:shd w:val="clear" w:color="auto" w:fill="auto"/>
          </w:tcPr>
          <w:p>
            <w:pPr>
              <w:shd w:val="clear" w:color="auto" w:fill="FFFFFF"/>
              <w:spacing w:line="240" w:lineRule="atLeast"/>
              <w:jc w:val="left"/>
              <w:rPr>
                <w:noProof/>
              </w:rPr>
            </w:pPr>
            <w:r>
              <w:rPr>
                <w:noProof/>
              </w:rPr>
              <w:t>Fordonslarmsystem</w:t>
            </w:r>
          </w:p>
        </w:tc>
        <w:tc>
          <w:tcPr>
            <w:tcW w:w="3081" w:type="dxa"/>
            <w:tcBorders>
              <w:bottom w:val="single" w:sz="4" w:space="0" w:color="auto"/>
            </w:tcBorders>
            <w:shd w:val="clear" w:color="auto" w:fill="auto"/>
            <w:vAlign w:val="bottom"/>
          </w:tcPr>
          <w:p>
            <w:pPr>
              <w:shd w:val="clear" w:color="auto" w:fill="FFFFFF"/>
              <w:spacing w:line="240" w:lineRule="atLeast"/>
              <w:jc w:val="left"/>
              <w:rPr>
                <w:noProof/>
              </w:rPr>
            </w:pPr>
            <w:r>
              <w:rPr>
                <w:noProof/>
              </w:rPr>
              <w:t xml:space="preserve">FN-föreskrift 97 </w:t>
            </w:r>
          </w:p>
          <w:p>
            <w:pPr>
              <w:shd w:val="clear" w:color="auto" w:fill="FFFFFF"/>
              <w:spacing w:line="240" w:lineRule="atLeast"/>
              <w:jc w:val="left"/>
              <w:rPr>
                <w:noProof/>
              </w:rPr>
            </w:pPr>
            <w:r>
              <w:rPr>
                <w:noProof/>
              </w:rPr>
              <w:t>FN-föreskrift 116</w:t>
            </w:r>
          </w:p>
        </w:tc>
        <w:tc>
          <w:tcPr>
            <w:tcW w:w="3081" w:type="dxa"/>
            <w:tcBorders>
              <w:bottom w:val="single" w:sz="4" w:space="0" w:color="auto"/>
            </w:tcBorders>
            <w:shd w:val="clear" w:color="auto" w:fill="auto"/>
          </w:tcPr>
          <w:p>
            <w:pPr>
              <w:shd w:val="clear" w:color="auto" w:fill="FFFFFF"/>
              <w:spacing w:line="240" w:lineRule="atLeast"/>
              <w:jc w:val="left"/>
              <w:rPr>
                <w:noProof/>
              </w:rPr>
            </w:pPr>
          </w:p>
        </w:tc>
      </w:tr>
      <w:tr>
        <w:tc>
          <w:tcPr>
            <w:tcW w:w="3080" w:type="dxa"/>
            <w:tcBorders>
              <w:bottom w:val="single" w:sz="4" w:space="0" w:color="auto"/>
            </w:tcBorders>
            <w:shd w:val="clear" w:color="auto" w:fill="auto"/>
            <w:vAlign w:val="bottom"/>
          </w:tcPr>
          <w:p>
            <w:pPr>
              <w:keepNext/>
              <w:keepLines/>
              <w:shd w:val="clear" w:color="auto" w:fill="FFFFFF"/>
              <w:spacing w:line="240" w:lineRule="atLeast"/>
              <w:jc w:val="left"/>
              <w:rPr>
                <w:noProof/>
              </w:rPr>
            </w:pPr>
            <w:r>
              <w:rPr>
                <w:noProof/>
              </w:rPr>
              <w:t>Styrmekanismens egenskaper vid sammanstötning</w:t>
            </w:r>
          </w:p>
        </w:tc>
        <w:tc>
          <w:tcPr>
            <w:tcW w:w="3081" w:type="dxa"/>
            <w:tcBorders>
              <w:bottom w:val="single" w:sz="4" w:space="0" w:color="auto"/>
            </w:tcBorders>
            <w:shd w:val="clear" w:color="auto" w:fill="auto"/>
            <w:vAlign w:val="bottom"/>
          </w:tcPr>
          <w:p>
            <w:pPr>
              <w:keepNext/>
              <w:keepLines/>
              <w:shd w:val="clear" w:color="auto" w:fill="FFFFFF"/>
              <w:spacing w:line="240" w:lineRule="atLeast"/>
              <w:jc w:val="left"/>
              <w:rPr>
                <w:noProof/>
              </w:rPr>
            </w:pPr>
            <w:r>
              <w:rPr>
                <w:noProof/>
              </w:rPr>
              <w:t>FN-föreskrift 12</w:t>
            </w:r>
          </w:p>
        </w:tc>
        <w:tc>
          <w:tcPr>
            <w:tcW w:w="3081" w:type="dxa"/>
            <w:tcBorders>
              <w:bottom w:val="single" w:sz="4" w:space="0" w:color="auto"/>
            </w:tcBorders>
            <w:shd w:val="clear" w:color="auto" w:fill="auto"/>
            <w:vAlign w:val="bottom"/>
          </w:tcPr>
          <w:p>
            <w:pPr>
              <w:keepNext/>
              <w:keepLines/>
              <w:shd w:val="clear" w:color="auto" w:fill="FFFFFF"/>
              <w:spacing w:line="240" w:lineRule="atLeast"/>
              <w:jc w:val="left"/>
              <w:rPr>
                <w:noProof/>
              </w:rPr>
            </w:pPr>
          </w:p>
        </w:tc>
      </w:tr>
      <w:tr>
        <w:tc>
          <w:tcPr>
            <w:tcW w:w="3080" w:type="dxa"/>
            <w:tcBorders>
              <w:top w:val="single" w:sz="4" w:space="0" w:color="auto"/>
            </w:tcBorders>
            <w:shd w:val="clear" w:color="auto" w:fill="auto"/>
            <w:vAlign w:val="bottom"/>
          </w:tcPr>
          <w:p>
            <w:pPr>
              <w:shd w:val="clear" w:color="auto" w:fill="FFFFFF"/>
              <w:spacing w:line="240" w:lineRule="atLeast"/>
              <w:jc w:val="left"/>
              <w:rPr>
                <w:noProof/>
              </w:rPr>
            </w:pPr>
            <w:r>
              <w:rPr>
                <w:noProof/>
              </w:rPr>
              <w:t>Sätenas hållfasthet</w:t>
            </w:r>
          </w:p>
        </w:tc>
        <w:tc>
          <w:tcPr>
            <w:tcW w:w="3081" w:type="dxa"/>
            <w:tcBorders>
              <w:top w:val="single" w:sz="4" w:space="0" w:color="auto"/>
            </w:tcBorders>
            <w:shd w:val="clear" w:color="auto" w:fill="auto"/>
            <w:vAlign w:val="bottom"/>
          </w:tcPr>
          <w:p>
            <w:pPr>
              <w:shd w:val="clear" w:color="auto" w:fill="FFFFFF"/>
              <w:spacing w:line="240" w:lineRule="atLeast"/>
              <w:jc w:val="left"/>
              <w:rPr>
                <w:noProof/>
              </w:rPr>
            </w:pPr>
            <w:r>
              <w:rPr>
                <w:noProof/>
              </w:rPr>
              <w:t>FN-föreskrift 17</w:t>
            </w:r>
          </w:p>
        </w:tc>
        <w:tc>
          <w:tcPr>
            <w:tcW w:w="3081" w:type="dxa"/>
            <w:tcBorders>
              <w:top w:val="single" w:sz="4" w:space="0" w:color="auto"/>
            </w:tcBorders>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Sätenas hållfasthet (bussar)</w:t>
            </w:r>
          </w:p>
        </w:tc>
        <w:tc>
          <w:tcPr>
            <w:tcW w:w="3081" w:type="dxa"/>
            <w:shd w:val="clear" w:color="auto" w:fill="auto"/>
            <w:vAlign w:val="bottom"/>
          </w:tcPr>
          <w:p>
            <w:pPr>
              <w:shd w:val="clear" w:color="auto" w:fill="FFFFFF"/>
              <w:spacing w:line="240" w:lineRule="atLeast"/>
              <w:jc w:val="left"/>
              <w:rPr>
                <w:noProof/>
              </w:rPr>
            </w:pPr>
            <w:r>
              <w:rPr>
                <w:noProof/>
              </w:rPr>
              <w:t>FN-föreskrift 80</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Utskjutande delar</w:t>
            </w:r>
          </w:p>
        </w:tc>
        <w:tc>
          <w:tcPr>
            <w:tcW w:w="3081" w:type="dxa"/>
            <w:shd w:val="clear" w:color="auto" w:fill="auto"/>
            <w:vAlign w:val="bottom"/>
          </w:tcPr>
          <w:p>
            <w:pPr>
              <w:shd w:val="clear" w:color="auto" w:fill="FFFFFF"/>
              <w:spacing w:line="240" w:lineRule="atLeast"/>
              <w:jc w:val="left"/>
              <w:rPr>
                <w:noProof/>
              </w:rPr>
            </w:pPr>
            <w:r>
              <w:rPr>
                <w:noProof/>
              </w:rPr>
              <w:t>FN-föreskrift 26</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Hastighetsmätare</w:t>
            </w:r>
          </w:p>
        </w:tc>
        <w:tc>
          <w:tcPr>
            <w:tcW w:w="3081" w:type="dxa"/>
            <w:shd w:val="clear" w:color="auto" w:fill="auto"/>
            <w:vAlign w:val="bottom"/>
          </w:tcPr>
          <w:p>
            <w:pPr>
              <w:shd w:val="clear" w:color="auto" w:fill="FFFFFF"/>
              <w:spacing w:line="240" w:lineRule="atLeast"/>
              <w:jc w:val="left"/>
              <w:rPr>
                <w:noProof/>
              </w:rPr>
            </w:pPr>
            <w:r>
              <w:rPr>
                <w:noProof/>
              </w:rPr>
              <w:t>FN-föreskrift 39</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Säkerhetsbältenas förankringar</w:t>
            </w:r>
          </w:p>
        </w:tc>
        <w:tc>
          <w:tcPr>
            <w:tcW w:w="3081" w:type="dxa"/>
            <w:shd w:val="clear" w:color="auto" w:fill="auto"/>
            <w:vAlign w:val="bottom"/>
          </w:tcPr>
          <w:p>
            <w:pPr>
              <w:shd w:val="clear" w:color="auto" w:fill="FFFFFF"/>
              <w:spacing w:line="240" w:lineRule="atLeast"/>
              <w:jc w:val="left"/>
              <w:rPr>
                <w:noProof/>
              </w:rPr>
            </w:pPr>
            <w:r>
              <w:rPr>
                <w:noProof/>
              </w:rPr>
              <w:t>FN-föreskrift 14</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Montering av belysnings- och ljussignalanordningar</w:t>
            </w:r>
          </w:p>
        </w:tc>
        <w:tc>
          <w:tcPr>
            <w:tcW w:w="3081" w:type="dxa"/>
            <w:shd w:val="clear" w:color="auto" w:fill="auto"/>
          </w:tcPr>
          <w:p>
            <w:pPr>
              <w:shd w:val="clear" w:color="auto" w:fill="FFFFFF"/>
              <w:spacing w:line="240" w:lineRule="atLeast"/>
              <w:jc w:val="left"/>
              <w:rPr>
                <w:noProof/>
              </w:rPr>
            </w:pPr>
            <w:r>
              <w:rPr>
                <w:noProof/>
              </w:rPr>
              <w:t>FN-föreskrift 48</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Reflexanordningar</w:t>
            </w:r>
          </w:p>
        </w:tc>
        <w:tc>
          <w:tcPr>
            <w:tcW w:w="3081" w:type="dxa"/>
            <w:shd w:val="clear" w:color="auto" w:fill="auto"/>
            <w:vAlign w:val="bottom"/>
          </w:tcPr>
          <w:p>
            <w:pPr>
              <w:shd w:val="clear" w:color="auto" w:fill="FFFFFF"/>
              <w:spacing w:line="240" w:lineRule="atLeast"/>
              <w:jc w:val="left"/>
              <w:rPr>
                <w:noProof/>
              </w:rPr>
            </w:pPr>
            <w:r>
              <w:rPr>
                <w:noProof/>
              </w:rPr>
              <w:t>FN-föreskrift 3</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Breddmarkeringslyktor, främre sidopositionslyktor, bakre sidopositionslyktor och stopplyktor</w:t>
            </w:r>
          </w:p>
        </w:tc>
        <w:tc>
          <w:tcPr>
            <w:tcW w:w="3081" w:type="dxa"/>
            <w:shd w:val="clear" w:color="auto" w:fill="auto"/>
          </w:tcPr>
          <w:p>
            <w:pPr>
              <w:shd w:val="clear" w:color="auto" w:fill="FFFFFF"/>
              <w:spacing w:line="240" w:lineRule="atLeast"/>
              <w:jc w:val="left"/>
              <w:rPr>
                <w:noProof/>
              </w:rPr>
            </w:pPr>
            <w:r>
              <w:rPr>
                <w:noProof/>
              </w:rPr>
              <w:t>FN-föreskrift 7</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Varsellyktor</w:t>
            </w:r>
          </w:p>
        </w:tc>
        <w:tc>
          <w:tcPr>
            <w:tcW w:w="3081" w:type="dxa"/>
            <w:shd w:val="clear" w:color="auto" w:fill="auto"/>
            <w:vAlign w:val="bottom"/>
          </w:tcPr>
          <w:p>
            <w:pPr>
              <w:shd w:val="clear" w:color="auto" w:fill="FFFFFF"/>
              <w:spacing w:line="240" w:lineRule="atLeast"/>
              <w:jc w:val="left"/>
              <w:rPr>
                <w:noProof/>
              </w:rPr>
            </w:pPr>
            <w:r>
              <w:rPr>
                <w:noProof/>
              </w:rPr>
              <w:t>FN-föreskrift 87</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Sidomarkeringslyktor</w:t>
            </w:r>
          </w:p>
        </w:tc>
        <w:tc>
          <w:tcPr>
            <w:tcW w:w="3081" w:type="dxa"/>
            <w:shd w:val="clear" w:color="auto" w:fill="auto"/>
          </w:tcPr>
          <w:p>
            <w:pPr>
              <w:shd w:val="clear" w:color="auto" w:fill="FFFFFF"/>
              <w:spacing w:line="240" w:lineRule="atLeast"/>
              <w:jc w:val="left"/>
              <w:rPr>
                <w:noProof/>
              </w:rPr>
            </w:pPr>
            <w:r>
              <w:rPr>
                <w:noProof/>
              </w:rPr>
              <w:t>FN-föreskrift 91</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Körriktningsvisare</w:t>
            </w:r>
          </w:p>
        </w:tc>
        <w:tc>
          <w:tcPr>
            <w:tcW w:w="3081" w:type="dxa"/>
            <w:shd w:val="clear" w:color="auto" w:fill="auto"/>
            <w:vAlign w:val="bottom"/>
          </w:tcPr>
          <w:p>
            <w:pPr>
              <w:shd w:val="clear" w:color="auto" w:fill="FFFFFF"/>
              <w:spacing w:line="240" w:lineRule="atLeast"/>
              <w:jc w:val="left"/>
              <w:rPr>
                <w:noProof/>
              </w:rPr>
            </w:pPr>
            <w:r>
              <w:rPr>
                <w:noProof/>
              </w:rPr>
              <w:t>FN-föreskrift 6</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Bakre skyltlyktor</w:t>
            </w:r>
          </w:p>
        </w:tc>
        <w:tc>
          <w:tcPr>
            <w:tcW w:w="3081" w:type="dxa"/>
            <w:shd w:val="clear" w:color="auto" w:fill="auto"/>
            <w:vAlign w:val="bottom"/>
          </w:tcPr>
          <w:p>
            <w:pPr>
              <w:shd w:val="clear" w:color="auto" w:fill="FFFFFF"/>
              <w:spacing w:line="240" w:lineRule="atLeast"/>
              <w:jc w:val="left"/>
              <w:rPr>
                <w:noProof/>
              </w:rPr>
            </w:pPr>
            <w:r>
              <w:rPr>
                <w:noProof/>
              </w:rPr>
              <w:t>FN-föreskrift 4</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Strålkastare (R</w:t>
            </w:r>
            <w:r>
              <w:rPr>
                <w:noProof/>
                <w:vertAlign w:val="subscript"/>
              </w:rPr>
              <w:t>2</w:t>
            </w:r>
            <w:r>
              <w:rPr>
                <w:noProof/>
              </w:rPr>
              <w:t xml:space="preserve"> och HS</w:t>
            </w:r>
            <w:r>
              <w:rPr>
                <w:noProof/>
                <w:vertAlign w:val="subscript"/>
              </w:rPr>
              <w:t>1</w:t>
            </w:r>
            <w:r>
              <w:rPr>
                <w:noProof/>
              </w:rPr>
              <w:t>)</w:t>
            </w:r>
          </w:p>
        </w:tc>
        <w:tc>
          <w:tcPr>
            <w:tcW w:w="3081" w:type="dxa"/>
            <w:shd w:val="clear" w:color="auto" w:fill="auto"/>
            <w:vAlign w:val="bottom"/>
          </w:tcPr>
          <w:p>
            <w:pPr>
              <w:shd w:val="clear" w:color="auto" w:fill="FFFFFF"/>
              <w:spacing w:line="240" w:lineRule="atLeast"/>
              <w:jc w:val="left"/>
              <w:rPr>
                <w:noProof/>
              </w:rPr>
            </w:pPr>
            <w:r>
              <w:rPr>
                <w:noProof/>
              </w:rPr>
              <w:t>FN-föreskrift 1</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Sealed beam-strålkastare</w:t>
            </w:r>
          </w:p>
        </w:tc>
        <w:tc>
          <w:tcPr>
            <w:tcW w:w="3081" w:type="dxa"/>
            <w:shd w:val="clear" w:color="auto" w:fill="auto"/>
            <w:vAlign w:val="bottom"/>
          </w:tcPr>
          <w:p>
            <w:pPr>
              <w:shd w:val="clear" w:color="auto" w:fill="FFFFFF"/>
              <w:spacing w:line="240" w:lineRule="atLeast"/>
              <w:jc w:val="left"/>
              <w:rPr>
                <w:noProof/>
              </w:rPr>
            </w:pPr>
            <w:r>
              <w:rPr>
                <w:noProof/>
              </w:rPr>
              <w:t>FN-föreskrift 5</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Strålkastare (H</w:t>
            </w:r>
            <w:r>
              <w:rPr>
                <w:noProof/>
                <w:vertAlign w:val="subscript"/>
              </w:rPr>
              <w:t>1</w:t>
            </w:r>
            <w:r>
              <w:rPr>
                <w:noProof/>
              </w:rPr>
              <w:t>, H</w:t>
            </w:r>
            <w:r>
              <w:rPr>
                <w:noProof/>
                <w:vertAlign w:val="subscript"/>
              </w:rPr>
              <w:t>2</w:t>
            </w:r>
            <w:r>
              <w:rPr>
                <w:noProof/>
              </w:rPr>
              <w:t>, H</w:t>
            </w:r>
            <w:r>
              <w:rPr>
                <w:noProof/>
                <w:vertAlign w:val="subscript"/>
              </w:rPr>
              <w:t>3</w:t>
            </w:r>
            <w:r>
              <w:rPr>
                <w:noProof/>
              </w:rPr>
              <w:t>, HB</w:t>
            </w:r>
            <w:r>
              <w:rPr>
                <w:noProof/>
                <w:vertAlign w:val="subscript"/>
              </w:rPr>
              <w:t>3</w:t>
            </w:r>
            <w:r>
              <w:rPr>
                <w:noProof/>
              </w:rPr>
              <w:t>, HB</w:t>
            </w:r>
            <w:r>
              <w:rPr>
                <w:noProof/>
                <w:vertAlign w:val="subscript"/>
              </w:rPr>
              <w:t>4</w:t>
            </w:r>
            <w:r>
              <w:rPr>
                <w:noProof/>
              </w:rPr>
              <w:t>, H</w:t>
            </w:r>
            <w:r>
              <w:rPr>
                <w:noProof/>
                <w:vertAlign w:val="subscript"/>
              </w:rPr>
              <w:t>7</w:t>
            </w:r>
            <w:r>
              <w:rPr>
                <w:noProof/>
              </w:rPr>
              <w:t>, och/eller H</w:t>
            </w:r>
            <w:r>
              <w:rPr>
                <w:noProof/>
                <w:vertAlign w:val="subscript"/>
              </w:rPr>
              <w:t>8</w:t>
            </w:r>
            <w:r>
              <w:rPr>
                <w:noProof/>
              </w:rPr>
              <w:t>, H</w:t>
            </w:r>
            <w:r>
              <w:rPr>
                <w:noProof/>
                <w:vertAlign w:val="subscript"/>
              </w:rPr>
              <w:t>9</w:t>
            </w:r>
            <w:r>
              <w:rPr>
                <w:noProof/>
              </w:rPr>
              <w:t>, HIR1, HIR2 och/eller H</w:t>
            </w:r>
            <w:r>
              <w:rPr>
                <w:noProof/>
                <w:vertAlign w:val="subscript"/>
              </w:rPr>
              <w:t>11</w:t>
            </w:r>
            <w:r>
              <w:rPr>
                <w:noProof/>
              </w:rPr>
              <w:t>)</w:t>
            </w:r>
          </w:p>
        </w:tc>
        <w:tc>
          <w:tcPr>
            <w:tcW w:w="3081" w:type="dxa"/>
            <w:shd w:val="clear" w:color="auto" w:fill="auto"/>
          </w:tcPr>
          <w:p>
            <w:pPr>
              <w:shd w:val="clear" w:color="auto" w:fill="FFFFFF"/>
              <w:spacing w:line="240" w:lineRule="atLeast"/>
              <w:jc w:val="left"/>
              <w:rPr>
                <w:noProof/>
              </w:rPr>
            </w:pPr>
            <w:r>
              <w:rPr>
                <w:noProof/>
              </w:rPr>
              <w:t>FN-föreskrift 8</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Strålkastare (H</w:t>
            </w:r>
            <w:r>
              <w:rPr>
                <w:noProof/>
                <w:vertAlign w:val="subscript"/>
              </w:rPr>
              <w:t>4</w:t>
            </w:r>
            <w:r>
              <w:rPr>
                <w:noProof/>
              </w:rPr>
              <w:t>)</w:t>
            </w:r>
          </w:p>
        </w:tc>
        <w:tc>
          <w:tcPr>
            <w:tcW w:w="3081" w:type="dxa"/>
            <w:shd w:val="clear" w:color="auto" w:fill="auto"/>
            <w:vAlign w:val="bottom"/>
          </w:tcPr>
          <w:p>
            <w:pPr>
              <w:shd w:val="clear" w:color="auto" w:fill="FFFFFF"/>
              <w:spacing w:line="240" w:lineRule="atLeast"/>
              <w:jc w:val="left"/>
              <w:rPr>
                <w:noProof/>
              </w:rPr>
            </w:pPr>
            <w:r>
              <w:rPr>
                <w:noProof/>
              </w:rPr>
              <w:t>FN-föreskrift 20</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Sealed beam-strålkastare (halogen)</w:t>
            </w:r>
          </w:p>
        </w:tc>
        <w:tc>
          <w:tcPr>
            <w:tcW w:w="3081" w:type="dxa"/>
            <w:shd w:val="clear" w:color="auto" w:fill="auto"/>
          </w:tcPr>
          <w:p>
            <w:pPr>
              <w:shd w:val="clear" w:color="auto" w:fill="FFFFFF"/>
              <w:spacing w:line="240" w:lineRule="atLeast"/>
              <w:jc w:val="left"/>
              <w:rPr>
                <w:noProof/>
              </w:rPr>
            </w:pPr>
            <w:r>
              <w:rPr>
                <w:noProof/>
              </w:rPr>
              <w:t>FN-föreskrift 31</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Glödlampor för användning i godkända lampenheter</w:t>
            </w:r>
          </w:p>
        </w:tc>
        <w:tc>
          <w:tcPr>
            <w:tcW w:w="3081" w:type="dxa"/>
            <w:shd w:val="clear" w:color="auto" w:fill="auto"/>
          </w:tcPr>
          <w:p>
            <w:pPr>
              <w:shd w:val="clear" w:color="auto" w:fill="FFFFFF"/>
              <w:spacing w:line="240" w:lineRule="atLeast"/>
              <w:jc w:val="left"/>
              <w:rPr>
                <w:noProof/>
              </w:rPr>
            </w:pPr>
            <w:r>
              <w:rPr>
                <w:noProof/>
              </w:rPr>
              <w:t>FN-föreskrift 37</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Strålkastare med gasurladdningslampor</w:t>
            </w:r>
          </w:p>
        </w:tc>
        <w:tc>
          <w:tcPr>
            <w:tcW w:w="3081" w:type="dxa"/>
            <w:shd w:val="clear" w:color="auto" w:fill="auto"/>
          </w:tcPr>
          <w:p>
            <w:pPr>
              <w:shd w:val="clear" w:color="auto" w:fill="FFFFFF"/>
              <w:spacing w:line="240" w:lineRule="atLeast"/>
              <w:jc w:val="left"/>
              <w:rPr>
                <w:noProof/>
              </w:rPr>
            </w:pPr>
            <w:r>
              <w:rPr>
                <w:noProof/>
              </w:rPr>
              <w:t>FN-föreskrift 98</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Gasurladdningslampor för användning i godkända gasurladdningslampenheter</w:t>
            </w:r>
          </w:p>
        </w:tc>
        <w:tc>
          <w:tcPr>
            <w:tcW w:w="3081" w:type="dxa"/>
            <w:shd w:val="clear" w:color="auto" w:fill="auto"/>
          </w:tcPr>
          <w:p>
            <w:pPr>
              <w:shd w:val="clear" w:color="auto" w:fill="FFFFFF"/>
              <w:spacing w:line="240" w:lineRule="atLeast"/>
              <w:jc w:val="left"/>
              <w:rPr>
                <w:noProof/>
              </w:rPr>
            </w:pPr>
            <w:r>
              <w:rPr>
                <w:noProof/>
              </w:rPr>
              <w:t>FN-föreskrift 99</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Strålkastare (asymmetriskt halvljus)</w:t>
            </w:r>
          </w:p>
        </w:tc>
        <w:tc>
          <w:tcPr>
            <w:tcW w:w="3081" w:type="dxa"/>
            <w:shd w:val="clear" w:color="auto" w:fill="auto"/>
            <w:vAlign w:val="bottom"/>
          </w:tcPr>
          <w:p>
            <w:pPr>
              <w:shd w:val="clear" w:color="auto" w:fill="FFFFFF"/>
              <w:spacing w:line="240" w:lineRule="atLeast"/>
              <w:jc w:val="left"/>
              <w:rPr>
                <w:noProof/>
              </w:rPr>
            </w:pPr>
            <w:r>
              <w:rPr>
                <w:noProof/>
              </w:rPr>
              <w:t>FN-föreskrift 112</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Justerbara framljussystem</w:t>
            </w:r>
          </w:p>
        </w:tc>
        <w:tc>
          <w:tcPr>
            <w:tcW w:w="3081" w:type="dxa"/>
            <w:shd w:val="clear" w:color="auto" w:fill="auto"/>
            <w:vAlign w:val="bottom"/>
          </w:tcPr>
          <w:p>
            <w:pPr>
              <w:shd w:val="clear" w:color="auto" w:fill="FFFFFF"/>
              <w:spacing w:line="240" w:lineRule="atLeast"/>
              <w:jc w:val="left"/>
              <w:rPr>
                <w:noProof/>
              </w:rPr>
            </w:pPr>
            <w:r>
              <w:rPr>
                <w:noProof/>
              </w:rPr>
              <w:t>FN-föreskrift 123</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Dimstrålkastare</w:t>
            </w:r>
          </w:p>
        </w:tc>
        <w:tc>
          <w:tcPr>
            <w:tcW w:w="3081" w:type="dxa"/>
            <w:shd w:val="clear" w:color="auto" w:fill="auto"/>
            <w:vAlign w:val="bottom"/>
          </w:tcPr>
          <w:p>
            <w:pPr>
              <w:shd w:val="clear" w:color="auto" w:fill="FFFFFF"/>
              <w:spacing w:line="240" w:lineRule="atLeast"/>
              <w:jc w:val="left"/>
              <w:rPr>
                <w:noProof/>
              </w:rPr>
            </w:pPr>
            <w:r>
              <w:rPr>
                <w:noProof/>
              </w:rPr>
              <w:t>FN-föreskrift 19</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Dimbaklyktor</w:t>
            </w:r>
          </w:p>
        </w:tc>
        <w:tc>
          <w:tcPr>
            <w:tcW w:w="3081" w:type="dxa"/>
            <w:shd w:val="clear" w:color="auto" w:fill="auto"/>
            <w:vAlign w:val="bottom"/>
          </w:tcPr>
          <w:p>
            <w:pPr>
              <w:shd w:val="clear" w:color="auto" w:fill="FFFFFF"/>
              <w:spacing w:line="240" w:lineRule="atLeast"/>
              <w:jc w:val="left"/>
              <w:rPr>
                <w:noProof/>
              </w:rPr>
            </w:pPr>
            <w:r>
              <w:rPr>
                <w:noProof/>
              </w:rPr>
              <w:t>FN-föreskrift 38</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Backningsstrålkastare</w:t>
            </w:r>
          </w:p>
        </w:tc>
        <w:tc>
          <w:tcPr>
            <w:tcW w:w="3081" w:type="dxa"/>
            <w:shd w:val="clear" w:color="auto" w:fill="auto"/>
            <w:vAlign w:val="bottom"/>
          </w:tcPr>
          <w:p>
            <w:pPr>
              <w:shd w:val="clear" w:color="auto" w:fill="FFFFFF"/>
              <w:spacing w:line="240" w:lineRule="atLeast"/>
              <w:jc w:val="left"/>
              <w:rPr>
                <w:noProof/>
              </w:rPr>
            </w:pPr>
            <w:r>
              <w:rPr>
                <w:noProof/>
              </w:rPr>
              <w:t>FN-föreskrift 23</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Parkeringslyktor</w:t>
            </w:r>
          </w:p>
        </w:tc>
        <w:tc>
          <w:tcPr>
            <w:tcW w:w="3081" w:type="dxa"/>
            <w:shd w:val="clear" w:color="auto" w:fill="auto"/>
            <w:vAlign w:val="bottom"/>
          </w:tcPr>
          <w:p>
            <w:pPr>
              <w:shd w:val="clear" w:color="auto" w:fill="FFFFFF"/>
              <w:spacing w:line="240" w:lineRule="atLeast"/>
              <w:jc w:val="left"/>
              <w:rPr>
                <w:noProof/>
              </w:rPr>
            </w:pPr>
            <w:r>
              <w:rPr>
                <w:noProof/>
              </w:rPr>
              <w:t>FN-föreskrift 77</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Säkerhetsbälten och fasthållningsanordningar</w:t>
            </w:r>
          </w:p>
        </w:tc>
        <w:tc>
          <w:tcPr>
            <w:tcW w:w="3081" w:type="dxa"/>
            <w:shd w:val="clear" w:color="auto" w:fill="auto"/>
            <w:vAlign w:val="bottom"/>
          </w:tcPr>
          <w:p>
            <w:pPr>
              <w:shd w:val="clear" w:color="auto" w:fill="FFFFFF"/>
              <w:spacing w:line="240" w:lineRule="atLeast"/>
              <w:jc w:val="left"/>
              <w:rPr>
                <w:noProof/>
              </w:rPr>
            </w:pPr>
            <w:r>
              <w:rPr>
                <w:noProof/>
              </w:rPr>
              <w:t>FN-föreskrift 16</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Fasthållningsanordningar för barn</w:t>
            </w:r>
          </w:p>
        </w:tc>
        <w:tc>
          <w:tcPr>
            <w:tcW w:w="3081" w:type="dxa"/>
            <w:shd w:val="clear" w:color="auto" w:fill="auto"/>
            <w:vAlign w:val="bottom"/>
          </w:tcPr>
          <w:p>
            <w:pPr>
              <w:shd w:val="clear" w:color="auto" w:fill="FFFFFF"/>
              <w:spacing w:line="240" w:lineRule="atLeast"/>
              <w:jc w:val="left"/>
              <w:rPr>
                <w:noProof/>
              </w:rPr>
            </w:pPr>
            <w:r>
              <w:rPr>
                <w:noProof/>
              </w:rPr>
              <w:t xml:space="preserve">FN-föreskrift 44 </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Siktfält framåt</w:t>
            </w:r>
          </w:p>
        </w:tc>
        <w:tc>
          <w:tcPr>
            <w:tcW w:w="3081" w:type="dxa"/>
            <w:shd w:val="clear" w:color="auto" w:fill="auto"/>
            <w:vAlign w:val="bottom"/>
          </w:tcPr>
          <w:p>
            <w:pPr>
              <w:shd w:val="clear" w:color="auto" w:fill="FFFFFF"/>
              <w:spacing w:line="240" w:lineRule="atLeast"/>
              <w:jc w:val="left"/>
              <w:rPr>
                <w:noProof/>
              </w:rPr>
            </w:pPr>
            <w:r>
              <w:rPr>
                <w:noProof/>
              </w:rPr>
              <w:t>FN-föreskrift 125</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tcPr>
          <w:p>
            <w:pPr>
              <w:keepNext/>
              <w:keepLines/>
              <w:shd w:val="clear" w:color="auto" w:fill="FFFFFF"/>
              <w:spacing w:line="240" w:lineRule="atLeast"/>
              <w:jc w:val="left"/>
              <w:rPr>
                <w:noProof/>
              </w:rPr>
            </w:pPr>
            <w:r>
              <w:rPr>
                <w:noProof/>
              </w:rPr>
              <w:t>Märkning av manöverorgan, kontrollampor och visare</w:t>
            </w:r>
          </w:p>
        </w:tc>
        <w:tc>
          <w:tcPr>
            <w:tcW w:w="3081" w:type="dxa"/>
            <w:shd w:val="clear" w:color="auto" w:fill="auto"/>
          </w:tcPr>
          <w:p>
            <w:pPr>
              <w:keepNext/>
              <w:keepLines/>
              <w:shd w:val="clear" w:color="auto" w:fill="FFFFFF"/>
              <w:spacing w:line="240" w:lineRule="atLeast"/>
              <w:jc w:val="left"/>
              <w:rPr>
                <w:noProof/>
              </w:rPr>
            </w:pPr>
            <w:r>
              <w:rPr>
                <w:noProof/>
              </w:rPr>
              <w:t>FN-föreskrift 121</w:t>
            </w:r>
          </w:p>
        </w:tc>
        <w:tc>
          <w:tcPr>
            <w:tcW w:w="3081" w:type="dxa"/>
            <w:shd w:val="clear" w:color="auto" w:fill="auto"/>
          </w:tcPr>
          <w:p>
            <w:pPr>
              <w:keepNext/>
              <w:keepLines/>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Värmesystem</w:t>
            </w:r>
          </w:p>
        </w:tc>
        <w:tc>
          <w:tcPr>
            <w:tcW w:w="3081" w:type="dxa"/>
            <w:shd w:val="clear" w:color="auto" w:fill="auto"/>
            <w:vAlign w:val="bottom"/>
          </w:tcPr>
          <w:p>
            <w:pPr>
              <w:shd w:val="clear" w:color="auto" w:fill="FFFFFF"/>
              <w:spacing w:line="240" w:lineRule="atLeast"/>
              <w:jc w:val="left"/>
              <w:rPr>
                <w:noProof/>
              </w:rPr>
            </w:pPr>
            <w:r>
              <w:rPr>
                <w:noProof/>
              </w:rPr>
              <w:t>FN-föreskrift 122</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Huvudstöd (i kombination med säten)</w:t>
            </w:r>
          </w:p>
        </w:tc>
        <w:tc>
          <w:tcPr>
            <w:tcW w:w="3081" w:type="dxa"/>
            <w:shd w:val="clear" w:color="auto" w:fill="auto"/>
            <w:vAlign w:val="bottom"/>
          </w:tcPr>
          <w:p>
            <w:pPr>
              <w:shd w:val="clear" w:color="auto" w:fill="FFFFFF"/>
              <w:spacing w:line="240" w:lineRule="atLeast"/>
              <w:jc w:val="left"/>
              <w:rPr>
                <w:noProof/>
              </w:rPr>
            </w:pPr>
            <w:r>
              <w:rPr>
                <w:noProof/>
              </w:rPr>
              <w:t>FN-föreskrift 17</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Huvudstöd</w:t>
            </w:r>
          </w:p>
        </w:tc>
        <w:tc>
          <w:tcPr>
            <w:tcW w:w="3081" w:type="dxa"/>
            <w:shd w:val="clear" w:color="auto" w:fill="auto"/>
          </w:tcPr>
          <w:p>
            <w:pPr>
              <w:shd w:val="clear" w:color="auto" w:fill="FFFFFF"/>
              <w:spacing w:line="240" w:lineRule="atLeast"/>
              <w:jc w:val="left"/>
              <w:rPr>
                <w:noProof/>
              </w:rPr>
            </w:pPr>
            <w:r>
              <w:rPr>
                <w:noProof/>
              </w:rPr>
              <w:t>FN-föreskrift 25</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Koldioxidutsläpp – Bränsleförbrukning: personbilar med högst åtta säten utöver förarsätet</w:t>
            </w:r>
          </w:p>
        </w:tc>
        <w:tc>
          <w:tcPr>
            <w:tcW w:w="3081" w:type="dxa"/>
            <w:shd w:val="clear" w:color="auto" w:fill="auto"/>
          </w:tcPr>
          <w:p>
            <w:pPr>
              <w:shd w:val="clear" w:color="auto" w:fill="FFFFFF"/>
              <w:spacing w:line="240" w:lineRule="atLeast"/>
              <w:jc w:val="left"/>
              <w:rPr>
                <w:noProof/>
              </w:rPr>
            </w:pPr>
            <w:r>
              <w:rPr>
                <w:noProof/>
              </w:rPr>
              <w:t>FN-föreskrift 101</w:t>
            </w:r>
          </w:p>
        </w:tc>
        <w:tc>
          <w:tcPr>
            <w:tcW w:w="3081" w:type="dxa"/>
            <w:shd w:val="clear" w:color="auto" w:fill="auto"/>
          </w:tcPr>
          <w:p>
            <w:pPr>
              <w:shd w:val="clear" w:color="auto" w:fill="FFFFFF"/>
              <w:spacing w:line="240" w:lineRule="atLeast"/>
              <w:jc w:val="left"/>
              <w:rPr>
                <w:noProof/>
              </w:rPr>
            </w:pPr>
            <w:r>
              <w:rPr>
                <w:noProof/>
              </w:rPr>
              <w:t xml:space="preserve">Förordning (EG) nr 692/2008 </w:t>
            </w:r>
          </w:p>
        </w:tc>
      </w:tr>
      <w:tr>
        <w:tc>
          <w:tcPr>
            <w:tcW w:w="3080" w:type="dxa"/>
            <w:shd w:val="clear" w:color="auto" w:fill="auto"/>
            <w:vAlign w:val="bottom"/>
          </w:tcPr>
          <w:p>
            <w:pPr>
              <w:shd w:val="clear" w:color="auto" w:fill="FFFFFF"/>
              <w:spacing w:line="240" w:lineRule="atLeast"/>
              <w:jc w:val="left"/>
              <w:rPr>
                <w:noProof/>
              </w:rPr>
            </w:pPr>
            <w:r>
              <w:rPr>
                <w:noProof/>
              </w:rPr>
              <w:t xml:space="preserve">Motoreffekt </w:t>
            </w:r>
          </w:p>
        </w:tc>
        <w:tc>
          <w:tcPr>
            <w:tcW w:w="3081" w:type="dxa"/>
            <w:shd w:val="clear" w:color="auto" w:fill="auto"/>
            <w:vAlign w:val="bottom"/>
          </w:tcPr>
          <w:p>
            <w:pPr>
              <w:shd w:val="clear" w:color="auto" w:fill="FFFFFF"/>
              <w:spacing w:line="240" w:lineRule="atLeast"/>
              <w:jc w:val="left"/>
              <w:rPr>
                <w:noProof/>
              </w:rPr>
            </w:pPr>
            <w:r>
              <w:rPr>
                <w:noProof/>
              </w:rPr>
              <w:t>FN-föreskrift 85</w:t>
            </w:r>
          </w:p>
        </w:tc>
        <w:tc>
          <w:tcPr>
            <w:tcW w:w="3081" w:type="dxa"/>
            <w:shd w:val="clear" w:color="auto" w:fill="auto"/>
            <w:vAlign w:val="bottom"/>
          </w:tcPr>
          <w:p>
            <w:pPr>
              <w:shd w:val="clear" w:color="auto" w:fill="FFFFFF"/>
              <w:spacing w:line="240" w:lineRule="atLeast"/>
              <w:jc w:val="left"/>
              <w:rPr>
                <w:noProof/>
                <w:lang w:val="nn-NO"/>
              </w:rPr>
            </w:pPr>
            <w:r>
              <w:rPr>
                <w:noProof/>
                <w:lang w:val="nn-NO"/>
              </w:rPr>
              <w:t xml:space="preserve">Förordningar (EG) nr 692/2008, (EU) nr 582/2011 </w:t>
            </w:r>
          </w:p>
        </w:tc>
      </w:tr>
      <w:tr>
        <w:tc>
          <w:tcPr>
            <w:tcW w:w="3080" w:type="dxa"/>
            <w:shd w:val="clear" w:color="auto" w:fill="auto"/>
          </w:tcPr>
          <w:p>
            <w:pPr>
              <w:shd w:val="clear" w:color="auto" w:fill="FFFFFF"/>
              <w:spacing w:line="240" w:lineRule="atLeast"/>
              <w:jc w:val="left"/>
              <w:rPr>
                <w:noProof/>
              </w:rPr>
            </w:pPr>
            <w:r>
              <w:rPr>
                <w:noProof/>
              </w:rPr>
              <w:t>Utsläpp från tunga fordon</w:t>
            </w:r>
          </w:p>
        </w:tc>
        <w:tc>
          <w:tcPr>
            <w:tcW w:w="3081" w:type="dxa"/>
            <w:shd w:val="clear" w:color="auto" w:fill="auto"/>
          </w:tcPr>
          <w:p>
            <w:pPr>
              <w:shd w:val="clear" w:color="auto" w:fill="FFFFFF"/>
              <w:spacing w:line="240" w:lineRule="atLeast"/>
              <w:jc w:val="left"/>
              <w:rPr>
                <w:noProof/>
              </w:rPr>
            </w:pPr>
            <w:r>
              <w:rPr>
                <w:noProof/>
              </w:rPr>
              <w:t>FN-föreskrift 49</w:t>
            </w:r>
          </w:p>
        </w:tc>
        <w:tc>
          <w:tcPr>
            <w:tcW w:w="3081" w:type="dxa"/>
            <w:shd w:val="clear" w:color="auto" w:fill="auto"/>
          </w:tcPr>
          <w:p>
            <w:pPr>
              <w:shd w:val="clear" w:color="auto" w:fill="FFFFFF"/>
              <w:spacing w:line="240" w:lineRule="atLeast"/>
              <w:jc w:val="left"/>
              <w:rPr>
                <w:noProof/>
                <w:lang w:val="nn-NO"/>
              </w:rPr>
            </w:pPr>
            <w:r>
              <w:rPr>
                <w:noProof/>
                <w:lang w:val="nn-NO"/>
              </w:rPr>
              <w:t xml:space="preserve">Förordning (EG) nr 595/2009, förordning (EU) nr 582/2011 </w:t>
            </w:r>
          </w:p>
          <w:p>
            <w:pPr>
              <w:shd w:val="clear" w:color="auto" w:fill="FFFFFF"/>
              <w:spacing w:line="240" w:lineRule="atLeast"/>
              <w:jc w:val="left"/>
              <w:rPr>
                <w:noProof/>
              </w:rPr>
            </w:pPr>
            <w:r>
              <w:rPr>
                <w:noProof/>
              </w:rPr>
              <w:t>Förordning (EU) 2016/1718</w:t>
            </w:r>
          </w:p>
        </w:tc>
      </w:tr>
      <w:tr>
        <w:tc>
          <w:tcPr>
            <w:tcW w:w="3080" w:type="dxa"/>
            <w:shd w:val="clear" w:color="auto" w:fill="auto"/>
            <w:vAlign w:val="bottom"/>
          </w:tcPr>
          <w:p>
            <w:pPr>
              <w:shd w:val="clear" w:color="auto" w:fill="FFFFFF"/>
              <w:spacing w:line="240" w:lineRule="atLeast"/>
              <w:jc w:val="left"/>
              <w:rPr>
                <w:noProof/>
              </w:rPr>
            </w:pPr>
            <w:r>
              <w:rPr>
                <w:noProof/>
              </w:rPr>
              <w:t>Sidoskydd</w:t>
            </w:r>
          </w:p>
        </w:tc>
        <w:tc>
          <w:tcPr>
            <w:tcW w:w="3081" w:type="dxa"/>
            <w:shd w:val="clear" w:color="auto" w:fill="auto"/>
            <w:vAlign w:val="bottom"/>
          </w:tcPr>
          <w:p>
            <w:pPr>
              <w:shd w:val="clear" w:color="auto" w:fill="FFFFFF"/>
              <w:spacing w:line="240" w:lineRule="atLeast"/>
              <w:jc w:val="left"/>
              <w:rPr>
                <w:noProof/>
              </w:rPr>
            </w:pPr>
            <w:r>
              <w:rPr>
                <w:noProof/>
              </w:rPr>
              <w:t>FN-föreskrift 73</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Säkerhetsglas</w:t>
            </w:r>
          </w:p>
        </w:tc>
        <w:tc>
          <w:tcPr>
            <w:tcW w:w="3081" w:type="dxa"/>
            <w:shd w:val="clear" w:color="auto" w:fill="auto"/>
          </w:tcPr>
          <w:p>
            <w:pPr>
              <w:shd w:val="clear" w:color="auto" w:fill="FFFFFF"/>
              <w:spacing w:line="240" w:lineRule="atLeast"/>
              <w:jc w:val="left"/>
              <w:rPr>
                <w:noProof/>
              </w:rPr>
            </w:pPr>
            <w:r>
              <w:rPr>
                <w:noProof/>
              </w:rPr>
              <w:t>FN-föreskrift 43</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Däck för motorfordon och släpvagnar till dessa</w:t>
            </w:r>
          </w:p>
        </w:tc>
        <w:tc>
          <w:tcPr>
            <w:tcW w:w="3081" w:type="dxa"/>
            <w:shd w:val="clear" w:color="auto" w:fill="auto"/>
            <w:vAlign w:val="bottom"/>
          </w:tcPr>
          <w:p>
            <w:pPr>
              <w:shd w:val="clear" w:color="auto" w:fill="FFFFFF"/>
              <w:spacing w:line="240" w:lineRule="atLeast"/>
              <w:jc w:val="left"/>
              <w:rPr>
                <w:noProof/>
              </w:rPr>
            </w:pPr>
            <w:r>
              <w:rPr>
                <w:noProof/>
              </w:rPr>
              <w:t>FN-föreskrift 30</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Däck för nyttofordon och släpvagnar till dessa</w:t>
            </w:r>
          </w:p>
        </w:tc>
        <w:tc>
          <w:tcPr>
            <w:tcW w:w="3081" w:type="dxa"/>
            <w:shd w:val="clear" w:color="auto" w:fill="auto"/>
          </w:tcPr>
          <w:p>
            <w:pPr>
              <w:shd w:val="clear" w:color="auto" w:fill="FFFFFF"/>
              <w:spacing w:line="240" w:lineRule="atLeast"/>
              <w:jc w:val="left"/>
              <w:rPr>
                <w:noProof/>
              </w:rPr>
            </w:pPr>
            <w:r>
              <w:rPr>
                <w:noProof/>
              </w:rPr>
              <w:t>FN-föreskrift 54</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Reservhjul/-däck för tillfälligt bruk</w:t>
            </w:r>
          </w:p>
        </w:tc>
        <w:tc>
          <w:tcPr>
            <w:tcW w:w="3081" w:type="dxa"/>
            <w:shd w:val="clear" w:color="auto" w:fill="auto"/>
            <w:vAlign w:val="bottom"/>
          </w:tcPr>
          <w:p>
            <w:pPr>
              <w:shd w:val="clear" w:color="auto" w:fill="FFFFFF"/>
              <w:spacing w:line="240" w:lineRule="atLeast"/>
              <w:jc w:val="left"/>
              <w:rPr>
                <w:noProof/>
              </w:rPr>
            </w:pPr>
            <w:r>
              <w:rPr>
                <w:noProof/>
              </w:rPr>
              <w:t>FN-föreskrift 64</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Däck-/vägbanebuller</w:t>
            </w:r>
          </w:p>
        </w:tc>
        <w:tc>
          <w:tcPr>
            <w:tcW w:w="3081" w:type="dxa"/>
            <w:shd w:val="clear" w:color="auto" w:fill="auto"/>
          </w:tcPr>
          <w:p>
            <w:pPr>
              <w:shd w:val="clear" w:color="auto" w:fill="FFFFFF"/>
              <w:spacing w:line="240" w:lineRule="atLeast"/>
              <w:jc w:val="left"/>
              <w:rPr>
                <w:noProof/>
              </w:rPr>
            </w:pPr>
            <w:r>
              <w:rPr>
                <w:noProof/>
              </w:rPr>
              <w:t>FN-föreskrift 117</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Hastighetsbegränsande anordningar</w:t>
            </w:r>
          </w:p>
        </w:tc>
        <w:tc>
          <w:tcPr>
            <w:tcW w:w="3081" w:type="dxa"/>
            <w:shd w:val="clear" w:color="auto" w:fill="auto"/>
            <w:vAlign w:val="bottom"/>
          </w:tcPr>
          <w:p>
            <w:pPr>
              <w:shd w:val="clear" w:color="auto" w:fill="FFFFFF"/>
              <w:spacing w:line="240" w:lineRule="atLeast"/>
              <w:jc w:val="left"/>
              <w:rPr>
                <w:noProof/>
              </w:rPr>
            </w:pPr>
            <w:r>
              <w:rPr>
                <w:noProof/>
              </w:rPr>
              <w:t>FN-föreskrift 89</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Kopplingar</w:t>
            </w:r>
          </w:p>
        </w:tc>
        <w:tc>
          <w:tcPr>
            <w:tcW w:w="3081" w:type="dxa"/>
            <w:shd w:val="clear" w:color="auto" w:fill="auto"/>
            <w:vAlign w:val="bottom"/>
          </w:tcPr>
          <w:p>
            <w:pPr>
              <w:shd w:val="clear" w:color="auto" w:fill="FFFFFF"/>
              <w:spacing w:line="240" w:lineRule="atLeast"/>
              <w:jc w:val="left"/>
              <w:rPr>
                <w:noProof/>
              </w:rPr>
            </w:pPr>
            <w:r>
              <w:rPr>
                <w:noProof/>
              </w:rPr>
              <w:t>FN-föreskrift 55</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Länkkopplingssystem</w:t>
            </w:r>
          </w:p>
        </w:tc>
        <w:tc>
          <w:tcPr>
            <w:tcW w:w="3081" w:type="dxa"/>
            <w:shd w:val="clear" w:color="auto" w:fill="auto"/>
          </w:tcPr>
          <w:p>
            <w:pPr>
              <w:shd w:val="clear" w:color="auto" w:fill="FFFFFF"/>
              <w:spacing w:line="240" w:lineRule="atLeast"/>
              <w:jc w:val="left"/>
              <w:rPr>
                <w:noProof/>
              </w:rPr>
            </w:pPr>
            <w:r>
              <w:rPr>
                <w:noProof/>
              </w:rPr>
              <w:t>FN-föreskrift 102</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Brandfarlighet</w:t>
            </w:r>
          </w:p>
        </w:tc>
        <w:tc>
          <w:tcPr>
            <w:tcW w:w="3081" w:type="dxa"/>
            <w:shd w:val="clear" w:color="auto" w:fill="auto"/>
            <w:vAlign w:val="bottom"/>
          </w:tcPr>
          <w:p>
            <w:pPr>
              <w:shd w:val="clear" w:color="auto" w:fill="FFFFFF"/>
              <w:spacing w:line="240" w:lineRule="atLeast"/>
              <w:jc w:val="left"/>
              <w:rPr>
                <w:noProof/>
              </w:rPr>
            </w:pPr>
            <w:r>
              <w:rPr>
                <w:noProof/>
              </w:rPr>
              <w:t>FN-föreskrift 118</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Bussar</w:t>
            </w:r>
          </w:p>
        </w:tc>
        <w:tc>
          <w:tcPr>
            <w:tcW w:w="3081" w:type="dxa"/>
            <w:shd w:val="clear" w:color="auto" w:fill="auto"/>
          </w:tcPr>
          <w:p>
            <w:pPr>
              <w:shd w:val="clear" w:color="auto" w:fill="FFFFFF"/>
              <w:spacing w:line="240" w:lineRule="atLeast"/>
              <w:jc w:val="left"/>
              <w:rPr>
                <w:noProof/>
              </w:rPr>
            </w:pPr>
            <w:r>
              <w:rPr>
                <w:noProof/>
              </w:rPr>
              <w:t>FN-föreskrift 107</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Karosseristommens hållfasthet (bussar)</w:t>
            </w:r>
          </w:p>
        </w:tc>
        <w:tc>
          <w:tcPr>
            <w:tcW w:w="3081" w:type="dxa"/>
            <w:shd w:val="clear" w:color="auto" w:fill="auto"/>
          </w:tcPr>
          <w:p>
            <w:pPr>
              <w:shd w:val="clear" w:color="auto" w:fill="FFFFFF"/>
              <w:spacing w:line="240" w:lineRule="atLeast"/>
              <w:jc w:val="left"/>
              <w:rPr>
                <w:noProof/>
              </w:rPr>
            </w:pPr>
            <w:r>
              <w:rPr>
                <w:noProof/>
              </w:rPr>
              <w:t>FN-föreskrift 66</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Frontalkollisionsskydd</w:t>
            </w:r>
          </w:p>
        </w:tc>
        <w:tc>
          <w:tcPr>
            <w:tcW w:w="3081" w:type="dxa"/>
            <w:shd w:val="clear" w:color="auto" w:fill="auto"/>
          </w:tcPr>
          <w:p>
            <w:pPr>
              <w:shd w:val="clear" w:color="auto" w:fill="FFFFFF"/>
              <w:spacing w:line="240" w:lineRule="atLeast"/>
              <w:jc w:val="left"/>
              <w:rPr>
                <w:noProof/>
              </w:rPr>
            </w:pPr>
            <w:r>
              <w:rPr>
                <w:noProof/>
              </w:rPr>
              <w:t>FN-föreskrift 94</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vAlign w:val="bottom"/>
          </w:tcPr>
          <w:p>
            <w:pPr>
              <w:shd w:val="clear" w:color="auto" w:fill="FFFFFF"/>
              <w:spacing w:line="240" w:lineRule="atLeast"/>
              <w:jc w:val="left"/>
              <w:rPr>
                <w:noProof/>
              </w:rPr>
            </w:pPr>
            <w:r>
              <w:rPr>
                <w:noProof/>
              </w:rPr>
              <w:t>Sidokollisionsskydd</w:t>
            </w:r>
          </w:p>
        </w:tc>
        <w:tc>
          <w:tcPr>
            <w:tcW w:w="3081" w:type="dxa"/>
            <w:shd w:val="clear" w:color="auto" w:fill="auto"/>
            <w:vAlign w:val="bottom"/>
          </w:tcPr>
          <w:p>
            <w:pPr>
              <w:shd w:val="clear" w:color="auto" w:fill="FFFFFF"/>
              <w:spacing w:line="240" w:lineRule="atLeast"/>
              <w:jc w:val="left"/>
              <w:rPr>
                <w:noProof/>
              </w:rPr>
            </w:pPr>
            <w:r>
              <w:rPr>
                <w:noProof/>
              </w:rPr>
              <w:t>FN-föreskrift 95</w:t>
            </w:r>
          </w:p>
        </w:tc>
        <w:tc>
          <w:tcPr>
            <w:tcW w:w="3081" w:type="dxa"/>
            <w:shd w:val="clear" w:color="auto" w:fill="auto"/>
            <w:vAlign w:val="bottom"/>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Fordon avsedda för transport av farligt gods</w:t>
            </w:r>
          </w:p>
        </w:tc>
        <w:tc>
          <w:tcPr>
            <w:tcW w:w="3081" w:type="dxa"/>
            <w:shd w:val="clear" w:color="auto" w:fill="auto"/>
          </w:tcPr>
          <w:p>
            <w:pPr>
              <w:shd w:val="clear" w:color="auto" w:fill="FFFFFF"/>
              <w:spacing w:line="240" w:lineRule="atLeast"/>
              <w:jc w:val="left"/>
              <w:rPr>
                <w:noProof/>
              </w:rPr>
            </w:pPr>
            <w:r>
              <w:rPr>
                <w:noProof/>
              </w:rPr>
              <w:t>FN-föreskrift 105</w:t>
            </w:r>
          </w:p>
        </w:tc>
        <w:tc>
          <w:tcPr>
            <w:tcW w:w="3081" w:type="dxa"/>
            <w:shd w:val="clear" w:color="auto" w:fill="auto"/>
          </w:tcPr>
          <w:p>
            <w:pPr>
              <w:shd w:val="clear" w:color="auto" w:fill="FFFFFF"/>
              <w:spacing w:line="240" w:lineRule="atLeast"/>
              <w:jc w:val="left"/>
              <w:rPr>
                <w:noProof/>
              </w:rPr>
            </w:pPr>
          </w:p>
        </w:tc>
      </w:tr>
      <w:tr>
        <w:tc>
          <w:tcPr>
            <w:tcW w:w="3080" w:type="dxa"/>
            <w:shd w:val="clear" w:color="auto" w:fill="auto"/>
          </w:tcPr>
          <w:p>
            <w:pPr>
              <w:shd w:val="clear" w:color="auto" w:fill="FFFFFF"/>
              <w:spacing w:line="240" w:lineRule="atLeast"/>
              <w:jc w:val="left"/>
              <w:rPr>
                <w:noProof/>
              </w:rPr>
            </w:pPr>
            <w:r>
              <w:rPr>
                <w:noProof/>
              </w:rPr>
              <w:t>Främre underkörningsskydd</w:t>
            </w:r>
          </w:p>
        </w:tc>
        <w:tc>
          <w:tcPr>
            <w:tcW w:w="3081" w:type="dxa"/>
            <w:shd w:val="clear" w:color="auto" w:fill="auto"/>
          </w:tcPr>
          <w:p>
            <w:pPr>
              <w:shd w:val="clear" w:color="auto" w:fill="FFFFFF"/>
              <w:spacing w:line="240" w:lineRule="atLeast"/>
              <w:jc w:val="left"/>
              <w:rPr>
                <w:noProof/>
              </w:rPr>
            </w:pPr>
            <w:r>
              <w:rPr>
                <w:noProof/>
              </w:rPr>
              <w:t>FN-föreskrift 93</w:t>
            </w:r>
          </w:p>
        </w:tc>
        <w:tc>
          <w:tcPr>
            <w:tcW w:w="3081" w:type="dxa"/>
            <w:shd w:val="clear" w:color="auto" w:fill="auto"/>
          </w:tcPr>
          <w:p>
            <w:pPr>
              <w:shd w:val="clear" w:color="auto" w:fill="FFFFFF"/>
              <w:spacing w:line="240" w:lineRule="atLeast"/>
              <w:jc w:val="left"/>
              <w:rPr>
                <w:noProof/>
              </w:rPr>
            </w:pPr>
          </w:p>
        </w:tc>
      </w:tr>
    </w:tbl>
    <w:p>
      <w:pPr>
        <w:widowControl w:val="0"/>
        <w:spacing w:after="0" w:line="360" w:lineRule="auto"/>
        <w:jc w:val="left"/>
        <w:outlineLvl w:val="0"/>
        <w:rPr>
          <w:noProof/>
        </w:rPr>
        <w:sectPr>
          <w:pgSz w:w="11906" w:h="16838"/>
          <w:pgMar w:top="1020" w:right="1701" w:bottom="1020" w:left="1587" w:header="601" w:footer="1077" w:gutter="0"/>
          <w:cols w:space="720"/>
          <w:docGrid w:linePitch="326"/>
        </w:sectPr>
      </w:pPr>
    </w:p>
    <w:p>
      <w:pPr>
        <w:widowControl w:val="0"/>
        <w:spacing w:after="0" w:line="360" w:lineRule="auto"/>
        <w:jc w:val="right"/>
        <w:outlineLvl w:val="0"/>
        <w:rPr>
          <w:noProof/>
        </w:rPr>
      </w:pPr>
      <w:r>
        <w:rPr>
          <w:noProof/>
        </w:rPr>
        <w:t>Bilaga 2</w:t>
      </w:r>
    </w:p>
    <w:p>
      <w:pPr>
        <w:widowControl w:val="0"/>
        <w:spacing w:after="0" w:line="360" w:lineRule="auto"/>
        <w:jc w:val="center"/>
        <w:outlineLvl w:val="0"/>
        <w:rPr>
          <w:noProof/>
        </w:rPr>
      </w:pPr>
      <w:r>
        <w:rPr>
          <w:noProof/>
        </w:rPr>
        <w:t>Tillägg 2-C-3</w:t>
      </w:r>
    </w:p>
    <w:p>
      <w:pPr>
        <w:widowControl w:val="0"/>
        <w:spacing w:after="0" w:line="360" w:lineRule="auto"/>
        <w:jc w:val="center"/>
        <w:outlineLvl w:val="0"/>
        <w:rPr>
          <w:noProof/>
        </w:rPr>
      </w:pPr>
      <w:r>
        <w:rPr>
          <w:noProof/>
        </w:rPr>
        <w:t>Tabell 1</w:t>
      </w:r>
    </w:p>
    <w:p>
      <w:pPr>
        <w:widowControl w:val="0"/>
        <w:spacing w:after="0" w:line="360" w:lineRule="auto"/>
        <w:jc w:val="center"/>
        <w:outlineLvl w:val="0"/>
        <w:rPr>
          <w:b/>
          <w:noProof/>
        </w:rPr>
      </w:pPr>
      <w:r>
        <w:rPr>
          <w:b/>
          <w:noProof/>
        </w:rPr>
        <w:t>Förteckning som avses i artikel 3 a ii i bilaga 2-C</w:t>
      </w: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3"/>
        <w:gridCol w:w="2136"/>
        <w:gridCol w:w="262"/>
        <w:gridCol w:w="119"/>
        <w:gridCol w:w="1916"/>
        <w:gridCol w:w="6"/>
        <w:gridCol w:w="23"/>
        <w:gridCol w:w="1771"/>
        <w:gridCol w:w="8"/>
        <w:gridCol w:w="22"/>
        <w:gridCol w:w="2720"/>
        <w:gridCol w:w="11"/>
        <w:gridCol w:w="17"/>
      </w:tblGrid>
      <w:tr>
        <w:trPr>
          <w:gridAfter w:val="1"/>
          <w:wAfter w:w="20" w:type="dxa"/>
          <w:tblHeader/>
          <w:jc w:val="center"/>
        </w:trPr>
        <w:tc>
          <w:tcPr>
            <w:tcW w:w="4149"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Ämne</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Krav</w:t>
            </w:r>
          </w:p>
        </w:tc>
        <w:tc>
          <w:tcPr>
            <w:tcW w:w="288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Motsvarande koreanska</w:t>
            </w:r>
            <w:r>
              <w:rPr>
                <w:noProof/>
              </w:rPr>
              <w:br/>
              <w:t>tekniska föreskrifter</w:t>
            </w:r>
          </w:p>
        </w:tc>
      </w:tr>
      <w:tr>
        <w:trPr>
          <w:gridAfter w:val="1"/>
          <w:wAfter w:w="20" w:type="dxa"/>
          <w:jc w:val="center"/>
        </w:trPr>
        <w:tc>
          <w:tcPr>
            <w:tcW w:w="2226" w:type="dxa"/>
            <w:gridSpan w:val="4"/>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Passagerarskydd</w:t>
            </w:r>
          </w:p>
          <w:p>
            <w:pPr>
              <w:widowControl w:val="0"/>
              <w:spacing w:after="0" w:line="276" w:lineRule="auto"/>
              <w:jc w:val="left"/>
              <w:rPr>
                <w:noProof/>
              </w:rPr>
            </w:pPr>
            <w:r>
              <w:rPr>
                <w:noProof/>
              </w:rPr>
              <w:t>vid kollision</w:t>
            </w:r>
          </w:p>
        </w:tc>
        <w:tc>
          <w:tcPr>
            <w:tcW w:w="1923"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Frontalkollision</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FN-föreskrift 94 </w:t>
            </w:r>
          </w:p>
        </w:tc>
        <w:tc>
          <w:tcPr>
            <w:tcW w:w="2883"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KMVSS</w:t>
            </w:r>
            <w:r>
              <w:rPr>
                <w:rStyle w:val="FootnoteReference"/>
                <w:noProof/>
              </w:rPr>
              <w:footnoteReference w:id="4"/>
            </w:r>
            <w:r>
              <w:rPr>
                <w:noProof/>
              </w:rPr>
              <w:t>, artikel 102</w:t>
            </w:r>
          </w:p>
          <w:p>
            <w:pPr>
              <w:widowControl w:val="0"/>
              <w:spacing w:after="0" w:line="276" w:lineRule="auto"/>
              <w:jc w:val="left"/>
              <w:rPr>
                <w:noProof/>
              </w:rPr>
            </w:pPr>
            <w:r>
              <w:rPr>
                <w:noProof/>
              </w:rPr>
              <w:t>punkterna 1 och 3</w:t>
            </w:r>
          </w:p>
        </w:tc>
      </w:tr>
      <w:tr>
        <w:trPr>
          <w:gridAfter w:val="1"/>
          <w:wAfter w:w="20" w:type="dxa"/>
          <w:jc w:val="center"/>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1923"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Sidokollision</w:t>
            </w:r>
          </w:p>
        </w:tc>
        <w:tc>
          <w:tcPr>
            <w:tcW w:w="1982"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FN-föreskrift 95</w:t>
            </w:r>
          </w:p>
        </w:tc>
        <w:tc>
          <w:tcPr>
            <w:tcW w:w="2883"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KMVSS, artikel 102</w:t>
            </w:r>
          </w:p>
          <w:p>
            <w:pPr>
              <w:widowControl w:val="0"/>
              <w:spacing w:after="0" w:line="276" w:lineRule="auto"/>
              <w:jc w:val="left"/>
              <w:rPr>
                <w:noProof/>
              </w:rPr>
            </w:pPr>
            <w:r>
              <w:rPr>
                <w:noProof/>
              </w:rPr>
              <w:t>punkt 1</w:t>
            </w:r>
          </w:p>
        </w:tc>
      </w:tr>
      <w:tr>
        <w:trPr>
          <w:gridAfter w:val="1"/>
          <w:wAfter w:w="20" w:type="dxa"/>
          <w:jc w:val="center"/>
        </w:trPr>
        <w:tc>
          <w:tcPr>
            <w:tcW w:w="4149"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Styrinrättningens förskjutning bakåt</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FN-föreskrift 12</w:t>
            </w:r>
          </w:p>
        </w:tc>
        <w:tc>
          <w:tcPr>
            <w:tcW w:w="288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KMVSS, artikel 89.1.2</w:t>
            </w:r>
          </w:p>
        </w:tc>
      </w:tr>
      <w:tr>
        <w:trPr>
          <w:gridAfter w:val="1"/>
          <w:wAfter w:w="20" w:type="dxa"/>
          <w:jc w:val="center"/>
        </w:trPr>
        <w:tc>
          <w:tcPr>
            <w:tcW w:w="4149"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Skydd för föraren mot styrinrättningen i händelse av en sammanstötning</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FN-föreskrift 12</w:t>
            </w:r>
          </w:p>
        </w:tc>
        <w:tc>
          <w:tcPr>
            <w:tcW w:w="288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KMVSS, artikel 89.1.1</w:t>
            </w:r>
          </w:p>
        </w:tc>
      </w:tr>
      <w:tr>
        <w:trPr>
          <w:gridAfter w:val="1"/>
          <w:wAfter w:w="20" w:type="dxa"/>
          <w:jc w:val="center"/>
        </w:trPr>
        <w:tc>
          <w:tcPr>
            <w:tcW w:w="4149"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Säten</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FN-föreskrift 17</w:t>
            </w:r>
          </w:p>
        </w:tc>
        <w:tc>
          <w:tcPr>
            <w:tcW w:w="288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KMVSS, artikel 97</w:t>
            </w:r>
          </w:p>
        </w:tc>
      </w:tr>
      <w:tr>
        <w:trPr>
          <w:gridAfter w:val="1"/>
          <w:wAfter w:w="20" w:type="dxa"/>
          <w:jc w:val="center"/>
        </w:trPr>
        <w:tc>
          <w:tcPr>
            <w:tcW w:w="4149"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Huvudstöd</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FN-föreskrift 17, </w:t>
            </w:r>
            <w:r>
              <w:rPr>
                <w:noProof/>
              </w:rPr>
              <w:br/>
              <w:t>FN-föreskrift 25,</w:t>
            </w:r>
            <w:r>
              <w:rPr>
                <w:noProof/>
              </w:rPr>
              <w:br/>
              <w:t>GTR 7</w:t>
            </w:r>
          </w:p>
        </w:tc>
        <w:tc>
          <w:tcPr>
            <w:tcW w:w="288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KMVSS, artiklarna 26 och 99</w:t>
            </w:r>
          </w:p>
        </w:tc>
      </w:tr>
      <w:tr>
        <w:trPr>
          <w:gridAfter w:val="1"/>
          <w:wAfter w:w="20" w:type="dxa"/>
          <w:jc w:val="center"/>
        </w:trPr>
        <w:tc>
          <w:tcPr>
            <w:tcW w:w="4149"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Dörrlås och dörrfasthållningsanordningar</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FN-föreskrift 11,</w:t>
            </w:r>
            <w:r>
              <w:rPr>
                <w:noProof/>
              </w:rPr>
              <w:br/>
              <w:t>GTR 1</w:t>
            </w:r>
          </w:p>
        </w:tc>
        <w:tc>
          <w:tcPr>
            <w:tcW w:w="288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KMVSS, artikel 104.2</w:t>
            </w:r>
          </w:p>
        </w:tc>
      </w:tr>
      <w:tr>
        <w:trPr>
          <w:gridAfter w:val="1"/>
          <w:wAfter w:w="20" w:type="dxa"/>
          <w:jc w:val="center"/>
        </w:trPr>
        <w:tc>
          <w:tcPr>
            <w:tcW w:w="4149"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Instrumentpanel vid sammanstötning</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FN-föreskrift 21</w:t>
            </w:r>
          </w:p>
        </w:tc>
        <w:tc>
          <w:tcPr>
            <w:tcW w:w="288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KMVSS, artikel 88</w:t>
            </w:r>
          </w:p>
        </w:tc>
      </w:tr>
      <w:tr>
        <w:trPr>
          <w:gridAfter w:val="1"/>
          <w:wAfter w:w="20" w:type="dxa"/>
          <w:jc w:val="center"/>
        </w:trPr>
        <w:tc>
          <w:tcPr>
            <w:tcW w:w="4149"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Ryggstöd vid sammanstötning</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FN-föreskrift 21</w:t>
            </w:r>
          </w:p>
        </w:tc>
        <w:tc>
          <w:tcPr>
            <w:tcW w:w="288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KMVSS, artikel 98</w:t>
            </w:r>
          </w:p>
        </w:tc>
      </w:tr>
      <w:tr>
        <w:trPr>
          <w:gridAfter w:val="1"/>
          <w:wAfter w:w="20" w:type="dxa"/>
          <w:jc w:val="center"/>
        </w:trPr>
        <w:tc>
          <w:tcPr>
            <w:tcW w:w="4149"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Armstöd vid sammanstötning</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FN-föreskrift 21</w:t>
            </w:r>
          </w:p>
        </w:tc>
        <w:tc>
          <w:tcPr>
            <w:tcW w:w="288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KMVSS, artikel 100</w:t>
            </w:r>
          </w:p>
        </w:tc>
      </w:tr>
      <w:tr>
        <w:trPr>
          <w:gridAfter w:val="1"/>
          <w:wAfter w:w="20" w:type="dxa"/>
          <w:jc w:val="center"/>
        </w:trPr>
        <w:tc>
          <w:tcPr>
            <w:tcW w:w="4149"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Solskydd vid sammanstötning</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FN-föreskrift 21</w:t>
            </w:r>
          </w:p>
        </w:tc>
        <w:tc>
          <w:tcPr>
            <w:tcW w:w="288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KMVSS, artikel 101</w:t>
            </w:r>
          </w:p>
        </w:tc>
      </w:tr>
      <w:tr>
        <w:trPr>
          <w:gridAfter w:val="1"/>
          <w:wAfter w:w="20" w:type="dxa"/>
          <w:jc w:val="center"/>
        </w:trPr>
        <w:tc>
          <w:tcPr>
            <w:tcW w:w="4149"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Inre backspegel vid sammanstötning</w:t>
            </w:r>
          </w:p>
        </w:tc>
        <w:tc>
          <w:tcPr>
            <w:tcW w:w="198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FN-föreskrift 46</w:t>
            </w:r>
          </w:p>
        </w:tc>
        <w:tc>
          <w:tcPr>
            <w:tcW w:w="288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KMVSS, artikel 108</w:t>
            </w:r>
          </w:p>
        </w:tc>
      </w:tr>
      <w:tr>
        <w:trPr>
          <w:gridAfter w:val="2"/>
          <w:wAfter w:w="31" w:type="dxa"/>
          <w:jc w:val="center"/>
        </w:trPr>
        <w:tc>
          <w:tcPr>
            <w:tcW w:w="4143" w:type="dxa"/>
            <w:gridSpan w:val="5"/>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Bogseringsanordningar</w:t>
            </w:r>
          </w:p>
        </w:tc>
        <w:tc>
          <w:tcPr>
            <w:tcW w:w="1980"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Förordning (EU) nr 1005/2010</w:t>
            </w:r>
          </w:p>
        </w:tc>
        <w:tc>
          <w:tcPr>
            <w:tcW w:w="2880"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KMVSS, artikel 20.1 </w:t>
            </w:r>
          </w:p>
        </w:tc>
      </w:tr>
      <w:tr>
        <w:trPr>
          <w:gridAfter w:val="2"/>
          <w:wAfter w:w="31" w:type="dxa"/>
          <w:jc w:val="center"/>
        </w:trPr>
        <w:tc>
          <w:tcPr>
            <w:tcW w:w="4143" w:type="dxa"/>
            <w:gridSpan w:val="5"/>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Bakre underkörningsskydd</w:t>
            </w:r>
          </w:p>
        </w:tc>
        <w:tc>
          <w:tcPr>
            <w:tcW w:w="1980"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FN-föreskrift 58</w:t>
            </w:r>
          </w:p>
        </w:tc>
        <w:tc>
          <w:tcPr>
            <w:tcW w:w="2880"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KMVSS, artiklarna 19.4 och 96 </w:t>
            </w:r>
          </w:p>
        </w:tc>
      </w:tr>
      <w:tr>
        <w:trPr>
          <w:gridBefore w:val="1"/>
          <w:wBefore w:w="29" w:type="dxa"/>
          <w:jc w:val="center"/>
        </w:trPr>
        <w:tc>
          <w:tcPr>
            <w:tcW w:w="180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pageBreakBefore/>
              <w:widowControl w:val="0"/>
              <w:spacing w:after="0" w:line="276" w:lineRule="auto"/>
              <w:jc w:val="left"/>
              <w:rPr>
                <w:noProof/>
              </w:rPr>
            </w:pPr>
            <w:r>
              <w:rPr>
                <w:noProof/>
              </w:rPr>
              <w:t xml:space="preserve">Belysnings- och </w:t>
            </w:r>
            <w:r>
              <w:rPr>
                <w:noProof/>
              </w:rPr>
              <w:br w:type="page"/>
              <w:t>ljussignalanordningar</w:t>
            </w: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Montering</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FN-föreskrift 48</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KMVSS, artiklarna 38, 38-2, 38-3, 38-4, 38-5, 39, 40, 41, 42, 43, 44, 44-2, 45, 45-2, 47 och 49</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Strålkastare</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FN-föreskrift 1, 2, 5, 8, 20, 31, 37 </w:t>
            </w:r>
          </w:p>
          <w:p>
            <w:pPr>
              <w:widowControl w:val="0"/>
              <w:spacing w:after="0" w:line="276" w:lineRule="auto"/>
              <w:jc w:val="left"/>
              <w:rPr>
                <w:noProof/>
              </w:rPr>
            </w:pPr>
            <w:r>
              <w:rPr>
                <w:noProof/>
              </w:rPr>
              <w:t xml:space="preserve">FN-föreskrift 98, 99, 112, 113, 123 </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KMVSS, artiklarna 38, 48.3</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Dimstrålkastare</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FN-föreskrift 19</w:t>
            </w:r>
          </w:p>
        </w:tc>
        <w:tc>
          <w:tcPr>
            <w:tcW w:w="2881" w:type="dxa"/>
            <w:gridSpan w:val="3"/>
            <w:tcBorders>
              <w:top w:val="single" w:sz="4" w:space="0" w:color="auto"/>
              <w:left w:val="single" w:sz="4" w:space="0" w:color="auto"/>
              <w:bottom w:val="single" w:sz="4" w:space="0" w:color="auto"/>
              <w:right w:val="single" w:sz="4" w:space="0" w:color="auto"/>
            </w:tcBorders>
            <w:vAlign w:val="center"/>
          </w:tcPr>
          <w:p>
            <w:pPr>
              <w:widowControl w:val="0"/>
              <w:spacing w:after="0" w:line="276" w:lineRule="auto"/>
              <w:jc w:val="left"/>
              <w:rPr>
                <w:noProof/>
              </w:rPr>
            </w:pPr>
            <w:r>
              <w:rPr>
                <w:noProof/>
              </w:rPr>
              <w:t>KMVSS, artikel 38-2.1</w:t>
            </w:r>
          </w:p>
          <w:p>
            <w:pPr>
              <w:widowControl w:val="0"/>
              <w:spacing w:after="0" w:line="276" w:lineRule="auto"/>
              <w:jc w:val="left"/>
              <w:rPr>
                <w:noProof/>
              </w:rPr>
            </w:pP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Varsellyktor</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FN-föreskrift 87</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KMVSS, artikel 38-4</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Kurvtagningslyktor</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FN-föreskrift 119</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KMVSS, artikel 38-5</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Backningsstrålkastare</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FN-föreskrift 23</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KMVSS, artikel 39</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Markeringslyktor</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FN-föreskrift 7</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KMVSS, artikel 40</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Skyltlyktor</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FN-föreskrift 4</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KMVSS, artikel 41</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Baklyktor</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FN-föreskrift 7</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KMVSS, artikel 42</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Stopplyktor</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FN-föreskrift 7</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KMVSS, artikel 43.1</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Stopplyktor, monterade</w:t>
            </w:r>
          </w:p>
          <w:p>
            <w:pPr>
              <w:widowControl w:val="0"/>
              <w:spacing w:after="0" w:line="276" w:lineRule="auto"/>
              <w:jc w:val="left"/>
              <w:rPr>
                <w:noProof/>
              </w:rPr>
            </w:pPr>
            <w:r>
              <w:rPr>
                <w:noProof/>
              </w:rPr>
              <w:t>högt upp i mitten</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FN-föreskrift 7</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KMVSS, artikel 43.2</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Körriktningsvisare</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FN-föreskrift 6</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KMVSS, artikel 44</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Extra körriktningsvisare</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FN-föreskrift 7</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KMVSS, artikel 44</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Sidomarkeringslyktor</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FN-föreskrift 91</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KMVSS, artikel 44-2</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Dimbaklyktor </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FN-föreskrift 38</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KMVSS, artikel 38-2</w:t>
            </w:r>
          </w:p>
          <w:p>
            <w:pPr>
              <w:widowControl w:val="0"/>
              <w:spacing w:after="0" w:line="276" w:lineRule="auto"/>
              <w:jc w:val="left"/>
              <w:rPr>
                <w:noProof/>
              </w:rPr>
            </w:pPr>
            <w:r>
              <w:rPr>
                <w:noProof/>
              </w:rPr>
              <w:t>punkt 2</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Reflexanordningar</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FN-föreskrift 70,</w:t>
            </w:r>
            <w:r>
              <w:rPr>
                <w:noProof/>
              </w:rPr>
              <w:br/>
              <w:t>FN-föreskrift 3</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 xml:space="preserve">KMVSS, artikel 49 </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pageBreakBefore/>
              <w:widowControl w:val="0"/>
              <w:spacing w:after="0" w:line="276" w:lineRule="auto"/>
              <w:jc w:val="left"/>
              <w:rPr>
                <w:noProof/>
              </w:rPr>
            </w:pPr>
            <w:r>
              <w:rPr>
                <w:noProof/>
              </w:rPr>
              <w:t>Förarens sikt</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FN-föreskrift 46</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KMVSS, artikel 50</w:t>
            </w:r>
          </w:p>
          <w:p>
            <w:pPr>
              <w:widowControl w:val="0"/>
              <w:spacing w:after="0" w:line="276" w:lineRule="auto"/>
              <w:jc w:val="left"/>
              <w:rPr>
                <w:noProof/>
              </w:rPr>
            </w:pPr>
            <w:r>
              <w:rPr>
                <w:noProof/>
              </w:rPr>
              <w:t>artikel 94</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Motoreffekt</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FN-föreskrift 85</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KMVSS, artikel 111</w:t>
            </w:r>
          </w:p>
        </w:tc>
      </w:tr>
      <w:tr>
        <w:trPr>
          <w:gridBefore w:val="1"/>
          <w:wBefore w:w="29" w:type="dxa"/>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Anordningar för att säkra förarens sikt</w:t>
            </w: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Vindrutetorkare</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Förordning </w:t>
            </w:r>
          </w:p>
          <w:p>
            <w:pPr>
              <w:widowControl w:val="0"/>
              <w:spacing w:after="0" w:line="276" w:lineRule="auto"/>
              <w:jc w:val="left"/>
              <w:rPr>
                <w:noProof/>
              </w:rPr>
            </w:pPr>
            <w:r>
              <w:rPr>
                <w:noProof/>
              </w:rPr>
              <w:t>(EU) nr 1008/2010</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 xml:space="preserve">KMVSS, artiklarna 51.2 och 109.1 </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Avfrostningsanordning</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Förordning (EU) nr 672/2010</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KMVSS, artikel 109.2</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Avimningsanordning </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Förordning (EU) nr 672/2010</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KMVSS, artikel 109.3</w:t>
            </w:r>
          </w:p>
        </w:tc>
      </w:tr>
      <w:tr>
        <w:trPr>
          <w:gridBefore w:val="1"/>
          <w:wBefore w:w="2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c>
          <w:tcPr>
            <w:tcW w:w="234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Vindrutespolare</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Förordning (EU) nr 1008/2010</w:t>
            </w:r>
          </w:p>
        </w:tc>
        <w:tc>
          <w:tcPr>
            <w:tcW w:w="28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KMVSS, artikel 109.4</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Bromsar för personbilar</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FN-föreskrift 13H</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KMVSS, artiklarna 15 och 90.1 </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Bromssystem, utom för personbilar och släpvagnar</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FN-föreskrift 13</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KMVSS, artiklarna 15 och 90.2</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Bromssystem för släpvagnar</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FN-föreskrift 13</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KMVSS, artiklarna 15 och 90.3</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Låsningsfria bromssystem, utom för släpvagnar</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FN-föreskrift 13 </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KMVSS, artiklarna 15 och 90.4</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Låsningsfria bromssystem för släpvagnar</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FN-föreskrift 13</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KMVSS, artiklarna 15 och 90.5</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br w:type="page"/>
              <w:t>Aktiveringskraft</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FN-föreskrift 79</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KMVSS, artiklarna 14</w:t>
            </w:r>
          </w:p>
          <w:p>
            <w:pPr>
              <w:widowControl w:val="0"/>
              <w:spacing w:after="0" w:line="276" w:lineRule="auto"/>
              <w:jc w:val="left"/>
              <w:rPr>
                <w:noProof/>
              </w:rPr>
            </w:pPr>
            <w:r>
              <w:rPr>
                <w:noProof/>
              </w:rPr>
              <w:t xml:space="preserve">och 89.2 </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Hastighetsbegränsande anordningar</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FN-föreskrift 89</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KMVSS, artikel 110-2</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Hastighetsmätare</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FN-föreskrift 39</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KMVSS, artikel 110 </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Elektromagnetisk kompatibilitet</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FN-föreskrift 10</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KMVSS, artikel 111-2</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Bränsleläckage vid kollision</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FN-föreskrift 34,</w:t>
            </w:r>
            <w:r>
              <w:rPr>
                <w:noProof/>
              </w:rPr>
              <w:br/>
              <w:t>FN-föreskrift 94,</w:t>
            </w:r>
            <w:r>
              <w:rPr>
                <w:noProof/>
              </w:rPr>
              <w:br/>
              <w:t>FN-föreskrift 95</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KMVSS, artikel 91</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pageBreakBefore/>
              <w:widowControl w:val="0"/>
              <w:spacing w:after="0" w:line="276" w:lineRule="auto"/>
              <w:jc w:val="left"/>
              <w:rPr>
                <w:noProof/>
              </w:rPr>
            </w:pPr>
            <w:r>
              <w:rPr>
                <w:noProof/>
              </w:rPr>
              <w:t>Stötfångare vid sammanstötning</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FN-föreskrift 42</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KMVSS, artikel 93</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Säkerhetsbältenas förankringar</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FN-föreskrift 14, </w:t>
            </w:r>
          </w:p>
          <w:p>
            <w:pPr>
              <w:widowControl w:val="0"/>
              <w:spacing w:after="0" w:line="276" w:lineRule="auto"/>
              <w:jc w:val="left"/>
              <w:rPr>
                <w:noProof/>
              </w:rPr>
            </w:pPr>
            <w:r>
              <w:rPr>
                <w:noProof/>
              </w:rPr>
              <w:t>FN-föreskrift 16</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KMVSS, artikel 27.1–27.4; artikel 103 </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Förankringar för bilbarnstolar</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FN-föreskrift 14 </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KMVSS, artiklarna 27-2 och 103-2</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Ljud från signalhorn, buller vid stillastående och buller från förbipasserande fordon (med fyra hjul)</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FN-föreskrift 28,</w:t>
            </w:r>
          </w:p>
          <w:p>
            <w:pPr>
              <w:widowControl w:val="0"/>
              <w:spacing w:after="0" w:line="276" w:lineRule="auto"/>
              <w:jc w:val="left"/>
              <w:rPr>
                <w:noProof/>
              </w:rPr>
            </w:pPr>
            <w:r>
              <w:rPr>
                <w:noProof/>
              </w:rPr>
              <w:t>FN-föreskrift 51</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KMVSS, artiklarna 35 och 53, NVCA, artikel 30, och tillhörande förordning från miljöministeriet</w:t>
            </w:r>
            <w:r>
              <w:rPr>
                <w:rStyle w:val="FootnoteReference"/>
                <w:noProof/>
              </w:rPr>
              <w:footnoteReference w:id="5"/>
            </w:r>
            <w:r>
              <w:rPr>
                <w:noProof/>
              </w:rPr>
              <w:t xml:space="preserve"> (</w:t>
            </w:r>
            <w:r>
              <w:rPr>
                <w:i/>
                <w:noProof/>
              </w:rPr>
              <w:t>Ordinance of MOE</w:t>
            </w:r>
            <w:r>
              <w:rPr>
                <w:noProof/>
              </w:rPr>
              <w:t>), artikel 29</w:t>
            </w: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Utsläpp och buller (utom buller från förbipasserande fordon med tre eller fyra hjul) för motorcyklar</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 xml:space="preserve">FN-föreskrift 40 </w:t>
            </w:r>
            <w:r>
              <w:rPr>
                <w:noProof/>
              </w:rPr>
              <w:br/>
              <w:t xml:space="preserve">FN-föreskrift 41 </w:t>
            </w:r>
            <w:r>
              <w:rPr>
                <w:noProof/>
              </w:rPr>
              <w:br/>
              <w:t xml:space="preserve">FN-föreskrift 47 </w:t>
            </w:r>
          </w:p>
          <w:p>
            <w:pPr>
              <w:widowControl w:val="0"/>
              <w:spacing w:after="0" w:line="276" w:lineRule="auto"/>
              <w:jc w:val="left"/>
              <w:rPr>
                <w:noProof/>
              </w:rPr>
            </w:pPr>
            <w:r>
              <w:rPr>
                <w:noProof/>
              </w:rPr>
              <w:t>Förordningar (EU) nr 168/2013 och (EU) nr 134/2014</w:t>
            </w:r>
          </w:p>
        </w:tc>
        <w:tc>
          <w:tcPr>
            <w:tcW w:w="28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CACA</w:t>
            </w:r>
            <w:r>
              <w:rPr>
                <w:rStyle w:val="FootnoteReference"/>
                <w:noProof/>
              </w:rPr>
              <w:footnoteReference w:id="6"/>
            </w:r>
            <w:r>
              <w:rPr>
                <w:noProof/>
              </w:rPr>
              <w:t>, artikel 46, och tillhörande förordning från miljöministeriet (</w:t>
            </w:r>
            <w:r>
              <w:rPr>
                <w:i/>
                <w:noProof/>
              </w:rPr>
              <w:t>Ordinance of MOE</w:t>
            </w:r>
            <w:r>
              <w:rPr>
                <w:noProof/>
              </w:rPr>
              <w:t>), artikel 62, samt NVCA, artikel 30, och tillhörande förordning från miljöministeriet (</w:t>
            </w:r>
            <w:r>
              <w:rPr>
                <w:i/>
                <w:noProof/>
              </w:rPr>
              <w:t>Ordinance of MOE</w:t>
            </w:r>
            <w:r>
              <w:rPr>
                <w:noProof/>
              </w:rPr>
              <w:t>), artikel 29</w:t>
            </w:r>
          </w:p>
        </w:tc>
      </w:tr>
      <w:tr>
        <w:trPr>
          <w:gridBefore w:val="1"/>
          <w:wBefore w:w="29" w:type="dxa"/>
          <w:jc w:val="center"/>
        </w:trPr>
        <w:tc>
          <w:tcPr>
            <w:tcW w:w="2070" w:type="dxa"/>
            <w:gridSpan w:val="2"/>
            <w:vMerge w:val="restart"/>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 xml:space="preserve">Utsläpp från dieselmotorer </w:t>
            </w:r>
            <w:r>
              <w:rPr>
                <w:noProof/>
              </w:rPr>
              <w:br/>
              <w:t>(inkl. OBD)</w:t>
            </w:r>
          </w:p>
        </w:tc>
        <w:tc>
          <w:tcPr>
            <w:tcW w:w="2073" w:type="dxa"/>
            <w:gridSpan w:val="4"/>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Fordon &lt; 3,5 ton</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lang w:val="nn-NO"/>
              </w:rPr>
            </w:pPr>
            <w:r>
              <w:rPr>
                <w:noProof/>
                <w:lang w:val="nn-NO"/>
              </w:rPr>
              <w:t xml:space="preserve">FN-föreskrift 83, </w:t>
            </w:r>
            <w:r>
              <w:rPr>
                <w:noProof/>
                <w:lang w:val="nn-NO"/>
              </w:rPr>
              <w:br/>
              <w:t>FN-föreskrift 24</w:t>
            </w:r>
          </w:p>
          <w:p>
            <w:pPr>
              <w:widowControl w:val="0"/>
              <w:spacing w:after="0" w:line="276" w:lineRule="auto"/>
              <w:jc w:val="left"/>
              <w:rPr>
                <w:noProof/>
                <w:lang w:val="nn-NO"/>
              </w:rPr>
            </w:pPr>
            <w:r>
              <w:rPr>
                <w:noProof/>
                <w:lang w:val="nn-NO"/>
              </w:rPr>
              <w:t>Förordningar (EG) nr 715/2007, (EG) nr 692/2008, (EU) nr 459/2012</w:t>
            </w:r>
          </w:p>
        </w:tc>
        <w:tc>
          <w:tcPr>
            <w:tcW w:w="2881" w:type="dxa"/>
            <w:gridSpan w:val="3"/>
            <w:vMerge w:val="restart"/>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CACA, artikel 46, och tillhörande förordning från miljöministeriet (</w:t>
            </w:r>
            <w:r>
              <w:rPr>
                <w:i/>
                <w:noProof/>
              </w:rPr>
              <w:t>Ordinance of MOE</w:t>
            </w:r>
            <w:r>
              <w:rPr>
                <w:noProof/>
              </w:rPr>
              <w:t>), artikel 62</w:t>
            </w:r>
          </w:p>
        </w:tc>
      </w:tr>
      <w:tr>
        <w:trPr>
          <w:gridBefore w:val="1"/>
          <w:wBefore w:w="29" w:type="dxa"/>
          <w:jc w:val="center"/>
        </w:trPr>
        <w:tc>
          <w:tcPr>
            <w:tcW w:w="0" w:type="auto"/>
            <w:gridSpan w:val="2"/>
            <w:vMerge/>
            <w:tcBorders>
              <w:top w:val="single" w:sz="4" w:space="0" w:color="auto"/>
              <w:left w:val="single" w:sz="4" w:space="0" w:color="auto"/>
              <w:bottom w:val="single" w:sz="4" w:space="0" w:color="auto"/>
              <w:right w:val="nil"/>
            </w:tcBorders>
            <w:vAlign w:val="center"/>
            <w:hideMark/>
          </w:tcPr>
          <w:p>
            <w:pPr>
              <w:spacing w:after="0"/>
              <w:jc w:val="left"/>
              <w:rPr>
                <w:noProof/>
              </w:rPr>
            </w:pPr>
          </w:p>
        </w:tc>
        <w:tc>
          <w:tcPr>
            <w:tcW w:w="2073" w:type="dxa"/>
            <w:gridSpan w:val="4"/>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Fordon &gt; 3,5 ton</w:t>
            </w:r>
          </w:p>
        </w:tc>
        <w:tc>
          <w:tcPr>
            <w:tcW w:w="198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pPr>
              <w:widowControl w:val="0"/>
              <w:spacing w:after="0" w:line="276" w:lineRule="auto"/>
              <w:jc w:val="left"/>
              <w:rPr>
                <w:noProof/>
              </w:rPr>
            </w:pPr>
            <w:r>
              <w:rPr>
                <w:noProof/>
              </w:rPr>
              <w:t>FN-föreskrift 49</w:t>
            </w:r>
          </w:p>
          <w:p>
            <w:pPr>
              <w:widowControl w:val="0"/>
              <w:spacing w:after="0" w:line="276" w:lineRule="auto"/>
              <w:jc w:val="left"/>
              <w:rPr>
                <w:noProof/>
              </w:rPr>
            </w:pPr>
          </w:p>
          <w:p>
            <w:pPr>
              <w:widowControl w:val="0"/>
              <w:spacing w:before="0" w:after="0" w:line="276" w:lineRule="auto"/>
              <w:jc w:val="left"/>
              <w:rPr>
                <w:noProof/>
              </w:rPr>
            </w:pPr>
            <w:r>
              <w:rPr>
                <w:noProof/>
              </w:rPr>
              <w:t>Förordningar (EG) nr 595/2009, (EU) nr 582/2011</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pPr>
              <w:spacing w:after="0"/>
              <w:jc w:val="left"/>
              <w:rPr>
                <w:noProof/>
              </w:rPr>
            </w:pPr>
          </w:p>
        </w:tc>
      </w:tr>
      <w:tr>
        <w:trPr>
          <w:gridBefore w:val="1"/>
          <w:wBefore w:w="29" w:type="dxa"/>
          <w:jc w:val="center"/>
        </w:trPr>
        <w:tc>
          <w:tcPr>
            <w:tcW w:w="4143" w:type="dxa"/>
            <w:gridSpan w:val="6"/>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 xml:space="preserve">Däck </w:t>
            </w:r>
          </w:p>
        </w:tc>
        <w:tc>
          <w:tcPr>
            <w:tcW w:w="1981" w:type="dxa"/>
            <w:gridSpan w:val="3"/>
            <w:tcBorders>
              <w:top w:val="single" w:sz="4" w:space="0" w:color="auto"/>
              <w:left w:val="single" w:sz="4" w:space="0" w:color="auto"/>
              <w:bottom w:val="single" w:sz="4" w:space="0" w:color="auto"/>
              <w:right w:val="single" w:sz="4" w:space="0" w:color="auto"/>
            </w:tcBorders>
            <w:vAlign w:val="center"/>
            <w:hideMark/>
          </w:tcPr>
          <w:p>
            <w:pPr>
              <w:widowControl w:val="0"/>
              <w:spacing w:after="0" w:line="276" w:lineRule="auto"/>
              <w:jc w:val="left"/>
              <w:rPr>
                <w:noProof/>
              </w:rPr>
            </w:pPr>
            <w:r>
              <w:rPr>
                <w:noProof/>
              </w:rPr>
              <w:t>FN-föreskrift 30, 54, 75, 106, 117, 108, 109</w:t>
            </w:r>
          </w:p>
        </w:tc>
        <w:tc>
          <w:tcPr>
            <w:tcW w:w="2881" w:type="dxa"/>
            <w:gridSpan w:val="3"/>
            <w:tcBorders>
              <w:top w:val="single" w:sz="4" w:space="0" w:color="auto"/>
              <w:left w:val="single" w:sz="4" w:space="0" w:color="auto"/>
              <w:bottom w:val="single" w:sz="4" w:space="0" w:color="auto"/>
              <w:right w:val="single" w:sz="4" w:space="0" w:color="auto"/>
            </w:tcBorders>
            <w:vAlign w:val="center"/>
          </w:tcPr>
          <w:p>
            <w:pPr>
              <w:widowControl w:val="0"/>
              <w:spacing w:after="0" w:line="276" w:lineRule="auto"/>
              <w:jc w:val="left"/>
              <w:rPr>
                <w:noProof/>
              </w:rPr>
            </w:pPr>
            <w:r>
              <w:rPr>
                <w:noProof/>
              </w:rPr>
              <w:t>Lagen om kontroll av elektriska apparaters och konsumentprodukters säkerhet, artiklarna 15, 18 och 19;</w:t>
            </w:r>
          </w:p>
          <w:p>
            <w:pPr>
              <w:widowControl w:val="0"/>
              <w:spacing w:after="0" w:line="276" w:lineRule="auto"/>
              <w:jc w:val="left"/>
              <w:rPr>
                <w:noProof/>
              </w:rPr>
            </w:pPr>
            <w:r>
              <w:rPr>
                <w:noProof/>
              </w:rPr>
              <w:t>tillämpningsföreskrifter för lagen om kontroll av elektriska apparaters och konsumentprodukters säkerhet, artiklarna 3.4 och 26;</w:t>
            </w:r>
          </w:p>
          <w:p>
            <w:pPr>
              <w:widowControl w:val="0"/>
              <w:spacing w:after="0" w:line="276" w:lineRule="auto"/>
              <w:jc w:val="left"/>
              <w:rPr>
                <w:noProof/>
              </w:rPr>
            </w:pPr>
            <w:r>
              <w:rPr>
                <w:noProof/>
              </w:rPr>
              <w:t>KMVSS, artikel 12.1</w:t>
            </w:r>
          </w:p>
        </w:tc>
      </w:tr>
    </w:tbl>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E/ECE/TRANS/505/Rev. 3.</w:t>
      </w:r>
    </w:p>
  </w:footnote>
  <w:footnote w:id="2">
    <w:p>
      <w:pPr>
        <w:pStyle w:val="FootnoteText"/>
        <w:rPr>
          <w:rFonts w:eastAsiaTheme="minorEastAsia"/>
          <w:color w:val="000000" w:themeColor="text1"/>
          <w:lang w:eastAsia="ko-KR"/>
        </w:rPr>
      </w:pPr>
      <w:r>
        <w:rPr>
          <w:rStyle w:val="FootnoteReference"/>
        </w:rPr>
        <w:footnoteRef/>
      </w:r>
      <w:r>
        <w:tab/>
      </w:r>
      <w:r>
        <w:rPr>
          <w:rFonts w:eastAsiaTheme="minorEastAsia"/>
          <w:color w:val="000000" w:themeColor="text1"/>
        </w:rPr>
        <w:t>En tom rad i tredje kolumnen (EU:s motsvarande tekniska föreskrifter) betyder att EU:s föreskrifter är desamma som FN-föreskrifterna i den andra kolumnen (Krav).</w:t>
      </w:r>
    </w:p>
  </w:footnote>
  <w:footnote w:id="3">
    <w:p>
      <w:pPr>
        <w:pStyle w:val="FootnoteText"/>
      </w:pPr>
      <w:r>
        <w:rPr>
          <w:rStyle w:val="FootnoteReference"/>
        </w:rPr>
        <w:footnoteRef/>
      </w:r>
      <w:r>
        <w:tab/>
        <w:t>Tidigare kallad ”Unece-föreskr.”.</w:t>
      </w:r>
    </w:p>
  </w:footnote>
  <w:footnote w:id="4">
    <w:p>
      <w:pPr>
        <w:pStyle w:val="FootnoteText"/>
        <w:rPr>
          <w:lang w:eastAsia="en-GB"/>
        </w:rPr>
      </w:pPr>
      <w:r>
        <w:rPr>
          <w:rStyle w:val="FootnoteReference"/>
        </w:rPr>
        <w:footnoteRef/>
      </w:r>
      <w:r>
        <w:tab/>
        <w:t xml:space="preserve">Tidigare benämnda </w:t>
      </w:r>
      <w:r>
        <w:rPr>
          <w:i/>
        </w:rPr>
        <w:t>Korea Motor Vehicle Safety Standards</w:t>
      </w:r>
      <w:r>
        <w:t xml:space="preserve"> (Koreas säkerhetsstandarder för motorfordon), bytt namn den 1 juli 2014 till </w:t>
      </w:r>
      <w:r>
        <w:rPr>
          <w:i/>
        </w:rPr>
        <w:t>Rules on the Performances and Standards of Korean Motor Vehicles and Parts</w:t>
      </w:r>
      <w:r>
        <w:t xml:space="preserve"> (Regler om prestanda och standarder för koreanska motorfordon och fordonsdelar).</w:t>
      </w:r>
    </w:p>
  </w:footnote>
  <w:footnote w:id="5">
    <w:p>
      <w:pPr>
        <w:pStyle w:val="FootnoteText"/>
      </w:pPr>
      <w:r>
        <w:rPr>
          <w:rStyle w:val="FootnoteReference"/>
        </w:rPr>
        <w:footnoteRef/>
      </w:r>
      <w:r>
        <w:tab/>
        <w:t>Koreas miljöministerium.</w:t>
      </w:r>
    </w:p>
  </w:footnote>
  <w:footnote w:id="6">
    <w:p>
      <w:pPr>
        <w:pStyle w:val="FootnoteText"/>
      </w:pPr>
      <w:r>
        <w:rPr>
          <w:rStyle w:val="FootnoteReference"/>
        </w:rPr>
        <w:footnoteRef/>
      </w:r>
      <w:r>
        <w:tab/>
        <w:t>Koreas lag om bevarande av ren luft.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FE2CB9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65EB08E"/>
    <w:lvl w:ilvl="0">
      <w:start w:val="1"/>
      <w:numFmt w:val="decimal"/>
      <w:pStyle w:val="ListNumber3"/>
      <w:lvlText w:val="%1."/>
      <w:lvlJc w:val="left"/>
      <w:pPr>
        <w:tabs>
          <w:tab w:val="num" w:pos="926"/>
        </w:tabs>
        <w:ind w:left="926" w:hanging="360"/>
      </w:pPr>
    </w:lvl>
  </w:abstractNum>
  <w:abstractNum w:abstractNumId="2">
    <w:nsid w:val="FFFFFF7F"/>
    <w:multiLevelType w:val="singleLevel"/>
    <w:tmpl w:val="73921648"/>
    <w:lvl w:ilvl="0">
      <w:start w:val="1"/>
      <w:numFmt w:val="decimal"/>
      <w:pStyle w:val="ListNumber2"/>
      <w:lvlText w:val="%1."/>
      <w:lvlJc w:val="left"/>
      <w:pPr>
        <w:tabs>
          <w:tab w:val="num" w:pos="643"/>
        </w:tabs>
        <w:ind w:left="643" w:hanging="360"/>
      </w:pPr>
    </w:lvl>
  </w:abstractNum>
  <w:abstractNum w:abstractNumId="3">
    <w:nsid w:val="FFFFFF81"/>
    <w:multiLevelType w:val="singleLevel"/>
    <w:tmpl w:val="4E5A33B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8A21C1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E5A936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93A3ADC"/>
    <w:lvl w:ilvl="0">
      <w:start w:val="1"/>
      <w:numFmt w:val="decimal"/>
      <w:pStyle w:val="ListNumber"/>
      <w:lvlText w:val="%1."/>
      <w:lvlJc w:val="left"/>
      <w:pPr>
        <w:tabs>
          <w:tab w:val="num" w:pos="360"/>
        </w:tabs>
        <w:ind w:left="360" w:hanging="360"/>
      </w:pPr>
    </w:lvl>
  </w:abstractNum>
  <w:abstractNum w:abstractNumId="7">
    <w:nsid w:val="FFFFFF89"/>
    <w:multiLevelType w:val="singleLevel"/>
    <w:tmpl w:val="51A6CF1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3"/>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04 11:53:5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till"/>
    <w:docVar w:name="LW_ACCOMPAGNANT.CP" w:val="till"/>
    <w:docVar w:name="LW_ANNEX_NBR_FIRST" w:val="1"/>
    <w:docVar w:name="LW_ANNEX_NBR_LAST" w:val="1"/>
    <w:docVar w:name="LW_ANNEX_UNIQUE" w:val="1"/>
    <w:docVar w:name="LW_CORRIGENDUM" w:val="&lt;UNUSED&gt;"/>
    <w:docVar w:name="LW_COVERPAGE_EXISTS" w:val="True"/>
    <w:docVar w:name="LW_COVERPAGE_GUID" w:val="90BD7440-FC77-4C2F-A695-49418FA64999"/>
    <w:docVar w:name="LW_COVERPAGE_TYPE" w:val="1"/>
    <w:docVar w:name="LW_CROSSREFERENCE" w:val="&lt;UNUSED&gt;"/>
    <w:docVar w:name="LW_DocType" w:val="ANNEX"/>
    <w:docVar w:name="LW_EMISSION" w:val="12.6.2019"/>
    <w:docVar w:name="LW_EMISSION_ISODATE" w:val="2019-06-12"/>
    <w:docVar w:name="LW_EMISSION_LOCATION" w:val="BRX"/>
    <w:docVar w:name="LW_EMISSION_PREFIX" w:val="Bryssel den "/>
    <w:docVar w:name="LW_EMISSION_SUFFIX" w:val=" "/>
    <w:docVar w:name="LW_ID_DOCSTRUCTURE" w:val="COM/ANNEX"/>
    <w:docVar w:name="LW_ID_DOCTYPE" w:val="SG-017"/>
    <w:docVar w:name="LW_LANGUE" w:val="SV"/>
    <w:docVar w:name="LW_LEVEL_OF_SENSITIVITY" w:val="Standard treatment"/>
    <w:docVar w:name="LW_NOM.INST" w:val="EUROPEISKA KOMMISSIONEN"/>
    <w:docVar w:name="LW_NOM.INST_JOINTDOC" w:val="&lt;EMPTY&gt;"/>
    <w:docVar w:name="LW_OBJETACTEPRINCIPAL" w:val="om den ståndpunkt som ska intas på Europeiska unionens vägnar i den handelskommitté som inrättas genom frihandelsavtalet mellan Europeiska unionen och dess medlemsstater, å ena sidan, och Republiken Korea, å andra sidan, när det gäller ändring av tilläggen 2-C-2 och 2-C-3 till bilaga 2-C till avtalet"/>
    <w:docVar w:name="LW_OBJETACTEPRINCIPAL.CP" w:val="om den ståndpunkt som ska intas på Europeiska unionens vägnar i den handelskommitté som inrättas genom frihandelsavtalet mellan Europeiska unionen och dess medlemsstater, å ena sidan, och Republiken Korea, å andra sidan, när det gäller ändring av tilläggen 2-C-2 och 2-C-3 till bilaga 2-C till avtalet"/>
    <w:docVar w:name="LW_PART_NBR" w:val="1"/>
    <w:docVar w:name="LW_PART_NBR_TOTAL" w:val="1"/>
    <w:docVar w:name="LW_REF.INST.NEW" w:val="COM"/>
    <w:docVar w:name="LW_REF.INST.NEW_ADOPTED" w:val="final"/>
    <w:docVar w:name="LW_REF.INST.NEW_TEXT" w:val="(2019) 2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LAGA"/>
    <w:docVar w:name="LW_TYPE.DOC.CP" w:val="BILAGA"/>
    <w:docVar w:name="LW_TYPEACTEPRINCIPAL" w:val="Förslag till rådets beslut"/>
    <w:docVar w:name="LW_TYPEACTEPRINCIPAL.CP" w:val="Förslag till rådets 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te1">
    <w:name w:val="En-tête #1_"/>
    <w:link w:val="En-tte10"/>
    <w:uiPriority w:val="99"/>
    <w:locked/>
    <w:rPr>
      <w:b/>
      <w:bCs/>
      <w:smallCaps/>
      <w:sz w:val="26"/>
      <w:szCs w:val="26"/>
      <w:shd w:val="clear" w:color="auto" w:fill="FFFFFF"/>
    </w:rPr>
  </w:style>
  <w:style w:type="paragraph" w:customStyle="1" w:styleId="En-tte10">
    <w:name w:val="En-tête #1"/>
    <w:basedOn w:val="Normal"/>
    <w:link w:val="En-tte1"/>
    <w:uiPriority w:val="99"/>
    <w:pPr>
      <w:widowControl w:val="0"/>
      <w:shd w:val="clear" w:color="auto" w:fill="FFFFFF"/>
      <w:spacing w:before="0" w:after="720" w:line="240" w:lineRule="atLeast"/>
      <w:jc w:val="center"/>
      <w:outlineLvl w:val="0"/>
    </w:pPr>
    <w:rPr>
      <w:rFonts w:asciiTheme="minorHAnsi" w:hAnsiTheme="minorHAnsi" w:cstheme="minorBidi"/>
      <w:b/>
      <w:bCs/>
      <w:smallCaps/>
      <w:sz w:val="26"/>
      <w:szCs w:val="26"/>
    </w:rPr>
  </w:style>
  <w:style w:type="character" w:customStyle="1" w:styleId="Lgendedutableau">
    <w:name w:val="Légende du tableau_"/>
    <w:link w:val="Lgendedutableau0"/>
    <w:uiPriority w:val="99"/>
    <w:locked/>
    <w:rPr>
      <w:b/>
      <w:bCs/>
      <w:shd w:val="clear" w:color="auto" w:fill="FFFFFF"/>
    </w:rPr>
  </w:style>
  <w:style w:type="paragraph" w:customStyle="1" w:styleId="Lgendedutableau0">
    <w:name w:val="Légende du tableau"/>
    <w:basedOn w:val="Normal"/>
    <w:link w:val="Lgendedutableau"/>
    <w:uiPriority w:val="99"/>
    <w:pPr>
      <w:widowControl w:val="0"/>
      <w:shd w:val="clear" w:color="auto" w:fill="FFFFFF"/>
      <w:spacing w:before="0" w:after="60" w:line="240" w:lineRule="atLeast"/>
      <w:jc w:val="center"/>
    </w:pPr>
    <w:rPr>
      <w:rFonts w:asciiTheme="minorHAnsi" w:hAnsiTheme="minorHAnsi" w:cstheme="minorBidi"/>
      <w:b/>
      <w:bCs/>
      <w:sz w:val="22"/>
    </w:rPr>
  </w:style>
  <w:style w:type="paragraph" w:styleId="CommentText">
    <w:name w:val="annotation text"/>
    <w:basedOn w:val="Normal"/>
    <w:link w:val="CommentTextChar"/>
    <w:uiPriority w:val="99"/>
    <w:semiHidden/>
    <w:unhideWhenUsed/>
    <w:rPr>
      <w:rFonts w:eastAsia="Calibri"/>
      <w:sz w:val="20"/>
      <w:szCs w:val="20"/>
    </w:rPr>
  </w:style>
  <w:style w:type="character" w:customStyle="1" w:styleId="CommentTextChar">
    <w:name w:val="Comment Text Char"/>
    <w:basedOn w:val="DefaultParagraphFont"/>
    <w:link w:val="CommentText"/>
    <w:uiPriority w:val="99"/>
    <w:semiHidden/>
    <w:rPr>
      <w:rFonts w:ascii="Times New Roman" w:eastAsia="Calibri" w:hAnsi="Times New Roman" w:cs="Times New Roman"/>
      <w:sz w:val="20"/>
      <w:szCs w:val="20"/>
      <w:lang w:val="sv-SE"/>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sv-SE"/>
    </w:rPr>
  </w:style>
  <w:style w:type="paragraph" w:styleId="BalloonText">
    <w:name w:val="Balloon Text"/>
    <w:basedOn w:val="Normal"/>
    <w:link w:val="BalloonTextChar"/>
    <w:uiPriority w:val="99"/>
    <w:semiHidden/>
    <w:unhideWhenUsed/>
    <w:pPr>
      <w:spacing w:before="0" w:after="0"/>
    </w:pPr>
    <w:rPr>
      <w:rFonts w:ascii="Tahoma" w:eastAsia="Calibri" w:hAnsi="Tahoma" w:cs="Tahoma"/>
      <w:sz w:val="16"/>
      <w:szCs w:val="16"/>
    </w:rPr>
  </w:style>
  <w:style w:type="paragraph" w:styleId="ListParagraph">
    <w:name w:val="List Paragraph"/>
    <w:basedOn w:val="Normal"/>
    <w:uiPriority w:val="34"/>
    <w:qFormat/>
    <w:pPr>
      <w:ind w:left="720"/>
      <w:contextualSpacing/>
    </w:pPr>
    <w:rPr>
      <w:rFonts w:eastAsia="Calibri"/>
    </w:rPr>
  </w:style>
  <w:style w:type="table" w:styleId="TableGrid">
    <w:name w:val="Table Grid"/>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te1">
    <w:name w:val="En-tête #1_"/>
    <w:link w:val="En-tte10"/>
    <w:uiPriority w:val="99"/>
    <w:locked/>
    <w:rPr>
      <w:b/>
      <w:bCs/>
      <w:smallCaps/>
      <w:sz w:val="26"/>
      <w:szCs w:val="26"/>
      <w:shd w:val="clear" w:color="auto" w:fill="FFFFFF"/>
    </w:rPr>
  </w:style>
  <w:style w:type="paragraph" w:customStyle="1" w:styleId="En-tte10">
    <w:name w:val="En-tête #1"/>
    <w:basedOn w:val="Normal"/>
    <w:link w:val="En-tte1"/>
    <w:uiPriority w:val="99"/>
    <w:pPr>
      <w:widowControl w:val="0"/>
      <w:shd w:val="clear" w:color="auto" w:fill="FFFFFF"/>
      <w:spacing w:before="0" w:after="720" w:line="240" w:lineRule="atLeast"/>
      <w:jc w:val="center"/>
      <w:outlineLvl w:val="0"/>
    </w:pPr>
    <w:rPr>
      <w:rFonts w:asciiTheme="minorHAnsi" w:hAnsiTheme="minorHAnsi" w:cstheme="minorBidi"/>
      <w:b/>
      <w:bCs/>
      <w:smallCaps/>
      <w:sz w:val="26"/>
      <w:szCs w:val="26"/>
    </w:rPr>
  </w:style>
  <w:style w:type="character" w:customStyle="1" w:styleId="Lgendedutableau">
    <w:name w:val="Légende du tableau_"/>
    <w:link w:val="Lgendedutableau0"/>
    <w:uiPriority w:val="99"/>
    <w:locked/>
    <w:rPr>
      <w:b/>
      <w:bCs/>
      <w:shd w:val="clear" w:color="auto" w:fill="FFFFFF"/>
    </w:rPr>
  </w:style>
  <w:style w:type="paragraph" w:customStyle="1" w:styleId="Lgendedutableau0">
    <w:name w:val="Légende du tableau"/>
    <w:basedOn w:val="Normal"/>
    <w:link w:val="Lgendedutableau"/>
    <w:uiPriority w:val="99"/>
    <w:pPr>
      <w:widowControl w:val="0"/>
      <w:shd w:val="clear" w:color="auto" w:fill="FFFFFF"/>
      <w:spacing w:before="0" w:after="60" w:line="240" w:lineRule="atLeast"/>
      <w:jc w:val="center"/>
    </w:pPr>
    <w:rPr>
      <w:rFonts w:asciiTheme="minorHAnsi" w:hAnsiTheme="minorHAnsi" w:cstheme="minorBidi"/>
      <w:b/>
      <w:bCs/>
      <w:sz w:val="22"/>
    </w:rPr>
  </w:style>
  <w:style w:type="paragraph" w:styleId="CommentText">
    <w:name w:val="annotation text"/>
    <w:basedOn w:val="Normal"/>
    <w:link w:val="CommentTextChar"/>
    <w:uiPriority w:val="99"/>
    <w:semiHidden/>
    <w:unhideWhenUsed/>
    <w:rPr>
      <w:rFonts w:eastAsia="Calibri"/>
      <w:sz w:val="20"/>
      <w:szCs w:val="20"/>
    </w:rPr>
  </w:style>
  <w:style w:type="character" w:customStyle="1" w:styleId="CommentTextChar">
    <w:name w:val="Comment Text Char"/>
    <w:basedOn w:val="DefaultParagraphFont"/>
    <w:link w:val="CommentText"/>
    <w:uiPriority w:val="99"/>
    <w:semiHidden/>
    <w:rPr>
      <w:rFonts w:ascii="Times New Roman" w:eastAsia="Calibri" w:hAnsi="Times New Roman" w:cs="Times New Roman"/>
      <w:sz w:val="20"/>
      <w:szCs w:val="20"/>
      <w:lang w:val="sv-SE"/>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sv-SE"/>
    </w:rPr>
  </w:style>
  <w:style w:type="paragraph" w:styleId="BalloonText">
    <w:name w:val="Balloon Text"/>
    <w:basedOn w:val="Normal"/>
    <w:link w:val="BalloonTextChar"/>
    <w:uiPriority w:val="99"/>
    <w:semiHidden/>
    <w:unhideWhenUsed/>
    <w:pPr>
      <w:spacing w:before="0" w:after="0"/>
    </w:pPr>
    <w:rPr>
      <w:rFonts w:ascii="Tahoma" w:eastAsia="Calibri" w:hAnsi="Tahoma" w:cs="Tahoma"/>
      <w:sz w:val="16"/>
      <w:szCs w:val="16"/>
    </w:rPr>
  </w:style>
  <w:style w:type="paragraph" w:styleId="ListParagraph">
    <w:name w:val="List Paragraph"/>
    <w:basedOn w:val="Normal"/>
    <w:uiPriority w:val="34"/>
    <w:qFormat/>
    <w:pPr>
      <w:ind w:left="720"/>
      <w:contextualSpacing/>
    </w:pPr>
    <w:rPr>
      <w:rFonts w:eastAsia="Calibri"/>
    </w:rPr>
  </w:style>
  <w:style w:type="table" w:styleId="TableGrid">
    <w:name w:val="Table Grid"/>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AD77FD9-C336-4FE7-94D7-389528F7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4</TotalTime>
  <Pages>18</Pages>
  <Words>2826</Words>
  <Characters>18433</Characters>
  <Application>Microsoft Office Word</Application>
  <DocSecurity>0</DocSecurity>
  <Lines>801</Lines>
  <Paragraphs>472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MOLLER Birgit (TRADE)</dc:creator>
  <cp:keywords/>
  <dc:description/>
  <cp:lastModifiedBy>WES PDFC Administrator</cp:lastModifiedBy>
  <cp:revision>8</cp:revision>
  <cp:lastPrinted>2019-05-27T08:57:00Z</cp:lastPrinted>
  <dcterms:created xsi:type="dcterms:W3CDTF">2019-05-27T10:49:00Z</dcterms:created>
  <dcterms:modified xsi:type="dcterms:W3CDTF">2019-06-04T09:53:00Z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