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36589D64-7E6F-4A8B-A398-D9280D02A82B" style="width:450.8pt;height:338.7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bookmarkStart w:id="1" w:name="_Toc484762486"/>
      <w:r>
        <w:rPr>
          <w:noProof/>
        </w:rPr>
        <w:t>1.</w:t>
      </w:r>
      <w:r>
        <w:rPr>
          <w:noProof/>
        </w:rPr>
        <w:tab/>
        <w:t>Il-kuntest tal-proposta</w:t>
      </w:r>
      <w:bookmarkEnd w:id="1"/>
    </w:p>
    <w:p>
      <w:pPr>
        <w:rPr>
          <w:noProof/>
        </w:rPr>
      </w:pPr>
      <w:r>
        <w:rPr>
          <w:noProof/>
        </w:rPr>
        <w:t>Din id-deċiżjoni tkopri l-mobilizzazzjoni tal-Fond ta’ Solidarjetà tal-Unjoni Ewropea (FSUE) fl-ammont ta’ EUR 293 551 794 biex tingħata assistenza lir-Rumanija, l-Italja u l-Awstrija wara d-diżastri li seħħew f’dawn il-pajjiżi matul l-2018. Din il-mobilizzazzjoni hija akkompanjata mill-Abbozz ta’ Baġit Emendatorju (ABE) Nru 3/2019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 jipproponi li l-approprjazzjonijiet meħtieġa jiddaħħlu fil-baġit ġenerali tal-2019 kemm bħala impenji kif ukoll f’pagamenti. </w:t>
      </w:r>
    </w:p>
    <w:p>
      <w:pPr>
        <w:pStyle w:val="ManualHeading1"/>
        <w:rPr>
          <w:noProof/>
        </w:rPr>
      </w:pPr>
      <w:bookmarkStart w:id="2" w:name="_Toc484762487"/>
      <w:r>
        <w:rPr>
          <w:noProof/>
        </w:rPr>
        <w:t>2.</w:t>
      </w:r>
      <w:r>
        <w:rPr>
          <w:noProof/>
        </w:rPr>
        <w:tab/>
        <w:t>Informazzjoni u kundizzjonijiet</w:t>
      </w:r>
      <w:bookmarkEnd w:id="2"/>
    </w:p>
    <w:p>
      <w:pPr>
        <w:pStyle w:val="ManualHeading2"/>
        <w:spacing w:before="240"/>
        <w:ind w:left="851" w:hanging="851"/>
        <w:rPr>
          <w:noProof/>
        </w:rPr>
      </w:pPr>
      <w:r>
        <w:rPr>
          <w:noProof/>
        </w:rPr>
        <w:t>2.1</w:t>
      </w:r>
      <w:r>
        <w:rPr>
          <w:noProof/>
        </w:rPr>
        <w:tab/>
        <w:t>Ir-Rumanija – għargħar fir-reġjun tal-Grigal fis-sajf tal-2018</w:t>
      </w:r>
    </w:p>
    <w:p>
      <w:pPr>
        <w:rPr>
          <w:noProof/>
        </w:rPr>
      </w:pPr>
      <w:r>
        <w:rPr>
          <w:noProof/>
        </w:rPr>
        <w:t>Minn nofs Ġunju sa kmieni f’Awwissu 2018, ir-reġjun tal-Grigal tar-Rumanija ntlaqat minn xita qawwija ripetuta u għargħar estensiv sussegwenti li wassal għal ħsara sinifikanti fl-infrastruttura u fid-djar u għal danni fl-agrikoltura.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 xml:space="preserve">Ir-Rumanija applikat għal kontribuzzjoni mill-FSUE fis-7 ta’ Settembru 2018, qabel ma għaddiet l-iskadenza ta’ 12-il ġimgħa mill-ewwel okkorrenza ta’ ħsara. L-applikazzjoni kienet limitata għar-reġjun tal-Grigal, fil-wisa’ l-aktar reġjun affettwat mill-għargħar, fejn l-ewwel ħsara kienet ġiet irreġistrata fl-16 ta’ Ġunju. Fl-ittra ta’ applikazzjoni tagħhom, l-awtoritajiet Rumeni ħabbru li ftit wara kien se jintbagħat aġġornament peress li l-valutazzjoni tal-ħsara kienet għadha mhux kompluta minħabba li l-għargħar baqa’ għaddej għal żmien twil. </w:t>
      </w:r>
    </w:p>
    <w:p>
      <w:pPr>
        <w:pStyle w:val="Point0number"/>
        <w:rPr>
          <w:noProof/>
        </w:rPr>
      </w:pPr>
      <w:r>
        <w:rPr>
          <w:noProof/>
        </w:rPr>
        <w:t>Id-diżastru huwa ta’ oriġini naturali.</w:t>
      </w:r>
    </w:p>
    <w:p>
      <w:pPr>
        <w:pStyle w:val="Point0number"/>
        <w:rPr>
          <w:noProof/>
        </w:rPr>
      </w:pPr>
      <w:r>
        <w:rPr>
          <w:noProof/>
        </w:rPr>
        <w:t>L-applikazzjoni ġiet ippreżentata abbażi tal-kriterji għal “diżastru naturali reġjonali” kif stabbilit fl-Artikolu 2(3) tar-Regolament. Fl-applikazzjoni inizjali tagħhom tas-7 ta’ Settembru l-awtoritajiet Rumeni stmaw il-ħsara totali diretta fil-livell ta’ EUR 196,8 miljun. Billi dan l-ammont jirrappreżenta biss 1,24 % tal-PDG tar-reġjun tal-livell NUTS 2 tal-Grigal affetwat, l-applikazzjoni inizjali ma ssodisfatx il-kundizzjoni essenzjali stabbilita fir-Regolament għall-mobilizzazzjoni tal-FSUE u għalhekk ma kinitx tkun eliġibbli għal kontribuzzjoni mill-Fond ta’ Solidarjetà.</w:t>
      </w:r>
    </w:p>
    <w:p>
      <w:pPr>
        <w:pStyle w:val="Point0number"/>
        <w:rPr>
          <w:noProof/>
        </w:rPr>
      </w:pPr>
      <w:r>
        <w:rPr>
          <w:noProof/>
        </w:rPr>
        <w:t>Fid-9 ta’ Ottubru 2018, l-awtoritajiet Rumeni ppreżentaw, kif kien tħabbar aktar kmieni, applikazzjoni riveduta, b’dannu dirett totali li issa jammonta għal EUR 327,7 miljun. Dan l-ammont jirrappreżenta 2,07 % tal-PDG reġjonali u għalhekk jaqbeż il-limitu meħtieġ ta’ 1,5 % tal-PDG reġjonali (jiġifieri EUR 238 miljun fil-każ tar-reġjun tal-Grigal).</w:t>
      </w:r>
    </w:p>
    <w:p>
      <w:pPr>
        <w:pStyle w:val="Point0number"/>
        <w:rPr>
          <w:noProof/>
        </w:rPr>
      </w:pPr>
      <w:r>
        <w:rPr>
          <w:noProof/>
        </w:rPr>
        <w:t xml:space="preserve">Wara li saret l-analiżi mill-Kummissjoni tal-applikazzjoni riveduta tar-Rumanija kienu għadhom jidhru għadd ta’ inkonsistenzi. Il-Kummissjoni għalhekk talbet lill-awtoritajiet Rumeni għal kjarifika, li ngħatat fit-14 ta’ Diċembru 2018. 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Point0number"/>
        <w:rPr>
          <w:noProof/>
        </w:rPr>
      </w:pPr>
      <w:r>
        <w:rPr>
          <w:noProof/>
        </w:rPr>
        <w:lastRenderedPageBreak/>
        <w:t xml:space="preserve">Fl-applikazzjoni tagħhom, l-awtoritajiet Rumeni jiddeskrivu fid-dettall l-impatt tad-diżastru. Ħalbiet ripetuti ta’ xita qawwija bejn nofs Ġunju u kmieni f’Awwissu wasslu għal għargħar u ħsara sussegwenti fl-infrastruttura, fl-agrikoltura u fid-djar privati f’kull wieħed mis-sitt kontej tar-reġjun tal-Grigal, b’mod partikolari f’Neamt, Bacau u Suceava. Dykes u digi f’passaġġi tal-ilma interni, aktar minn 4 000 km ta’ toroq maġġuri u toroq oħra nazzjonali u lokali, pontijiet, sistemi ta’ trattament tal-ilma u tad-drenaġġ, distribuzzjoni tal-elettriku u tal-gass, distribuzzjoni tal-ilma tax-xorb u sistemi ta’ irrigazzjoni, 32 skola u bini pubbliku ieħor ġarrbu ħsarat. </w:t>
      </w:r>
    </w:p>
    <w:p>
      <w:pPr>
        <w:pStyle w:val="Point0number"/>
        <w:rPr>
          <w:noProof/>
        </w:rPr>
      </w:pPr>
      <w:r>
        <w:rPr>
          <w:noProof/>
        </w:rPr>
        <w:t xml:space="preserve">L-awtoritajiet tar-Rumanija stmaw l-ispiża tal-operazzjonijiet ta’ emerġenza u ta’ rkupru, eliġibbli skont l-Artikolu 3(2) tar-Regolament, fil-livell ta’ EUR 294 miljun u ppreżentawha maqsuma skont it-tip ta’ operazzjoni. L-akbar sehem (aktar minn EUR 154 miljun) jikkonċerna l-ispejjeż għat-tisħiħ ta’ infrastruttura protettiva (imbankmenti), segwit mill-ispejjeż għar-restawr tal-infrastruttura tat-trasport ta’ aktar minn EUR 127 miljun. </w:t>
      </w:r>
    </w:p>
    <w:p>
      <w:pPr>
        <w:pStyle w:val="Point0number"/>
        <w:rPr>
          <w:noProof/>
        </w:rPr>
      </w:pPr>
      <w:r>
        <w:rPr>
          <w:noProof/>
        </w:rPr>
        <w:t>Ir-Rumanija ma talbitx li jsir ħlas bil-quddiem.</w:t>
      </w:r>
    </w:p>
    <w:p>
      <w:pPr>
        <w:pStyle w:val="Point0number"/>
        <w:spacing w:before="240"/>
        <w:rPr>
          <w:noProof/>
        </w:rPr>
      </w:pPr>
      <w:r>
        <w:rPr>
          <w:noProof/>
        </w:rPr>
        <w:t xml:space="preserve">L-awtoritajiet Rumeni kkonfermaw li ma hemm l-ebda kopertura tal-assigurazzjoni li tagħmel tajjeb għall-ispejjeż eliġibbli. </w:t>
      </w:r>
    </w:p>
    <w:p>
      <w:pPr>
        <w:pStyle w:val="Point0number"/>
        <w:spacing w:before="240"/>
        <w:rPr>
          <w:noProof/>
        </w:rPr>
      </w:pPr>
      <w:r>
        <w:rPr>
          <w:noProof/>
        </w:rPr>
        <w:t>Ir-reġjun milqut huwa parti mir-"reġjun anqas żviluppat" taħt il-Fondi Strutturali u ta' Investiment Ewropej (FSIE) għall-2014-2020. Fl-applikazzjoni tagħhom, l-awtoritajiet Rumeni ma indikawx lill-Kummissjoni l-intenzjoni tagħhom li jirrilokaw fondi mill-programmi ta’ Fondi SIE lejn miżuri tal-irkupru.</w:t>
      </w:r>
    </w:p>
    <w:p>
      <w:pPr>
        <w:pStyle w:val="Point0number"/>
        <w:spacing w:before="240"/>
        <w:rPr>
          <w:noProof/>
        </w:rPr>
      </w:pPr>
      <w:r>
        <w:rPr>
          <w:noProof/>
        </w:rPr>
        <w:t xml:space="preserve">Ir-Rumanija ma attivatx il-Mekkaniżmu tal-Unjoni għall-Protezzjoni Ċivili. </w:t>
      </w:r>
    </w:p>
    <w:p>
      <w:pPr>
        <w:pStyle w:val="Point0number"/>
        <w:rPr>
          <w:noProof/>
        </w:rPr>
      </w:pPr>
      <w:r>
        <w:rPr>
          <w:noProof/>
        </w:rPr>
        <w:t>Fir-rigward tal-implimentazzjoni tal-leġiżlazzjoni tal-Unjoni dwar il-prevenzjoni u l-ġestjoni tar-riskji tad-diżastri, bħalissa ma hemm l-ebda proċedura ta’ ksur għaddejja.</w:t>
      </w:r>
    </w:p>
    <w:p>
      <w:pPr>
        <w:pStyle w:val="ManualHeading2"/>
        <w:spacing w:before="240"/>
        <w:ind w:left="851" w:hanging="851"/>
        <w:rPr>
          <w:noProof/>
        </w:rPr>
      </w:pPr>
      <w:r>
        <w:rPr>
          <w:noProof/>
        </w:rPr>
        <w:t>2.2</w:t>
      </w:r>
      <w:r>
        <w:rPr>
          <w:noProof/>
        </w:rPr>
        <w:tab/>
        <w:t>L-Italja – każijiet ta’ temp estrem fil-ħarifa tal-2018</w:t>
      </w:r>
    </w:p>
    <w:p>
      <w:pPr>
        <w:rPr>
          <w:noProof/>
        </w:rPr>
      </w:pPr>
      <w:r>
        <w:rPr>
          <w:noProof/>
        </w:rPr>
        <w:t>F’Ottubru u kmieni f’Novembru 2018, il-parti l-kbira tar-reġjuni Taljani miż-żoni tal-Alpi fit-tramuntana sa Sqallija, batew minn każijiet ripetuti ta’ xita qawwija u riħ qawwi li wassal għal għargħar u valangi, b’mod li din il-ħarifa kienet l-iktar waħda devastanti  fl-istorja reċenti b’għadd kbir ta’ mwiet u ħsara fiżika mifruxa.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L-Italja applikat għal kontribuzzjoni finanzjarja mill-Fond tas-Solidarjetà fl-20 ta’ Diċembru 2018, qabel ma għaddiet l-iskadenza ta’ 12-il ġimgħa wara li ġiet irreġistrata l-ewwel ħsara fit-2 ta’ Ottubru. Fl-27 ta’ Marzu 2019, l-Italja ppreżentat, fuq inizjattiva tagħha stess, informazzjoni aġġornata bi stimi ta’ ħsara ogħla għal tlieta minn fost ir-reġjuni affettwati.</w:t>
      </w:r>
    </w:p>
    <w:p>
      <w:pPr>
        <w:pStyle w:val="Point0number"/>
        <w:rPr>
          <w:noProof/>
        </w:rPr>
      </w:pPr>
      <w:r>
        <w:rPr>
          <w:noProof/>
        </w:rPr>
        <w:t>Id-diżastru huwa ta’ oriġini naturali.</w:t>
      </w:r>
    </w:p>
    <w:p>
      <w:pPr>
        <w:pStyle w:val="Point0number"/>
        <w:rPr>
          <w:noProof/>
        </w:rPr>
      </w:pPr>
      <w:r>
        <w:rPr>
          <w:noProof/>
        </w:rPr>
        <w:t>L-applikazzjoni ġiet ippreżentata abbażi tal-kriterji ta’ “diżastru naturali maġġuri” kif stabbilit fl-Artikolu 2(2) tar-Regolament. L-awtoritajiet Taljani stmaw li l-ħsara diretta totali kkawżata mid-diżastru tammonta għal EUR 6,6 biljun (ammont aġġornat). Dan l-ammont jirrappreżenta aktar minn 192 % tal-limitu applikabbli għall-Italja ta’ EUR 3,4 biljun.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Point0number"/>
        <w:rPr>
          <w:noProof/>
        </w:rPr>
      </w:pPr>
      <w:r>
        <w:rPr>
          <w:noProof/>
        </w:rPr>
        <w:lastRenderedPageBreak/>
        <w:t xml:space="preserve">Fl-applikazzjoni tagħhom, l-awtoritajiet Taljani jiddeskrivu fid-dettall in-natura u l-iskala tal-qerda kkawżata mill-avvenimenti ta’ temp estrem li rriżultaw fl-agħar staġun tal-ħarifa fl-istorja reċenti. 34 persuna ġew irrapportati mejta u persuna waħda (1) nieqsa. Id-diżastru affettwa kważi r-reġjuni Taljani kollha mit-Tramuntana san-Nofsinhar, inklużi l-Friuli Venezia Giulia, il-Provinċji awtonomi ta’ Trento u Bolzano, il-Liguria, il-Lombardia, it-Toskana, l-Emilia Romagna, il-Lazio, il-Campania, il-Calabria, Sqallija, Sardenja u fuq kollox ir-reġjun tal-Veneto. Fil-Valle d’Aosta u l-Abruzzo kien hemm rapporti ta’ ħsara anqas. </w:t>
      </w:r>
    </w:p>
    <w:p>
      <w:pPr>
        <w:pStyle w:val="Point0number"/>
        <w:rPr>
          <w:noProof/>
        </w:rPr>
      </w:pPr>
      <w:r>
        <w:rPr>
          <w:noProof/>
        </w:rPr>
        <w:t>Id-diżastru kkawża b’mod partikolari interruzzjonijiet kbar fin-netwerk tat-toroq fil-livell statali, reġjonali, provinċjali u muniċipali minħabba ta’ valangi u siġar imqaċċta, b’mod li għadd ta’ muniċipalitajiet iżolati tal-muntanji u tal-kosta spiċċaw inaċessibbli. Seħħ tħarbit fin-netwerks tax-xmajjar, iċ-ċaqliq tal-inklinazzjoni, valangi u għargħar fil-biċċa l-kbira tar-reġjuni. Il-funzjonament tal-iskejjel u ta’ servizzi pubbliċi oħra ġie interrott. Il-buffuri tar-riħ li laħħqu sa 200 km/h ikkawżaw danni sinifikanti fil-foresti (madwar 8,5 miljun metru kubu ta’ injam) b’konsegwenzi serji għall-ekonomija relatata mal-injam u t-turiżmu (liftijiet, barrakki, eċċ. meqruda). Fil-Veneto, b’mod partikolari, madwar 130 sit protett ta’ Natura 2 000 ġarrbu ħsarat fuq medda ta’ aktar minn 414 000 ettaru ta’ art. Kważi f’kull reġjun kien hemm rapporti ta’ għargħar f’bini pubbliku u privat. Xi impjanti tat-trattament tas-sistemi tad-drenaġġ instaddu. In-netwerks tal-elettriku u tal-gass ġew interrotti.</w:t>
      </w:r>
    </w:p>
    <w:p>
      <w:pPr>
        <w:pStyle w:val="Point0number"/>
        <w:rPr>
          <w:noProof/>
        </w:rPr>
      </w:pPr>
      <w:r>
        <w:rPr>
          <w:noProof/>
        </w:rPr>
        <w:t xml:space="preserve">Skont l-analiżi tal-Kummissjoni, l-avvenimenti tat-temp matul il-perjodu kopert mill-applikazzjoni jistgħu jiqiesu bħala avveniment wieħed mill-perspettiva meteoroloġika u idroloġika. Barra minn hekk, il-firxa ġeografika u d-daqs tal-ammont tad-danni pretiżi mill-awtoritajiet Taljani jidhru plawżibbli, meta jitqiesu l-impatti rrappurtati mill-attivazzjonijiet tas-Servizz ta’ Mmappjar Rapidu Copernicus u mill-bażi ta’ </w:t>
      </w:r>
      <w:r>
        <w:rPr>
          <w:i/>
          <w:noProof/>
        </w:rPr>
        <w:t>data</w:t>
      </w:r>
      <w:r>
        <w:rPr>
          <w:noProof/>
        </w:rPr>
        <w:t xml:space="preserve"> tal-Laboratorju Ewropew tal-Maltempati Severi.</w:t>
      </w:r>
    </w:p>
    <w:p>
      <w:pPr>
        <w:pStyle w:val="Point0number"/>
        <w:rPr>
          <w:noProof/>
        </w:rPr>
      </w:pPr>
      <w:r>
        <w:rPr>
          <w:noProof/>
        </w:rPr>
        <w:t xml:space="preserve">L-Italja stmat l-ispiża tal-operazzjonijiet ta’ emerġenza u rkupru eliġibbli skont l-Artikolu 3(2) tar-Regolament fil-livell ta’ EUR 1 700 miljun u ppreżentata maqsuma skont it-tip ta’ operazzjoni. L-akbar sehem (aktar minn EUR 810 miljun) tal-ispejjeż eliġibbli jikkonċerna n-nefqa biex tiġi ssolidifikata l-infrastruttura protettiva. It-tieni l-akbar sehem jikkonċerna l-ispejjeż għar-restawr tal-infrastruttura ta’ aktar minn EUR 478 miljun. </w:t>
      </w:r>
    </w:p>
    <w:p>
      <w:pPr>
        <w:pStyle w:val="Point0number"/>
        <w:rPr>
          <w:noProof/>
        </w:rPr>
      </w:pPr>
      <w:r>
        <w:rPr>
          <w:noProof/>
        </w:rPr>
        <w:t>L-Italja ma talbitx li jsir ħlas bil-quddiem.</w:t>
      </w:r>
    </w:p>
    <w:p>
      <w:pPr>
        <w:pStyle w:val="Point0number"/>
        <w:rPr>
          <w:noProof/>
        </w:rPr>
      </w:pPr>
      <w:r>
        <w:rPr>
          <w:noProof/>
        </w:rPr>
        <w:t>L-awtoritajiet Taljani kkonfermaw li ma hemmx kopertura tal-assigurazzjoni li tagħmel tajjeb għall-ispejjeż eliġibbli.</w:t>
      </w:r>
    </w:p>
    <w:p>
      <w:pPr>
        <w:pStyle w:val="Point0number"/>
        <w:rPr>
          <w:noProof/>
        </w:rPr>
      </w:pPr>
      <w:r>
        <w:rPr>
          <w:noProof/>
        </w:rPr>
        <w:t>Tlieta mir-reġjuni milquta jikkwalifikaw bħala “reġjuni inqas żviluppati” taħt il-Fondi SIE 2014-2020 (il-Calabria, il-Campania u Sqallija), tnejn bħala “reġjuni fi tranżizzjoni” (l-Abruzzo u Sardinja) filwaqt li d-disa’ (9) reġjuni l-oħra huma “reġjuni aktar żviluppati”. L-awtoritajiet Taljani ma indikawx lill-Kummissjoni l-intenzjoni tagħhom li jirriallokaw fondi mill-programmi tal-Fondi SIE għall-miżuri tal-irkupru.</w:t>
      </w:r>
    </w:p>
    <w:p>
      <w:pPr>
        <w:pStyle w:val="Point0number"/>
        <w:rPr>
          <w:noProof/>
        </w:rPr>
      </w:pPr>
      <w:r>
        <w:rPr>
          <w:noProof/>
        </w:rPr>
        <w:t>L-Italja ma talbitx għall-attivazzjoni tal-Mekkaniżmu tal-Unjoni għall-Protezzjoni Ċivili. Madankollu, intbagħtet nota ta’ informazzjoni liċ-Ċentru ta’ Koordinazzjoni għal Rispons ta’ Emerġenza (ERCC) permezz tas-Sistema Komuni ta’ Komunikazzjoni u Informazzjoni f’każ ta’ Emerġenza (CECIS).</w:t>
      </w:r>
    </w:p>
    <w:p>
      <w:pPr>
        <w:pStyle w:val="Point0number"/>
        <w:rPr>
          <w:noProof/>
        </w:rPr>
      </w:pPr>
      <w:r>
        <w:rPr>
          <w:noProof/>
        </w:rPr>
        <w:t>Fir-rigward tal-implimentazzjoni tal-leġiżlazzjoni tal-Unjoni dwar il-prevenzjoni u l-ġestjoni tar-riskji tad-diżastri, bħalissa ma hemm l-ebda proċedura ta’ ksur għaddejja.</w:t>
      </w:r>
    </w:p>
    <w:p>
      <w:pPr>
        <w:pStyle w:val="ManualHeading2"/>
        <w:spacing w:before="240"/>
        <w:ind w:left="851" w:hanging="851"/>
        <w:rPr>
          <w:noProof/>
        </w:rPr>
      </w:pPr>
      <w:r>
        <w:rPr>
          <w:noProof/>
        </w:rPr>
        <w:lastRenderedPageBreak/>
        <w:t>2.3</w:t>
      </w:r>
      <w:r>
        <w:rPr>
          <w:noProof/>
        </w:rPr>
        <w:tab/>
        <w:t>L-Awstrija – każijiet ta’ temp estrem fil-ħarifa tal-2018</w:t>
      </w:r>
    </w:p>
    <w:p>
      <w:pPr>
        <w:rPr>
          <w:noProof/>
        </w:rPr>
      </w:pPr>
      <w:r>
        <w:rPr>
          <w:noProof/>
        </w:rPr>
        <w:t>Fl-aħħar ta’ Ottubru 2018, il-fenomeni meteoroloġiċi li jaffettwaw l-Italja affettwaw ukoll għadd ta’ reġjuni Alpini/tan-Nofsinhar tal-Awstrija, b’mod partikolari il-Carinthia u t-Tirol tal-Lvant.</w:t>
      </w:r>
    </w:p>
    <w:p>
      <w:pPr>
        <w:pStyle w:val="Point0number"/>
        <w:numPr>
          <w:ilvl w:val="0"/>
          <w:numId w:val="11"/>
        </w:numPr>
        <w:spacing w:before="240"/>
        <w:rPr>
          <w:noProof/>
        </w:rPr>
      </w:pPr>
      <w:r>
        <w:rPr>
          <w:noProof/>
        </w:rPr>
        <w:t>L-Awstrija applikat għal kontribuzzjoni mill-Fond tas-Solidarjetà fl-14 ta’ Jannar 2019, qabel ma għaddiet l-iskadenza ta’ 12-il ġimgħa minn meta ġiet irreġistrata l-ewwel ħsara fit-28 ta’ Ottubru 2018. Fl-20 ta’ Frar 2019, l-Awstrija ppreżentat, fuq inizjattiva tagħha stess, informazzjoni aġġornata bi stimi ta’ ħsara ftit ogħla għar-reġjuni affettwati.</w:t>
      </w:r>
    </w:p>
    <w:p>
      <w:pPr>
        <w:pStyle w:val="Point0number"/>
        <w:numPr>
          <w:ilvl w:val="0"/>
          <w:numId w:val="1"/>
        </w:numPr>
        <w:spacing w:before="240"/>
        <w:rPr>
          <w:noProof/>
        </w:rPr>
      </w:pPr>
      <w:r>
        <w:rPr>
          <w:noProof/>
        </w:rPr>
        <w:t>Id-diżastru huwa ta’ oriġini naturali.</w:t>
      </w:r>
    </w:p>
    <w:p>
      <w:pPr>
        <w:pStyle w:val="Point0number"/>
        <w:numPr>
          <w:ilvl w:val="0"/>
          <w:numId w:val="1"/>
        </w:numPr>
        <w:spacing w:before="240"/>
        <w:rPr>
          <w:noProof/>
        </w:rPr>
      </w:pPr>
      <w:r>
        <w:rPr>
          <w:noProof/>
        </w:rPr>
        <w:t>L-awtoritajiet Awstrijaki jistmaw li l-ħsara diretta totali kkawżata mid-diżastru hija ta' EUR 326,2 miljun. Dan l-ammont huwa konsiderevolment inqas mil-limitu ta’ diżastru maġġuri applikabbli għall-Awstrija fl-2018 ta’ EUR 2,1 biljun. Huwa wkoll taħt il-livell limitu għal dak li jissejjaħ diżastru reġjonali, jiġifieri 1.5 % tal-prodott domestiku gross reġjonali ppeżat skont is-sehem ta’ ħsara fir-reġjuni affettwati. Għaldaqstant, id-diżastru la jikkwalifika bħala “diżastru naturali maġġuri” u lanqas bħala “diżastru naturali reġjonali” skont it-termini tar-Regolament. Madankollu, peress li d-diżastru kien ikkawżat mill-istess kundizzjonijiet meteoroloġiċi li kkawżaw id-disastru maġġuri fl-Italja, l-awtoritajiet Awstrijaċi ppreżentaw l-applikazzjoni tagħhom skont l-hekk imsejħa “dispożizzjoni dwar pajjiż tal-viċinat”, stabbilita fl-Artikolu 2(4) tar-Regolament, li permezz tagħha pajjiż eliġibbli li jsofri mill-istess diżastru li jikkwalifika bħala diżastru maġġuri f’pajjiż tal-viċinat eliġibbli jista’ wkoll jibbenefikaw mill-għajnuna tal-Fond ta’ Solidarjetà.</w:t>
      </w:r>
    </w:p>
    <w:p>
      <w:pPr>
        <w:pStyle w:val="Point0number"/>
        <w:numPr>
          <w:ilvl w:val="0"/>
          <w:numId w:val="1"/>
        </w:numPr>
        <w:spacing w:before="240"/>
        <w:rPr>
          <w:noProof/>
        </w:rPr>
      </w:pPr>
      <w:r>
        <w:rPr>
          <w:noProof/>
        </w:rPr>
        <w:t>L-awtoritajiet Awstrijaċi pprovdew deskrizzjoni dettaljata tal-impatt tad-diżastru. L-akbar ħsara fil-wisa’ kienet ikkawżata fil-Land tal-Awstrija l-aktar lejn in-Nofsinhar, il-Carinthia, u fil-provinċja li tmiss miegħu tat-Tirol tal-Lvant, it-tnejn li huma żoni Alpini li jmissu mal-Italja. Bis-saħħa tas-sistema ta’ twissija bikrija kontra l-għargħar, it-twissijiet maħruġa lill-popolazzjoni u l-intervent rapidu tal-forzi tal-protezzjoni ċivili ma kienx hemm nies li weġġgħu jew mietu. Għadd ta’ lokalitajiet ġew evakwati bħala miżura ta’ prekawzjoni. Ix-xita qawwija u l-maltemp b’riħ ta’ veloċità sa 130 km/h wasslu, madankollu, għall-għargħar fil-bini, għal ħsara konsiderevoli minħabba r-riħ fil-foresti, valangi li mblukkaw toroq u kkawżaw qtugħ fil-provvista tal-enerġija. Aktar minn 7 000 membru tas-servizzi ta’ emerġenza inklużi l-armata, kif ukoll ħames (5) ħelikopters kienu fl-azzjoni għal diversi jiem.</w:t>
      </w:r>
    </w:p>
    <w:p>
      <w:pPr>
        <w:pStyle w:val="Point0number"/>
        <w:numPr>
          <w:ilvl w:val="0"/>
          <w:numId w:val="1"/>
        </w:numPr>
        <w:spacing w:before="240"/>
        <w:rPr>
          <w:noProof/>
        </w:rPr>
      </w:pPr>
      <w:r>
        <w:rPr>
          <w:noProof/>
        </w:rPr>
        <w:t xml:space="preserve">L-Awstrija stmat l-ispiża tal-operazzjonijiet ta’ emerġenza u rkupru eliġibbli skont l-Artikolu 3(2) tar-Regolament fil-livell ta’ EUR 214,5 miljun u ppreżentatha maqsuma skont it-tip ta’ operazzjoni. L-akbar sehem (aktar minn EUR 85 miljun) tal-ispejjeż eliġibbli jikkonċerna n-nefqa biex tiġi ssolidifikata l-infrastruttura protettiva (l-imbankamenti tax-xmajjar). It-tieni l-akbar sehem jikkonċerna l-miżuri biex tiġi evitata l-erożjoni tal-ħamrija li jammonta għal aktar minn EUR 72 miljun. 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 xml:space="preserve">L-awtoritajiet Awstrijaċi ma talbux li jsir ħlas bil-quddiem. 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L-awtoritajiet Awstrijaċi kkonfermaw li ma hemm l-ebda kopertura tal-assigurazzjoni li tagħmel tajjeb għall-ispejjeż eliġibbli.</w:t>
      </w:r>
    </w:p>
    <w:p>
      <w:pPr>
        <w:pStyle w:val="Point0number"/>
        <w:numPr>
          <w:ilvl w:val="0"/>
          <w:numId w:val="1"/>
        </w:numPr>
        <w:spacing w:before="240"/>
        <w:rPr>
          <w:noProof/>
        </w:rPr>
      </w:pPr>
      <w:r>
        <w:rPr>
          <w:noProof/>
        </w:rPr>
        <w:lastRenderedPageBreak/>
        <w:t>Ir-reġjuni milquta huma “reġjuni aktar żviluppati” skont il-Fondi Ewropej Strutturali u ta’ Investiment (2014-2020). Fl-applikazzjoni tagħhom, l-awtoritajiet Awstrijaċi indikaw li għandhom l-intenzjoni li jużaw il-flejjes mill-Programm Awstrijak għall-Iżvilupp Rurali ffinanzjat mill-Fond Agrikolu Ewropew għall-Iżvilupp Rurali għall-ħolqien mill-ġdid ta’ foresti protettivi.</w:t>
      </w:r>
    </w:p>
    <w:p>
      <w:pPr>
        <w:pStyle w:val="Point0number"/>
        <w:rPr>
          <w:noProof/>
        </w:rPr>
      </w:pPr>
      <w:r>
        <w:rPr>
          <w:noProof/>
        </w:rPr>
        <w:t>L-Awstrija ma talbitx għall-attivazzjoni tal-Mekkaniżmu tal-Unjoni għall-Protezzjoni Ċivili.</w:t>
      </w:r>
    </w:p>
    <w:p>
      <w:pPr>
        <w:pStyle w:val="Point0number"/>
        <w:rPr>
          <w:noProof/>
        </w:rPr>
      </w:pPr>
      <w:r>
        <w:rPr>
          <w:noProof/>
        </w:rPr>
        <w:t>Fir-rigward tal-implimentazzjoni tal-leġiżlazzjoni tal-Unjoni dwar il-prevenzjoni u l-ġestjoni tar-riskji tad-diżastri, bħalissa ma hemm l-ebda proċedura ta’ ksur għaddejja.</w:t>
      </w:r>
    </w:p>
    <w:p>
      <w:pPr>
        <w:pStyle w:val="ManualHeading2"/>
        <w:spacing w:before="240"/>
        <w:ind w:left="851" w:hanging="851"/>
        <w:rPr>
          <w:noProof/>
        </w:rPr>
      </w:pPr>
      <w:bookmarkStart w:id="3" w:name="_Toc484762488"/>
      <w:r>
        <w:rPr>
          <w:noProof/>
        </w:rPr>
        <w:t>2.5</w:t>
      </w:r>
      <w:r>
        <w:rPr>
          <w:noProof/>
        </w:rPr>
        <w:tab/>
        <w:t>Konklużjoni</w:t>
      </w:r>
    </w:p>
    <w:p>
      <w:pPr>
        <w:spacing w:before="360"/>
        <w:rPr>
          <w:noProof/>
        </w:rPr>
      </w:pPr>
      <w:r>
        <w:rPr>
          <w:noProof/>
        </w:rPr>
        <w:t>Minħabba r-raġunijiet stabbiliti hawn fuq, id-diżastri msemmija fl-applikazzjonijiet ippreżentati mir-Rumanija, l-Italja u l-Awstrija jissodisfaw ir-rekwiżiti biex jiġi mobilizzat il-FSUE.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Finanzjament mill-allokazzjonijiet tal-FSUE għall-201</w:t>
      </w:r>
      <w:bookmarkEnd w:id="3"/>
      <w:r>
        <w:rPr>
          <w:noProof/>
        </w:rPr>
        <w:t>9</w:t>
      </w:r>
    </w:p>
    <w:p>
      <w:pPr>
        <w:rPr>
          <w:noProof/>
        </w:rPr>
      </w:pPr>
      <w:r>
        <w:rPr>
          <w:noProof/>
        </w:rPr>
        <w:t>Ir-Regolament tal-Kunsill (UE, EURATOM) Nru 1311/2013 tat-2 ta’ Diċembru 2013 li jistabbilixxi l-qafas finanzjarju pluriennali għas-snin 2014-2020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(minn issa 'l quddiem “ir-Regolament dwar il-QFP”), u b’mod partikolari l-Artikolu 10 tiegħu, jippermetti l-mobilizzazzjoni tal-FSUE, b’limitu massimu annwali ta’ EUR 500 000 000 (prezzijiet tal-2011). Il-Punt 11 tal-Ftehim Interistituzzjonali tat-2 ta’ Diċembru 2013 bejn il-Parlament Ewropew, il-Kunsill u l-Kummissjoni dwar dixxipplina baġitarja, dwar kooperazzjoni f’materji ta’ baġit u dwar ġestjoni finanzjarja tajba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(IIA) jistabbilixxi l-modalitajiet għall-mobilizzazzjoni tal-FSUE.</w:t>
      </w:r>
    </w:p>
    <w:p>
      <w:pPr>
        <w:rPr>
          <w:noProof/>
          <w:snapToGrid w:val="0"/>
        </w:rPr>
      </w:pPr>
      <w:r>
        <w:rPr>
          <w:noProof/>
          <w:snapToGrid w:val="0"/>
        </w:rPr>
        <w:t>Billi s-solidarjetà kienet il-ġustifikazzjoni ċentrali għall-ħolqien tal-FSUE, il-Kummissjoni hija tal-fehma li jenħtieġ li l-għajnuna tkun progressiva. Dan ifisser li, skont prattika preċedenti, jenħtieġ li l-porzjon tal-ħsara li jaqbeż il-livell limitu ta’ “diżastru naturali maġġuri” għall-mobilizzazzjoni tal-FSUE (jiġifieri 0,6 % tal-ING jew EUR 3 biljun fil-prezzijiet tal-2011, skont liema minnhom ikun l-iżgħar ammont) iwassal għal intensità ta’ għajnuna akbar mill-ħsara sal-livell limitu. Ir-rata applikata fil-passat biex jiġu definiti l-allokazzjonijiet għal diżastri maġġuri hija ta' 2,5 % tal-ħsara diretta totali taħt il-livell limitu, u 6 % għall-parti tal-ħsarat 'il fuq minn dan. Għal diżastri reġjonali u diżastri aċċettati taħt id-dispożizzjoni ta’ “pajjiż tal-viċinat” ir-rata hija ta’ 2,5 %.</w:t>
      </w:r>
    </w:p>
    <w:p>
      <w:pPr>
        <w:rPr>
          <w:noProof/>
          <w:snapToGrid w:val="0"/>
        </w:rPr>
      </w:pPr>
      <w:r>
        <w:rPr>
          <w:noProof/>
          <w:snapToGrid w:val="0"/>
        </w:rPr>
        <w:t>Il-kontribuzzjoni ma tistax taqbeż l-ispiża totali stmata tal-operazzjonijiet eliġibbli. Il-metodoloġija biex tiġi kkalkulata l-għajnuna kienet imfassla fir-Rapport Annwali tal-2002-2003 dwar il-FSUE u aċċettata mill-Kunsill u mill-Parlament Ewropew.</w:t>
      </w:r>
    </w:p>
    <w:p>
      <w:pPr>
        <w:rPr>
          <w:noProof/>
        </w:rPr>
      </w:pPr>
      <w:r>
        <w:rPr>
          <w:noProof/>
        </w:rPr>
        <w:t>Abbażi tal-applikazzjonijiet mir-Rumanija, l-Italja u l-Awstrija, il-kalkolu tal-kontribuzzjoni finanzjarja mill-FSUE, ibbażat fuq l-istima tal-ħsara diretta totali kkawżata, huwa kif ġej:</w:t>
      </w:r>
    </w:p>
    <w:p>
      <w:pPr>
        <w:rPr>
          <w:noProof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329"/>
        <w:gridCol w:w="1429"/>
        <w:gridCol w:w="1497"/>
        <w:gridCol w:w="1338"/>
        <w:gridCol w:w="1417"/>
        <w:gridCol w:w="1159"/>
        <w:gridCol w:w="1085"/>
      </w:tblGrid>
      <w:tr>
        <w:trPr>
          <w:trHeight w:val="788"/>
          <w:jc w:val="center"/>
        </w:trPr>
        <w:tc>
          <w:tcPr>
            <w:tcW w:w="1248" w:type="dxa"/>
            <w:tcBorders>
              <w:bottom w:val="dotted" w:sz="4" w:space="0" w:color="auto"/>
            </w:tcBorders>
            <w:shd w:val="clear" w:color="auto" w:fill="EEECE1"/>
            <w:vAlign w:val="center"/>
            <w:hideMark/>
          </w:tcPr>
          <w:p>
            <w:pPr>
              <w:spacing w:after="0"/>
              <w:rPr>
                <w:b/>
                <w:noProof/>
                <w:snapToGrid w:val="0"/>
                <w:sz w:val="18"/>
                <w:szCs w:val="18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Stati Membri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shd w:val="clear" w:color="auto" w:fill="EEECE1"/>
          </w:tcPr>
          <w:p>
            <w:pPr>
              <w:spacing w:before="0" w:after="0"/>
              <w:ind w:right="59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t>Kwalifikazzjoni tad-diżastru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shd w:val="clear" w:color="auto" w:fill="EEECE1"/>
          </w:tcPr>
          <w:p>
            <w:pPr>
              <w:spacing w:before="0" w:after="0"/>
              <w:ind w:right="59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t>Ħsara diretta totali</w:t>
            </w:r>
          </w:p>
          <w:p>
            <w:pPr>
              <w:spacing w:before="0" w:after="0"/>
              <w:ind w:right="59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ind w:right="59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ind w:right="59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t xml:space="preserve">(f’miljuni ta’ </w:t>
            </w:r>
            <w:r>
              <w:rPr>
                <w:i/>
                <w:noProof/>
                <w:snapToGrid w:val="0"/>
                <w:sz w:val="18"/>
                <w:szCs w:val="18"/>
              </w:rPr>
              <w:lastRenderedPageBreak/>
              <w:t>EUR)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shd w:val="clear" w:color="auto" w:fill="EEECE1"/>
          </w:tcPr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lastRenderedPageBreak/>
              <w:t>Limitu minimu għal diżastru maġġuri</w:t>
            </w:r>
          </w:p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lastRenderedPageBreak/>
              <w:t>(f’miljuni ta’ EUR)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EEECE1"/>
          </w:tcPr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lastRenderedPageBreak/>
              <w:t>2,5 % tal-ħsara diretta sal-livell limitu</w:t>
            </w:r>
          </w:p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t>(f’EUR)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EECE1"/>
          </w:tcPr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t>6 % tal-ħsara diretta 'l fuq mil-livell limitu</w:t>
            </w:r>
          </w:p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b/>
                <w:i/>
                <w:noProof/>
                <w:snapToGrid w:val="0"/>
                <w:sz w:val="18"/>
                <w:szCs w:val="18"/>
              </w:rPr>
            </w:pPr>
            <w:r>
              <w:rPr>
                <w:i/>
                <w:noProof/>
                <w:snapToGrid w:val="0"/>
                <w:sz w:val="18"/>
                <w:szCs w:val="18"/>
              </w:rPr>
              <w:t>(f’EUR)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clear" w:color="auto" w:fill="EEECE1"/>
          </w:tcPr>
          <w:p>
            <w:pPr>
              <w:spacing w:before="0" w:after="0"/>
              <w:jc w:val="center"/>
              <w:rPr>
                <w:b/>
                <w:i/>
                <w:noProof/>
                <w:snapToGrid w:val="0"/>
                <w:sz w:val="18"/>
                <w:szCs w:val="18"/>
              </w:rPr>
            </w:pPr>
            <w:r>
              <w:rPr>
                <w:b/>
                <w:i/>
                <w:noProof/>
                <w:snapToGrid w:val="0"/>
                <w:sz w:val="18"/>
                <w:szCs w:val="18"/>
              </w:rPr>
              <w:t>Ammont totali tal-għajnuna proposta</w:t>
            </w:r>
          </w:p>
          <w:p>
            <w:pPr>
              <w:spacing w:before="0" w:after="0"/>
              <w:jc w:val="center"/>
              <w:rPr>
                <w:i/>
                <w:noProof/>
                <w:snapToGrid w:val="0"/>
                <w:sz w:val="18"/>
                <w:szCs w:val="18"/>
              </w:rPr>
            </w:pPr>
            <w:r>
              <w:rPr>
                <w:b/>
                <w:i/>
                <w:noProof/>
                <w:snapToGrid w:val="0"/>
                <w:sz w:val="18"/>
                <w:szCs w:val="18"/>
              </w:rPr>
              <w:t>(f’EUR)</w:t>
            </w:r>
          </w:p>
        </w:tc>
        <w:tc>
          <w:tcPr>
            <w:tcW w:w="1085" w:type="dxa"/>
            <w:tcBorders>
              <w:bottom w:val="dotted" w:sz="4" w:space="0" w:color="auto"/>
            </w:tcBorders>
            <w:shd w:val="clear" w:color="auto" w:fill="EEECE1"/>
          </w:tcPr>
          <w:p>
            <w:pPr>
              <w:spacing w:before="0" w:after="0"/>
              <w:jc w:val="center"/>
              <w:rPr>
                <w:b/>
                <w:i/>
                <w:noProof/>
                <w:snapToGrid w:val="0"/>
                <w:sz w:val="18"/>
                <w:szCs w:val="18"/>
              </w:rPr>
            </w:pPr>
            <w:r>
              <w:rPr>
                <w:b/>
                <w:i/>
                <w:noProof/>
                <w:snapToGrid w:val="0"/>
                <w:sz w:val="18"/>
                <w:szCs w:val="18"/>
              </w:rPr>
              <w:t>Ħlas bil-quddiem imħallas</w:t>
            </w:r>
          </w:p>
          <w:p>
            <w:pPr>
              <w:spacing w:before="0" w:after="0"/>
              <w:jc w:val="center"/>
              <w:rPr>
                <w:b/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b/>
                <w:i/>
                <w:noProof/>
                <w:snapToGrid w:val="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b/>
                <w:i/>
                <w:noProof/>
                <w:snapToGrid w:val="0"/>
                <w:sz w:val="18"/>
                <w:szCs w:val="18"/>
              </w:rPr>
            </w:pPr>
            <w:r>
              <w:rPr>
                <w:b/>
                <w:i/>
                <w:noProof/>
                <w:snapToGrid w:val="0"/>
                <w:sz w:val="18"/>
                <w:szCs w:val="18"/>
              </w:rPr>
              <w:lastRenderedPageBreak/>
              <w:t>(f’EUR)</w:t>
            </w:r>
          </w:p>
        </w:tc>
      </w:tr>
      <w:tr>
        <w:trPr>
          <w:jc w:val="center"/>
        </w:trPr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>
            <w:pPr>
              <w:spacing w:before="60" w:after="0"/>
              <w:jc w:val="left"/>
              <w:rPr>
                <w:noProof/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  <w:sz w:val="18"/>
                <w:szCs w:val="18"/>
              </w:rPr>
              <w:lastRenderedPageBreak/>
              <w:t>IR-RUMANIJA</w:t>
            </w: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0"/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Reġjonali </w:t>
            </w:r>
          </w:p>
          <w:p>
            <w:pPr>
              <w:spacing w:before="60" w:after="0"/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(L-Art. 2(3))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327 692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986 378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8 192 300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0"/>
              <w:jc w:val="right"/>
              <w:rPr>
                <w:b/>
                <w:i/>
                <w:iCs/>
                <w:noProof/>
                <w:sz w:val="18"/>
                <w:szCs w:val="18"/>
              </w:rPr>
            </w:pPr>
            <w:r>
              <w:rPr>
                <w:b/>
                <w:i/>
                <w:iCs/>
                <w:noProof/>
                <w:sz w:val="18"/>
                <w:szCs w:val="18"/>
              </w:rPr>
              <w:t>8 192 300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b/>
                <w:i/>
                <w:iCs/>
                <w:noProof/>
                <w:sz w:val="18"/>
                <w:szCs w:val="18"/>
              </w:rPr>
            </w:pPr>
            <w:r>
              <w:rPr>
                <w:b/>
                <w:i/>
                <w:iCs/>
                <w:noProof/>
                <w:sz w:val="18"/>
                <w:szCs w:val="18"/>
              </w:rPr>
              <w:t>0</w:t>
            </w:r>
          </w:p>
        </w:tc>
      </w:tr>
      <w:tr>
        <w:trPr>
          <w:jc w:val="center"/>
        </w:trPr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  <w:hideMark/>
          </w:tcPr>
          <w:p>
            <w:pPr>
              <w:spacing w:before="60" w:after="0"/>
              <w:jc w:val="left"/>
              <w:rPr>
                <w:noProof/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  <w:sz w:val="18"/>
                <w:szCs w:val="18"/>
              </w:rPr>
              <w:t>L-ITALJA</w:t>
            </w: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0"/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Nazzjonali</w:t>
            </w:r>
          </w:p>
          <w:p>
            <w:pPr>
              <w:spacing w:before="60" w:after="0"/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(L-Art. 2(2))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6 630 276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3 446 057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86 151 425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191 053 170</w:t>
            </w: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0"/>
              <w:jc w:val="right"/>
              <w:rPr>
                <w:b/>
                <w:i/>
                <w:iCs/>
                <w:noProof/>
                <w:sz w:val="18"/>
                <w:szCs w:val="18"/>
              </w:rPr>
            </w:pPr>
            <w:r>
              <w:rPr>
                <w:b/>
                <w:i/>
                <w:iCs/>
                <w:noProof/>
                <w:sz w:val="18"/>
                <w:szCs w:val="18"/>
              </w:rPr>
              <w:t>277 204 595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b/>
                <w:i/>
                <w:iCs/>
                <w:noProof/>
                <w:sz w:val="18"/>
                <w:szCs w:val="18"/>
              </w:rPr>
            </w:pPr>
            <w:r>
              <w:rPr>
                <w:b/>
                <w:i/>
                <w:iCs/>
                <w:noProof/>
                <w:sz w:val="18"/>
                <w:szCs w:val="18"/>
              </w:rPr>
              <w:t>0</w:t>
            </w:r>
          </w:p>
        </w:tc>
      </w:tr>
      <w:tr>
        <w:trPr>
          <w:jc w:val="center"/>
        </w:trPr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>
            <w:pPr>
              <w:spacing w:before="60" w:after="0"/>
              <w:jc w:val="left"/>
              <w:rPr>
                <w:noProof/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  <w:sz w:val="18"/>
                <w:szCs w:val="18"/>
              </w:rPr>
              <w:t>L-AWSTRIJA</w:t>
            </w: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0"/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Pajjiż fil-viċinat</w:t>
            </w:r>
          </w:p>
          <w:p>
            <w:pPr>
              <w:spacing w:before="60" w:after="0"/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(L-Art. 2(4))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326 196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2 118 701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8 154 899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0"/>
              <w:jc w:val="right"/>
              <w:rPr>
                <w:b/>
                <w:i/>
                <w:iCs/>
                <w:noProof/>
                <w:sz w:val="18"/>
                <w:szCs w:val="18"/>
              </w:rPr>
            </w:pPr>
            <w:r>
              <w:rPr>
                <w:b/>
                <w:i/>
                <w:iCs/>
                <w:noProof/>
                <w:sz w:val="18"/>
                <w:szCs w:val="18"/>
              </w:rPr>
              <w:t>8 154 899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b/>
                <w:i/>
                <w:iCs/>
                <w:noProof/>
                <w:sz w:val="18"/>
                <w:szCs w:val="18"/>
              </w:rPr>
            </w:pPr>
            <w:r>
              <w:rPr>
                <w:b/>
                <w:i/>
                <w:iCs/>
                <w:noProof/>
                <w:sz w:val="18"/>
                <w:szCs w:val="18"/>
              </w:rPr>
              <w:t>0</w:t>
            </w:r>
          </w:p>
        </w:tc>
      </w:tr>
      <w:tr>
        <w:trPr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>
            <w:pPr>
              <w:spacing w:before="60" w:after="0"/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>
            <w:pPr>
              <w:spacing w:before="60" w:after="0"/>
              <w:jc w:val="left"/>
              <w:rPr>
                <w:i/>
                <w:iCs/>
                <w:noProof/>
                <w:sz w:val="18"/>
                <w:szCs w:val="18"/>
                <w:highlight w:val="yellow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6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293 551 794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0</w:t>
            </w:r>
          </w:p>
        </w:tc>
      </w:tr>
    </w:tbl>
    <w:p>
      <w:pPr>
        <w:rPr>
          <w:noProof/>
        </w:rPr>
      </w:pPr>
      <w:r>
        <w:rPr>
          <w:noProof/>
        </w:rPr>
        <w:t>Skont l-Artikolu 10(1) tar-Regolament dwar il-QFP, l-ammont totali disponibbli għall-mobilizzazzjoni tal-FSUE fil-bidu tal-2019 kien ta’ EUR 851 082 072, billi hija s-somma tal-allokazzjoni tal-2019 ta’ EUR 585 829 691, flimkien mal-allokazzjoni tal-2018 ta’ EUR 265 252 381 li baqgħu ma ntefqux u li ġew riportati għall-2019.</w:t>
      </w:r>
    </w:p>
    <w:p>
      <w:pPr>
        <w:rPr>
          <w:noProof/>
        </w:rPr>
      </w:pPr>
      <w:r>
        <w:rPr>
          <w:noProof/>
        </w:rPr>
        <w:t>L-ammont li jista’ jiġi mobilizzat f’dan l-istadju tas-sena 2019 huwa ta’ EUR 704 624 649. Dan jikkorrispondi għall-ammont totali disponibbli għall-mobilizzazzjoni tal-FSUE fil-bidu tal-2019 (EUR 851 082 072), nieqes l-ammont miżmum ta’ EUR 146 457 423 sabiex jiġi rispettat l-obbligu li jitwarrbu 25 % mill-allokazzjoni annwali tal-2019 sal-1 ta’ Ottubru 2019 kif stipulat mill-Artikolu 10(1) tar-Regolament dwar il-QFP.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44"/>
        <w:gridCol w:w="1897"/>
      </w:tblGrid>
      <w:tr>
        <w:trPr>
          <w:trHeight w:val="490"/>
          <w:jc w:val="center"/>
        </w:trPr>
        <w:tc>
          <w:tcPr>
            <w:tcW w:w="6644" w:type="dxa"/>
            <w:shd w:val="clear" w:color="auto" w:fill="D9D9D9" w:themeFill="background1" w:themeFillShade="D9"/>
            <w:vAlign w:val="center"/>
          </w:tcPr>
          <w:p>
            <w:pPr>
              <w:keepNext/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Tabella sommarja tal-finanzjament mill-FSUE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>
            <w:pPr>
              <w:keepNext/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Ammont</w:t>
            </w:r>
          </w:p>
          <w:p>
            <w:pPr>
              <w:keepNext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EUR</w:t>
            </w:r>
          </w:p>
        </w:tc>
      </w:tr>
      <w:tr>
        <w:trPr>
          <w:trHeight w:val="258"/>
          <w:jc w:val="center"/>
        </w:trPr>
        <w:tc>
          <w:tcPr>
            <w:tcW w:w="6644" w:type="dxa"/>
          </w:tcPr>
          <w:p>
            <w:pPr>
              <w:keepNext/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Allokazzjoni tal-2018 riportata għall-2019</w:t>
            </w:r>
          </w:p>
        </w:tc>
        <w:tc>
          <w:tcPr>
            <w:tcW w:w="1897" w:type="dxa"/>
          </w:tcPr>
          <w:p>
            <w:pPr>
              <w:keepNext/>
              <w:spacing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265 252 381</w:t>
            </w:r>
          </w:p>
        </w:tc>
      </w:tr>
      <w:tr>
        <w:trPr>
          <w:trHeight w:val="297"/>
          <w:jc w:val="center"/>
        </w:trPr>
        <w:tc>
          <w:tcPr>
            <w:tcW w:w="6644" w:type="dxa"/>
          </w:tcPr>
          <w:p>
            <w:pPr>
              <w:keepNext/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Allokazzjoni tal-2019</w:t>
            </w:r>
          </w:p>
        </w:tc>
        <w:tc>
          <w:tcPr>
            <w:tcW w:w="1897" w:type="dxa"/>
          </w:tcPr>
          <w:p>
            <w:pPr>
              <w:keepNext/>
              <w:spacing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585 829 691</w:t>
            </w:r>
          </w:p>
          <w:p>
            <w:pPr>
              <w:keepNext/>
              <w:spacing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---------------</w:t>
            </w:r>
          </w:p>
        </w:tc>
      </w:tr>
      <w:tr>
        <w:trPr>
          <w:trHeight w:val="245"/>
          <w:jc w:val="center"/>
        </w:trPr>
        <w:tc>
          <w:tcPr>
            <w:tcW w:w="6644" w:type="dxa"/>
          </w:tcPr>
          <w:p>
            <w:pPr>
              <w:keepNext/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Total disponibbli fil-bidu tal-2019</w:t>
            </w:r>
          </w:p>
        </w:tc>
        <w:tc>
          <w:tcPr>
            <w:tcW w:w="1897" w:type="dxa"/>
          </w:tcPr>
          <w:p>
            <w:pPr>
              <w:keepNext/>
              <w:spacing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851 082 072</w:t>
            </w:r>
          </w:p>
        </w:tc>
      </w:tr>
      <w:tr>
        <w:trPr>
          <w:trHeight w:val="299"/>
          <w:jc w:val="center"/>
        </w:trPr>
        <w:tc>
          <w:tcPr>
            <w:tcW w:w="6644" w:type="dxa"/>
          </w:tcPr>
          <w:p>
            <w:pPr>
              <w:keepNext/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Bit-tnaqqis ta’ 25 % tal-allokazzjoni tal-2019 miżmum</w:t>
            </w:r>
          </w:p>
        </w:tc>
        <w:tc>
          <w:tcPr>
            <w:tcW w:w="1897" w:type="dxa"/>
          </w:tcPr>
          <w:p>
            <w:pPr>
              <w:keepNext/>
              <w:spacing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-146 457 423</w:t>
            </w:r>
          </w:p>
          <w:p>
            <w:pPr>
              <w:keepNext/>
              <w:spacing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----------------</w:t>
            </w:r>
          </w:p>
        </w:tc>
      </w:tr>
      <w:tr>
        <w:trPr>
          <w:trHeight w:val="245"/>
          <w:jc w:val="center"/>
        </w:trPr>
        <w:tc>
          <w:tcPr>
            <w:tcW w:w="6644" w:type="dxa"/>
          </w:tcPr>
          <w:p>
            <w:pPr>
              <w:keepNext/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Ammont massimu disponibbli attwalment (allokazzjonijiet tal-2018+2019)</w:t>
            </w:r>
          </w:p>
        </w:tc>
        <w:tc>
          <w:tcPr>
            <w:tcW w:w="1897" w:type="dxa"/>
          </w:tcPr>
          <w:p>
            <w:pPr>
              <w:keepNext/>
              <w:spacing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704 624 649</w:t>
            </w:r>
          </w:p>
        </w:tc>
      </w:tr>
      <w:tr>
        <w:trPr>
          <w:trHeight w:val="245"/>
          <w:jc w:val="center"/>
        </w:trPr>
        <w:tc>
          <w:tcPr>
            <w:tcW w:w="6644" w:type="dxa"/>
          </w:tcPr>
          <w:p>
            <w:pPr>
              <w:keepNext/>
              <w:spacing w:after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Ammont totali ta’ għajnuna proposta biex tiġi mobilizzata għar-Rumanija, l-Italja u l-Awstrija</w:t>
            </w:r>
          </w:p>
        </w:tc>
        <w:tc>
          <w:tcPr>
            <w:tcW w:w="1897" w:type="dxa"/>
          </w:tcPr>
          <w:p>
            <w:pPr>
              <w:keepNext/>
              <w:spacing w:after="0"/>
              <w:jc w:val="right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- 293 551 794</w:t>
            </w:r>
          </w:p>
          <w:p>
            <w:pPr>
              <w:keepNext/>
              <w:spacing w:after="0"/>
              <w:jc w:val="right"/>
              <w:rPr>
                <w:bCs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----------------</w:t>
            </w:r>
          </w:p>
        </w:tc>
      </w:tr>
      <w:tr>
        <w:trPr>
          <w:trHeight w:val="258"/>
          <w:jc w:val="center"/>
        </w:trPr>
        <w:tc>
          <w:tcPr>
            <w:tcW w:w="6644" w:type="dxa"/>
          </w:tcPr>
          <w:p>
            <w:pPr>
              <w:keepNext/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Disponibbiltajiet li fadal sal-1 ta’ Ottubru 2019</w:t>
            </w:r>
          </w:p>
        </w:tc>
        <w:tc>
          <w:tcPr>
            <w:tcW w:w="1897" w:type="dxa"/>
          </w:tcPr>
          <w:p>
            <w:pPr>
              <w:keepNext/>
              <w:spacing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411 072 855</w:t>
            </w:r>
          </w:p>
        </w:tc>
      </w:tr>
    </w:tbl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il-mobilizzazzjoni tal-Fond ta' Solidarjetà tal-Unjoni Ewropea biex tingħata assistenza lir-Rumanija, l-Italja u l-Awstrija</w:t>
      </w:r>
    </w:p>
    <w:p>
      <w:pPr>
        <w:pStyle w:val="Institutionquiagit"/>
        <w:spacing w:before="480" w:after="360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</w:t>
      </w:r>
    </w:p>
    <w:p>
      <w:pPr>
        <w:rPr>
          <w:noProof/>
        </w:rPr>
      </w:pPr>
      <w:r>
        <w:rPr>
          <w:noProof/>
        </w:rPr>
        <w:t>Wara li kkunsidraw ir-Regolament tal-Kunsill (KE) Nru 2012/2002 tal-11 ta' Novembru 2002 li jistabbilixxi l-Fond ta' Solidarjetà tal-Unjoni Ewropea</w:t>
      </w:r>
      <w:r>
        <w:rPr>
          <w:rStyle w:val="FootnoteReference"/>
          <w:noProof/>
        </w:rPr>
        <w:footnoteReference w:id="4"/>
      </w:r>
      <w:r>
        <w:rPr>
          <w:noProof/>
        </w:rPr>
        <w:t>, u b'mod partikolari l-Artikolu 4(3) tiegħu,</w:t>
      </w:r>
    </w:p>
    <w:p>
      <w:pPr>
        <w:rPr>
          <w:noProof/>
        </w:rPr>
      </w:pPr>
      <w:r>
        <w:rPr>
          <w:noProof/>
        </w:rPr>
        <w:t>Wara li kkunsidraw il-Ftehim Interistituzzjonali tat-2 ta' Diċembru 2013 bejn il-Parlament Ewropew, il-Kunsill u l-Kummissjoni dwar dixxiplina baġitarja, dwar kooperazzjoni f'materji baġitarji u dwar ġestjoni finanzjarja tajba</w:t>
      </w:r>
      <w:r>
        <w:rPr>
          <w:rStyle w:val="FootnoteReference"/>
          <w:noProof/>
        </w:rPr>
        <w:footnoteReference w:id="5"/>
      </w:r>
      <w:r>
        <w:rPr>
          <w:noProof/>
        </w:rPr>
        <w:t>, u b'mod partikolari l-punt 11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spacing w:after="360"/>
        <w:rPr>
          <w:noProof/>
        </w:rPr>
      </w:pPr>
      <w:r>
        <w:rPr>
          <w:noProof/>
        </w:rPr>
        <w:t>Billi:</w:t>
      </w:r>
    </w:p>
    <w:p>
      <w:pPr>
        <w:pStyle w:val="Point0number"/>
        <w:numPr>
          <w:ilvl w:val="0"/>
          <w:numId w:val="12"/>
        </w:numPr>
        <w:rPr>
          <w:noProof/>
        </w:rPr>
      </w:pPr>
      <w:r>
        <w:rPr>
          <w:noProof/>
        </w:rPr>
        <w:t xml:space="preserve">Il-Fond ta’ Solidarjetà tal-Unjoni Ewropea ("il-Fond") għandu l-għan li jippermetti lill-Unjoni tirrispondi b’mod rapidu, effiċjenti u flessibbli għal sitwazzjonijiet ta’ emerġenza sabiex tintwera solidarjetà mal-popolazzjonijiet tar-reġjuni milquta minn diżastri naturali. </w:t>
      </w:r>
    </w:p>
    <w:p>
      <w:pPr>
        <w:pStyle w:val="Point0number"/>
        <w:rPr>
          <w:noProof/>
        </w:rPr>
      </w:pPr>
      <w:r>
        <w:rPr>
          <w:noProof/>
        </w:rPr>
        <w:t>Il-Fond ma għandux jaqbeż l-ammont annwali massimu ta’ EUR 500 000 000 (bil-prezzijiet tal-2011), kif stabbilit fl-Artikolu 10 tar-Regolament tal-Kunsill (UE, Euratom) Nru 1311/2013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Point0number"/>
        <w:rPr>
          <w:noProof/>
        </w:rPr>
      </w:pPr>
      <w:r>
        <w:rPr>
          <w:noProof/>
        </w:rPr>
        <w:t>Fit-7 ta’ Settembru 2018, ir-Rumanija ressqet applikazzjoni biex timmobilizza l-Fond, wara avvenimenti ta’ temp estrem li ħolqu għargħar estensiv.</w:t>
      </w:r>
    </w:p>
    <w:p>
      <w:pPr>
        <w:pStyle w:val="Point0number"/>
        <w:rPr>
          <w:noProof/>
        </w:rPr>
      </w:pPr>
      <w:r>
        <w:rPr>
          <w:noProof/>
        </w:rPr>
        <w:t>Fl-20 ta’ Diċembru 2018, l-Italja ressqet applikazzjoni biex timmobilizza l-Fond, wara avvenimenti ta’ temp estrem.</w:t>
      </w:r>
    </w:p>
    <w:p>
      <w:pPr>
        <w:pStyle w:val="Point0number"/>
        <w:rPr>
          <w:noProof/>
        </w:rPr>
      </w:pPr>
      <w:r>
        <w:rPr>
          <w:noProof/>
        </w:rPr>
        <w:t>Fl-14 ta’ Jannar 2019, l-Awstrija ressqet applikazzjoni biex timmobilizza l-Fond, wara avvenimenti ta’ temp estrem.</w:t>
      </w:r>
    </w:p>
    <w:p>
      <w:pPr>
        <w:pStyle w:val="Point0number"/>
        <w:rPr>
          <w:noProof/>
        </w:rPr>
      </w:pPr>
      <w:r>
        <w:rPr>
          <w:noProof/>
        </w:rPr>
        <w:t>L-applikazzjonijiet mir-Rumanija, l-Italja u l-Awstrija jissodisfaw il-kundizzjonjiet sabiex tingħata kontribuzzjoni finanzjarja mill-Fond, kif stabbilit fl-Artikolu 4 tar-Regolament (KE) Nru 2012/2002.</w:t>
      </w:r>
    </w:p>
    <w:p>
      <w:pPr>
        <w:pStyle w:val="Point0number"/>
        <w:rPr>
          <w:noProof/>
        </w:rPr>
      </w:pPr>
      <w:r>
        <w:rPr>
          <w:noProof/>
        </w:rPr>
        <w:t>Għaldaqstant, jenħtieġ li l-Fond jiġi mobilizzat sabiex jipprovdi kontribuzzjoni finanzjarja lir-Rumanija, l-Italja u l-Awstrija.</w:t>
      </w:r>
    </w:p>
    <w:p>
      <w:pPr>
        <w:pStyle w:val="Point0number"/>
        <w:rPr>
          <w:noProof/>
        </w:rPr>
      </w:pPr>
      <w:r>
        <w:rPr>
          <w:noProof/>
        </w:rPr>
        <w:t>Sabiex jitnaqqas kemm jista' jkun iż-żmien biex il-Fond jiġi mobilizzat, din id-Deċiżjoni jenħtieġ li tapplika mid-data tal-adozzjoni tagħha,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ADOTTAW DIN ID-DEĊIŻJONI:</w:t>
      </w:r>
    </w:p>
    <w:p>
      <w:pPr>
        <w:pStyle w:val="Titrearticle"/>
        <w:spacing w:before="240"/>
        <w:rPr>
          <w:noProof/>
        </w:rPr>
      </w:pPr>
      <w:r>
        <w:rPr>
          <w:noProof/>
        </w:rPr>
        <w:t>Artikolu 1</w:t>
      </w:r>
    </w:p>
    <w:p>
      <w:pPr>
        <w:pStyle w:val="FootnoteText"/>
        <w:spacing w:before="120" w:after="120"/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Għall-baġit ġenerali tal-Unjoni Ewropea għas-sena finanzjarja 2019, il-Fond ta' Solidarjetà tal-Unjoni Ewropea għandu jkun mobilizzat kif ġej f'approprjazzjonijiet ta' impenn u ta' pagament:</w:t>
      </w:r>
    </w:p>
    <w:p>
      <w:pPr>
        <w:pStyle w:val="FootnoteText"/>
        <w:spacing w:before="120" w:after="120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(a) l-ammont ta’ EUR 8 192 300 għandu jiġi pprovdut lir-Rumanija;</w:t>
      </w:r>
    </w:p>
    <w:p>
      <w:pPr>
        <w:pStyle w:val="FootnoteText"/>
        <w:spacing w:before="120" w:after="120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(b) l-ammont ta’ EUR 277 204 595 għandu jiġi pprovdut lill-Italja;</w:t>
      </w:r>
    </w:p>
    <w:p>
      <w:pPr>
        <w:pStyle w:val="FootnoteText"/>
        <w:spacing w:before="120" w:after="120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(c) l-ammont ta’ EUR 8 154 899 għandu jiġi pprovdut lill-Awstrija.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għandha tidħol fis-seħħ fil-jum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i/>
          <w:noProof/>
        </w:rPr>
      </w:pPr>
      <w:r>
        <w:rPr>
          <w:noProof/>
        </w:rPr>
        <w:t>Għandha tapplika minn… [</w:t>
      </w:r>
      <w:r>
        <w:rPr>
          <w:i/>
          <w:noProof/>
        </w:rPr>
        <w:t>id-data tal-adozzjoni tagħha</w:t>
      </w:r>
      <w:r>
        <w:rPr>
          <w:noProof/>
        </w:rPr>
        <w:t>]</w:t>
      </w:r>
      <w:r>
        <w:rPr>
          <w:rStyle w:val="FootnoteReference"/>
          <w:noProof/>
        </w:rPr>
        <w:footnoteReference w:customMarkFollows="1" w:id="7"/>
        <w:sym w:font="Symbol" w:char="F02A"/>
      </w:r>
      <w:r>
        <w:rPr>
          <w:rStyle w:val="FootnoteReference"/>
          <w:noProof/>
        </w:rPr>
        <w:sym w:font="Symbol" w:char="F02A"/>
      </w:r>
      <w:r>
        <w:rPr>
          <w:i/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COM(2019) 205, 22.5.2019.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347, 20.12.2013, p. 884.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 C 373, 20.12.2013, p. 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hd w:val="clear" w:color="auto" w:fill="FFFFFF"/>
        </w:rPr>
        <w:t>ĠU L 311, 14.11.2002, p. 3.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C 373, 20.12.2013, p. 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(UE, Euratom) Nru 1311/2013 tat-2 ta' Diċembru 2013 li jistabbilixxi l-qafas finanzjarju pluriennali għas-snin 2014-2020 (ĠU L 347, 20.12.2013, p. 884).</w:t>
      </w:r>
    </w:p>
  </w:footnote>
  <w:footnote w:id="7">
    <w:p>
      <w:pPr>
        <w:pStyle w:val="FootnoteText"/>
      </w:pPr>
      <w:r>
        <w:rPr>
          <w:rStyle w:val="FootnoteReference"/>
        </w:rPr>
        <w:sym w:font="Symbol" w:char="F02A"/>
      </w:r>
      <w:r>
        <w:rPr>
          <w:rStyle w:val="FootnoteReference"/>
        </w:rPr>
        <w:sym w:font="Symbol" w:char="F02A"/>
      </w:r>
      <w:r>
        <w:t xml:space="preserve"> </w:t>
      </w:r>
      <w:r>
        <w:rPr>
          <w:i/>
        </w:rPr>
        <w:t>Id-data trid tiddaħħal mill-Parlament qabel il-pubblikazzjoni fil-ĠU.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93E3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57C2E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3E095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14E4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56E0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B06E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24AD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4FCD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4 16:43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6589D64-7E6F-4A8B-A398-D9280D02A82B"/>
    <w:docVar w:name="LW_COVERPAGE_TYPE" w:val="1"/>
    <w:docVar w:name="LW_CROSSREFERENCE" w:val="&lt;UNUSED&gt;"/>
    <w:docVar w:name="LW_DocType" w:val="COM"/>
    <w:docVar w:name="LW_EMISSION" w:val="22.5.2019"/>
    <w:docVar w:name="LW_EMISSION_ISODATE" w:val="2019-05-22"/>
    <w:docVar w:name="LW_EMISSION_LOCATION" w:val="BRX"/>
    <w:docVar w:name="LW_EMISSION_PREFIX" w:val="Brussell, "/>
    <w:docVar w:name="LW_EMISSION_SUFFIX" w:val="&lt;EMPTY&gt;"/>
    <w:docVar w:name="LW_ID_DOCMODEL" w:val="SJ-026"/>
    <w:docVar w:name="LW_ID_DOCSIGNATURE" w:val="SJ-026"/>
    <w:docVar w:name="LW_ID_DOCSTRUCTURE" w:val="COM/PL/ORG"/>
    <w:docVar w:name="LW_ID_DOCTYPE" w:val="SJ-026"/>
    <w:docVar w:name="LW_ID_EXP.MOTIFS.NEW" w:val="EM_PL_"/>
    <w:docVar w:name="LW_ID_STATUT" w:val="SJ-02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2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mobilizzazzjoni tal-Fond ta' Solidarjetà tal-Unjoni Ewropea biex ting\u295?ata assistenza lir-Rumanija, l-Italja u l-Awstrija"/>
    <w:docVar w:name="LW_TYPE.DOC.CP" w:val="DE\u266?I\u379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mt-MT"/>
    </w:rPr>
  </w:style>
  <w:style w:type="character" w:customStyle="1" w:styleId="s6">
    <w:name w:val="s6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mt-MT"/>
    </w:rPr>
  </w:style>
  <w:style w:type="character" w:customStyle="1" w:styleId="s6">
    <w:name w:val="s6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DB9-2CEE-445C-B5C2-939AD483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9</Pages>
  <Words>2499</Words>
  <Characters>17649</Characters>
  <Application>Microsoft Office Word</Application>
  <DocSecurity>0</DocSecurity>
  <Lines>360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2019-06-04T11:32:00Z</dcterms:created>
  <dcterms:modified xsi:type="dcterms:W3CDTF">2019-06-04T14:43:00Z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COM/PL/ORG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SJ-026</vt:lpwstr>
  </property>
  <property fmtid="{D5CDD505-2E9C-101B-9397-08002B2CF9AE}" pid="8" name="DQCStatus">
    <vt:lpwstr>Green (DQC version 03)</vt:lpwstr>
  </property>
</Properties>
</file>