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F040E460-DE8E-4DB2-9938-E79B1A6E43DC" style="width:450.75pt;height:370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LISA</w:t>
      </w:r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Määruse (EL) 2019/124 IA lisa muudetakse järgmiselt:</w:t>
      </w:r>
    </w:p>
    <w:p>
      <w:pPr>
        <w:pStyle w:val="Point1number"/>
        <w:numPr>
          <w:ilvl w:val="2"/>
          <w:numId w:val="11"/>
        </w:numPr>
        <w:rPr>
          <w:noProof/>
        </w:rPr>
      </w:pPr>
      <w:r>
        <w:rPr>
          <w:noProof/>
        </w:rPr>
        <w:t>tabel, milles on esitatud merlangi püügi võimalused ICESi 7a rajoonis, asendatakse järgmisega:</w:t>
      </w:r>
    </w:p>
    <w:p>
      <w:pPr>
        <w:pStyle w:val="Text1"/>
        <w:rPr>
          <w:noProof/>
        </w:rPr>
      </w:pPr>
      <w:r>
        <w:rPr>
          <w:noProof/>
        </w:rPr>
        <w:t>„</w:t>
      </w:r>
    </w:p>
    <w:tbl>
      <w:tblPr>
        <w:tblW w:w="9181" w:type="dxa"/>
        <w:tblInd w:w="108" w:type="dxa"/>
        <w:tblLook w:val="04A0" w:firstRow="1" w:lastRow="0" w:firstColumn="1" w:lastColumn="0" w:noHBand="0" w:noVBand="1"/>
      </w:tblPr>
      <w:tblGrid>
        <w:gridCol w:w="1102"/>
        <w:gridCol w:w="1057"/>
        <w:gridCol w:w="484"/>
        <w:gridCol w:w="916"/>
        <w:gridCol w:w="761"/>
        <w:gridCol w:w="844"/>
        <w:gridCol w:w="1269"/>
        <w:gridCol w:w="916"/>
        <w:gridCol w:w="916"/>
        <w:gridCol w:w="916"/>
      </w:tblGrid>
      <w:tr>
        <w:trPr>
          <w:trHeight w:val="255"/>
        </w:trPr>
        <w:tc>
          <w:tcPr>
            <w:tcW w:w="9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Liik: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merlang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Püügipiirkond: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7a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</w:tr>
      <w:tr>
        <w:trPr>
          <w:trHeight w:val="270"/>
        </w:trPr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i/>
                <w:iCs/>
                <w:noProof/>
                <w:sz w:val="18"/>
                <w:szCs w:val="18"/>
              </w:rPr>
            </w:pPr>
            <w:r>
              <w:rPr>
                <w:i/>
                <w:noProof/>
                <w:sz w:val="18"/>
              </w:rPr>
              <w:t>Merlangius merlangus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(WHG/07A.)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</w:tr>
      <w:tr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Belgia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 xml:space="preserve"> 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</w:t>
            </w:r>
          </w:p>
        </w:tc>
        <w:tc>
          <w:tcPr>
            <w:tcW w:w="107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Analüütiline TAC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</w:tr>
      <w:tr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Prantsusmaa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 xml:space="preserve"> 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Kohaldatakse käesoleva määruse artiklit 8.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</w:tr>
      <w:tr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Iirimaa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 xml:space="preserve"> 717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</w:tr>
      <w:tr>
        <w:trPr>
          <w:trHeight w:val="270"/>
        </w:trPr>
        <w:tc>
          <w:tcPr>
            <w:tcW w:w="2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Madalmaad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 xml:space="preserve"> 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</w:tr>
      <w:tr>
        <w:trPr>
          <w:trHeight w:val="270"/>
        </w:trPr>
        <w:tc>
          <w:tcPr>
            <w:tcW w:w="2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Ühendkuningriik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 xml:space="preserve"> 482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</w:tr>
      <w:tr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Liit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1 246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</w:tr>
      <w:tr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</w:tr>
      <w:tr>
        <w:trPr>
          <w:trHeight w:val="270"/>
        </w:trPr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Lubatud kogupüük (TAC)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1 246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</w:t>
            </w:r>
          </w:p>
        </w:tc>
        <w:tc>
          <w:tcPr>
            <w:tcW w:w="1079" w:type="dxa"/>
            <w:tcBorders>
              <w:top w:val="nil"/>
              <w:left w:val="nil"/>
              <w:right w:val="nil"/>
            </w:tcBorders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</w:tr>
      <w:tr>
        <w:trPr>
          <w:trHeight w:val="315"/>
        </w:trPr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pacing w:after="0"/>
              <w:rPr>
                <w:rFonts w:ascii="Cambria" w:eastAsia="Times New Roman" w:hAnsi="Cambria" w:cs="Arial"/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71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rPr>
                <w:rFonts w:ascii="Cambria" w:eastAsia="Times New Roman" w:hAnsi="Cambria" w:cs="Arial"/>
                <w:noProof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vertAlign w:val="superscript"/>
              </w:rPr>
              <w:t>Üksnes merlangi kaaspüük muude liikide püügi puhul. Merlangi sihtpüük selle kvoodi all ei ole lubatud.</w:t>
            </w:r>
          </w:p>
        </w:tc>
      </w:tr>
    </w:tbl>
    <w:p>
      <w:pPr>
        <w:jc w:val="right"/>
        <w:rPr>
          <w:noProof/>
        </w:rPr>
      </w:pPr>
      <w:r>
        <w:rPr>
          <w:noProof/>
        </w:rPr>
        <w:t>“;</w:t>
      </w:r>
    </w:p>
    <w:p>
      <w:pPr>
        <w:pStyle w:val="Point1number"/>
        <w:rPr>
          <w:noProof/>
        </w:rPr>
      </w:pPr>
      <w:r>
        <w:rPr>
          <w:noProof/>
        </w:rPr>
        <w:t>tabel, milles on esitatud hariliku süvameregarneeli püügi võimalused ICESi 3a rajoonis, asendatakse järgmisega:</w:t>
      </w:r>
    </w:p>
    <w:p>
      <w:pPr>
        <w:pStyle w:val="Point1"/>
        <w:rPr>
          <w:noProof/>
        </w:rPr>
      </w:pPr>
      <w:r>
        <w:rPr>
          <w:noProof/>
        </w:rPr>
        <w:t>„</w:t>
      </w:r>
    </w:p>
    <w:tbl>
      <w:tblPr>
        <w:tblW w:w="8290" w:type="dxa"/>
        <w:tblInd w:w="108" w:type="dxa"/>
        <w:tblLook w:val="04A0" w:firstRow="1" w:lastRow="0" w:firstColumn="1" w:lastColumn="0" w:noHBand="0" w:noVBand="1"/>
      </w:tblPr>
      <w:tblGrid>
        <w:gridCol w:w="976"/>
        <w:gridCol w:w="1503"/>
        <w:gridCol w:w="1207"/>
        <w:gridCol w:w="392"/>
        <w:gridCol w:w="1297"/>
        <w:gridCol w:w="1267"/>
        <w:gridCol w:w="868"/>
        <w:gridCol w:w="1043"/>
      </w:tblGrid>
      <w:tr>
        <w:trPr>
          <w:trHeight w:val="255"/>
        </w:trPr>
        <w:tc>
          <w:tcPr>
            <w:tcW w:w="976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Liik:</w:t>
            </w:r>
          </w:p>
        </w:tc>
        <w:tc>
          <w:tcPr>
            <w:tcW w:w="271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harilik süvameregarneel</w:t>
            </w:r>
          </w:p>
        </w:tc>
        <w:tc>
          <w:tcPr>
            <w:tcW w:w="392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Püügipiirkond:</w:t>
            </w:r>
          </w:p>
        </w:tc>
        <w:tc>
          <w:tcPr>
            <w:tcW w:w="1267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3a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1043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</w:tr>
      <w:tr>
        <w:trPr>
          <w:trHeight w:val="270"/>
        </w:trPr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1503" w:type="dxa"/>
            <w:noWrap/>
            <w:hideMark/>
          </w:tcPr>
          <w:p>
            <w:pPr>
              <w:spacing w:after="0"/>
              <w:rPr>
                <w:rFonts w:eastAsia="Times New Roman"/>
                <w:i/>
                <w:iCs/>
                <w:noProof/>
                <w:sz w:val="18"/>
                <w:szCs w:val="18"/>
              </w:rPr>
            </w:pPr>
            <w:r>
              <w:rPr>
                <w:i/>
                <w:noProof/>
                <w:sz w:val="18"/>
              </w:rPr>
              <w:t>Pandalus borealis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(PRA/03A.)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</w:tr>
      <w:tr>
        <w:trPr>
          <w:trHeight w:val="270"/>
        </w:trPr>
        <w:tc>
          <w:tcPr>
            <w:tcW w:w="976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Taani</w:t>
            </w:r>
          </w:p>
        </w:tc>
        <w:tc>
          <w:tcPr>
            <w:tcW w:w="1503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 </w:t>
            </w:r>
          </w:p>
        </w:tc>
        <w:tc>
          <w:tcPr>
            <w:tcW w:w="1207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1 306</w:t>
            </w:r>
          </w:p>
        </w:tc>
        <w:tc>
          <w:tcPr>
            <w:tcW w:w="392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Ennetuslik TAC</w:t>
            </w:r>
          </w:p>
        </w:tc>
        <w:tc>
          <w:tcPr>
            <w:tcW w:w="868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</w:tr>
      <w:tr>
        <w:trPr>
          <w:trHeight w:val="270"/>
        </w:trPr>
        <w:tc>
          <w:tcPr>
            <w:tcW w:w="976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Rootsi</w:t>
            </w:r>
          </w:p>
        </w:tc>
        <w:tc>
          <w:tcPr>
            <w:tcW w:w="1503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 xml:space="preserve"> 704</w:t>
            </w:r>
          </w:p>
        </w:tc>
        <w:tc>
          <w:tcPr>
            <w:tcW w:w="392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267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868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</w:tr>
      <w:tr>
        <w:trPr>
          <w:trHeight w:val="270"/>
        </w:trPr>
        <w:tc>
          <w:tcPr>
            <w:tcW w:w="976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Liit</w:t>
            </w:r>
          </w:p>
        </w:tc>
        <w:tc>
          <w:tcPr>
            <w:tcW w:w="1503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2 010</w:t>
            </w:r>
          </w:p>
        </w:tc>
        <w:tc>
          <w:tcPr>
            <w:tcW w:w="392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267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868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</w:tr>
      <w:tr>
        <w:trPr>
          <w:trHeight w:val="270"/>
        </w:trPr>
        <w:tc>
          <w:tcPr>
            <w:tcW w:w="976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50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207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392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34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267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868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</w:tr>
      <w:tr>
        <w:trPr>
          <w:trHeight w:val="270"/>
        </w:trPr>
        <w:tc>
          <w:tcPr>
            <w:tcW w:w="976" w:type="dxa"/>
            <w:tcBorders>
              <w:bottom w:val="single" w:sz="4" w:space="0" w:color="auto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Lubatud kogupüük (TAC)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4 314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</w:tr>
    </w:tbl>
    <w:p>
      <w:pPr>
        <w:jc w:val="right"/>
        <w:rPr>
          <w:noProof/>
        </w:rPr>
      </w:pPr>
      <w:r>
        <w:rPr>
          <w:noProof/>
        </w:rPr>
        <w:t>“;</w:t>
      </w:r>
    </w:p>
    <w:p>
      <w:pPr>
        <w:pStyle w:val="Point1number"/>
        <w:rPr>
          <w:noProof/>
        </w:rPr>
      </w:pPr>
      <w:r>
        <w:rPr>
          <w:noProof/>
        </w:rPr>
        <w:t>tabel, milles on esitatud põhjaatlandi süsika püügi võimalused ICESi 3a rajoonis, 4. alapiirkonnas ja 2a rajooni liidu vetes, asendatakse järgmisega:</w:t>
      </w:r>
    </w:p>
    <w:p>
      <w:pPr>
        <w:pStyle w:val="Text1"/>
        <w:rPr>
          <w:noProof/>
        </w:rPr>
      </w:pPr>
      <w:r>
        <w:rPr>
          <w:noProof/>
        </w:rPr>
        <w:t>„</w:t>
      </w:r>
    </w:p>
    <w:tbl>
      <w:tblPr>
        <w:tblW w:w="8290" w:type="dxa"/>
        <w:tblInd w:w="108" w:type="dxa"/>
        <w:tblLook w:val="04A0" w:firstRow="1" w:lastRow="0" w:firstColumn="1" w:lastColumn="0" w:noHBand="0" w:noVBand="1"/>
      </w:tblPr>
      <w:tblGrid>
        <w:gridCol w:w="1126"/>
        <w:gridCol w:w="1503"/>
        <w:gridCol w:w="1065"/>
        <w:gridCol w:w="534"/>
        <w:gridCol w:w="1297"/>
        <w:gridCol w:w="1092"/>
        <w:gridCol w:w="1043"/>
        <w:gridCol w:w="1043"/>
      </w:tblGrid>
      <w:tr>
        <w:trPr>
          <w:trHeight w:val="270"/>
        </w:trPr>
        <w:tc>
          <w:tcPr>
            <w:tcW w:w="9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/>
                <w:sz w:val="18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</w:rPr>
              <w:t> 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jc w:val="right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/>
                <w:sz w:val="18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/>
                <w:sz w:val="18"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/>
                <w:sz w:val="18"/>
              </w:rPr>
              <w:t> </w:t>
            </w:r>
          </w:p>
        </w:tc>
        <w:tc>
          <w:tcPr>
            <w:tcW w:w="10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/>
                <w:sz w:val="18"/>
              </w:rPr>
              <w:t> </w:t>
            </w:r>
          </w:p>
        </w:tc>
        <w:tc>
          <w:tcPr>
            <w:tcW w:w="10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/>
                <w:sz w:val="18"/>
              </w:rPr>
              <w:t> </w:t>
            </w:r>
          </w:p>
        </w:tc>
      </w:tr>
      <w:tr>
        <w:trPr>
          <w:trHeight w:val="255"/>
        </w:trPr>
        <w:tc>
          <w:tcPr>
            <w:tcW w:w="976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Liik:</w:t>
            </w:r>
          </w:p>
        </w:tc>
        <w:tc>
          <w:tcPr>
            <w:tcW w:w="1503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põhjaatlandi </w:t>
            </w:r>
            <w:r>
              <w:rPr>
                <w:noProof/>
                <w:sz w:val="18"/>
              </w:rPr>
              <w:lastRenderedPageBreak/>
              <w:t>süsikas</w:t>
            </w:r>
          </w:p>
        </w:tc>
        <w:tc>
          <w:tcPr>
            <w:tcW w:w="1065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534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Püügipiirkond:</w:t>
            </w:r>
          </w:p>
        </w:tc>
        <w:tc>
          <w:tcPr>
            <w:tcW w:w="317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3a ja 4; 2a rajooni liidu veed</w:t>
            </w:r>
          </w:p>
        </w:tc>
      </w:tr>
      <w:tr>
        <w:trPr>
          <w:trHeight w:val="270"/>
        </w:trPr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i/>
                <w:iCs/>
                <w:noProof/>
                <w:sz w:val="18"/>
                <w:szCs w:val="18"/>
              </w:rPr>
            </w:pPr>
            <w:r>
              <w:rPr>
                <w:i/>
                <w:noProof/>
                <w:sz w:val="18"/>
              </w:rPr>
              <w:t>Pollachius virens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(POK/2C3A4)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</w:tr>
      <w:tr>
        <w:trPr>
          <w:trHeight w:val="270"/>
        </w:trPr>
        <w:tc>
          <w:tcPr>
            <w:tcW w:w="976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Belgia</w:t>
            </w:r>
          </w:p>
        </w:tc>
        <w:tc>
          <w:tcPr>
            <w:tcW w:w="1503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 xml:space="preserve"> 33</w:t>
            </w:r>
          </w:p>
        </w:tc>
        <w:tc>
          <w:tcPr>
            <w:tcW w:w="534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Analüütiline TAC</w:t>
            </w:r>
          </w:p>
        </w:tc>
        <w:tc>
          <w:tcPr>
            <w:tcW w:w="1043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</w:tr>
      <w:tr>
        <w:trPr>
          <w:trHeight w:val="270"/>
        </w:trPr>
        <w:tc>
          <w:tcPr>
            <w:tcW w:w="976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Taani</w:t>
            </w:r>
          </w:p>
        </w:tc>
        <w:tc>
          <w:tcPr>
            <w:tcW w:w="1503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3 865</w:t>
            </w:r>
          </w:p>
        </w:tc>
        <w:tc>
          <w:tcPr>
            <w:tcW w:w="534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169" w:type="dxa"/>
            <w:gridSpan w:val="3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Kohaldatakse käesoleva määruse artikli 7 lõiget 2.</w:t>
            </w:r>
          </w:p>
        </w:tc>
        <w:tc>
          <w:tcPr>
            <w:tcW w:w="1043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</w:tr>
      <w:tr>
        <w:trPr>
          <w:trHeight w:val="270"/>
        </w:trPr>
        <w:tc>
          <w:tcPr>
            <w:tcW w:w="976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Saksamaa</w:t>
            </w:r>
          </w:p>
        </w:tc>
        <w:tc>
          <w:tcPr>
            <w:tcW w:w="1503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9 759</w:t>
            </w:r>
          </w:p>
        </w:tc>
        <w:tc>
          <w:tcPr>
            <w:tcW w:w="534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92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</w:tr>
      <w:tr>
        <w:trPr>
          <w:trHeight w:val="270"/>
        </w:trPr>
        <w:tc>
          <w:tcPr>
            <w:tcW w:w="976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Prantsusmaa</w:t>
            </w:r>
          </w:p>
        </w:tc>
        <w:tc>
          <w:tcPr>
            <w:tcW w:w="1503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22 967</w:t>
            </w:r>
          </w:p>
        </w:tc>
        <w:tc>
          <w:tcPr>
            <w:tcW w:w="534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92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</w:tr>
      <w:tr>
        <w:trPr>
          <w:trHeight w:val="270"/>
        </w:trPr>
        <w:tc>
          <w:tcPr>
            <w:tcW w:w="2479" w:type="dxa"/>
            <w:gridSpan w:val="2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Madalmaad</w:t>
            </w:r>
          </w:p>
        </w:tc>
        <w:tc>
          <w:tcPr>
            <w:tcW w:w="1065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 xml:space="preserve"> 98</w:t>
            </w:r>
          </w:p>
        </w:tc>
        <w:tc>
          <w:tcPr>
            <w:tcW w:w="534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92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</w:tr>
      <w:tr>
        <w:trPr>
          <w:trHeight w:val="270"/>
        </w:trPr>
        <w:tc>
          <w:tcPr>
            <w:tcW w:w="976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Rootsi</w:t>
            </w:r>
          </w:p>
        </w:tc>
        <w:tc>
          <w:tcPr>
            <w:tcW w:w="1503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 xml:space="preserve"> 531</w:t>
            </w:r>
          </w:p>
        </w:tc>
        <w:tc>
          <w:tcPr>
            <w:tcW w:w="534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92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</w:tr>
      <w:tr>
        <w:trPr>
          <w:trHeight w:val="270"/>
        </w:trPr>
        <w:tc>
          <w:tcPr>
            <w:tcW w:w="2479" w:type="dxa"/>
            <w:gridSpan w:val="2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Ühendkuningriik</w:t>
            </w:r>
          </w:p>
        </w:tc>
        <w:tc>
          <w:tcPr>
            <w:tcW w:w="1065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7 482</w:t>
            </w:r>
          </w:p>
        </w:tc>
        <w:tc>
          <w:tcPr>
            <w:tcW w:w="534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92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</w:tr>
      <w:tr>
        <w:trPr>
          <w:trHeight w:val="270"/>
        </w:trPr>
        <w:tc>
          <w:tcPr>
            <w:tcW w:w="976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Liit</w:t>
            </w:r>
          </w:p>
        </w:tc>
        <w:tc>
          <w:tcPr>
            <w:tcW w:w="1503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44 735</w:t>
            </w:r>
          </w:p>
        </w:tc>
        <w:tc>
          <w:tcPr>
            <w:tcW w:w="534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92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</w:tr>
      <w:tr>
        <w:trPr>
          <w:trHeight w:val="270"/>
        </w:trPr>
        <w:tc>
          <w:tcPr>
            <w:tcW w:w="976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Norra</w:t>
            </w:r>
          </w:p>
        </w:tc>
        <w:tc>
          <w:tcPr>
            <w:tcW w:w="1503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48 879</w:t>
            </w:r>
          </w:p>
        </w:tc>
        <w:tc>
          <w:tcPr>
            <w:tcW w:w="534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</w:t>
            </w:r>
          </w:p>
        </w:tc>
        <w:tc>
          <w:tcPr>
            <w:tcW w:w="1034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</w:tr>
      <w:tr>
        <w:trPr>
          <w:trHeight w:val="270"/>
        </w:trPr>
        <w:tc>
          <w:tcPr>
            <w:tcW w:w="976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50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65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534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34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92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</w:tr>
      <w:tr>
        <w:trPr>
          <w:trHeight w:val="270"/>
        </w:trPr>
        <w:tc>
          <w:tcPr>
            <w:tcW w:w="976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Lubatud kogupüük (TAC)</w:t>
            </w:r>
          </w:p>
        </w:tc>
        <w:tc>
          <w:tcPr>
            <w:tcW w:w="1503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93 614</w:t>
            </w:r>
          </w:p>
        </w:tc>
        <w:tc>
          <w:tcPr>
            <w:tcW w:w="534" w:type="dxa"/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92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</w:tr>
      <w:tr>
        <w:trPr>
          <w:trHeight w:val="285"/>
        </w:trPr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</w:t>
            </w:r>
          </w:p>
        </w:tc>
        <w:tc>
          <w:tcPr>
            <w:tcW w:w="731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  <w:vertAlign w:val="superscript"/>
              </w:rPr>
              <w:t>Võib püüda üksnes 4. püügipiirkonna liidu vetes ja 3a püügipiirkonnas (POK/*3A4-C). Selle kvoodi piires püütud saak arvutatakse maha TACi Norra osast.</w:t>
            </w:r>
          </w:p>
        </w:tc>
      </w:tr>
      <w:tr>
        <w:trPr>
          <w:trHeight w:val="255"/>
        </w:trPr>
        <w:tc>
          <w:tcPr>
            <w:tcW w:w="976" w:type="dxa"/>
            <w:noWrap/>
            <w:hideMark/>
          </w:tcPr>
          <w:p>
            <w:pPr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50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65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534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34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92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</w:p>
        </w:tc>
      </w:tr>
    </w:tbl>
    <w:p>
      <w:pPr>
        <w:jc w:val="right"/>
        <w:rPr>
          <w:noProof/>
        </w:rPr>
      </w:pPr>
      <w:r>
        <w:rPr>
          <w:noProof/>
        </w:rPr>
        <w:t>“;</w:t>
      </w:r>
    </w:p>
    <w:p>
      <w:pPr>
        <w:pStyle w:val="Point1number"/>
        <w:rPr>
          <w:noProof/>
        </w:rPr>
      </w:pPr>
      <w:r>
        <w:rPr>
          <w:noProof/>
        </w:rPr>
        <w:t>tabel, milles on esitatud kilu püügi võimalused ja seotud kaaspüük ICESi 2a rajooni liidu vetes ning ICESi 4. alapiirkonnas, asendatakse järgmisega:</w:t>
      </w:r>
    </w:p>
    <w:p>
      <w:pPr>
        <w:pStyle w:val="Point1"/>
        <w:rPr>
          <w:noProof/>
        </w:rPr>
      </w:pPr>
      <w:r>
        <w:rPr>
          <w:noProof/>
        </w:rPr>
        <w:t>„</w:t>
      </w:r>
    </w:p>
    <w:tbl>
      <w:tblPr>
        <w:tblW w:w="9150" w:type="dxa"/>
        <w:tblInd w:w="108" w:type="dxa"/>
        <w:tblLook w:val="04A0" w:firstRow="1" w:lastRow="0" w:firstColumn="1" w:lastColumn="0" w:noHBand="0" w:noVBand="1"/>
      </w:tblPr>
      <w:tblGrid>
        <w:gridCol w:w="1090"/>
        <w:gridCol w:w="1365"/>
        <w:gridCol w:w="1104"/>
        <w:gridCol w:w="767"/>
        <w:gridCol w:w="1253"/>
        <w:gridCol w:w="501"/>
        <w:gridCol w:w="1975"/>
        <w:gridCol w:w="608"/>
        <w:gridCol w:w="259"/>
        <w:gridCol w:w="259"/>
      </w:tblGrid>
      <w:tr>
        <w:trPr>
          <w:trHeight w:val="255"/>
        </w:trPr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Liik: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kilu ja seotud kaaspüük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Püügipiirkond:</w:t>
            </w: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2a rajooni ja 4. püügipiirkonna liidu veed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ascii="Calibri" w:eastAsia="Times New Roman" w:hAnsi="Calibri" w:cs="Arial"/>
                <w:noProof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noProof/>
                <w:color w:val="000000"/>
                <w:sz w:val="16"/>
              </w:rPr>
              <w:t> </w:t>
            </w:r>
          </w:p>
        </w:tc>
      </w:tr>
      <w:tr>
        <w:trPr>
          <w:trHeight w:val="463"/>
        </w:trPr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i/>
                <w:iCs/>
                <w:noProof/>
                <w:sz w:val="18"/>
                <w:szCs w:val="18"/>
              </w:rPr>
            </w:pPr>
            <w:r>
              <w:rPr>
                <w:i/>
                <w:noProof/>
                <w:sz w:val="18"/>
              </w:rPr>
              <w:t>Sprattus sprattus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ascii="Calibri" w:eastAsia="Times New Roman" w:hAnsi="Calibri" w:cs="Arial"/>
                <w:noProof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noProof/>
                <w:color w:val="000000"/>
                <w:sz w:val="16"/>
              </w:rPr>
              <w:t> 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(SPR/2AC4-C)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ascii="Calibri" w:eastAsia="Times New Roman" w:hAnsi="Calibri" w:cs="Arial"/>
                <w:noProof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noProof/>
                <w:color w:val="000000"/>
                <w:sz w:val="16"/>
              </w:rPr>
              <w:t> </w:t>
            </w:r>
          </w:p>
        </w:tc>
      </w:tr>
      <w:tr>
        <w:trPr>
          <w:trHeight w:val="27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Belgia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pm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(1)(2)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Analüütiline TAC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ascii="Calibri" w:eastAsia="Times New Roman" w:hAnsi="Calibri" w:cs="Arial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</w:tr>
      <w:tr>
        <w:trPr>
          <w:trHeight w:val="27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Taani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pm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(1)(2)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ascii="Calibri" w:eastAsia="Times New Roman" w:hAnsi="Calibri" w:cs="Arial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</w:tr>
      <w:tr>
        <w:trPr>
          <w:trHeight w:val="27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Saksamaa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pm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(1)(2)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ascii="Calibri" w:eastAsia="Times New Roman" w:hAnsi="Calibri" w:cs="Arial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</w:tr>
      <w:tr>
        <w:trPr>
          <w:trHeight w:val="27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Prantsusmaa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pm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(1)(2)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ascii="Calibri" w:eastAsia="Times New Roman" w:hAnsi="Calibri" w:cs="Arial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</w:tr>
      <w:tr>
        <w:trPr>
          <w:trHeight w:val="27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Madalmaad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pm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(1)(2)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ascii="Calibri" w:eastAsia="Times New Roman" w:hAnsi="Calibri" w:cs="Arial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</w:tr>
      <w:tr>
        <w:trPr>
          <w:trHeight w:val="27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Rootsi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pm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 (2)(3)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ascii="Calibri" w:eastAsia="Times New Roman" w:hAnsi="Calibri" w:cs="Arial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</w:tr>
      <w:tr>
        <w:trPr>
          <w:trHeight w:val="27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Ühendkuningriik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pm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(1)(2)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ascii="Calibri" w:eastAsia="Times New Roman" w:hAnsi="Calibri" w:cs="Arial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</w:tr>
      <w:tr>
        <w:trPr>
          <w:trHeight w:val="27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Liit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pm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ascii="Calibri" w:eastAsia="Times New Roman" w:hAnsi="Calibri" w:cs="Arial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</w:tr>
      <w:tr>
        <w:trPr>
          <w:trHeight w:val="27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Norra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pm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ascii="Calibri" w:eastAsia="Times New Roman" w:hAnsi="Calibri" w:cs="Arial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</w:tr>
      <w:tr>
        <w:trPr>
          <w:trHeight w:val="27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Fääri saared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pm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(1)(4)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ascii="Calibri" w:eastAsia="Times New Roman" w:hAnsi="Calibri" w:cs="Arial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</w:tr>
      <w:tr>
        <w:trPr>
          <w:trHeight w:val="27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ascii="Calibri" w:eastAsia="Times New Roman" w:hAnsi="Calibri" w:cs="Arial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</w:tr>
      <w:tr>
        <w:trPr>
          <w:trHeight w:val="27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Lubatud kogupüük (TAC)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 pm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</w:tr>
      <w:tr>
        <w:trPr>
          <w:trHeight w:val="27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</w:t>
            </w:r>
          </w:p>
        </w:tc>
        <w:tc>
          <w:tcPr>
            <w:tcW w:w="4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  <w:vertAlign w:val="superscript"/>
              </w:rPr>
              <w:t>Selle kvoodi alusel võib püüda ainult 1. juulist 2019 kuni 30. juunini 2020.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</w:tr>
      <w:tr>
        <w:trPr>
          <w:trHeight w:val="27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(2)</w:t>
            </w:r>
          </w:p>
        </w:tc>
        <w:tc>
          <w:tcPr>
            <w:tcW w:w="8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  <w:vertAlign w:val="superscript"/>
              </w:rPr>
              <w:t>Merlangi kaaspüük võib moodustada kuni 2 % kvoodist (OTH/ *2AC4C). Merlangi kaaspüük, mis arvestatakse kvoodist maha vastavalt sellele sättele, ja määruse (EL) nr 1380/2013 artikli 15 lõike 8 kohaselt kvoodist maha arvestatav liikide kaaspüük ei tohi kokku ületada 9 % kvoodist.</w:t>
            </w:r>
          </w:p>
        </w:tc>
      </w:tr>
      <w:tr>
        <w:trPr>
          <w:trHeight w:val="27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(3)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  <w:vertAlign w:val="superscript"/>
              </w:rPr>
              <w:t>Kaasa arvatud tobiad.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</w:tr>
      <w:tr>
        <w:trPr>
          <w:trHeight w:val="285"/>
        </w:trPr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(4)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Võib sisaldada kuni 4 % heeringa kaaspüüki.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</w:tr>
    </w:tbl>
    <w:p>
      <w:pPr>
        <w:pStyle w:val="Text1"/>
        <w:jc w:val="right"/>
        <w:rPr>
          <w:noProof/>
        </w:rPr>
      </w:pPr>
      <w:r>
        <w:rPr>
          <w:noProof/>
        </w:rPr>
        <w:t>“.</w:t>
      </w:r>
    </w:p>
    <w:p>
      <w:pPr>
        <w:pStyle w:val="Point1number"/>
        <w:rPr>
          <w:noProof/>
        </w:rPr>
      </w:pPr>
      <w:r>
        <w:rPr>
          <w:noProof/>
        </w:rPr>
        <w:t>tabel, milles on norra salehomaari püügi võimalused 8c rajoonis, asendatakse järgmisega:</w:t>
      </w:r>
    </w:p>
    <w:p>
      <w:pPr>
        <w:pStyle w:val="Text1"/>
        <w:rPr>
          <w:noProof/>
        </w:rPr>
      </w:pPr>
      <w:r>
        <w:rPr>
          <w:noProof/>
        </w:rPr>
        <w:t>„</w:t>
      </w:r>
    </w:p>
    <w:tbl>
      <w:tblPr>
        <w:tblW w:w="9181" w:type="dxa"/>
        <w:tblInd w:w="108" w:type="dxa"/>
        <w:tblLook w:val="04A0" w:firstRow="1" w:lastRow="0" w:firstColumn="1" w:lastColumn="0" w:noHBand="0" w:noVBand="1"/>
      </w:tblPr>
      <w:tblGrid>
        <w:gridCol w:w="1087"/>
        <w:gridCol w:w="1456"/>
        <w:gridCol w:w="1018"/>
        <w:gridCol w:w="637"/>
        <w:gridCol w:w="1252"/>
        <w:gridCol w:w="1165"/>
        <w:gridCol w:w="685"/>
        <w:gridCol w:w="1881"/>
      </w:tblGrid>
      <w:tr>
        <w:trPr>
          <w:trHeight w:val="255"/>
        </w:trPr>
        <w:tc>
          <w:tcPr>
            <w:tcW w:w="11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Liik:</w:t>
            </w:r>
          </w:p>
        </w:tc>
        <w:tc>
          <w:tcPr>
            <w:tcW w:w="256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norra salehomaar</w:t>
            </w:r>
          </w:p>
        </w:tc>
        <w:tc>
          <w:tcPr>
            <w:tcW w:w="6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Püügipiirkond:</w:t>
            </w: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8c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</w:tr>
      <w:tr>
        <w:trPr>
          <w:trHeight w:val="270"/>
        </w:trPr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i/>
                <w:iCs/>
                <w:noProof/>
                <w:sz w:val="18"/>
                <w:szCs w:val="18"/>
              </w:rPr>
            </w:pPr>
            <w:r>
              <w:rPr>
                <w:i/>
                <w:noProof/>
                <w:sz w:val="18"/>
              </w:rPr>
              <w:t>Nephrops norvegicus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(NEP/08C.)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</w:tr>
      <w:tr>
        <w:trPr>
          <w:trHeight w:val="27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Hispaania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2,7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</w:t>
            </w:r>
          </w:p>
        </w:tc>
        <w:tc>
          <w:tcPr>
            <w:tcW w:w="218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Ennetuslik TAC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</w:tr>
      <w:tr>
        <w:trPr>
          <w:trHeight w:val="27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Prantsusmaa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</w:tr>
      <w:tr>
        <w:trPr>
          <w:trHeight w:val="27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Liit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2,7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</w:tr>
      <w:tr>
        <w:trPr>
          <w:trHeight w:val="27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Lubatud kogupüük (TAC)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2,7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</w:tr>
      <w:tr>
        <w:trPr>
          <w:trHeight w:val="270"/>
        </w:trPr>
        <w:tc>
          <w:tcPr>
            <w:tcW w:w="9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 Eranditult püük kontrollpüügi raames, et koguda saagi püügimahu ühikuid käsitlevaid andmeid laevadel, mille pardal on vaatlejad.</w:t>
            </w:r>
          </w:p>
        </w:tc>
      </w:tr>
      <w:tr>
        <w:trPr>
          <w:trHeight w:val="27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5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2 tonni funktsionaalses üksuses 25 viiel püügikorral kuus augustis ja septembris;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</w:tr>
      <w:tr>
        <w:trPr>
          <w:trHeight w:val="28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0,7 tonni funktsionaalses üksuses 31 seitsme päeva jooksul juulis.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20"/>
                <w:szCs w:val="20"/>
              </w:rPr>
            </w:pPr>
          </w:p>
        </w:tc>
      </w:tr>
      <w:tr>
        <w:trPr>
          <w:trHeight w:val="270"/>
        </w:trPr>
        <w:tc>
          <w:tcPr>
            <w:tcW w:w="11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/>
                <w:sz w:val="18"/>
              </w:rPr>
              <w:t> 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</w:rPr>
              <w:t> </w:t>
            </w:r>
          </w:p>
        </w:tc>
        <w:tc>
          <w:tcPr>
            <w:tcW w:w="10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jc w:val="right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/>
                <w:sz w:val="18"/>
              </w:rPr>
              <w:t> </w:t>
            </w:r>
          </w:p>
        </w:tc>
        <w:tc>
          <w:tcPr>
            <w:tcW w:w="6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/>
                <w:sz w:val="18"/>
              </w:rPr>
              <w:t> 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/>
                <w:sz w:val="18"/>
              </w:rPr>
              <w:t> </w:t>
            </w: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/>
                <w:sz w:val="18"/>
              </w:rPr>
              <w:t> 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>
            <w:pPr>
              <w:spacing w:after="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000000"/>
                <w:sz w:val="18"/>
              </w:rPr>
              <w:t> </w:t>
            </w:r>
          </w:p>
        </w:tc>
      </w:tr>
    </w:tbl>
    <w:p>
      <w:pPr>
        <w:jc w:val="right"/>
        <w:rPr>
          <w:noProof/>
        </w:rPr>
      </w:pPr>
      <w:r>
        <w:rPr>
          <w:noProof/>
        </w:rPr>
        <w:t>“;</w:t>
      </w:r>
    </w:p>
    <w:p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Määruse (EL) 2019/124 IV lisa muudetakse järgmiselt.</w:t>
      </w:r>
    </w:p>
    <w:p>
      <w:pPr>
        <w:pStyle w:val="Point1number"/>
        <w:numPr>
          <w:ilvl w:val="2"/>
          <w:numId w:val="9"/>
        </w:numPr>
        <w:rPr>
          <w:noProof/>
        </w:rPr>
      </w:pPr>
      <w:r>
        <w:rPr>
          <w:noProof/>
        </w:rPr>
        <w:t>Lõige 4 asendatakse järgmisega:</w:t>
      </w:r>
    </w:p>
    <w:p>
      <w:pPr>
        <w:pStyle w:val="Text1"/>
        <w:rPr>
          <w:noProof/>
        </w:rPr>
      </w:pPr>
      <w:r>
        <w:rPr>
          <w:noProof/>
        </w:rPr>
        <w:t>„Liikmesriikide nende kalalaevade arv, millele võib anda loa Atlandi ookeani idaosas ja Vahemeres harilikku tuuni püüda, pardal hoida, ümber laadida, transportida või lossida: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45"/>
        <w:gridCol w:w="1134"/>
        <w:gridCol w:w="1135"/>
        <w:gridCol w:w="1135"/>
        <w:gridCol w:w="1135"/>
        <w:gridCol w:w="1135"/>
        <w:gridCol w:w="1135"/>
        <w:gridCol w:w="1135"/>
      </w:tblGrid>
      <w:tr>
        <w:trPr>
          <w:trHeight w:val="255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Kalalaevade arv</w:t>
            </w:r>
            <w:r>
              <w:rPr>
                <w:rStyle w:val="FootnoteReference"/>
                <w:noProof/>
              </w:rPr>
              <w:footnoteReference w:id="1"/>
            </w:r>
          </w:p>
        </w:tc>
      </w:tr>
      <w:tr>
        <w:trPr>
          <w:trHeight w:val="255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Küpros</w:t>
            </w:r>
            <w:r>
              <w:rPr>
                <w:rStyle w:val="FootnoteReference"/>
                <w:noProof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Kreeka</w:t>
            </w:r>
            <w:r>
              <w:rPr>
                <w:rStyle w:val="FootnoteReference"/>
                <w:noProof/>
              </w:rPr>
              <w:footnoteReference w:id="3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Horvaatia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Itaalia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Prantsusmaa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Hispaania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Malta</w:t>
            </w:r>
            <w:r>
              <w:rPr>
                <w:rStyle w:val="FootnoteReference"/>
                <w:noProof/>
              </w:rPr>
              <w:footnoteReference w:id="4"/>
            </w:r>
          </w:p>
        </w:tc>
      </w:tr>
      <w:tr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Seinnoodalaevad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Kehtestatakse hiljem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Kehtestatakse hiljem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Kehtestatakse hiljem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Kehtestatakse hiljem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Kehtestatakse hiljem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Kehtestatakse hiljem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Kehtestatakse hiljem</w:t>
            </w:r>
          </w:p>
        </w:tc>
      </w:tr>
      <w:tr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Õngejadalaevad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  <w:sz w:val="22"/>
              </w:rPr>
              <w:t>Kehtestatakse hiljem</w:t>
            </w:r>
            <w:r>
              <w:rPr>
                <w:rStyle w:val="FootnoteReference"/>
                <w:noProof/>
              </w:rPr>
              <w:footnoteReference w:id="5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Kehtestatakse hiljem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Kehtestatakse hiljem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Kehtestatakse hiljem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Kehtestatakse hiljem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Kehtestatakse hiljem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Kehtestatakse hiljem</w:t>
            </w:r>
          </w:p>
        </w:tc>
      </w:tr>
      <w:tr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Söödaga õngelaevad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Kehtestatakse hiljem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Kehtestatakse hiljem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Kehtestatakse hiljem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Kehtestatakse hiljem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Kehtestatakse hiljem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Kehtestatakse hiljem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Kehtestatakse hiljem</w:t>
            </w:r>
          </w:p>
        </w:tc>
      </w:tr>
      <w:tr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Käsiõngelaevad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Kehtestatakse hiljem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Kehtestatakse hiljem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Kehtestatakse hiljem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Kehtestatakse hiljem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  <w:sz w:val="22"/>
              </w:rPr>
              <w:t>Kehtestatakse hiljem</w:t>
            </w:r>
            <w:r>
              <w:rPr>
                <w:rStyle w:val="FootnoteReference"/>
                <w:noProof/>
              </w:rPr>
              <w:footnoteReference w:id="6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Kehtestatakse hiljem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Kehtestatakse hiljem</w:t>
            </w:r>
          </w:p>
        </w:tc>
      </w:tr>
      <w:tr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Traalerid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Kehtestatakse hiljem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Kehtestatakse hiljem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Kehtestatakse hiljem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Kehtestatakse hiljem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Kehtestatakse hiljem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Kehtestatakse hiljem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Kehtestatakse hiljem</w:t>
            </w:r>
          </w:p>
        </w:tc>
      </w:tr>
      <w:tr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Muud väikesemahulise kalapüügi laevad</w:t>
            </w:r>
            <w:r>
              <w:rPr>
                <w:rStyle w:val="FootnoteReference"/>
                <w:noProof/>
                <w:sz w:val="22"/>
              </w:rPr>
              <w:footnoteReference w:id="7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Kehtestatakse hiljem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Kehtestatakse hiljem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Kehtestatakse hiljem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Kehtestatakse hiljem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Kehtestatakse hiljem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Kehtestatakse hiljem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Kehtestatakse hiljem</w:t>
            </w:r>
          </w:p>
        </w:tc>
      </w:tr>
    </w:tbl>
    <w:p>
      <w:pPr>
        <w:jc w:val="right"/>
        <w:rPr>
          <w:noProof/>
        </w:rPr>
      </w:pPr>
      <w:r>
        <w:rPr>
          <w:noProof/>
        </w:rPr>
        <w:t>“;</w:t>
      </w:r>
    </w:p>
    <w:p>
      <w:pPr>
        <w:pStyle w:val="Point1number"/>
        <w:numPr>
          <w:ilvl w:val="2"/>
          <w:numId w:val="9"/>
        </w:numPr>
        <w:rPr>
          <w:noProof/>
        </w:rPr>
      </w:pPr>
      <w:r>
        <w:rPr>
          <w:noProof/>
        </w:rPr>
        <w:t>lõike 6 tabel B asendatakse järgmisega:</w:t>
      </w:r>
    </w:p>
    <w:p>
      <w:pPr>
        <w:pStyle w:val="Text1"/>
        <w:jc w:val="center"/>
        <w:rPr>
          <w:noProof/>
        </w:rPr>
      </w:pPr>
      <w:r>
        <w:rPr>
          <w:noProof/>
        </w:rPr>
        <w:t>„Tabel B</w:t>
      </w:r>
      <w:r>
        <w:rPr>
          <w:rStyle w:val="FootnoteReference"/>
          <w:noProof/>
        </w:rPr>
        <w:footnoteReference w:customMarkFollows="1" w:id="8"/>
        <w:t>1</w:t>
      </w:r>
    </w:p>
    <w:tbl>
      <w:tblPr>
        <w:tblW w:w="0" w:type="auto"/>
        <w:tblInd w:w="661" w:type="dxa"/>
        <w:tblLayout w:type="fixed"/>
        <w:tblLook w:val="0000" w:firstRow="0" w:lastRow="0" w:firstColumn="0" w:lastColumn="0" w:noHBand="0" w:noVBand="0"/>
      </w:tblPr>
      <w:tblGrid>
        <w:gridCol w:w="4174"/>
        <w:gridCol w:w="4174"/>
      </w:tblGrid>
      <w:tr>
        <w:trPr>
          <w:tblHeader/>
        </w:trPr>
        <w:tc>
          <w:tcPr>
            <w:tcW w:w="8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Kalakasvandusse viidava loodusest püütud hariliku tuuni maksimaalne kogus (tonnides)</w:t>
            </w:r>
          </w:p>
        </w:tc>
      </w:tr>
      <w:t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Hispaania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noProof/>
                <w:szCs w:val="20"/>
              </w:rPr>
            </w:pPr>
            <w:r>
              <w:rPr>
                <w:noProof/>
              </w:rPr>
              <w:t>7 000</w:t>
            </w:r>
          </w:p>
        </w:tc>
      </w:tr>
      <w:t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Itaalia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noProof/>
                <w:szCs w:val="20"/>
              </w:rPr>
            </w:pPr>
            <w:r>
              <w:rPr>
                <w:noProof/>
              </w:rPr>
              <w:t>3 764</w:t>
            </w:r>
          </w:p>
        </w:tc>
      </w:tr>
      <w:t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Kreeka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noProof/>
                <w:szCs w:val="20"/>
              </w:rPr>
            </w:pPr>
            <w:r>
              <w:rPr>
                <w:noProof/>
              </w:rPr>
              <w:t>785</w:t>
            </w:r>
          </w:p>
        </w:tc>
      </w:tr>
      <w:t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Küpros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noProof/>
                <w:szCs w:val="20"/>
              </w:rPr>
            </w:pPr>
            <w:r>
              <w:rPr>
                <w:noProof/>
              </w:rPr>
              <w:t>2 195</w:t>
            </w:r>
          </w:p>
        </w:tc>
      </w:tr>
      <w:t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Horvaatia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noProof/>
                <w:szCs w:val="20"/>
              </w:rPr>
            </w:pPr>
            <w:r>
              <w:rPr>
                <w:noProof/>
              </w:rPr>
              <w:t>2 947</w:t>
            </w:r>
          </w:p>
        </w:tc>
      </w:tr>
      <w:t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Malta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noProof/>
                <w:szCs w:val="20"/>
              </w:rPr>
            </w:pPr>
            <w:r>
              <w:rPr>
                <w:noProof/>
              </w:rPr>
              <w:t>8 766</w:t>
            </w:r>
          </w:p>
        </w:tc>
      </w:tr>
      <w:t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Portugal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noProof/>
                <w:szCs w:val="20"/>
              </w:rPr>
            </w:pPr>
            <w:r>
              <w:rPr>
                <w:noProof/>
              </w:rPr>
              <w:t>350</w:t>
            </w:r>
          </w:p>
        </w:tc>
      </w:tr>
    </w:tbl>
    <w:p>
      <w:pPr>
        <w:jc w:val="right"/>
        <w:rPr>
          <w:noProof/>
        </w:rPr>
      </w:pPr>
      <w:r>
        <w:rPr>
          <w:noProof/>
        </w:rPr>
        <w:t>“.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ET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Tabeli A punkti 4 arve võib veel suurendada, tingimusel et liidu rahvusvahelised kohustused on täidetud.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Ühe keskmise suurusega seinnoodalaeva võib asendada kuni kümne õngejadalaevaga või ühe väikese seinnoodalaeva ja kuni kolme õngejadalaevaga.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Ühe keskmise suurusega seinnoodalaeva võib asendada kuni kümne õngejadalaevaga või ühe väikese seinnoodalaeva ja kolme rannalähedase püügi laevaga.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Ühe keskmise suurusega seinnoodalaeva võib asendada kuni 10 õngejadalaevaga.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Mitmeotstarbelised laevad, mis kasutavad erinevaid püügivahendeid.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Atlandi ookeanil tegutsevad õngelaevad.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Mitmeotstarbelised laevad, mis kasutavad erinevaid püügivahendeid (õngejada, käsiõng, veoõng).</w:t>
      </w:r>
    </w:p>
  </w:footnote>
  <w:footnote w:id="8">
    <w:p>
      <w:pPr>
        <w:pStyle w:val="FootnoteText"/>
      </w:pPr>
      <w:r>
        <w:rPr>
          <w:rStyle w:val="FootnoteReference"/>
        </w:rPr>
        <w:t>1</w:t>
      </w:r>
      <w:r>
        <w:tab/>
        <w:t>Portugali kasvatamisvõimsusest kaetakse 350 tonni tabelis A sätestatud liidu kasutamata kasvatamisvõimsusega.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546B1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9F8B4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6C6EF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A544B0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4843C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168764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5BA2F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14AB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7A94842"/>
    <w:multiLevelType w:val="multilevel"/>
    <w:tmpl w:val="AF12CA62"/>
    <w:name w:val="Heading 123"/>
    <w:lvl w:ilvl="0">
      <w:start w:val="1"/>
      <w:numFmt w:val="decimal"/>
      <w:lvlRestart w:val="0"/>
      <w:pStyle w:val="Heading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3"/>
  </w:num>
  <w:num w:numId="14">
    <w:abstractNumId w:val="21"/>
  </w:num>
  <w:num w:numId="15">
    <w:abstractNumId w:val="12"/>
  </w:num>
  <w:num w:numId="16">
    <w:abstractNumId w:val="14"/>
  </w:num>
  <w:num w:numId="17">
    <w:abstractNumId w:val="9"/>
  </w:num>
  <w:num w:numId="18">
    <w:abstractNumId w:val="20"/>
  </w:num>
  <w:num w:numId="19">
    <w:abstractNumId w:val="8"/>
  </w:num>
  <w:num w:numId="20">
    <w:abstractNumId w:val="15"/>
  </w:num>
  <w:num w:numId="21">
    <w:abstractNumId w:val="17"/>
  </w:num>
  <w:num w:numId="22">
    <w:abstractNumId w:val="18"/>
  </w:num>
  <w:num w:numId="23">
    <w:abstractNumId w:val="11"/>
  </w:num>
  <w:num w:numId="24">
    <w:abstractNumId w:val="16"/>
  </w:num>
  <w:num w:numId="25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5-21 12:18:4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1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järgmise dokumendi juurde:"/>
    <w:docVar w:name="LW_ACCOMPAGNANT.CP" w:val="järgmise dokumendi juurde: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F040E460-DE8E-4DB2-9938-E79B1A6E43DC"/>
    <w:docVar w:name="LW_COVERPAGE_TYPE" w:val="1"/>
    <w:docVar w:name="LW_CROSSREFERENCE" w:val="&lt;UNUSED&gt;"/>
    <w:docVar w:name="LW_DocType" w:val="ANNEX"/>
    <w:docVar w:name="LW_EMISSION" w:val="24.5.2019"/>
    <w:docVar w:name="LW_EMISSION_ISODATE" w:val="2019-05-24"/>
    <w:docVar w:name="LW_EMISSION_LOCATION" w:val="BRX"/>
    <w:docVar w:name="LW_EMISSION_PREFIX" w:val="Brüssel,"/>
    <w:docVar w:name="LW_EMISSION_SUFFIX" w:val=" "/>
    <w:docVar w:name="LW_ID_DOCSTRUCTURE" w:val="COM/ANNEX"/>
    <w:docVar w:name="LW_ID_DOCTYPE" w:val="SG-017"/>
    <w:docVar w:name="LW_LANGUE" w:val="ET"/>
    <w:docVar w:name="LW_LEVEL_OF_SENSITIVITY" w:val="Standard treatment"/>
    <w:docVar w:name="LW_NOM.INST" w:val="EUROOPA KOMISJON"/>
    <w:docVar w:name="LW_NOM.INST_JOINTDOC" w:val="&lt;EMPTY&gt;"/>
    <w:docVar w:name="LW_OBJETACTEPRINCIPAL" w:val="millega muudetakse määrust (EL) 2019/124 teatavate kalapüügivõimaluste osas"/>
    <w:docVar w:name="LW_OBJETACTEPRINCIPAL.CP" w:val="millega muudetakse määrust (EL) 2019/124 teatavate kalapüügivõimaluste osas"/>
    <w:docVar w:name="LW_PART_NBR" w:val="1"/>
    <w:docVar w:name="LW_PART_NBR_TOTAL" w:val="1"/>
    <w:docVar w:name="LW_REF.INST.NEW" w:val="COM"/>
    <w:docVar w:name="LW_REF.INST.NEW_ADOPTED" w:val="final"/>
    <w:docVar w:name="LW_REF.INST.NEW_TEXT" w:val="(2019) 24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LISA"/>
    <w:docVar w:name="LW_TYPE.DOC.CP" w:val="LISA"/>
    <w:docVar w:name="LW_TYPEACTEPRINCIPAL" w:val="ETTEPANEK: NÕUKOGU MÄÄRUS,"/>
    <w:docVar w:name="LW_TYPEACTEPRINCIPAL.CP" w:val="ETTEPANEK: NÕUKOGU MÄÄRUS,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t-E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uiPriority w:val="99"/>
    <w:semiHidden/>
    <w:unhideWhenUsed/>
    <w:pPr>
      <w:numPr>
        <w:numId w:val="1"/>
      </w:numPr>
      <w:contextualSpacing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t-E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t-EE"/>
    </w:rPr>
  </w:style>
  <w:style w:type="paragraph" w:customStyle="1" w:styleId="Heading123">
    <w:name w:val="Heading 123"/>
    <w:basedOn w:val="Normal"/>
    <w:next w:val="Normal"/>
    <w:pPr>
      <w:numPr>
        <w:numId w:val="10"/>
      </w:numPr>
      <w:spacing w:before="360" w:line="360" w:lineRule="auto"/>
      <w:jc w:val="left"/>
      <w:outlineLvl w:val="0"/>
    </w:pPr>
    <w:rPr>
      <w:rFonts w:eastAsia="Times New Roman"/>
      <w:b/>
      <w:caps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t-E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t-E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t-E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uiPriority w:val="99"/>
    <w:semiHidden/>
    <w:unhideWhenUsed/>
    <w:pPr>
      <w:numPr>
        <w:numId w:val="1"/>
      </w:numPr>
      <w:contextualSpacing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t-E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t-EE"/>
    </w:rPr>
  </w:style>
  <w:style w:type="paragraph" w:customStyle="1" w:styleId="Heading123">
    <w:name w:val="Heading 123"/>
    <w:basedOn w:val="Normal"/>
    <w:next w:val="Normal"/>
    <w:pPr>
      <w:numPr>
        <w:numId w:val="10"/>
      </w:numPr>
      <w:spacing w:before="360" w:line="360" w:lineRule="auto"/>
      <w:jc w:val="left"/>
      <w:outlineLvl w:val="0"/>
    </w:pPr>
    <w:rPr>
      <w:rFonts w:eastAsia="Times New Roman"/>
      <w:b/>
      <w:caps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t-E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t-E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C0572-562A-4F5A-B789-C071B008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5</Pages>
  <Words>676</Words>
  <Characters>4307</Characters>
  <Application>Microsoft Office Word</Application>
  <DocSecurity>0</DocSecurity>
  <Lines>861</Lines>
  <Paragraphs>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ZETTERBERG Jonas (MARE)</dc:creator>
  <cp:lastModifiedBy>DIGIT/C6</cp:lastModifiedBy>
  <cp:revision>8</cp:revision>
  <cp:lastPrinted>2019-03-11T08:42:00Z</cp:lastPrinted>
  <dcterms:created xsi:type="dcterms:W3CDTF">2019-05-20T13:06:00Z</dcterms:created>
  <dcterms:modified xsi:type="dcterms:W3CDTF">2019-05-21T10:18:00Z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5.84.2.0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1</vt:lpwstr>
  </property>
  <property fmtid="{D5CDD505-2E9C-101B-9397-08002B2CF9AE}" pid="13" name="DQCStatus">
    <vt:lpwstr>Green (DQC version 03)</vt:lpwstr>
  </property>
</Properties>
</file>