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CBFF212-EFEB-4CFD-BAE8-7AB771A2FEE1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ANHANG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Anhang IA der Verordnung (EU) 2019/124 wird wie folgt geändert:</w:t>
      </w:r>
    </w:p>
    <w:p>
      <w:pPr>
        <w:pStyle w:val="Point1number"/>
        <w:numPr>
          <w:ilvl w:val="2"/>
          <w:numId w:val="11"/>
        </w:numPr>
        <w:rPr>
          <w:noProof/>
        </w:rPr>
      </w:pPr>
      <w:r>
        <w:rPr>
          <w:noProof/>
        </w:rPr>
        <w:t>Die Tabelle mit den Fangmöglichkeiten für Wittling in der ICES-Division 7a erhält folgende Fassung:</w:t>
      </w:r>
    </w:p>
    <w:p>
      <w:pPr>
        <w:pStyle w:val="Text1"/>
        <w:rPr>
          <w:noProof/>
        </w:rPr>
      </w:pPr>
      <w:r>
        <w:rPr>
          <w:noProof/>
        </w:rPr>
        <w:t>„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988"/>
        <w:gridCol w:w="1073"/>
        <w:gridCol w:w="489"/>
        <w:gridCol w:w="929"/>
        <w:gridCol w:w="771"/>
        <w:gridCol w:w="1072"/>
        <w:gridCol w:w="1072"/>
        <w:gridCol w:w="929"/>
        <w:gridCol w:w="929"/>
        <w:gridCol w:w="929"/>
      </w:tblGrid>
      <w:tr>
        <w:trPr>
          <w:trHeight w:val="255"/>
        </w:trPr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Art: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Wittling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Gebiet: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7a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Merlangius merlangus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(WHG/07A.)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Belgien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Analytische TAC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Frankreich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Artikel 8 dieser Verordnung gilt.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Irland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717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Niederlande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Vereinigtes Königreich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482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1 246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1 246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/>
              <w:rPr>
                <w:rFonts w:ascii="Cambria" w:eastAsia="Times New Roman" w:hAnsi="Cambria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ascii="Cambria" w:eastAsia="Times New Roman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vertAlign w:val="superscript"/>
              </w:rPr>
              <w:t>Ausschließlich für Beifänge von Wittling in Fischereien auf andere Arten. Im Rahmen dieser Quote ist keine gezielte Fischerei auf Wittling erlaubt.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rPr>
          <w:noProof/>
        </w:rPr>
      </w:pPr>
      <w:r>
        <w:rPr>
          <w:noProof/>
        </w:rPr>
        <w:t>Die Tabelle mit den Fangmöglichkeiten für Tiefseegarnelen in der ICES-Division 3a erhält folgende Fassung:</w:t>
      </w:r>
    </w:p>
    <w:p>
      <w:pPr>
        <w:pStyle w:val="Point1"/>
        <w:rPr>
          <w:noProof/>
        </w:rPr>
      </w:pPr>
      <w:r>
        <w:rPr>
          <w:noProof/>
        </w:rPr>
        <w:t>„</w:t>
      </w:r>
    </w:p>
    <w:tbl>
      <w:tblPr>
        <w:tblW w:w="8290" w:type="dxa"/>
        <w:tblInd w:w="108" w:type="dxa"/>
        <w:tblLook w:val="04A0" w:firstRow="1" w:lastRow="0" w:firstColumn="1" w:lastColumn="0" w:noHBand="0" w:noVBand="1"/>
      </w:tblPr>
      <w:tblGrid>
        <w:gridCol w:w="976"/>
        <w:gridCol w:w="1503"/>
        <w:gridCol w:w="1207"/>
        <w:gridCol w:w="392"/>
        <w:gridCol w:w="1034"/>
        <w:gridCol w:w="1267"/>
        <w:gridCol w:w="868"/>
        <w:gridCol w:w="1043"/>
      </w:tblGrid>
      <w:tr>
        <w:trPr>
          <w:trHeight w:val="255"/>
        </w:trPr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Art:</w:t>
            </w:r>
          </w:p>
        </w:tc>
        <w:tc>
          <w:tcPr>
            <w:tcW w:w="27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Tiefseegarnele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Gebiet: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3a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Pandalus borealis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(PRA/03A.)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Dänemark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1 306</w:t>
            </w:r>
          </w:p>
        </w:tc>
        <w:tc>
          <w:tcPr>
            <w:tcW w:w="392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Vorsorgliche TAC</w:t>
            </w: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Schweden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704</w:t>
            </w:r>
          </w:p>
        </w:tc>
        <w:tc>
          <w:tcPr>
            <w:tcW w:w="392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2 010</w:t>
            </w:r>
          </w:p>
        </w:tc>
        <w:tc>
          <w:tcPr>
            <w:tcW w:w="392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3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4 314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rPr>
          <w:noProof/>
        </w:rPr>
      </w:pPr>
      <w:r>
        <w:rPr>
          <w:noProof/>
        </w:rPr>
        <w:t>Die Tabelle mit den Fangmöglichkeiten für Seelachs in der ICES-Division 3a Untergebiet 4 und in den Unionsgewässern der Division 2a erhält folgende Fassung:</w:t>
      </w:r>
    </w:p>
    <w:p>
      <w:pPr>
        <w:pStyle w:val="Text1"/>
        <w:rPr>
          <w:noProof/>
        </w:rPr>
      </w:pPr>
      <w:r>
        <w:rPr>
          <w:noProof/>
        </w:rPr>
        <w:t>„</w:t>
      </w:r>
    </w:p>
    <w:tbl>
      <w:tblPr>
        <w:tblW w:w="8290" w:type="dxa"/>
        <w:tblInd w:w="108" w:type="dxa"/>
        <w:tblLook w:val="04A0" w:firstRow="1" w:lastRow="0" w:firstColumn="1" w:lastColumn="0" w:noHBand="0" w:noVBand="1"/>
      </w:tblPr>
      <w:tblGrid>
        <w:gridCol w:w="1116"/>
        <w:gridCol w:w="1503"/>
        <w:gridCol w:w="1065"/>
        <w:gridCol w:w="534"/>
        <w:gridCol w:w="1034"/>
        <w:gridCol w:w="1092"/>
        <w:gridCol w:w="1043"/>
        <w:gridCol w:w="1043"/>
      </w:tblGrid>
      <w:tr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jc w:val="right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55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Art:</w:t>
            </w: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Seelachs</w:t>
            </w: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Gebiet:</w:t>
            </w:r>
          </w:p>
        </w:tc>
        <w:tc>
          <w:tcPr>
            <w:tcW w:w="31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3a und 4; Unionsgewässer von 2a</w:t>
            </w:r>
          </w:p>
        </w:tc>
      </w:tr>
      <w:tr>
        <w:trPr>
          <w:trHeight w:val="27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Pollachius virens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(POK/2C3A4)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Belgien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33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Analytische TAC</w:t>
            </w:r>
          </w:p>
        </w:tc>
        <w:tc>
          <w:tcPr>
            <w:tcW w:w="104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Dänemark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3 865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3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Artikel 7 Absatz 2 dieser Verordnung gilt.</w:t>
            </w:r>
          </w:p>
        </w:tc>
        <w:tc>
          <w:tcPr>
            <w:tcW w:w="104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Deutschland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9 759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Frankreich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22 967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479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Niederlande</w:t>
            </w: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98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Schweden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531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479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Vereinigtes Königreich</w:t>
            </w: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7 482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44 735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Norwegen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48 879</w:t>
            </w: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93 614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73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Darf nur in den Unionsgewässern von 4 und in 3a (POK/*3A4-C) gefangen werden. Fänge im Rahmen dieser Quote sind vom Anteil Norwegens an der TAC abzuziehen.</w:t>
            </w:r>
          </w:p>
        </w:tc>
      </w:tr>
      <w:tr>
        <w:trPr>
          <w:trHeight w:val="255"/>
        </w:trPr>
        <w:tc>
          <w:tcPr>
            <w:tcW w:w="976" w:type="dxa"/>
            <w:noWrap/>
            <w:hideMark/>
          </w:tcPr>
          <w:p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rPr>
          <w:noProof/>
        </w:rPr>
      </w:pPr>
      <w:r>
        <w:rPr>
          <w:noProof/>
        </w:rPr>
        <w:t>Die Tabelle mit den Fangmöglichkeiten für Sprotte und dazugehörige Beifänge in den Unionsgewässern der ICES-Division 2a und im ICES-Untergebiet 4 erhält folgende Fassung:</w:t>
      </w:r>
    </w:p>
    <w:p>
      <w:pPr>
        <w:pStyle w:val="Point1"/>
        <w:rPr>
          <w:noProof/>
        </w:rPr>
      </w:pPr>
      <w:r>
        <w:rPr>
          <w:noProof/>
        </w:rPr>
        <w:t>„</w:t>
      </w:r>
    </w:p>
    <w:tbl>
      <w:tblPr>
        <w:tblW w:w="9150" w:type="dxa"/>
        <w:tblInd w:w="108" w:type="dxa"/>
        <w:tblLook w:val="04A0" w:firstRow="1" w:lastRow="0" w:firstColumn="1" w:lastColumn="0" w:noHBand="0" w:noVBand="1"/>
      </w:tblPr>
      <w:tblGrid>
        <w:gridCol w:w="1126"/>
        <w:gridCol w:w="1414"/>
        <w:gridCol w:w="1142"/>
        <w:gridCol w:w="790"/>
        <w:gridCol w:w="969"/>
        <w:gridCol w:w="513"/>
        <w:gridCol w:w="2049"/>
        <w:gridCol w:w="625"/>
        <w:gridCol w:w="261"/>
        <w:gridCol w:w="261"/>
      </w:tblGrid>
      <w:tr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Art: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Sprotte und dazugehörige Beifänge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Gebiet: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Unionsgewässer von 2a und 4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</w:rPr>
              <w:t> </w:t>
            </w:r>
          </w:p>
        </w:tc>
      </w:tr>
      <w:tr>
        <w:trPr>
          <w:trHeight w:val="463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Sprattus sprattus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</w:rPr>
              <w:t> 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(SPR/2AC4-C)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</w:rPr>
              <w:t> </w:t>
            </w: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Analytische TAC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Dänemark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Deutschland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Frankreich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Niederlande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Schweden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 (2)(3)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Vereinigtes Königreich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Norwegen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Färöer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(1)(4)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Die Quote darf nur vom 1. Juli 2019 bis zum 30. Juni 2020 befischt werden.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Bis zu 2 % der Quote kann aus Beifängen von Wittling bestehen (OTH/*2AC4C). Beifänge von Wittling, die gemäß dieser Bestimmung auf die Quote angerechnet werden, und Beifänge von Arten, die gemäß Artikel 15 Absatz 8 der Verordnung (EU) Nr. 1380/2013 auf die Quote angerechnet werden, dürfen zusammen nicht mehr als 9 % der Quote ausmachen.</w:t>
            </w: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Einschließlich Sandaal.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(4)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Kann bis zu 4 % Beifang von Hering enthalten.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</w:tbl>
    <w:p>
      <w:pPr>
        <w:pStyle w:val="Text1"/>
        <w:jc w:val="right"/>
        <w:rPr>
          <w:noProof/>
        </w:rPr>
      </w:pPr>
      <w:r>
        <w:rPr>
          <w:noProof/>
        </w:rPr>
        <w:t>“.</w:t>
      </w:r>
    </w:p>
    <w:p>
      <w:pPr>
        <w:pStyle w:val="Point1number"/>
        <w:rPr>
          <w:noProof/>
        </w:rPr>
      </w:pPr>
      <w:r>
        <w:rPr>
          <w:noProof/>
        </w:rPr>
        <w:t>Die Tabelle mit den Fangmöglichkeiten für Kaisergranat in der ICES-Division 8c erhält folgende Fassung:</w:t>
      </w:r>
    </w:p>
    <w:p>
      <w:pPr>
        <w:pStyle w:val="Text1"/>
        <w:rPr>
          <w:noProof/>
        </w:rPr>
      </w:pPr>
      <w:r>
        <w:rPr>
          <w:noProof/>
        </w:rPr>
        <w:t>„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1116"/>
        <w:gridCol w:w="1510"/>
        <w:gridCol w:w="1053"/>
        <w:gridCol w:w="655"/>
        <w:gridCol w:w="980"/>
        <w:gridCol w:w="1207"/>
        <w:gridCol w:w="706"/>
        <w:gridCol w:w="1954"/>
      </w:tblGrid>
      <w:tr>
        <w:trPr>
          <w:trHeight w:val="255"/>
        </w:trPr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Art: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Kaisergranat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Gebiet: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8c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Nephrops norvegicus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(NEP/08C.)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Spanien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21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Vorsorgliche TAC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Frankreich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 Ausschließlich für Fänge im Rahmen eines Fischerei-Beobachtungsprogramms zur Erfassung von Daten über die Fänge pro Aufwandseinheit (CPUE) mit Schiffen mit Beobachtern an Bord.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2 Tonnen in der Funktionseinheit 25 auf fünf Reisen pro Monat im August und September;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0,7 Tonnen in der Funktionseinheit 31 an sieben Tagen im Juli.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Anhang IV der Verordnung (EU) 2019/124 wird wie folgt geändert:</w:t>
      </w:r>
    </w:p>
    <w:p>
      <w:pPr>
        <w:pStyle w:val="Point1number"/>
        <w:numPr>
          <w:ilvl w:val="2"/>
          <w:numId w:val="9"/>
        </w:numPr>
        <w:rPr>
          <w:noProof/>
        </w:rPr>
      </w:pPr>
      <w:r>
        <w:rPr>
          <w:noProof/>
        </w:rPr>
        <w:t>Absatz 4 erhält folgende Fassung:</w:t>
      </w:r>
    </w:p>
    <w:p>
      <w:pPr>
        <w:pStyle w:val="Text1"/>
        <w:rPr>
          <w:noProof/>
        </w:rPr>
      </w:pPr>
      <w:r>
        <w:rPr>
          <w:noProof/>
        </w:rPr>
        <w:t>„Höchstanzahl der Fischereifahrzeuge eines jeden Mitgliedstaats, die im Ostatlantik und im Mittelmeer Roten Thun fischen, an Bord behalten, umladen, transportieren oder anlanden dürfen: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1113"/>
        <w:gridCol w:w="1354"/>
        <w:gridCol w:w="1047"/>
        <w:gridCol w:w="1047"/>
        <w:gridCol w:w="1113"/>
        <w:gridCol w:w="1047"/>
        <w:gridCol w:w="1047"/>
      </w:tblGrid>
      <w:tr>
        <w:trPr>
          <w:trHeight w:val="25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Anzahl der Fischereifahrzeuge</w:t>
            </w:r>
            <w:r>
              <w:rPr>
                <w:rStyle w:val="FootnoteReference"/>
                <w:noProof/>
              </w:rPr>
              <w:footnoteReference w:id="1"/>
            </w:r>
          </w:p>
        </w:tc>
      </w:tr>
      <w:tr>
        <w:trPr>
          <w:trHeight w:val="25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Zypern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Griechenland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Kroatien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Italien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Frankreich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Spanien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Malta</w:t>
            </w:r>
            <w:r>
              <w:rPr>
                <w:rStyle w:val="FootnoteReference"/>
                <w:noProof/>
              </w:rPr>
              <w:footnoteReference w:id="4"/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Ringwadenfänger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Langleinenfänger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Noch festzulegen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Köderschiffe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Handleinenfänger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Noch festzulegen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Trawler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Sonstige Fahrzeuge der handwerklichen Fischerei</w:t>
            </w:r>
            <w:r>
              <w:rPr>
                <w:rStyle w:val="FootnoteReference"/>
                <w:noProof/>
                <w:sz w:val="22"/>
              </w:rPr>
              <w:footnoteReference w:id="7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Noch festzulegen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numPr>
          <w:ilvl w:val="2"/>
          <w:numId w:val="9"/>
        </w:numPr>
        <w:rPr>
          <w:noProof/>
        </w:rPr>
      </w:pPr>
      <w:r>
        <w:rPr>
          <w:noProof/>
        </w:rPr>
        <w:t>Absatz 6 Tabelle B erhält folgende Fassung:</w:t>
      </w:r>
    </w:p>
    <w:p>
      <w:pPr>
        <w:pStyle w:val="Text1"/>
        <w:jc w:val="center"/>
        <w:rPr>
          <w:noProof/>
        </w:rPr>
      </w:pPr>
      <w:r>
        <w:rPr>
          <w:noProof/>
        </w:rPr>
        <w:t>„Tabelle B</w:t>
      </w:r>
      <w:r>
        <w:rPr>
          <w:rStyle w:val="FootnoteReference"/>
          <w:noProof/>
        </w:rPr>
        <w:footnoteReference w:customMarkFollows="1" w:id="8"/>
        <w:t>1</w:t>
      </w:r>
    </w:p>
    <w:tbl>
      <w:tblPr>
        <w:tblW w:w="0" w:type="auto"/>
        <w:tblInd w:w="661" w:type="dxa"/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>
        <w:trPr>
          <w:tblHeader/>
        </w:trPr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Höchstmenge an wild gefangenem Rotem Thun, der neu eingesetzt werden darf (in Tonnen)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Spanien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7 000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Italien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3 764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Griechenland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785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Zypern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2 195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Kroatien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2 947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8 766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Portugal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350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Die Zahlen in der Tabelle A können weiter erhöht werden, sofern die internationalen Verpflichtungen der Union erfüllt werden.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Ein mittelgroßer Ringwadenfänger kann durch höchstens 10 Langleinenfänger oder durch einen kleinen Ringwadenfänger und höchstens drei Langleinenfänger ersetzt werden.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Ein mittelgroßer Ringwadenfänger kann durch höchstens 10 Langleinenfänger oder durch einen kleinen Ringwadenfänger und drei andere Fahrzeuge der handwerklichen Fischerei ersetzt werden.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Ein mittelgroßer Ringwadenfänger kann durch höchstens 10 Langleinenfänger ersetzt werden.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Polyvalente Fahrzeuge, die verschiedene Fanggeräte einsetzen.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Leinenfänger, die im Atlantik fischen.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Polyvalente Fahrzeuge, die verschiedene Fanggeräte einsetzen (Langleinen, Handleinen, Schleppangeln).</w:t>
      </w:r>
    </w:p>
  </w:footnote>
  <w:footnote w:id="8">
    <w:p>
      <w:pPr>
        <w:pStyle w:val="FootnoteText"/>
      </w:pPr>
      <w:r>
        <w:rPr>
          <w:rStyle w:val="FootnoteReference"/>
        </w:rPr>
        <w:t>1</w:t>
      </w:r>
      <w:r>
        <w:tab/>
        <w:t>Die Aufzuchtkapazität Portugals von 350 Tonnen fällt unter die ungenutzte Kapazität der Union gemäß Tabelle 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46B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F8B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6C6E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544B0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843C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6876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5BA2F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14AB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12"/>
  </w:num>
  <w:num w:numId="30">
    <w:abstractNumId w:val="14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1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15 16:08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CBFF212-EFEB-4CFD-BAE8-7AB771A2FEE1"/>
    <w:docVar w:name="LW_COVERPAGE_TYPE" w:val="1"/>
    <w:docVar w:name="LW_CROSSREFERENCE" w:val="&lt;UNUSED&gt;"/>
    <w:docVar w:name="LW_DocType" w:val="ANNEX"/>
    <w:docVar w:name="LW_EMISSION" w:val="24.5.2019"/>
    <w:docVar w:name="LW_EMISSION_ISODATE" w:val="2019-05-24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Änderung der Verordnung (EU)&lt;LWCR:NBS&gt;2019/124 hinsichtlich bestimmter Fangmöglichkeiten"/>
    <w:docVar w:name="LW_OBJETACTEPRINCIPAL.CP" w:val="zur Änderung der Verordnung (EU) 2019/124 hinsichtlich bestimmter Fangmöglichkeiten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 VERORDNUNG DES RATES"/>
    <w:docVar w:name="LW_TYPEACTEPRINCIPAL.CP" w:val="VORSCHLAGS FÜR EINE VERORDNUNG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customStyle="1" w:styleId="Heading123">
    <w:name w:val="Heading 123"/>
    <w:basedOn w:val="Normal"/>
    <w:next w:val="Normal"/>
    <w:pPr>
      <w:numPr>
        <w:numId w:val="10"/>
      </w:numPr>
      <w:spacing w:before="360" w:line="360" w:lineRule="auto"/>
      <w:jc w:val="left"/>
      <w:outlineLvl w:val="0"/>
    </w:pPr>
    <w:rPr>
      <w:rFonts w:eastAsia="Times New Roman"/>
      <w:b/>
      <w:cap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customStyle="1" w:styleId="Heading123">
    <w:name w:val="Heading 123"/>
    <w:basedOn w:val="Normal"/>
    <w:next w:val="Normal"/>
    <w:pPr>
      <w:numPr>
        <w:numId w:val="10"/>
      </w:numPr>
      <w:spacing w:before="360" w:line="360" w:lineRule="auto"/>
      <w:jc w:val="left"/>
      <w:outlineLvl w:val="0"/>
    </w:pPr>
    <w:rPr>
      <w:rFonts w:eastAsia="Times New Roman"/>
      <w:b/>
      <w:cap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FA8-2CF6-4949-B8F9-9BBD3589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733</Words>
  <Characters>4225</Characters>
  <Application>Microsoft Office Word</Application>
  <DocSecurity>0</DocSecurity>
  <Lines>845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ZETTERBERG Jonas (MARE)</dc:creator>
  <cp:lastModifiedBy>WES PDFC Administrator</cp:lastModifiedBy>
  <cp:revision>7</cp:revision>
  <cp:lastPrinted>2019-03-11T08:42:00Z</cp:lastPrinted>
  <dcterms:created xsi:type="dcterms:W3CDTF">2019-05-17T08:23:00Z</dcterms:created>
  <dcterms:modified xsi:type="dcterms:W3CDTF">2019-05-21T10:17:00Z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Yellow (DQC version 03)</vt:lpwstr>
  </property>
</Properties>
</file>