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29A09137-781B-4E83-9195-845BCD9D97F1" style="width:450.5pt;height:361.5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Heading1"/>
        <w:spacing w:before="360" w:line="254" w:lineRule="auto"/>
        <w:rPr>
          <w:rFonts w:ascii="Times New Roman Bold" w:eastAsia="Times New Roman" w:hAnsi="Times New Roman Bold" w:cs="Times New Roman"/>
          <w:b/>
          <w:smallCaps/>
          <w:noProof/>
          <w:color w:val="auto"/>
          <w:sz w:val="24"/>
          <w:szCs w:val="24"/>
        </w:rPr>
      </w:pPr>
      <w:bookmarkStart w:id="1" w:name="_GoBack"/>
      <w:bookmarkEnd w:id="1"/>
      <w:r>
        <w:rPr>
          <w:rFonts w:ascii="Times New Roman Bold" w:hAnsi="Times New Roman Bold"/>
          <w:b/>
          <w:smallCaps/>
          <w:noProof/>
          <w:color w:val="auto"/>
          <w:sz w:val="24"/>
        </w:rPr>
        <w:lastRenderedPageBreak/>
        <w:t xml:space="preserve">Introduzzjoni </w:t>
      </w:r>
    </w:p>
    <w:p>
      <w:pPr>
        <w:spacing w:before="20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Il-qafas regolatorju tal-Unjoni fil-qasam tas-servizzi finanzjarji żviluppa b’mod sostanzjali, wara l-kriżi finanzjarja. Ġew adottati diversi testi leġiżlattivi biex jiġu introdotti regoli f’oqsma li qabel ma kinux irregolati u biex tiġi riveduta l-leġiżlazzjoni eżistenti. L-għan ġenerali kien li jiġu indirizzati t-tħassib u d-dgħufijiet li ħarġu matul il-kriżi finanzjarja u li jitnaqqas ir-riskju li mill-ġdid jerġgħu jixirfu l-kriżijiet (sistemiċi).</w:t>
      </w:r>
    </w:p>
    <w:p>
      <w:pPr>
        <w:spacing w:before="20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F’dan il-kuntest, fl-2014 ġie introdott qafas legali armonizzat minimu tal-UE li jista’ jiġi applikat f’każ ta’ kriżijiet bankarji</w:t>
      </w:r>
      <w:r>
        <w:rPr>
          <w:rStyle w:val="FootnoteReference"/>
          <w:rFonts w:ascii="Times New Roman" w:hAnsi="Times New Roman"/>
          <w:noProof/>
          <w:sz w:val="24"/>
        </w:rPr>
        <w:footnoteReference w:id="1"/>
      </w:r>
      <w:r>
        <w:rPr>
          <w:rFonts w:ascii="Times New Roman" w:hAnsi="Times New Roman"/>
          <w:noProof/>
          <w:sz w:val="24"/>
        </w:rPr>
        <w:t>, li jikkonsisti mid-Direttiva dwar l-Irkupru u r-Riżoluzzjoni tal-Banek (“BRRD”, Bank Recovery and Resolution Directive)</w:t>
      </w:r>
      <w:r>
        <w:rPr>
          <w:rStyle w:val="FootnoteReference"/>
          <w:rFonts w:ascii="Times New Roman" w:hAnsi="Times New Roman"/>
          <w:noProof/>
          <w:sz w:val="24"/>
        </w:rPr>
        <w:footnoteReference w:id="2"/>
      </w:r>
      <w:r>
        <w:rPr>
          <w:rFonts w:ascii="Times New Roman" w:hAnsi="Times New Roman"/>
          <w:noProof/>
          <w:sz w:val="24"/>
        </w:rPr>
        <w:t>. Ir-Regolament dwar il-Mekkaniżmu Uniku ta’ Riżoluzzjoni (“SRMR”, Single Resolution Mechanism Regulation) jikkomplimenta dan il-qafas armonizzat</w:t>
      </w:r>
      <w:r>
        <w:rPr>
          <w:rStyle w:val="FootnoteReference"/>
          <w:rFonts w:ascii="Times New Roman" w:hAnsi="Times New Roman"/>
          <w:noProof/>
          <w:sz w:val="24"/>
        </w:rPr>
        <w:footnoteReference w:id="3"/>
      </w:r>
      <w:r>
        <w:rPr>
          <w:rFonts w:ascii="Times New Roman" w:hAnsi="Times New Roman"/>
          <w:noProof/>
          <w:sz w:val="24"/>
        </w:rPr>
        <w:t>. Dawn l-atti leġiżlattivi jipprovdu għodod effettivi ta’ riżoluzzjoni għall-banek li qed “ifallu jew li x’aktarx ifallu”. Filwaqt li l-BRRD kellha tiġi trasposta fil-liġi nazzjonali minn kull Stat Membru tal-UE, l-SRMR huwa regolament li japplika direttament u li jiċċentralizza ċerti funzjonijiet u deċiżjonijiet ta’ riżoluzzjoni għall-Unjoni Bankarja. Għalhekk, iż-żewġ strumenti jistabbilixxu b’mod konġunt il-qafas tar-riżoluzzjoni tal-UE.</w:t>
      </w:r>
    </w:p>
    <w:p>
      <w:pPr>
        <w:spacing w:before="20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Il-BRRD u l-SRMR stabbilew il-prinċipju li meta bank ikun qed ifalli jew x’aktarx li jfalli, l-awtorità tar-riżoluzzjoni tista’ tikkonkludi li jkun fl-interess pubbliku li l-bank jitpoġġa f’riżoluzzjoni, minflok ma tiġi applikata l-insolvenza skont il-liġi nazzjonali. Tali interess pubbliku jista’ pereżempju jkun dovut għall-fatt li l-bank jipprovdi funzjonijiet meqjusa kruċjali għall-ekonomija, li ma jistgħux jiġu interrotti mingħajr effetti negattivi fuq l-istabbiltà finanzjarja. Jekk ma jkun hemm l-ebda interess pubbliku biex titwettaq riżoluzzjoni, il-bank irid jiġi stralċat skont ir-regoli tal-insolvenza f’konformità mal-liġijiet nazzjonali.</w:t>
      </w:r>
    </w:p>
    <w:p>
      <w:pPr>
        <w:spacing w:before="20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Bħala regola ġenerali, bank irid jiġi ddikjarat li qed ifalli jew li x’aktarx ifalli meta jkun jeħtieġ appoġġ finanzjarju pubbliku straordinarju biex jippreserva l-vijabbiltà, il-likwidità jew is-solvenza tiegħu, u huwa biss f’każijiet eċċezzjonali speċifiċi li bank jista’ jirċievi appoġġ pubbliku mingħajr din il-konklużjoni. Dawn il-każijiet eċċezzjonali jinkludu r-rikapitalizzazzjoni prekawzjonarja, kif ukoll garanziji mill-Istat li jsostnu faċilitajiet ta’ likwidità pprovduti minn banek ċentrali u garanziji mill-Istat fuq obbligazzjonijiet li jkunu għadhom kif inħarġu</w:t>
      </w:r>
      <w:r>
        <w:rPr>
          <w:rStyle w:val="FootnoteReference"/>
          <w:rFonts w:ascii="Times New Roman" w:hAnsi="Times New Roman"/>
          <w:noProof/>
          <w:sz w:val="24"/>
        </w:rPr>
        <w:footnoteReference w:id="4"/>
      </w:r>
      <w:r>
        <w:rPr>
          <w:rFonts w:ascii="Times New Roman" w:hAnsi="Times New Roman"/>
          <w:noProof/>
          <w:sz w:val="24"/>
        </w:rPr>
        <w:t>.</w:t>
      </w:r>
    </w:p>
    <w:p>
      <w:pPr>
        <w:spacing w:before="20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Il-qafas jiżgura li l-azzjonisti u l-kredituri effettivament jappoġġaw it-telf u jistabbilixxi għadd ta’ għodod ta’ riżoluzzjoni għall-awtoritajiet biex jiġġestixxu l-banek f’riżoluzzjoni. Skont il-każ speċifiku, l-awtoritajiet jistgħu jiddeċiedu li jużaw il-bejgħ ta’ għodod tan-negozju, biex joħolqu bank tranżitorju jew vettura għall-immaniġġjar tal-assi, u biex iwettqu rikapitalizzazzjoni interna</w:t>
      </w:r>
      <w:r>
        <w:rPr>
          <w:rStyle w:val="FootnoteReference"/>
          <w:rFonts w:ascii="Times New Roman" w:hAnsi="Times New Roman"/>
          <w:noProof/>
          <w:sz w:val="24"/>
        </w:rPr>
        <w:footnoteReference w:id="5"/>
      </w:r>
      <w:r>
        <w:rPr>
          <w:rFonts w:ascii="Times New Roman" w:hAnsi="Times New Roman"/>
          <w:noProof/>
          <w:sz w:val="24"/>
        </w:rPr>
        <w:t xml:space="preserve">. </w:t>
      </w:r>
    </w:p>
    <w:p>
      <w:pPr>
        <w:spacing w:before="20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Il-qafas jipprevedi wkoll regoli dwar l-għoti ta’ appoġġ finanzjarju pubbliku estern lill-banek f’riżoluzzjoni. Sabiex jitnaqqas ir-riskju ta’ miżuri ta’ rikapitalizzazzjoni ffinanzjati mill-kontribwenti, jenħtieġ li jinħolqu arranġamenti nazzjonali għall-finanzjament ta’ riżoluzzjoni kif ukoll il-Fond Uniku ta’ Riżoluzzjoni (SRF, Single Resolution Fund) – li għandu jiġi ffinanzjat mill-banek kollha fis-suq – li huma s-sors ewlieni ta’ appoġġ finanzjarju estern għall-banek f’riżoluzzjoni.  </w:t>
      </w:r>
    </w:p>
    <w:p>
      <w:pPr>
        <w:spacing w:before="20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Barra minn hekk, l-SRMR jistabbilixxi l-Bord Uniku ta’ Riżoluzzjoni (SRB, Single Resolution Board), li għandu l-kompitu li jħejji u jwettaq ir-riżoluzzjoni tal-banek stabbiliti fl-Istati Membri parteċipanti fl-Unjoni Bankarja, kif ukoll il-ġestjoni tal-SRF</w:t>
      </w:r>
      <w:r>
        <w:rPr>
          <w:rStyle w:val="FootnoteReference"/>
          <w:rFonts w:ascii="Times New Roman" w:hAnsi="Times New Roman"/>
          <w:noProof/>
          <w:sz w:val="24"/>
        </w:rPr>
        <w:footnoteReference w:id="6"/>
      </w:r>
      <w:r>
        <w:rPr>
          <w:rFonts w:ascii="Times New Roman" w:hAnsi="Times New Roman"/>
          <w:noProof/>
          <w:sz w:val="24"/>
        </w:rPr>
        <w:t>.</w:t>
      </w:r>
    </w:p>
    <w:p>
      <w:pPr>
        <w:spacing w:before="20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L-Artikolu 129 tal-BRRD u l-Artikolu 94 tal-SRMR jesiġu li l-Kummissjoni twettaq rieżami tal-applikazzjoni tal-qafas ta’ riżoluzzjoni u tippreżenta rapport lill-Parlament Ewropew u lill-Kunsill. Ir-rapporti dwar l-applikazzjoni ta’ dawn l-istrumenti legali kellhom jiġu sottomessi sa Ġunju u sa Diċembru 2018 rispettivament. Minħabba r-rabtiet mill-qrib bejn dawn l-istrumenti, huwa xieraq li r-rieżami jsir b’mod konġunt għat-tnejn li huma. Barra minn hekk, sabiex jitwettaq ir-rieżami, kien meħtieġ li wieħed jistenna l-adozzjoni tal-Pakkett Bankarju (deskritt aktar fid-dettall hawn taħt), li emenda xi elementi importanti fil-qafas tar-riżoluzzjoni, u b’mod partikolari fir-regoli dwar ir-Rekwiżit Minimu għall-fondi proprji u Obbligazzjonijiet eliġibbli (MREL, Minimum Requirement for own funds and eligible Liabilities). </w:t>
      </w:r>
    </w:p>
    <w:p>
      <w:pPr>
        <w:pStyle w:val="Heading1"/>
        <w:spacing w:before="360" w:line="240" w:lineRule="auto"/>
        <w:ind w:left="454" w:hanging="454"/>
        <w:rPr>
          <w:rFonts w:ascii="Times New Roman Bold" w:eastAsia="Times New Roman" w:hAnsi="Times New Roman Bold" w:cs="Times New Roman"/>
          <w:b/>
          <w:smallCaps/>
          <w:noProof/>
          <w:color w:val="auto"/>
          <w:sz w:val="24"/>
          <w:szCs w:val="24"/>
        </w:rPr>
      </w:pPr>
      <w:r>
        <w:rPr>
          <w:rFonts w:ascii="Times New Roman Bold" w:hAnsi="Times New Roman Bold"/>
          <w:b/>
          <w:smallCaps/>
          <w:noProof/>
          <w:color w:val="auto"/>
          <w:sz w:val="24"/>
        </w:rPr>
        <w:t xml:space="preserve">Ħarsa ġenerali lejn is-sitwazzjoni attwali fl-applikazzjoni tal-qafas ta’ riżoluzzjoni u t-tlestija tiegħu </w:t>
      </w:r>
    </w:p>
    <w:p>
      <w:pPr>
        <w:pStyle w:val="Heading2"/>
        <w:spacing w:before="200" w:line="240" w:lineRule="auto"/>
        <w:ind w:left="0"/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000000" w:themeColor="text1"/>
          <w:sz w:val="24"/>
        </w:rPr>
        <w:t>Is-sitwazzjoni attwali dwar it-traspożizzjoni tal-BRRD</w:t>
      </w:r>
    </w:p>
    <w:p>
      <w:pPr>
        <w:spacing w:before="1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Id-data ta’ skadenza għat-traspożizzjoni tal-BRRD kienet il-31 ta’ Diċembru 2014. Żewġ Stati Membri biss innotifikaw it-traspożizzjoni kollha tal-BRRD sal-iskadenza, u nfetħu każijiet ta’ ksur għal nuqqas ta’ komunikazzjoni kontra dawk li kien fadal.  </w:t>
      </w:r>
    </w:p>
    <w:p>
      <w:pPr>
        <w:spacing w:before="20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Illum, l-Istati Membri kollha nnotifikaw it-traspożizzjoni kollha. Il-Kummissjoni vverifikat li l-BRRD hija trasposta kollha fl-Istati Membri kollha u għalqet il-każijiet rispettivi ta’ ksur minħabba n-nuqqas ta’ komunikazzjoni. </w:t>
      </w:r>
    </w:p>
    <w:p>
      <w:pPr>
        <w:spacing w:before="20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Il-Kummissjoni bħalissa qed tivverifika l-korrettezza tal-miżuri nazzjonali ta’ traspożizzjoni. </w:t>
      </w:r>
    </w:p>
    <w:p>
      <w:pPr>
        <w:pStyle w:val="Heading2"/>
        <w:spacing w:before="200" w:line="240" w:lineRule="auto"/>
        <w:ind w:left="454" w:hanging="454"/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000000" w:themeColor="text1"/>
          <w:sz w:val="24"/>
        </w:rPr>
        <w:t xml:space="preserve"> Is-sitwazzjoni attwali tal-implimentazzjoni tal-qafas ta’ riżoluzzjoni mill-awtoritajiet ta’ riżoluzzjoni</w:t>
      </w:r>
    </w:p>
    <w:p>
      <w:pPr>
        <w:spacing w:before="1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L-implimentazzjoni tal-BRRD għadha għaddejja fl-UE. Għadd ta’ Stati Membri stabbilew strateġiji ta’ riżoluzzjoni u miri tal-MREL għall-banek kollha taħt il-mandat dirett tagħhom. Dan ippermetta li l-banek jibdew ineħħu l-impedimenti għal dawn l-istrateġiji u jibnu r-riżorsi tal-MREL. Sa mill-introduzzjoni tal-BRRD, twaqqfu għadd ta’ kulleġġi ta’ riżoluzzjoni bil-għan li jintlaħaq qbil dwar pjanijiet ta’ riżoluzzjoni, valutazzjonijiet tar-riżolvibbiltà u l-MREL bejn l-awtoritajiet tad-domiċilju u dawk ospitanti inkarigati mir-riżoluzzjoni tal-gruppi bankarji fl-UE</w:t>
      </w:r>
      <w:r>
        <w:rPr>
          <w:rStyle w:val="FootnoteReference"/>
          <w:rFonts w:ascii="Times New Roman" w:hAnsi="Times New Roman"/>
          <w:noProof/>
          <w:sz w:val="24"/>
        </w:rPr>
        <w:footnoteReference w:id="7"/>
      </w:r>
      <w:r>
        <w:rPr>
          <w:rFonts w:ascii="Times New Roman" w:hAnsi="Times New Roman"/>
          <w:noProof/>
          <w:sz w:val="24"/>
        </w:rPr>
        <w:t>.</w:t>
      </w:r>
    </w:p>
    <w:p>
      <w:pPr>
        <w:spacing w:before="1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Fl-Unjoni Bankarja, il-Bord Uniku ta’ Riżoluzzjoni (SRB) qed iwettaq il-proċess għat-tħejjija ta’ pjanijiet ta’ riżoluzzjoni għall-banek li jaqgħu taħt ir-responsabbiltà tiegħu. Barra minn hekk, l-SRB żviluppa gwida dwar il-funzjonijiet kritiċi u l-operattività tar-rikapitalizzazzjoni interna u qed jaħdem fuq għadd ta’ suġġetti, b’mod partikolari fuq il-kontinwità operazzjonali u s-sistemi tal-informazzjoni tal-maniġment. L-SRB preċedentement ippubblika “Introduzzjoni għall-Ippjanar tar-Riżoluzzjoni” u qed jiżviluppa manwal għall-ippjanar tar-riżoluzzjoni aktar iddettaljat għall-pubblikazzjoni esterna. </w:t>
      </w:r>
    </w:p>
    <w:p>
      <w:pPr>
        <w:spacing w:before="1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Fir-rigward tal-MREL, l-approċċ tal-SRB evolva minn wieħed li jissejjes fuq miri ta’ informazzjoni fl-2016, għall-inklużjoni ta’ rekwiżiti vinkolanti għall-akbar banek u għal dawk l-aktar kumplessi fl-2017, kif ukoll għal aġġustamenti speċifiċi għall-banek li jindirizzaw kemm il-kwalità kif ukoll il-kwantità tal-MREL. Il-gwida dwar l-MREL tal-2018 dwar l-applikazzjoni tad-dispożizzjonijiet leġiżlattivi dwar l-MREL mill-SRB</w:t>
      </w:r>
      <w:r>
        <w:rPr>
          <w:rStyle w:val="FootnoteReference"/>
          <w:rFonts w:ascii="Times New Roman" w:hAnsi="Times New Roman"/>
          <w:noProof/>
          <w:sz w:val="24"/>
        </w:rPr>
        <w:footnoteReference w:id="8"/>
      </w:r>
      <w:r>
        <w:rPr>
          <w:rFonts w:ascii="Times New Roman" w:hAnsi="Times New Roman"/>
          <w:noProof/>
          <w:sz w:val="24"/>
        </w:rPr>
        <w:t xml:space="preserve"> inħarġet mill-SRB fl-aħħar tal-2018. B’mod ġenerali, il-banek jinsabu f’fażi ta’ tranżizzjoni u, filwaqt li xi banek attwalment għadhom qed jiffaċċjaw nuqqasijiet ta’ MREL, jinsabu fi triqithom biex iwettqu l-objettivi fil-limitu ta’ żmien speċifikat mill-SRB. </w:t>
      </w:r>
    </w:p>
    <w:p>
      <w:pPr>
        <w:pStyle w:val="Heading2"/>
        <w:spacing w:before="200" w:line="240" w:lineRule="auto"/>
        <w:ind w:left="340" w:hanging="340"/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000000" w:themeColor="text1"/>
          <w:sz w:val="24"/>
        </w:rPr>
        <w:t>L-emendi tal-MREL li jinsabu fil-Pakkett Bankarju</w:t>
      </w:r>
    </w:p>
    <w:p>
      <w:pPr>
        <w:spacing w:before="1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F’April 2019, il-Parlament Ewropew u l-Kunsill tal-Unjoni Ewropea adottaw il-Pakkett Bankarju li kien jinkludi emendi għal ċerti dispożizzjonijiet tal-BRRD u tal-SRMR iżda wkoll għad-Direttiva dwar ir-Rekwiżiti ta’ Kapital (CRD, Capital Requirements Directive) u r-Regolament dwar ir-Rekwiżiti ta’ Kapital (CRR, Capital Requirements Regulation)</w:t>
      </w:r>
      <w:r>
        <w:rPr>
          <w:rStyle w:val="FootnoteReference"/>
          <w:rFonts w:ascii="Times New Roman" w:hAnsi="Times New Roman"/>
          <w:noProof/>
          <w:sz w:val="24"/>
        </w:rPr>
        <w:footnoteReference w:id="9"/>
      </w:r>
      <w:r>
        <w:rPr>
          <w:rFonts w:ascii="Times New Roman" w:hAnsi="Times New Roman"/>
          <w:noProof/>
          <w:sz w:val="24"/>
        </w:rPr>
        <w:t>. Fid-dawl tal-iskadenzi fit-testi leġiżlattivi, ir-regoli l-ġodda x’aktarx li jsiru applikabbli fl-Istati Membri matul l-2020.</w:t>
      </w:r>
    </w:p>
    <w:p>
      <w:pPr>
        <w:spacing w:before="1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Parti mid-dispożizzjonijiet fil-pakkett tirrigwarda l-MREL. B’mod partikolari, din tipprevedi miżuri biex jiġi allinjat il-qafas leġiżlattiv eżistenti mal-istandard internazzjonali rilevanti maħruġ mill-Bord għall-Istabbiltà Finanzjarja dwar il-Kapaċità Totali ta’ Assorbiment tat-Telf (TLAC, Total Loss Absorbing Capacity) u tinkludi bidliet sinifikanti fil-kalibrazzjoni, il-kriterji ta’ eliġibbiltà u l-allokazzjoni tal-grupp tar-rekwiżit MREL, u l-konsegwenzi tal-ksur tiegħu. Barra minn hekk, it-test jindirizza l-kwistjoni tar-rikonoxximent kuntrattwali tar-rikapitalizzazzjoni interna għal obbligazzjonijiet maħruġa skont liġijiet ta’ pajjiżi terzi, kif ukoll is-setgħat tal-awtoritajiet tar-riżoluzzjoni li jissospendu l-pagamenti (is-setgħat ta’ moratorju).</w:t>
      </w:r>
    </w:p>
    <w:p>
      <w:pPr>
        <w:spacing w:before="1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Heading2"/>
        <w:spacing w:before="200" w:line="240" w:lineRule="auto"/>
        <w:ind w:left="0"/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000000" w:themeColor="text1"/>
          <w:sz w:val="24"/>
        </w:rPr>
        <w:t>Il-każijiet tal-applikazzjoni tad-dispożizzjonijiet fil-qafas ta’ riżoluzzjoni</w:t>
      </w:r>
    </w:p>
    <w:p>
      <w:pPr>
        <w:spacing w:before="16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Sa issa, hemm esperjenza limitata dwar l-applikazzjoni tal-qafas għal banek li qed ifallu jew għal dawk li x’aktarx ifallu. </w:t>
      </w:r>
    </w:p>
    <w:p>
      <w:pPr>
        <w:spacing w:before="20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Il-każ tal-Banco Popular (Ġunju 2017) huwa l-unika riżoluzzjoni li twettqet wara d-dħul fis-seħħ tad-dispożizzjonijiet kollha tal-SRMR</w:t>
      </w:r>
      <w:r>
        <w:rPr>
          <w:rStyle w:val="FootnoteReference"/>
          <w:rFonts w:ascii="Times New Roman" w:hAnsi="Times New Roman"/>
          <w:noProof/>
          <w:sz w:val="24"/>
        </w:rPr>
        <w:footnoteReference w:id="10"/>
      </w:r>
      <w:r>
        <w:rPr>
          <w:rFonts w:ascii="Times New Roman" w:hAnsi="Times New Roman"/>
          <w:noProof/>
          <w:sz w:val="24"/>
        </w:rPr>
        <w:t>. L-iskema ta’ riżoluzzjoni għall-Banco Popular kienet tinvolvi l-valwazzjoni negattiva u l-konverżjoni tal-fondi proprji tal-istituzzjoni u l-bejgħ tal-entità taħt l-għodda tal-bejgħ ta’ negozju. F’dan il-kuntest, Banco Santander ġie identifikat bħala xerrej xieraq. L-ebda rikapitalizzazzjoni interna ta’ obbligazzjonijiet lil hinn mid-dejn subordinat ma kienet adottata f’dan il-każ, u l-ebda appoġġ mill-Fond Uniku ta’ Riżoluzzjoni ma kien meħtieġ</w:t>
      </w:r>
      <w:r>
        <w:rPr>
          <w:rStyle w:val="FootnoteReference"/>
          <w:rFonts w:ascii="Times New Roman" w:hAnsi="Times New Roman"/>
          <w:noProof/>
          <w:sz w:val="24"/>
        </w:rPr>
        <w:footnoteReference w:id="11"/>
      </w:r>
      <w:r>
        <w:rPr>
          <w:rFonts w:ascii="Times New Roman" w:hAnsi="Times New Roman"/>
          <w:noProof/>
          <w:sz w:val="24"/>
        </w:rPr>
        <w:t xml:space="preserve">. </w:t>
      </w:r>
    </w:p>
    <w:p>
      <w:pPr>
        <w:spacing w:before="20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Qabel il-każ tal-Banco Popular, il-BRRD kienet applikata f’Novembru 2015 meta l-awtoritajiet Taljani poġġew f’riżoluzzjoni erba’ banek (Banca delle Marche, Banca Popolare dell’Etruria e del Lazio, Cassa di Risparmio di Ferrara u Cassa di Risparmio della Provincia di Chieti). Madankollu, dawn il-każijiet seħħew qabel id-data ta’ applikazzjoni tad-dispożizzjonijiet ta’ rikapitalizzazzjoni interna</w:t>
      </w:r>
      <w:r>
        <w:rPr>
          <w:rStyle w:val="FootnoteReference"/>
          <w:rFonts w:ascii="Times New Roman" w:hAnsi="Times New Roman"/>
          <w:noProof/>
          <w:sz w:val="24"/>
        </w:rPr>
        <w:footnoteReference w:id="12"/>
      </w:r>
      <w:r>
        <w:rPr>
          <w:rFonts w:ascii="Times New Roman" w:hAnsi="Times New Roman"/>
          <w:noProof/>
          <w:sz w:val="24"/>
        </w:rPr>
        <w:t>. Għaldaqstant, kienu applikati biss ir-regoli dwar l-għajnuna mill-Istat li jirrigwardaw il-kondiviżjoni tal-piżijiet (li jirrikjedu l-valwazzjoni negattiva tal-ekwità u tad-dejn subordinat), iżda l-ebda rikapitalizzazzjoni interna skont il-BRRD</w:t>
      </w:r>
      <w:r>
        <w:rPr>
          <w:rStyle w:val="FootnoteReference"/>
          <w:rFonts w:ascii="Times New Roman" w:hAnsi="Times New Roman"/>
          <w:noProof/>
          <w:sz w:val="24"/>
        </w:rPr>
        <w:footnoteReference w:id="13"/>
      </w:r>
      <w:r>
        <w:rPr>
          <w:rFonts w:ascii="Times New Roman" w:hAnsi="Times New Roman"/>
          <w:noProof/>
          <w:sz w:val="24"/>
        </w:rPr>
        <w:t xml:space="preserve">.  </w:t>
      </w:r>
    </w:p>
    <w:p>
      <w:pPr>
        <w:spacing w:before="20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Barra minn hekk, ċerti dispożizzjonijiet tal-qafas ta’ riżoluzzjoni ġew applikati f’każijiet riċenti ta’ banek f’diffikultà, li madankollu ma kinux jinvolvu r-riżoluzzjoni tal-istituzzjoni: </w:t>
      </w:r>
    </w:p>
    <w:p>
      <w:pPr>
        <w:pStyle w:val="ListParagraph"/>
        <w:numPr>
          <w:ilvl w:val="0"/>
          <w:numId w:val="14"/>
        </w:numPr>
        <w:spacing w:before="60" w:after="0" w:line="240" w:lineRule="auto"/>
        <w:ind w:left="453" w:hanging="34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Ċerti banek irċevew appoġġ ta’ likwidità bħala prekawzjoni</w:t>
      </w:r>
      <w:r>
        <w:rPr>
          <w:rStyle w:val="FootnoteReference"/>
          <w:rFonts w:ascii="Times New Roman" w:hAnsi="Times New Roman"/>
          <w:noProof/>
          <w:sz w:val="24"/>
        </w:rPr>
        <w:footnoteReference w:id="14"/>
      </w:r>
      <w:r>
        <w:rPr>
          <w:rFonts w:ascii="Times New Roman" w:hAnsi="Times New Roman"/>
          <w:noProof/>
          <w:sz w:val="24"/>
        </w:rPr>
        <w:t>. Tali appoġġ ingħata lil żewġ banek Griegi (National Bank of Greece u Piraeus Bank) f’April 2015</w:t>
      </w:r>
      <w:r>
        <w:rPr>
          <w:rStyle w:val="FootnoteReference"/>
          <w:rFonts w:ascii="Times New Roman" w:hAnsi="Times New Roman"/>
          <w:noProof/>
          <w:sz w:val="24"/>
        </w:rPr>
        <w:footnoteReference w:id="15"/>
      </w:r>
      <w:r>
        <w:rPr>
          <w:rFonts w:ascii="Times New Roman" w:hAnsi="Times New Roman"/>
          <w:noProof/>
          <w:sz w:val="24"/>
        </w:rPr>
        <w:t>. F’Diċembru 2016, Monte dei Paschi di Siena ngħata appoġġ</w:t>
      </w:r>
      <w:r>
        <w:rPr>
          <w:rStyle w:val="FootnoteReference"/>
          <w:rFonts w:ascii="Times New Roman" w:hAnsi="Times New Roman"/>
          <w:noProof/>
          <w:sz w:val="24"/>
        </w:rPr>
        <w:footnoteReference w:id="16"/>
      </w:r>
      <w:r>
        <w:rPr>
          <w:rFonts w:ascii="Times New Roman" w:hAnsi="Times New Roman"/>
          <w:noProof/>
          <w:sz w:val="24"/>
        </w:rPr>
        <w:t>, u f’Jannar u f’April 2017, żewġ banek Taljani ta’ daqs medju, Banca Popolare di Vicenza u Veneto Banca, ukoll ibbenefikaw mill-istess tip ta’ appoġġ;</w:t>
      </w:r>
      <w:r>
        <w:rPr>
          <w:rStyle w:val="FootnoteReference"/>
          <w:rFonts w:ascii="Times New Roman" w:hAnsi="Times New Roman"/>
          <w:noProof/>
          <w:sz w:val="24"/>
        </w:rPr>
        <w:t xml:space="preserve"> </w:t>
      </w:r>
      <w:r>
        <w:rPr>
          <w:rStyle w:val="FootnoteReference"/>
          <w:rFonts w:ascii="Times New Roman" w:hAnsi="Times New Roman"/>
          <w:noProof/>
          <w:sz w:val="24"/>
        </w:rPr>
        <w:footnoteReference w:id="17"/>
      </w:r>
    </w:p>
    <w:p>
      <w:pPr>
        <w:pStyle w:val="ListParagraph"/>
        <w:numPr>
          <w:ilvl w:val="0"/>
          <w:numId w:val="14"/>
        </w:numPr>
        <w:spacing w:before="60" w:after="0" w:line="240" w:lineRule="auto"/>
        <w:ind w:left="453" w:hanging="34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In-National Bank of Greece u l-Piraeus Bank irċevew rikapitalizzazzjonijiet prekawzjonarji f’Novembru 2015</w:t>
      </w:r>
      <w:r>
        <w:rPr>
          <w:rStyle w:val="FootnoteReference"/>
          <w:rFonts w:ascii="Times New Roman" w:hAnsi="Times New Roman"/>
          <w:noProof/>
          <w:sz w:val="24"/>
        </w:rPr>
        <w:footnoteReference w:id="18"/>
      </w:r>
      <w:r>
        <w:rPr>
          <w:rFonts w:ascii="Times New Roman" w:hAnsi="Times New Roman"/>
          <w:noProof/>
          <w:sz w:val="24"/>
        </w:rPr>
        <w:t>. L-istess tip ta’ appoġġ ingħata mill-awtoritajiet Taljani lil Banca Monte dei Paschi di Siena f’Ġunju 2017</w:t>
      </w:r>
      <w:r>
        <w:rPr>
          <w:rStyle w:val="FootnoteReference"/>
          <w:rFonts w:ascii="Times New Roman" w:hAnsi="Times New Roman"/>
          <w:noProof/>
          <w:sz w:val="24"/>
        </w:rPr>
        <w:footnoteReference w:id="19"/>
      </w:r>
      <w:r>
        <w:rPr>
          <w:rFonts w:ascii="Times New Roman" w:hAnsi="Times New Roman"/>
          <w:noProof/>
          <w:sz w:val="24"/>
        </w:rPr>
        <w:t xml:space="preserve">. </w:t>
      </w:r>
    </w:p>
    <w:p>
      <w:pPr>
        <w:pStyle w:val="ListParagraph"/>
        <w:numPr>
          <w:ilvl w:val="0"/>
          <w:numId w:val="14"/>
        </w:numPr>
        <w:spacing w:before="60" w:after="0" w:line="240" w:lineRule="auto"/>
        <w:ind w:left="453" w:hanging="34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F’Ġunju 2017, Banca Popolare di Vicenza u Veneto Banca ġew iddikjarati li qed ifallu jew li aktarx ifallu mill-BĊE, u l-Bord Uniku ta’ Riżoluzzjoni sab li l-azzjoni ta’ riżoluzzjoni ma kinitx fl-interess pubbliku</w:t>
      </w:r>
      <w:r>
        <w:rPr>
          <w:rStyle w:val="FootnoteReference"/>
          <w:rFonts w:ascii="Times New Roman" w:hAnsi="Times New Roman"/>
          <w:noProof/>
          <w:sz w:val="24"/>
        </w:rPr>
        <w:footnoteReference w:id="20"/>
      </w:r>
      <w:r>
        <w:rPr>
          <w:rFonts w:ascii="Times New Roman" w:hAnsi="Times New Roman"/>
          <w:noProof/>
          <w:sz w:val="24"/>
        </w:rPr>
        <w:t>.</w:t>
      </w:r>
      <w:r>
        <w:rPr>
          <w:rFonts w:ascii="Times New Roman" w:hAnsi="Times New Roman"/>
          <w:noProof/>
          <w:sz w:val="24"/>
          <w:vertAlign w:val="superscript"/>
        </w:rPr>
        <w:t xml:space="preserve"> </w:t>
      </w:r>
      <w:r>
        <w:rPr>
          <w:rFonts w:ascii="Times New Roman" w:hAnsi="Times New Roman"/>
          <w:noProof/>
          <w:sz w:val="24"/>
        </w:rPr>
        <w:t>Il-qafas ta’ riżoluzzjoni jipprevedi li f’din iċ-ċirkustanza, japplikaw regoli ta’ insolvenza skont il-liġi nazzjonali. Għalhekk, iż-żewġ istituzzjonijiet tpoġġew taħt likwidazzjoni amministrattiva obbligatorja skont il-liġi Taljana.</w:t>
      </w:r>
    </w:p>
    <w:p>
      <w:pPr>
        <w:pStyle w:val="ListParagraph"/>
        <w:numPr>
          <w:ilvl w:val="0"/>
          <w:numId w:val="14"/>
        </w:numPr>
        <w:spacing w:before="60" w:after="0" w:line="240" w:lineRule="auto"/>
        <w:ind w:left="453" w:hanging="34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Fir-rigward tal-bank Latvjan ABLV, AS u s-sussidjarja tiegħu ABLV Bank Luxembourg S.A., wara li l-BĊE ddetermina li l-banek kienu qed ifallu jew aktarx li jfallu fi Frar 2018, l-SRB ħa d-deċiżjoni li ma jibdiex azzjoni ta’ riżoluzzjoni minħabba n-nuqqas ta’ interess pubbliku. Wara, ABLV AS applika għal likwidazzjoni volontarja skont il-liġi tal-Latvja u ABLV Luxembourg AS baqa’ f’reġim ta’ sospensjoni ta’ pagamenti skont il-liġi tal-Lussemburgu. </w:t>
      </w:r>
    </w:p>
    <w:p>
      <w:pPr>
        <w:spacing w:before="6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Fejn applikabbli, il-Kummissjoni vvalutat il-miżura notifikata mill-Istat Membru skont ir-regoli dwar l-għajnuna mill-Istat għas-settur finanzjarju, li għal appoġġ kapitali jeħtieġu l-kondiviżjoni tal-piż mill-azzjonisti u mill-kredituri subordinati, kif ukoll dispożizzjonijiet oħra, inkluż is-sottomissjoni ta’ pjan ta’ ristrutturar fejn rilevanti.</w:t>
      </w:r>
    </w:p>
    <w:p>
      <w:pPr>
        <w:pStyle w:val="Heading1"/>
        <w:spacing w:before="360" w:line="240" w:lineRule="auto"/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</w:rPr>
      </w:pPr>
      <w:r>
        <w:rPr>
          <w:rFonts w:ascii="Times New Roman" w:hAnsi="Times New Roman"/>
          <w:b/>
          <w:noProof/>
          <w:color w:val="auto"/>
          <w:sz w:val="24"/>
        </w:rPr>
        <w:t xml:space="preserve"> Punti biex titwettaq valutazzjoni ulterjuri </w:t>
      </w:r>
    </w:p>
    <w:p>
      <w:pPr>
        <w:pStyle w:val="Heading2"/>
        <w:numPr>
          <w:ilvl w:val="0"/>
          <w:numId w:val="16"/>
        </w:numPr>
        <w:spacing w:before="200" w:line="240" w:lineRule="auto"/>
        <w:ind w:left="357" w:hanging="357"/>
        <w:rPr>
          <w:rFonts w:ascii="Times New Roman" w:hAnsi="Times New Roman" w:cs="Times New Roman"/>
          <w:b/>
          <w:i/>
          <w:noProof/>
          <w:sz w:val="24"/>
        </w:rPr>
      </w:pPr>
      <w:r>
        <w:rPr>
          <w:rFonts w:ascii="Times New Roman" w:hAnsi="Times New Roman"/>
          <w:b/>
          <w:i/>
          <w:noProof/>
          <w:sz w:val="24"/>
        </w:rPr>
        <w:t xml:space="preserve">L-applikazzjoni tal-BRRD u tal-SRMR </w:t>
      </w:r>
    </w:p>
    <w:p>
      <w:pPr>
        <w:spacing w:before="200" w:after="0" w:line="240" w:lineRule="auto"/>
        <w:ind w:firstLine="72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 xml:space="preserve">Rikapitalizzazzjoni prekawzjonarja </w:t>
      </w:r>
    </w:p>
    <w:p>
      <w:pPr>
        <w:spacing w:before="160" w:after="0" w:line="240" w:lineRule="auto"/>
        <w:jc w:val="both"/>
        <w:rPr>
          <w:noProof/>
        </w:rPr>
      </w:pPr>
      <w:r>
        <w:rPr>
          <w:rFonts w:ascii="Times New Roman" w:hAnsi="Times New Roman"/>
          <w:noProof/>
          <w:sz w:val="24"/>
        </w:rPr>
        <w:t>Ir-rikapitalizzazzjoni prekawzjonarja tippermetti f’ċirkostanzi eċċezzjonali</w:t>
      </w:r>
      <w:r>
        <w:rPr>
          <w:rStyle w:val="FootnoteReference"/>
          <w:rFonts w:ascii="Times New Roman" w:hAnsi="Times New Roman"/>
          <w:noProof/>
          <w:sz w:val="24"/>
        </w:rPr>
        <w:footnoteReference w:id="21"/>
      </w:r>
      <w:r>
        <w:rPr>
          <w:rFonts w:ascii="Times New Roman" w:hAnsi="Times New Roman"/>
          <w:noProof/>
          <w:sz w:val="24"/>
        </w:rPr>
        <w:t xml:space="preserve"> li bank jiġi rikapitalizzat bi flus pubbliċi, biex jiġu indirizzati fi żmien suffiċjenti d-diffikultajiet li jistgħu jinqalgħu fil-kuntest ta’ xenarju ekonomiku improbabbli (kif identifikat fix-xenarju avvers ta’ test tal-istress) u li jistgħu jaffettwaw il-kundizzjonijiet finanzjarji ta’ istituzzjonijiet solventi. Dan jikkontribwixxi biex jinħoloq approċċ rigward l-istabbiltà finanzjarja li jħares fil-bogħod sabiex jiġi evitat deterjorament potenzjali li jista’ jwassal għall-falliment ta’ bank. Sabiex jiġi żgurat li r-rikapitalizzazzjoni prekawzjonarja tintuża tajjeb u skont il-loġika tal-qafas ta’ riżoluzzjoni, il-BRRD u l-SRMR jeħtieġu diversi kundizzjonijiet li jridu jiġu ssodisfati. Dawn jinkludu li l-bank jkun solventi, li l-appoġġ finanzjarju pubbliku ma jintużax biex jitkopra t-telf li jiġġarrab jew li x’aktarx jiġġarrab, u li r-rikapitalizzazzjoni prekawzjonarja hemm bżonnha biex jiġi indirizzat id-defiċit ta’ kapital stabbilit f’test tal-istress jew f’rieżami tal-kwalità tal-assi</w:t>
      </w:r>
      <w:r>
        <w:rPr>
          <w:rFonts w:ascii="Times New Roman" w:hAnsi="Times New Roman"/>
          <w:i/>
          <w:noProof/>
          <w:sz w:val="24"/>
        </w:rPr>
        <w:t>.</w:t>
      </w:r>
      <w:r>
        <w:rPr>
          <w:rFonts w:ascii="Times New Roman" w:hAnsi="Times New Roman"/>
          <w:noProof/>
          <w:sz w:val="24"/>
        </w:rPr>
        <w:t xml:space="preserve"> Barra minn hekk, il-miżura trid tkun ta’ natura temporanja u proporzjonata biex tirrimedja l-konsegwenzi ta’ tfixkil serju fl-ekonomija ta’ Stat Membru. Fl-aħħar nett, il-miżura tiddependi fuq l-approvazzjoni finali skont il-qafas tal-Unjoni għall-għajnuna mill-Istat.</w:t>
      </w:r>
    </w:p>
    <w:p>
      <w:pPr>
        <w:spacing w:before="20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Il-Kummissjoni osservat li jista’ jkun hemm il-ħtieġa ta’ aktar ċarezza dwar l-kundizzjonijiet u l-proċedura biex tingħata r-rikapitalizzazzjoni prekawzjonarja, bil-ħsieb li jiġu żgurati l-puntwalità u l-koordinazzjoni bejn l-atturi rilevanti. Pereżempju, il-qafas ma jispeċifikax liema awtorità jenħtieġ li tikkonferma li l-bank huwa “solventi” qabel ma jirċievi r-rikapitalizzazzjoni prekawzjonarja (u lanqas ma jagħti definizzjoni ta’ solvenza għall-iskop ta’ rikapitalizzazzjoni prekawzjonarja), u ma jindikax liema awtorità jenħtieġ li tidentifika t-telf li l-entità tkun ġarrbet jew li x’aktarx iġġarrab fil-futur qrib, u li ma jistax ikun kopert b’rikapitalizzazzjoni prekawzjonarja. </w:t>
      </w:r>
    </w:p>
    <w:p>
      <w:pPr>
        <w:spacing w:before="20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Abbażi tat-tagħlimiet li ttieħdu mill-ewwel każijiet, u b’kooperazzjoni mal-BĊE u l-SRB, il-Kummissjoni żviluppat l-aħjar prattiki dwar ċerti aspetti tal-proċedura, inkluż ir-rwol tat-testijiet tal-istress u l-interazzjoni tagħhom ma’ rieżami tal-kwalità tal-assi. Il-Kummissjoni se tkompli taħdem f’din id-direzzjoni. </w:t>
      </w:r>
    </w:p>
    <w:p>
      <w:pPr>
        <w:keepNext/>
        <w:spacing w:before="200" w:after="0" w:line="240" w:lineRule="auto"/>
        <w:ind w:left="72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Miżuri ta’ intervent bikri</w:t>
      </w:r>
    </w:p>
    <w:p>
      <w:pPr>
        <w:spacing w:before="16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Il-BRRD tipprovdi lill-awtoritajiet superviżorji b’setgħat ta’ intervent bikri, li huma maħsuba biex jipprevjenu aktar deterjorament tal-kundizzjonijiet finanzjarji ta’ istituzzjoni u biex inaqqsu, sa fejn ikun possibbli, ir-riskju u l-impatt ta’ riżoluzzjoni possibbli.  Dawn is-setgħat jiġu attivati meta jiġu ssodisfati ċerti skattaturi speċifiċi</w:t>
      </w:r>
      <w:r>
        <w:rPr>
          <w:rStyle w:val="FootnoteReference"/>
          <w:rFonts w:ascii="Times New Roman" w:hAnsi="Times New Roman"/>
          <w:noProof/>
          <w:sz w:val="24"/>
        </w:rPr>
        <w:footnoteReference w:id="22"/>
      </w:r>
      <w:r>
        <w:rPr>
          <w:rFonts w:ascii="Times New Roman" w:hAnsi="Times New Roman"/>
          <w:noProof/>
          <w:sz w:val="24"/>
        </w:rPr>
        <w:t>, sabiex jippermettu li l-awtoritajiet kompetenti jieħdu miżuri fejn pereżempju jesiġu li l-maniġment tal-istituzzjoni jfassal programm ta’ azzjoni jew ibiddel l-istrateġija kummerċjali ta’ istituzzjoni jew l-istruttura legali u operazzjonali tagħha. L-awtoritajiet kompetenti jistgħu, f’dan il-kuntest, jissostitwixxu wkoll il-maniġment tal-istituzzjoni</w:t>
      </w:r>
      <w:r>
        <w:rPr>
          <w:rStyle w:val="FootnoteReference"/>
          <w:rFonts w:ascii="Times New Roman" w:hAnsi="Times New Roman"/>
          <w:noProof/>
          <w:sz w:val="24"/>
        </w:rPr>
        <w:footnoteReference w:id="23"/>
      </w:r>
      <w:r>
        <w:rPr>
          <w:rFonts w:ascii="Times New Roman" w:hAnsi="Times New Roman"/>
          <w:noProof/>
          <w:sz w:val="24"/>
        </w:rPr>
        <w:t xml:space="preserve">. </w:t>
      </w:r>
    </w:p>
    <w:p>
      <w:pPr>
        <w:spacing w:before="20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 issa l-applikazzjoni ta’ miżuri ta’ intervent bikri kienet estremament limitata, għaldaqstant wieħed jista’ jasal biss għal ftit konklużjonijiet mhux finali. L-interazzjoni bejn is-setgħat ta’ intervent bikri mogħtija lill-awtoritajiet kompetenti abbażi tal-liġijiet nazzjonali li jimplimentaw il-BRRD u s-setgħat superviżorji li huma jistgħu jeżerċitaw fuq il-bażi tas-CRD u tar-Regolament dwar il-Mekkaniżmu Superviżorju Uniku, kif ukoll is-sovrapożizzjoni potenzjali ta’ dawn, jistgħu jimmeritaw aktar analiżi</w:t>
      </w:r>
      <w:r>
        <w:rPr>
          <w:rStyle w:val="FootnoteReference"/>
          <w:rFonts w:ascii="Times New Roman" w:hAnsi="Times New Roman"/>
          <w:noProof/>
          <w:sz w:val="24"/>
        </w:rPr>
        <w:footnoteReference w:id="24"/>
      </w:r>
      <w:r>
        <w:rPr>
          <w:rFonts w:ascii="Times New Roman" w:hAnsi="Times New Roman"/>
          <w:noProof/>
          <w:sz w:val="24"/>
        </w:rPr>
        <w:t xml:space="preserve">. Barra minn hekk, fir-rigward tal-Unjoni bankarja, jista’ jkun utli li jiġi kkunsidrat li d-dispożizzjonijiet dwar is-setgħat ta’ intervent bikri li jinsabu fil-BRRD jiġu replikati wkoll fl-SRMR, biex jiġi evitat ir-rikors għal miżuri ta’ traspożizzjoni nazzjonali differenti. </w:t>
      </w:r>
    </w:p>
    <w:p>
      <w:pPr>
        <w:spacing w:before="200"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/>
          <w:i/>
          <w:noProof/>
          <w:sz w:val="24"/>
        </w:rPr>
        <w:t>Garanzija ta’ kontinġenza komuni għall-SRF u għall-Ftehim Intergovernattiv</w:t>
      </w:r>
      <w:r>
        <w:rPr>
          <w:rStyle w:val="FootnoteReference"/>
          <w:rFonts w:ascii="Times New Roman" w:hAnsi="Times New Roman"/>
          <w:i/>
          <w:noProof/>
          <w:sz w:val="24"/>
        </w:rPr>
        <w:footnoteReference w:id="25"/>
      </w:r>
    </w:p>
    <w:p>
      <w:pPr>
        <w:spacing w:before="20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Skont il-ftehimiet politiċi preċedenti mill-Ministri tal-Finanzi</w:t>
      </w:r>
      <w:r>
        <w:rPr>
          <w:rStyle w:val="FootnoteReference"/>
          <w:rFonts w:ascii="Times New Roman" w:hAnsi="Times New Roman"/>
          <w:noProof/>
          <w:sz w:val="24"/>
        </w:rPr>
        <w:footnoteReference w:id="26"/>
      </w:r>
      <w:r>
        <w:rPr>
          <w:rFonts w:ascii="Times New Roman" w:hAnsi="Times New Roman"/>
          <w:noProof/>
          <w:sz w:val="24"/>
        </w:rPr>
        <w:t>, u kif ikkonfermat ukoll fis-Summit tal-Euro ta’ Diċembru tal-2018</w:t>
      </w:r>
      <w:r>
        <w:rPr>
          <w:rStyle w:val="FootnoteReference"/>
          <w:rFonts w:ascii="Times New Roman" w:hAnsi="Times New Roman"/>
          <w:noProof/>
          <w:sz w:val="24"/>
        </w:rPr>
        <w:footnoteReference w:id="27"/>
      </w:r>
      <w:r>
        <w:rPr>
          <w:rFonts w:ascii="Times New Roman" w:hAnsi="Times New Roman"/>
          <w:noProof/>
          <w:sz w:val="24"/>
        </w:rPr>
        <w:t>, il-garanzija ta’ kontinġenza komuni għall-SRF, essenzjali biex tissaħħaħ il-kredibbiltà tal-Mekkaniżmu Uniku ta’ Riżoluzzjoni (SRM) fl-Unjoni Bankarja, se tiġi stabbilita sa mhux aktar tard minn tmiem il-perjodu tranżitorju għall-mutwalizzazzjoni tal-mezzi fl-SRF.</w:t>
      </w:r>
    </w:p>
    <w:p>
      <w:pPr>
        <w:spacing w:before="20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Il-Kummissjoni ripetutament appellat biex il-garanzija ta’ kontinġenza komuni tiġi implimentata aktar kmieni</w:t>
      </w:r>
      <w:r>
        <w:rPr>
          <w:rStyle w:val="FootnoteReference"/>
          <w:rFonts w:ascii="Times New Roman" w:hAnsi="Times New Roman"/>
          <w:noProof/>
          <w:sz w:val="24"/>
        </w:rPr>
        <w:footnoteReference w:id="28"/>
      </w:r>
      <w:r>
        <w:rPr>
          <w:rFonts w:ascii="Times New Roman" w:hAnsi="Times New Roman"/>
          <w:noProof/>
          <w:sz w:val="24"/>
        </w:rPr>
        <w:t xml:space="preserve">. F’Diċembru 2018, fis-Summit tal-Euro ntlaħaq qbil li l-introduzzjoni bikrija tal-garanzija ta’ kontinġenza tkun tiddependi fuq sarx biżżejjed progress f’termini ta’ tnaqqis tar-riskju li għandu jiġi analizzat fl-2020. </w:t>
      </w:r>
    </w:p>
    <w:p>
      <w:pPr>
        <w:spacing w:before="20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Jidher li hija opinjoni ġeneralment kondiviża fost l-Istati Membri li qed jipparteċipaw fl-Unjoni Bankarja li l-pagament lura tal-garanzija ta’ kontinġenza komuni mill-SRF ikun limitat biss għall-kompartiment(i) nazzjonali kkonċernat(i) fil-każ li l-garanzija ta’ kontinġenza kellha tintuża qabel tmiem il-perjodu tranżitorju</w:t>
      </w:r>
      <w:r>
        <w:rPr>
          <w:rStyle w:val="FootnoteReference"/>
          <w:rFonts w:ascii="Times New Roman" w:hAnsi="Times New Roman"/>
          <w:noProof/>
          <w:sz w:val="24"/>
        </w:rPr>
        <w:footnoteReference w:id="29"/>
      </w:r>
      <w:r>
        <w:rPr>
          <w:rFonts w:ascii="Times New Roman" w:hAnsi="Times New Roman"/>
          <w:noProof/>
          <w:sz w:val="24"/>
        </w:rPr>
        <w:t xml:space="preserve">. Dan għandu impatt fuq l-ammonti li jistgħu jitħallsu lura, u għaldaqstant li jiġu missellfa mill-garanzija ta’ kontinġenza komuni. Sabiex jiġi żgurat li, matul il-fażi ta’ tranżizzjoni, jingħata wkoll aċċess sħiħ għall-garanzija ta’ kontinġenza fejn ikun meħtieġ, hemm bżonn li malajr isir qbil dwar bidliet limitati fil-Ftehim Intergovernattiv (IGA, Intergovernmental Agreement) (b’mod partikolari għax jekk ma ssirx bidla malajr fl-IGA jista’ jkun hemm benefiċċju limitat fl-implimentazzjoni bikrija). </w:t>
      </w:r>
    </w:p>
    <w:p>
      <w:pPr>
        <w:spacing w:before="20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Waħda mill-għażliet disponibbli tkun il-mutwalizzazzjoni tal-kontribuzzjonijiet </w:t>
      </w:r>
      <w:r>
        <w:rPr>
          <w:rFonts w:ascii="Times New Roman" w:hAnsi="Times New Roman"/>
          <w:i/>
          <w:noProof/>
          <w:sz w:val="24"/>
        </w:rPr>
        <w:t>ex post</w:t>
      </w:r>
      <w:r>
        <w:rPr>
          <w:rFonts w:ascii="Times New Roman" w:hAnsi="Times New Roman"/>
          <w:noProof/>
          <w:sz w:val="24"/>
        </w:rPr>
        <w:t xml:space="preserve"> u </w:t>
      </w:r>
      <w:r>
        <w:rPr>
          <w:rFonts w:ascii="Times New Roman" w:hAnsi="Times New Roman"/>
          <w:i/>
          <w:noProof/>
          <w:sz w:val="24"/>
        </w:rPr>
        <w:t>ex ante</w:t>
      </w:r>
      <w:r>
        <w:rPr>
          <w:rFonts w:ascii="Times New Roman" w:hAnsi="Times New Roman"/>
          <w:noProof/>
          <w:sz w:val="24"/>
        </w:rPr>
        <w:t>, li tibda mill-2021 sabiex tingħata garanzija ta’ kontinġenza komuni ta’ daqs kredibbli u sabiex tiżdied ir-reżiljenza tal-Unjoni Bankarja.</w:t>
      </w:r>
    </w:p>
    <w:p>
      <w:pPr>
        <w:spacing w:before="200" w:after="0" w:line="240" w:lineRule="auto"/>
        <w:ind w:firstLine="72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 xml:space="preserve">Likwidità f’riżoluzzjoni </w:t>
      </w:r>
    </w:p>
    <w:p>
      <w:pPr>
        <w:spacing w:before="20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Parti essenzjali ta’ riżoluzzjoni effikaċi hija li jiġi żgurat li bank soġġett għal riżoluzzjoni jkompli jkollu likwidità suffiċjenti biex jissodisfa l-obbligi tiegħu. Il-likwidità tista’ tiġi mis-suq jew mill-faċilitajiet normali tal-bank ċentrali. Meta dawn ir-riżorsi jkunu temporanjament insuffiċjenti, l-SRF jista’ jintuża biex tiġi pprovduta likwidità waqt riżoluzzjoni.</w:t>
      </w:r>
    </w:p>
    <w:p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Madankollu, minħabba l-firxa tal-ħtiġijiet potenzjali ta’ likwidità f’riżoluzzjoni, ir-riżorsi tal-SRF, anki meta jkunu ssupplimentati b’garanzija ta’ kontinġenza tal-istess daqs jew kważi, jistgħu ma jkunux biżżejjed biex jiġu indirizzati b’mod adegwat dawn il-ħtiġijiet</w:t>
      </w:r>
      <w:r>
        <w:rPr>
          <w:rStyle w:val="FootnoteReference"/>
          <w:rFonts w:ascii="Times New Roman" w:hAnsi="Times New Roman"/>
          <w:noProof/>
          <w:sz w:val="24"/>
        </w:rPr>
        <w:footnoteReference w:id="30"/>
      </w:r>
      <w:r>
        <w:rPr>
          <w:rFonts w:ascii="Times New Roman" w:hAnsi="Times New Roman"/>
          <w:noProof/>
          <w:sz w:val="24"/>
        </w:rPr>
        <w:t xml:space="preserve">. </w:t>
      </w:r>
    </w:p>
    <w:p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F’konformità mal-Artikolu 73 tal-SRMR, l-SRB jista’ jikkuntratta self estern sabiex jiżgura d-disponibbiltà tar-riżorsi għal riżoluzzjoni, meta l-kontribuzzjonijiet ma jkunux (għadhom) disponibbli għal tali skopijiet. Il-Kummissjoni tqis li d-dispożizzjoni tippermetti lill-SRB biex jieħu miżuri xierqa sabiex jiżgura l-funzjonament tiegħu, inkluż billi jikkuntratta ammont limitat ta’ self li mhuwiex fil-kuntest ta’ riżoluzzjoni.</w:t>
      </w:r>
    </w:p>
    <w:p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Barra minn hekk, fl-Istati Membri li mhumiex fl-Unjoni Bankarja kif ukoll f’ġurisdizzjonijiet ta’ pajjiżi terzi</w:t>
      </w:r>
      <w:r>
        <w:rPr>
          <w:rStyle w:val="FootnoteReference"/>
          <w:rFonts w:ascii="Times New Roman" w:hAnsi="Times New Roman"/>
          <w:noProof/>
          <w:sz w:val="24"/>
        </w:rPr>
        <w:footnoteReference w:id="31"/>
      </w:r>
      <w:r>
        <w:rPr>
          <w:rFonts w:ascii="Times New Roman" w:hAnsi="Times New Roman"/>
          <w:noProof/>
          <w:sz w:val="24"/>
        </w:rPr>
        <w:t xml:space="preserve">, l-għoti ta’ appoġġ ta’ likwidità f’riżoluzzjoni huwa previst li jkun bla limitu jew b’limiti ferm ogħla minn dawk possibbli fl-Unjoni Bankarja, ħafna drabi bil-possibbiltà ta’ żidiet. </w:t>
      </w:r>
    </w:p>
    <w:p>
      <w:pPr>
        <w:keepNext/>
        <w:spacing w:before="20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Il-Kummissjoni għalhekk tappoġġa bis-saħħa r-riflessjonijiet li għaddejjin fuq sorsi u soluzzjonijiet oħra sabiex jingħata appoġġ ta’ likwidità waqt riżoluzzjoni, u titlob li dawn jiġu miftiehma u implimentati matul l-2019. Huwa importanti li, fejn meħtieġ, ir-riżorsi ta’ skala suffiċjenti jkunu disponibbli biex jipprovdu appoġġ ta’ likwidità fuq żmien qasir.</w:t>
      </w:r>
    </w:p>
    <w:p>
      <w:pPr>
        <w:keepNext/>
        <w:spacing w:before="200"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noProof/>
        </w:rPr>
        <w:tab/>
      </w:r>
      <w:r>
        <w:rPr>
          <w:rFonts w:ascii="Times New Roman" w:hAnsi="Times New Roman"/>
          <w:i/>
          <w:noProof/>
          <w:sz w:val="24"/>
        </w:rPr>
        <w:t>Kwistjonijiet oħrajn</w:t>
      </w:r>
    </w:p>
    <w:p>
      <w:pPr>
        <w:spacing w:before="16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L-Artikolu 129 tal-BRRD jirrikjedi li l-Kummissjoni twettaq riflessjoni abbażi tal-konklużjonijiet tar-Rapport tal-Awtorità Bankarja Ewropea (ABE) dwar l-obbligi ssimplifikati, maħruġa f’Diċembru 2017 skont l-Artikolu 4(7) tad-Direttiva</w:t>
      </w:r>
      <w:r>
        <w:rPr>
          <w:rStyle w:val="FootnoteReference"/>
          <w:rFonts w:ascii="Times New Roman" w:hAnsi="Times New Roman"/>
          <w:noProof/>
          <w:sz w:val="24"/>
        </w:rPr>
        <w:footnoteReference w:id="32"/>
      </w:r>
      <w:r>
        <w:rPr>
          <w:rFonts w:ascii="Times New Roman" w:hAnsi="Times New Roman"/>
          <w:noProof/>
          <w:sz w:val="24"/>
        </w:rPr>
        <w:t xml:space="preserve"> kif ukoll ir-rapport tal-ABE dwar ir-Rekwiżit Minimu ta’ Obbligazzjonijiet Eliġibbli (MREL) maħruġ skont l-Artikolu 45(19) tal-BRRD f’Diċembru 2016</w:t>
      </w:r>
      <w:r>
        <w:rPr>
          <w:rStyle w:val="FootnoteReference"/>
          <w:rFonts w:ascii="Times New Roman" w:hAnsi="Times New Roman"/>
          <w:noProof/>
          <w:sz w:val="24"/>
        </w:rPr>
        <w:footnoteReference w:id="33"/>
      </w:r>
      <w:r>
        <w:rPr>
          <w:rFonts w:ascii="Times New Roman" w:hAnsi="Times New Roman"/>
          <w:noProof/>
          <w:sz w:val="24"/>
        </w:rPr>
        <w:t xml:space="preserve">. </w:t>
      </w:r>
    </w:p>
    <w:p>
      <w:pPr>
        <w:spacing w:before="20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Ir-rapport tal-ABE dwar l-obbligi ssimplifikati jipprovdi ħarsa ġenerali dwar l-applikazzjoni tad-dispożizzjonijiet tal-BRRD li jippermettu lill-awtoritajiet kompetenti u ta’ riżoluzzjoni li jesiġu pjanijiet issimplifikati ta’ rkupru u riżoluzzjoni minn banek eliġibbli. L-eliġibbiltà għal obbligi ssimplifikati trid tiġi ddeterminata abbażi ta’ diversi fatturi, kif spjegat fl-Artikolu 4 tal-BRRD u r-Regolament Delegat dwar l-Obbligi Ssimplifikati</w:t>
      </w:r>
      <w:r>
        <w:rPr>
          <w:rStyle w:val="FootnoteReference"/>
          <w:rFonts w:ascii="Times New Roman" w:hAnsi="Times New Roman"/>
          <w:noProof/>
          <w:sz w:val="24"/>
        </w:rPr>
        <w:footnoteReference w:id="34"/>
      </w:r>
      <w:r>
        <w:rPr>
          <w:rFonts w:ascii="Times New Roman" w:hAnsi="Times New Roman"/>
          <w:noProof/>
          <w:sz w:val="24"/>
        </w:rPr>
        <w:t xml:space="preserve">. Ir-rapport jenfasizza l-prattiki u l-approċċi differenti użati mill-awtoritajiet kompetenti u ta’ riżoluzzjoni fir-rigward tal-applikazzjoni tal-obbligi ssimplifikati. F’dan il-kuntest, ir-rapport jirrakkomanda monitoraġġ kontinwu tad-diverġenzi li jifdal. </w:t>
      </w:r>
    </w:p>
    <w:p>
      <w:pPr>
        <w:spacing w:before="20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Il-Kummissjoni tieħu inkonsiderazzjoni r-rapport u hija tal-fehma li l-obbligi ssimplifikati huma element importanti tal-qafas, sabiex jiġu żgurati l-effiċjenza u l-proporzjonalità tar-rekwiżit li jiġu żviluppati pjanijiet ta’ rkupru u ta’ riżoluzzjoni, kif ukoll biex jitnaqqas, fejn xieraq, il-piż amministrattiv tal-awtoritajiet kompetenti u ta’ riżoluzzjoni. Il-Kummissjoni tista’ għaldaqstant tirrifletti dwar il-ħtieġa għal titjib fil-qafas f’dan ir-rigward, filwaqt li tqis l-eżitu tal-monitoraġġ ta’ obbligi simplifikati mill-ABE.  </w:t>
      </w:r>
    </w:p>
    <w:p>
      <w:pPr>
        <w:spacing w:before="20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Il-Pakkett Bankarju, adottat mill-koleġiżlaturi fis-16 ta’ April 2019, jinkludi diversi miżuri biex jiġi emendat ir-reġim MREL u għaldaqstant issostitwixxa r-rekwiżit għal rieżami bbażat fuq ir-rapport tal-ABE. </w:t>
      </w:r>
    </w:p>
    <w:p>
      <w:pPr>
        <w:pStyle w:val="Heading2"/>
        <w:numPr>
          <w:ilvl w:val="0"/>
          <w:numId w:val="16"/>
        </w:numPr>
        <w:spacing w:before="240" w:line="240" w:lineRule="auto"/>
        <w:ind w:left="340" w:hanging="340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</w:rPr>
        <w:t>Interazzjoni bejn ir-riżoluzzjoni u l-insolvenza, u riflessjoni dwar il-possibilità ta’ aktar armonizzazzjoni tal-insolvenza</w:t>
      </w:r>
    </w:p>
    <w:p>
      <w:pPr>
        <w:spacing w:before="16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Ir-reġim ta’ riżoluzzjoni jikkostitwixxi “konċessjoni” minn proċedimenti ġenerali ta’ insolvenza applikabbli skont il-liġijiet nazzjonali. B’mod partikolari, meta bank jiġi ddeterminat li qed ifalli jew x’aktarx li jfalli, jekk ma jkun hemm l-ebda miżura alternattiva mis-settur privat, u jkun fl-interess pubbliku li dik l-istituzzjoni titpoġġa f’riżoluzzjoni, japplikaw ir-regoli armonizzati li jinsabu fil-BRRD/fl-SRMR. Fin-nuqqas ta’ interess pubbliku li l-bank jitpoġġa f’riżoluzzjoni, il-bank jiġi stralċjat skont ir-regoli tal-insolvenza f’konformità mal-liġijiet nazzjonali applikabbli.</w:t>
      </w:r>
    </w:p>
    <w:p>
      <w:pPr>
        <w:spacing w:before="20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Bħalissa l-liġijiet nazzjonali dwar l-insolvenza applikabbli għall-banek li qed ifallu fil-biċċa l-kbira mhumiex armonizzati, u l-applikazzjoni tar-regoli tal-insolvenza fil-livell nazzjonali tvarja bejn l-Istati Membri. Sa issa l-BRRD/l-SRMR introduċew element limitat ta’ armonizzazzjoni. B’mod partikolari, il-BRRD jistabbilixxi li ċerti depożiti eliġibbli mhux koperti jkollhom klassifikazzjoni ogħla f’insolvenza nazzjonali minn obbligazzjonijiet mhux preferuti u mhux garantiti ordinarji oħra, u li f’insolvenza d-depożiti koperti jikklassifikaw ogħla minn dawk eliġibbli mhux koperti</w:t>
      </w:r>
      <w:r>
        <w:rPr>
          <w:rStyle w:val="FootnoteReference"/>
          <w:rFonts w:ascii="Times New Roman" w:hAnsi="Times New Roman"/>
          <w:noProof/>
          <w:sz w:val="24"/>
        </w:rPr>
        <w:footnoteReference w:id="35"/>
      </w:r>
      <w:r>
        <w:rPr>
          <w:rFonts w:ascii="Times New Roman" w:hAnsi="Times New Roman"/>
          <w:noProof/>
          <w:sz w:val="24"/>
        </w:rPr>
        <w:t>. Il-klassifikazzjoni tal-insolvenza ġiet armonizzata aktar permezz tad-Direttiva dwar il-Ġerarkija tal-Kredituri Bankarji li temenda l-BRRD</w:t>
      </w:r>
      <w:r>
        <w:rPr>
          <w:rStyle w:val="FootnoteReference"/>
          <w:rFonts w:ascii="Times New Roman" w:hAnsi="Times New Roman"/>
          <w:noProof/>
          <w:sz w:val="24"/>
        </w:rPr>
        <w:footnoteReference w:id="36"/>
      </w:r>
      <w:r>
        <w:rPr>
          <w:rFonts w:ascii="Times New Roman" w:hAnsi="Times New Roman"/>
          <w:noProof/>
          <w:sz w:val="24"/>
        </w:rPr>
        <w:t xml:space="preserve">. Id-Direttiva ħolqot klassi ġdida ta’ dejn (dejn superjuri mhux bi preferenza), li f’każ ta’ insolvenza jikklassifika ruħu ’l fuq mill-obbligazzjonijiet subordinati, iżda inqas mill-obbligazzjonijiet superjuri. </w:t>
      </w:r>
    </w:p>
    <w:p>
      <w:pPr>
        <w:spacing w:before="20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Il-klawżola ta’ rieżami tal-SRMR tirrikjedi li l-Kummissjoni tivvaluta jekk għandhiex tkompli tarmonizza l-proċedimenti ta’ insolvenza għal istituzzjonijiet li qed ifallu jew li x’aktarx ifallu.</w:t>
      </w:r>
    </w:p>
    <w:p>
      <w:pPr>
        <w:pStyle w:val="ListParagraph"/>
        <w:spacing w:before="60"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Id-differenzi bejn ir-reġimi tal-insolvenza fl-Unjoni Bankarja jistgħu jkunu sors ta’ sfidi u kumplessitajiet għall-awtorità tar-riżoluzzjoni, b’mod partikolari meta l-insolvenza tintuża bħala kontrofattwali fil-kuntest tal-miżuri fuq il-banek transfruntiera waqt riżoluzzjoni (biex jiġi ssodisfat il-prinċipju li “l-ebda kreditur ma jmur agħar”</w:t>
      </w:r>
      <w:r>
        <w:rPr>
          <w:rStyle w:val="FootnoteReference"/>
          <w:rFonts w:ascii="Times New Roman" w:hAnsi="Times New Roman"/>
          <w:noProof/>
          <w:sz w:val="24"/>
        </w:rPr>
        <w:footnoteReference w:id="37"/>
      </w:r>
      <w:r>
        <w:rPr>
          <w:rFonts w:ascii="Times New Roman" w:hAnsi="Times New Roman"/>
          <w:noProof/>
          <w:sz w:val="24"/>
        </w:rPr>
        <w:t>). Hija meħtieġa aktar esperjenza biex wieħed jifhem jekk u kif dawn il-kwistjonijiet għandhom jiġu indirizzati. Madankollu, il-Kummissjoni diġà tista’ tidentifika xi elementi ta’ liġijiet dwar l-insolvenza tal-banek rigward il-banek li jkunu qed ifallu, li jista’ jkun li jistħoqqilhom aktar riflessjoni. Dawn jinkludu valutazzjoni dwar il-klassifikazzjoni applikabbli tal-pretensjonijiet f’insolvenza nazzjonali fi Stati Membri differenti, anki bil-ħsieb li jiġi determinat jekk huwiex preferibbli allinjament ulterjuri bejn il-klassifikazzjoni tal-insolvenza u tar-riżoluzzjoni</w:t>
      </w:r>
      <w:r>
        <w:rPr>
          <w:rStyle w:val="FootnoteReference"/>
          <w:rFonts w:ascii="Times New Roman" w:hAnsi="Times New Roman"/>
          <w:noProof/>
          <w:sz w:val="24"/>
        </w:rPr>
        <w:footnoteReference w:id="38"/>
      </w:r>
      <w:r>
        <w:rPr>
          <w:rFonts w:ascii="Times New Roman" w:hAnsi="Times New Roman"/>
          <w:noProof/>
          <w:sz w:val="24"/>
        </w:rPr>
        <w:t xml:space="preserve">. Jista’ jkun hemm bżonn ta’ aktar ċarezza dwar il-proċeduri disponibbli fil-livell nazzjonali għal-likwidazzjoni jew għall-istralċ tal-banek li jiġu ddikjarati li qed ifallu jew li x’aktarx ifallu iżda li għalihom ma hemm l-ebda interess pubbliku li tittieħed azzjoni ta’ riżoluzzjoni. Il-BRRD/l-SRMR mhumiex speċifiċi dwar kif għandhom jiżvolġu l-proċeduri ta’ insolvenza għal dawn il-banek, peress li dawn l-elementi mhumiex armonizzati u jitħallew f’idejn il-leġiżlatur nazzjonali biex jispeċifikahom. </w:t>
      </w:r>
    </w:p>
    <w:p>
      <w:pPr>
        <w:pStyle w:val="ListParagraph"/>
        <w:spacing w:before="60"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Il-Kummissjoni nediet studju biex tifhem aħjar dawn il-kwistjonijiet</w:t>
      </w:r>
      <w:r>
        <w:rPr>
          <w:rStyle w:val="FootnoteReference"/>
          <w:rFonts w:ascii="Times New Roman" w:hAnsi="Times New Roman"/>
          <w:noProof/>
          <w:sz w:val="24"/>
        </w:rPr>
        <w:footnoteReference w:id="39"/>
      </w:r>
      <w:r>
        <w:rPr>
          <w:rFonts w:ascii="Times New Roman" w:hAnsi="Times New Roman"/>
          <w:noProof/>
          <w:sz w:val="24"/>
        </w:rPr>
        <w:t>. L-għan tal-istudju se jkun li jipprovdi bażi għall-analiżi tad-diverġenzi fl-oqfsa ta’ insolvenza għall-banek taħt il-liġijiet nazzjonali differenti, u biex jivvaluta l-interazzjonijiet bejn dawn l-oqfsa u r-regoli tar-riżoluzzjoni. L-istudju jenħtieġ li jidentifika wkoll l-għażliet ta’ politika potenzjali għall-armonizzazzjoni, inkluża l-introduzzjoni possibbli ta’ proċeduri amministrattivi ta’ likwidazzjoni fl-UE</w:t>
      </w:r>
      <w:r>
        <w:rPr>
          <w:noProof/>
        </w:rPr>
        <w:t xml:space="preserve">. </w:t>
      </w:r>
      <w:r>
        <w:rPr>
          <w:rFonts w:ascii="Times New Roman" w:hAnsi="Times New Roman"/>
          <w:noProof/>
          <w:sz w:val="24"/>
        </w:rPr>
        <w:t xml:space="preserve"> </w:t>
      </w:r>
    </w:p>
    <w:p>
      <w:pPr>
        <w:pStyle w:val="Heading2"/>
        <w:numPr>
          <w:ilvl w:val="0"/>
          <w:numId w:val="16"/>
        </w:numPr>
        <w:spacing w:before="200" w:line="240" w:lineRule="auto"/>
        <w:ind w:left="340" w:hanging="340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</w:rPr>
        <w:t>Il-funzjonament tal-SRM u tal-SRB</w:t>
      </w:r>
    </w:p>
    <w:p>
      <w:pPr>
        <w:spacing w:before="16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Il-klawżola ta’ rieżami tal-SRMR tipprevedi li l-Kummissjoni jenħtieġ li twettaq valutazzjoni ta’ diversi aspetti relatati mal-governanza u l-funzjonament tal-Mekkaniżmu Uniku ta’ Riżoluzzjoni (SRM) u l-SRB.</w:t>
      </w:r>
    </w:p>
    <w:p>
      <w:pPr>
        <w:spacing w:before="20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Il-partiti elenkati għal rieżami, li huma miġbura hawn taħt għall-konvenjenza, jinkludu:</w:t>
      </w:r>
    </w:p>
    <w:p>
      <w:pPr>
        <w:pStyle w:val="ListParagraph"/>
        <w:numPr>
          <w:ilvl w:val="0"/>
          <w:numId w:val="14"/>
        </w:numPr>
        <w:spacing w:before="60" w:after="0" w:line="240" w:lineRule="auto"/>
        <w:ind w:left="453" w:hanging="34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il-valutazzjoni tal-interazzjonijiet tal-SRB (u tal-SRM b’mod ġenerali) ma’ atturi oħra fil-proċess ta’ riżoluzzjoni kif ukoll mal-ABE, l-Awtorità Ewropea tat-Titoli u s-Swieq (ESMA, European Securities and Market Authority), u l-Awtorità Ewropea tal-Assigurazzjoni u l-Pensjonijiet tax-Xogħol (EIOPA, European insurance and Occupational Pensions Authority); </w:t>
      </w:r>
    </w:p>
    <w:p>
      <w:pPr>
        <w:pStyle w:val="ListParagraph"/>
        <w:numPr>
          <w:ilvl w:val="0"/>
          <w:numId w:val="14"/>
        </w:numPr>
        <w:spacing w:before="60" w:after="0" w:line="240" w:lineRule="auto"/>
        <w:ind w:left="453" w:hanging="34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il-valutazzjoni ta’ jekk il-livell fil-mira jew il-punt ta’ riferiment tal-SRF jenħtieġx li jiġi rivedut;</w:t>
      </w:r>
    </w:p>
    <w:p>
      <w:pPr>
        <w:pStyle w:val="ListParagraph"/>
        <w:numPr>
          <w:ilvl w:val="0"/>
          <w:numId w:val="14"/>
        </w:numPr>
        <w:spacing w:before="60" w:after="0" w:line="240" w:lineRule="auto"/>
        <w:ind w:left="453" w:hanging="34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il-valutazzjoni tal-arranġamenti ta’ governanza interna tal-SRB u ta’ kwistjonijiet operattivi oħra, u b’mod partikolari l-portafoll tal-investiment tal-SRB; </w:t>
      </w:r>
    </w:p>
    <w:p>
      <w:pPr>
        <w:pStyle w:val="ListParagraph"/>
        <w:numPr>
          <w:ilvl w:val="0"/>
          <w:numId w:val="14"/>
        </w:numPr>
        <w:spacing w:before="60" w:after="0" w:line="240" w:lineRule="auto"/>
        <w:ind w:left="453" w:hanging="340"/>
        <w:contextualSpacing w:val="0"/>
        <w:jc w:val="both"/>
        <w:rPr>
          <w:rStyle w:val="FootnoteReference"/>
          <w:rFonts w:ascii="Times New Roman" w:hAnsi="Times New Roman" w:cs="Times New Roman"/>
          <w:noProof/>
          <w:sz w:val="24"/>
          <w:szCs w:val="24"/>
          <w:vertAlign w:val="baseline"/>
        </w:rPr>
      </w:pPr>
      <w:r>
        <w:rPr>
          <w:rFonts w:ascii="Times New Roman" w:hAnsi="Times New Roman"/>
          <w:noProof/>
          <w:sz w:val="24"/>
        </w:rPr>
        <w:t xml:space="preserve">il-valutazzjoni </w:t>
      </w:r>
      <w:r>
        <w:rPr>
          <w:rFonts w:ascii="Times New Roman" w:hAnsi="Times New Roman"/>
          <w:noProof/>
          <w:color w:val="000000"/>
          <w:sz w:val="24"/>
        </w:rPr>
        <w:t>tal-istatus legali tal-Bord bħala aġenzija tal-Unjoni</w:t>
      </w:r>
      <w:r>
        <w:rPr>
          <w:rFonts w:ascii="Times New Roman" w:hAnsi="Times New Roman"/>
          <w:noProof/>
          <w:sz w:val="24"/>
        </w:rPr>
        <w:t>.</w:t>
      </w:r>
    </w:p>
    <w:p>
      <w:pPr>
        <w:spacing w:before="20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Bħala kumment preliminari, il-Kummissjoni tinnota li l-SRB assuma setgħat ta’ riżoluzzjoni sħaħ fl-2016 u li kellu bżonn iż-żmien biex jistabbilixxi l-funzjonament intern tiegħu u biex jgħaqqad il-persunal kollu meħtieġ. Għalhekk, ma hemmx ammont suffiċjenti ta’ informazzjoni jew ta’ esperjenza biex titwettaq analiżi fil-fond. </w:t>
      </w:r>
    </w:p>
    <w:p>
      <w:pPr>
        <w:spacing w:before="20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Madankollu huwa possibbli li jingħataw ftit kunsiderazzjonijiet preliminari.</w:t>
      </w:r>
    </w:p>
    <w:p>
      <w:pPr>
        <w:pStyle w:val="ListParagraph"/>
        <w:spacing w:before="200"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Fir-rigward tal-proċedura stabbilita fl-SRMR għall-adozzjoni ta’ skema ta’ riżoluzzjoni</w:t>
      </w:r>
      <w:r>
        <w:rPr>
          <w:rStyle w:val="FootnoteReference"/>
          <w:rFonts w:ascii="Times New Roman" w:hAnsi="Times New Roman"/>
          <w:noProof/>
          <w:sz w:val="24"/>
        </w:rPr>
        <w:footnoteReference w:id="40"/>
      </w:r>
      <w:r>
        <w:rPr>
          <w:rFonts w:ascii="Times New Roman" w:hAnsi="Times New Roman"/>
          <w:noProof/>
          <w:sz w:val="24"/>
        </w:rPr>
        <w:t xml:space="preserve">, dan jinvolvi diversi passi u jirrikjedi koordinazzjoni bejn diversi atturi, inklużi l-SRB, l-awtoritajiet ta’ riżoluzzjoni nazzjonali, il-Bank Ċentrali Ewropew u l-Kummissjoni. Barra minn hekk, il-proċedura tirrikjedi li, sabiex tiġi ppreservata l-istabbiltà finanzjarja u jiġi evitat impatt negattiv fuq is-suq, l-iskema ta’ riżoluzzjoni trid tiġi adottata u eżegwita f’perjodu ta’ żmien qasir ħafna. Għalkemm il-proċedura toħloq ċerti sfidi, hija tiżgura li d-deċiżjonijiet dwar ir-riżoluzzjoni tal-banek jittieħdu malajr, filwaqt li jinżammu r-rwoli u l-prerogattivi tal-atturi kollha involuti. </w:t>
      </w:r>
    </w:p>
    <w:p>
      <w:pPr>
        <w:pStyle w:val="ListParagraph"/>
        <w:spacing w:before="200"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Barra mill-proċedura ta’ riżoluzzjoni, l-SRB ħadem mal-awtoritajiet nazzjonali, skont il-proċeduri stabbiliti fil-qafas. Fiċ-ċiklu tal-ippjanar tar-riżoluzzjoni tal-2017, l-SRB stabbilixxa miri obbligatorji tal-MREL fil-livell konsolidat għall-maġġoranza tal-akbar gruppi bankarji li jaqgħu fl-ambitu tal-kompetenzi tal-SRB, u l-SRB biħsiebu jistabbilixxi miri vinkolanti għall-gruppi kollha li jaqgħu taħt il-kompetenza tiegħu sal-2020.</w:t>
      </w:r>
    </w:p>
    <w:p>
      <w:pPr>
        <w:pStyle w:val="ListParagraph"/>
        <w:spacing w:before="200"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Fir-rigward tal-ABE, fis-27 ta’ Novembru 2017, il-Kummissjoni ppubblikat Rapport dwar ir-rwol tal-ABE fir-rigward tal-proċeduri ta’ medjazzjoni f’riżoluzzjoni</w:t>
      </w:r>
      <w:r>
        <w:rPr>
          <w:rStyle w:val="FootnoteReference"/>
          <w:rFonts w:ascii="Times New Roman" w:hAnsi="Times New Roman"/>
          <w:noProof/>
          <w:sz w:val="24"/>
        </w:rPr>
        <w:footnoteReference w:id="41"/>
      </w:r>
      <w:r>
        <w:rPr>
          <w:rFonts w:ascii="Times New Roman" w:hAnsi="Times New Roman"/>
          <w:noProof/>
          <w:sz w:val="24"/>
        </w:rPr>
        <w:t>. Ir-rapport indirizza xi kwistjonijiet li l-ABE ġibdet l-attenzjoni tal-Kummissjoni dwarhom. Dawn il-kwistjonijiet kollha jikkonċernaw dispożizzjonijiet tar-regolament ta’ twaqqif tal-ABE</w:t>
      </w:r>
      <w:r>
        <w:rPr>
          <w:rStyle w:val="FootnoteReference"/>
          <w:rFonts w:ascii="Times New Roman" w:hAnsi="Times New Roman"/>
          <w:noProof/>
          <w:sz w:val="24"/>
        </w:rPr>
        <w:footnoteReference w:id="42"/>
      </w:r>
      <w:r>
        <w:rPr>
          <w:rFonts w:ascii="Times New Roman" w:hAnsi="Times New Roman"/>
          <w:noProof/>
          <w:sz w:val="24"/>
        </w:rPr>
        <w:t>, li qed jiġi emendat fil-kuntest tar-rieżami tal-ESAs</w:t>
      </w:r>
      <w:r>
        <w:rPr>
          <w:rStyle w:val="FootnoteReference"/>
          <w:rFonts w:ascii="Times New Roman" w:hAnsi="Times New Roman"/>
          <w:noProof/>
          <w:sz w:val="24"/>
        </w:rPr>
        <w:footnoteReference w:id="43"/>
      </w:r>
      <w:r>
        <w:rPr>
          <w:rFonts w:ascii="Times New Roman" w:hAnsi="Times New Roman"/>
          <w:noProof/>
          <w:sz w:val="24"/>
        </w:rPr>
        <w:t xml:space="preserve">. </w:t>
      </w:r>
    </w:p>
    <w:p>
      <w:pPr>
        <w:spacing w:before="20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Rigward ir-reviżjoni tal-livell fil-mira u tal-punt ta’ referenza għall-SRF, l-SRMR jistabbilixxi li sa tmiem il-perjodu inizjali ta’ tmien snin mill-1 ta’ Jannar 2016, il-mezzi finanzjarji disponibbli tal-SRF għandhom jilħqu mill-inqas 1 % tal-ammont tad-depożiti koperti tal-istituzzjonijiet ta’ kreditu kollha awtorizzati fl-Istati Membri parteċipanti kollha</w:t>
      </w:r>
      <w:r>
        <w:rPr>
          <w:rStyle w:val="FootnoteReference"/>
          <w:rFonts w:ascii="Times New Roman" w:hAnsi="Times New Roman"/>
          <w:noProof/>
          <w:sz w:val="24"/>
        </w:rPr>
        <w:footnoteReference w:id="44"/>
      </w:r>
      <w:r>
        <w:rPr>
          <w:rFonts w:ascii="Times New Roman" w:hAnsi="Times New Roman"/>
          <w:noProof/>
          <w:sz w:val="24"/>
        </w:rPr>
        <w:t>. L-istess jagħmel il-BRRD, li jipprevedi li sal-31 ta’ Diċembru 2024, il-mezzi finanzjarji disponibbli tal-arranġamenti ta’ finanzjament tal-Istati Membri għandhom jilħqu mill-inqas 1 % tal-ammont tad-depożiti koperti tal-istituzzjonijiet kollha awtorizzati fit-territorju tagħhom</w:t>
      </w:r>
      <w:r>
        <w:rPr>
          <w:rStyle w:val="FootnoteReference"/>
          <w:rFonts w:ascii="Times New Roman" w:hAnsi="Times New Roman"/>
          <w:noProof/>
          <w:sz w:val="24"/>
        </w:rPr>
        <w:footnoteReference w:id="45"/>
      </w:r>
      <w:r>
        <w:rPr>
          <w:rFonts w:ascii="Times New Roman" w:hAnsi="Times New Roman"/>
          <w:noProof/>
          <w:sz w:val="24"/>
        </w:rPr>
        <w:t>. L-Istati Membri jistgħu jistabbilixxu livelli fil-mira ogħla minn dan l-ammont, għażla li xi Stati Membri użaw meta ttrasponew il-BRRD.</w:t>
      </w:r>
    </w:p>
    <w:p>
      <w:pPr>
        <w:spacing w:before="20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Għadd ta’ Regolamenti Delegati u ta’ Implimentazzjoni ġew adottati sa mill-2014 u dawn jistabbilixxu l-modalitajiet relatati mal-kontribuzzjonijiet </w:t>
      </w:r>
      <w:r>
        <w:rPr>
          <w:rFonts w:ascii="Times New Roman" w:hAnsi="Times New Roman"/>
          <w:i/>
          <w:noProof/>
          <w:sz w:val="24"/>
        </w:rPr>
        <w:t>ex ante</w:t>
      </w:r>
      <w:r>
        <w:rPr>
          <w:rStyle w:val="FootnoteReference"/>
          <w:rFonts w:ascii="Times New Roman" w:hAnsi="Times New Roman"/>
          <w:noProof/>
          <w:sz w:val="24"/>
        </w:rPr>
        <w:footnoteReference w:id="46"/>
      </w:r>
      <w:r>
        <w:rPr>
          <w:rFonts w:ascii="Times New Roman" w:hAnsi="Times New Roman"/>
          <w:noProof/>
          <w:sz w:val="24"/>
        </w:rPr>
        <w:t xml:space="preserve"> u </w:t>
      </w:r>
      <w:r>
        <w:rPr>
          <w:rFonts w:ascii="Times New Roman" w:hAnsi="Times New Roman"/>
          <w:i/>
          <w:noProof/>
          <w:sz w:val="24"/>
        </w:rPr>
        <w:t>ex post</w:t>
      </w:r>
      <w:r>
        <w:rPr>
          <w:rStyle w:val="FootnoteReference"/>
          <w:rFonts w:ascii="Times New Roman" w:hAnsi="Times New Roman"/>
          <w:noProof/>
          <w:sz w:val="24"/>
        </w:rPr>
        <w:footnoteReference w:id="47"/>
      </w:r>
      <w:r>
        <w:rPr>
          <w:rFonts w:ascii="Times New Roman" w:hAnsi="Times New Roman"/>
          <w:noProof/>
          <w:sz w:val="24"/>
        </w:rPr>
        <w:t xml:space="preserve"> li għandhom jinġabru għall-Fond Uniku ta’ Riżoluzzjoni u l-arranġamenti nazzjonali ta’ finanzjament. Sussegwentement, fi ħdan l-Unjoni Bankarja, l-SRB għamel il-kalkoli u, permezz tal-awtoritajiet nazzjonali ta’ riżoluzzjoni, beda jiġbor il-kontribuzzjonijiet </w:t>
      </w:r>
      <w:r>
        <w:rPr>
          <w:rFonts w:ascii="Times New Roman" w:hAnsi="Times New Roman"/>
          <w:i/>
          <w:noProof/>
          <w:sz w:val="24"/>
        </w:rPr>
        <w:t>ex ante</w:t>
      </w:r>
      <w:r>
        <w:rPr>
          <w:rFonts w:ascii="Times New Roman" w:hAnsi="Times New Roman"/>
          <w:noProof/>
          <w:sz w:val="24"/>
        </w:rPr>
        <w:t xml:space="preserve"> għall-Fond Uniku ta’ Riżoluzzjoni</w:t>
      </w:r>
      <w:r>
        <w:rPr>
          <w:rStyle w:val="FootnoteReference"/>
          <w:rFonts w:ascii="Times New Roman" w:hAnsi="Times New Roman"/>
          <w:noProof/>
          <w:sz w:val="24"/>
        </w:rPr>
        <w:footnoteReference w:id="48"/>
      </w:r>
      <w:r>
        <w:rPr>
          <w:rFonts w:ascii="Times New Roman" w:hAnsi="Times New Roman"/>
          <w:noProof/>
          <w:sz w:val="24"/>
        </w:rPr>
        <w:t>. Barra mill-Unjoni Bankarja, il-banek issa qed jikkontribwixxu għall-arranġamenti nazzjonali ta’ finanzjament.</w:t>
      </w:r>
    </w:p>
    <w:p>
      <w:pPr>
        <w:spacing w:before="20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L-ABE adottat rapport f’Ottubru 2016 dwar il-punt ta’ referenza biex jiġi stabbilit il-livell fil-mira għall-arranġamenti tal-finanzjament ta’ riżoluzzjoni</w:t>
      </w:r>
      <w:r>
        <w:rPr>
          <w:rStyle w:val="FootnoteReference"/>
          <w:rFonts w:ascii="Times New Roman" w:hAnsi="Times New Roman"/>
          <w:noProof/>
          <w:sz w:val="24"/>
        </w:rPr>
        <w:footnoteReference w:id="49"/>
      </w:r>
      <w:r>
        <w:rPr>
          <w:rFonts w:ascii="Times New Roman" w:hAnsi="Times New Roman"/>
          <w:noProof/>
          <w:sz w:val="24"/>
        </w:rPr>
        <w:t xml:space="preserve">. Ir-rapport irrakkomanda li tiġi sostitwita l-bażi tal-livell fil-mira għall-arranġamenti tal-finanzjament ta’ riżoluzzjoni, minn depożiti koperti għal obbligazzjonijiet totali nieqes id-depożiti koperti, sabiex tintlaħaq aktar konsistenza mal-qafas regolatorju. Madankollu, enfasizza wkoll li l-awtoritajiet tar-riżoluzzjoni u l-istituzzjonijiet irid ikollhom ċertezza dwar il-kontribuzzjonijiet matul l-akkumulazzjoni ta’ arranġamenti tal-finanzjament ta’ riżoluzzjoni, u li l-volatilità tal-livell fil-mira matul dan il-perjodu jenħtieġ li tiġi evitata. </w:t>
      </w:r>
    </w:p>
    <w:p>
      <w:pPr>
        <w:spacing w:before="20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F’dan l-istadju, l-SRF għadu qed jinbena u qatt ma ntuża għal xi azzjoni ta’ riżoluzzjoni. Għalhekk, jenħtieġ li l-enfasi tkun fuq li jintlaħaq il-livell fil-mira u li tiġi żgurata l-implimentazzjoni sħiħa tad-dispożizzjonijiet legali eżistenti. Bidliet fil-livell fil-mira nnifsu jew fil-punt ta’ referenza u fil-kontribuzzjonijiet ma jidhrux meħtieġa f’dan l-istadju tal-proċess.</w:t>
      </w:r>
    </w:p>
    <w:p>
      <w:pPr>
        <w:spacing w:before="20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Kull valutazzjoni ulterjuri tista’ titwettaq biss ladarba l-mekkaniżmu kollu biex jiġi pprovdut il-finanzjament fir-riżoluzzjoni jkun lest, u jista’ jkollu l-potenzjal li jiġi ttestjat f’każijiet konkreti. Huwa biżżejjed li wieħed jgħid f’dan l-istadju li ż-żieda fil-kapaċità ta’ assorbiment tat-telf mis-settur privat, b’mod partikolari bħala riżultat tar-regoli dwar l-MREL li jinsabu fil-Pakkett Bankarju, u t-tkabbir tal-SRF jista’ jitqies bħala mezz validu sabiex titnaqqas il-possibbiltà ta’ esponiment tas-sovrani għas-settur bankarju.</w:t>
      </w:r>
    </w:p>
    <w:p>
      <w:pPr>
        <w:pStyle w:val="ListParagraph"/>
        <w:spacing w:before="200"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Fir-rigward tal-kwistjoni dwar il-governanza tal-SRB u l-bidla fl-istatus legali tiegħu minn aġenzija għal istituzzjoni tal-UE</w:t>
      </w:r>
      <w:r>
        <w:rPr>
          <w:rStyle w:val="FootnoteReference"/>
          <w:rFonts w:ascii="Times New Roman" w:hAnsi="Times New Roman"/>
          <w:noProof/>
          <w:sz w:val="24"/>
        </w:rPr>
        <w:footnoteReference w:id="50"/>
      </w:r>
      <w:r>
        <w:rPr>
          <w:rFonts w:ascii="Times New Roman" w:hAnsi="Times New Roman"/>
          <w:noProof/>
          <w:sz w:val="24"/>
        </w:rPr>
        <w:t>, meta jitqies il-ħolqien riċenti tiegħu u l-esperjenza prattika limitata sa issa, ma hemmx biżżejjed elementi f’dan l-istadju li jissuġġerixxu bidliet fid-dispożizzjonijiet attwali. F’dan ir-rigward, il-Kummissjoni tenfasizza li tali bidla fl-istatus legali tkun teħtieġ modifika fit-Trattat dwar il-Funzjonament tal-Unjoni Ewropea (TFUE).</w:t>
      </w:r>
    </w:p>
    <w:p>
      <w:pPr>
        <w:spacing w:before="20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Fl-aħħar nett, fid-dawl tal-adeżjoni potenzjali mal-Unjoni Bankarja ta’ Stati Membri mhux parteċipanti, jista’ jkun hemm kamp ta’ applikazzjoni biex jirrifletti fuq il-modalitajiet għal Stat Membru aderenti biex jipparteċipa fl-SRM.</w:t>
      </w:r>
    </w:p>
    <w:p>
      <w:pPr>
        <w:pStyle w:val="Heading1"/>
        <w:spacing w:before="360" w:line="240" w:lineRule="auto"/>
        <w:rPr>
          <w:rFonts w:ascii="Times New Roman Bold" w:eastAsia="Times New Roman" w:hAnsi="Times New Roman Bold" w:cs="Times New Roman"/>
          <w:b/>
          <w:smallCaps/>
          <w:noProof/>
          <w:color w:val="auto"/>
          <w:sz w:val="24"/>
          <w:szCs w:val="24"/>
        </w:rPr>
      </w:pPr>
      <w:r>
        <w:rPr>
          <w:rFonts w:ascii="Times New Roman Bold" w:hAnsi="Times New Roman Bold"/>
          <w:b/>
          <w:smallCaps/>
          <w:noProof/>
          <w:color w:val="auto"/>
          <w:sz w:val="24"/>
        </w:rPr>
        <w:t xml:space="preserve">Konklużjoni </w:t>
      </w:r>
    </w:p>
    <w:p>
      <w:pPr>
        <w:spacing w:before="16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Il-Kummissjoni qed tikkunsidra l-kwistjonijiet diskussi hawn fuq, li huma bbażati fuq l-esperjenza limitata li l-Kummissjoni kisbet sa issa mill-applikazzjoni tal-qafas ta’ riżoluzzjoni. </w:t>
      </w:r>
    </w:p>
    <w:p>
      <w:pPr>
        <w:spacing w:before="20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Il-qafas ġie applikat biss f’għadd limitat ta’ każijiet. Minn dawn, każ wieħed biss kien jirrigwarda r-riżoluzzjoni ta’ istituzzjoni skont l-SRMR. Ta’ min jinnota wkoll li għadd ta’ każijiet kellhom x’jaqsmu ma’ “kwistjonijiet ta’ legat” li akkumulaw matul il-kriżi finanzjarja jew qabel.</w:t>
      </w:r>
    </w:p>
    <w:p>
      <w:pPr>
        <w:spacing w:before="20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Barra minn hekk, id-dispożizzjonijiet dwar l-għodda tar-rikapitalizzazzjoni interna u l-istabbiliment tal-Bord Uniku ta’ Riżoluzzjoni saru applikabbli biss mill-1 ta’ Jannar 2016. Elementi oħra — bħall-ippjanar ta’ riżoluzzjoni għal istituzzjonijiet akbar u kumplessi, u d-dispożizzjonijiet dwar l-MREL — jeħtieġu introduzzjoni gradwali biex jiġu kompletament implimentati.</w:t>
      </w:r>
    </w:p>
    <w:p>
      <w:pPr>
        <w:spacing w:before="20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Barra minn hekk, ċerti partijiet kruċjali tal-qafas — inklużi d-dispożizzjonijiet dwar l-MREL, is-setgħat ta’ moratorju u r-rikonoxximent ta’ obbligazzjonijiet irregolati bil-liġi ta’ pajjiżi terzi — għaddejjin mill-proċess ta’ emendar, u ladarba jkunu fis-seħħ se japplikaw il-perjodi ta’ tranżizzjoni.</w:t>
      </w:r>
    </w:p>
    <w:p>
      <w:pPr>
        <w:spacing w:before="20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Għaldaqstant, għadu kmieni wisq biex jitfasslu u jiġu adottati proposti leġiżlattivi f’dan l-istadju. </w:t>
      </w:r>
    </w:p>
    <w:p>
      <w:pPr>
        <w:spacing w:before="20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Madankollu, il-Kummissjoni se tkompli żżomm taħt monitoraġġ l-applikazzjoni tal-qafas ta’ riżoluzzjoni u se tkompli tivvaluta l-kwistjonijiet identifikati hawn fuq, anki fid-dawl ta’ elementi addizzjonali pprovduti mill-istudju reċentement imniedi dwar l-armonizzazzjoni tal-liġijiet nazzjonali tal-insolvenza u l-esperjenza li tirriżulta minn applikazzjoni futura possibbli tal-qafas ta’ riżoluzzjoni.</w:t>
      </w:r>
    </w:p>
    <w:p>
      <w:pPr>
        <w:spacing w:before="20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 dan il-għan, il-Kummissjoni se timpenja ruħha wkoll f’diskussjoni komprensiva tas-suġġetti identifikati f’dan ir-rapport fir-rigward tal-BRRD/tal-SRMR (kif ukoll kwistjonijiet li jistgħu jirriżultaw mill-applikazzjoni tal-qafas ta’ riżoluzzjoni) ma’ esperti maħtura mill-Parlament Ewropew, mill-Istati Membri u mill-partijiet ikkonċernati rilevanti kollha.</w:t>
      </w:r>
    </w:p>
    <w:p>
      <w:pPr>
        <w:spacing w:before="20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F’dan il-kuntest il-Kummissjoni se tqis ukoll l-interazzjoni mal-iżviluppi tal-politika fir-rigward tal-assigurazzjoni tad-depożiti, inkluż ix-xogħol tal-Grupp ta’ Livell Għoli stabbilit mill-Grupp tal-Euro</w:t>
      </w:r>
      <w:r>
        <w:rPr>
          <w:rStyle w:val="FootnoteReference"/>
          <w:rFonts w:ascii="Times New Roman" w:hAnsi="Times New Roman"/>
          <w:noProof/>
          <w:sz w:val="24"/>
        </w:rPr>
        <w:footnoteReference w:id="51"/>
      </w:r>
      <w:r>
        <w:rPr>
          <w:rFonts w:ascii="Times New Roman" w:hAnsi="Times New Roman"/>
          <w:noProof/>
          <w:sz w:val="24"/>
        </w:rPr>
        <w:t>, u r-rieżami tad-Direttiva dwar Skemi ta’ Garanzija tad-Depożiti</w:t>
      </w:r>
      <w:r>
        <w:rPr>
          <w:rStyle w:val="FootnoteReference"/>
          <w:rFonts w:ascii="Times New Roman" w:hAnsi="Times New Roman"/>
          <w:noProof/>
          <w:sz w:val="24"/>
        </w:rPr>
        <w:footnoteReference w:id="52"/>
      </w:r>
      <w:r>
        <w:rPr>
          <w:rFonts w:ascii="Times New Roman" w:hAnsi="Times New Roman"/>
          <w:noProof/>
          <w:sz w:val="24"/>
        </w:rPr>
        <w:t xml:space="preserve">. </w:t>
      </w: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531" w:right="1701" w:bottom="153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061330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Il-BRRD u l-SRMR japplikaw għal istituzzjonijiet ta’ kreditu, għal ditti ta’ investiment u għal kategoriji oħra ta’ entitajiet finanzjarji kif previst fl-Artikolu 1 tal-BRRD u fl-Artikolu 2 tal-SRMR. Madankollu, f’dan ir-Rapport jintuża t-terminu ġeneriku “bank” biex jiġu indikati l-entitajiet kollha fil-qasir li jaqgħu fil-kamp ta’ applikazzjoni ta’ dawn l-atti leġiżlattivi.</w:t>
      </w:r>
    </w:p>
  </w:footnote>
  <w:footnote w:id="2">
    <w:p>
      <w:pPr>
        <w:pStyle w:val="FootnoteText"/>
        <w:spacing w:before="2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Id-Direttiva 2014/59/UE tal-Parlament Ewropew u tal-Kunsill tal-15 ta’ Mejju 2014 li tistabbilixxi qafas għall-irkupru u r-riżoluzzjoni ta’ istituzzjonijiet ta’ kreditu u ditti ta’ investiment (ĠU L 173, 12.6.2014, p. 190–348).</w:t>
      </w:r>
    </w:p>
  </w:footnote>
  <w:footnote w:id="3">
    <w:p>
      <w:pPr>
        <w:pStyle w:val="FootnoteText"/>
        <w:spacing w:before="2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Ir-Regolament (UE) Nru 806/2014 tal-Parlament Ewropew u tal-Kunsill tal-15 ta’ Lulju 2014 li jistabbilixxi regoli uniformi u proċedura uniformi għar-riżoluzzjoni tal-istituzzjonijiet ta’ kreditu u ċerti ditti tal-investiment fil-qafas ta’ Mekkaniżmu Uniku ta’ Riżoluzzjoni u Fond Uniku għar-Riżoluzzjoni (ĠU L 225, 30.7.2014, p. 1–90).</w:t>
      </w:r>
    </w:p>
  </w:footnote>
  <w:footnote w:id="4">
    <w:p>
      <w:pPr>
        <w:pStyle w:val="FootnoteText"/>
        <w:spacing w:before="2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L-Artikolu 32(4)(d) tal-BRRD.</w:t>
      </w:r>
    </w:p>
  </w:footnote>
  <w:footnote w:id="5">
    <w:p>
      <w:pPr>
        <w:pStyle w:val="FootnoteText"/>
        <w:spacing w:before="2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Ir-“rikapitalizzazzjoni interna ” hija definita fil-BRRD/fl-SRMR bħala “</w:t>
      </w:r>
      <w:r>
        <w:rPr>
          <w:rFonts w:ascii="Times New Roman" w:hAnsi="Times New Roman"/>
          <w:i/>
          <w:sz w:val="18"/>
        </w:rPr>
        <w:t>l-mekkaniżmu biex jiġu eżerċitati, minn awtorità tar-riżoluzzjoni, s-setgħat ta’ valwazzjoni negattiva u l-konverżjoni fir-rigward ta’ obbligazzjonijiet ta’ istituzzjoni taħt riżoluzzjoni</w:t>
      </w:r>
      <w:r>
        <w:rPr>
          <w:rFonts w:ascii="Times New Roman" w:hAnsi="Times New Roman"/>
          <w:sz w:val="18"/>
        </w:rPr>
        <w:t xml:space="preserve"> […]”. Ara l-Artikolu 2(1)(57) tal-BRRD u l-Artikolu 3(1)(33) tal-SRMR.</w:t>
      </w:r>
    </w:p>
  </w:footnote>
  <w:footnote w:id="6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Fl-Unjoni Bankarja, kull awtorità nazzjonali ta’ riżoluzzjoni hija responsabbli għall-ġbir tal-kontribuzzjonijiet għall-fond nazzjonali ta’ riżoluzzjoni rilevanti. Dawn huma mbagħad ittrasferiti għall-Fond Uniku ta’ Riżoluzzjoni, li huwa amministrat mill-Bord Uniku ta’ Riżoluzzjoni</w:t>
      </w:r>
    </w:p>
  </w:footnote>
  <w:footnote w:id="7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Ara r-rapport tal-EBA dwar il-kulleġġi ta’ riżoluzzjoni: </w:t>
      </w:r>
    </w:p>
    <w:p>
      <w:pPr>
        <w:pStyle w:val="FootnoteText"/>
        <w:ind w:left="142"/>
        <w:jc w:val="both"/>
        <w:rPr>
          <w:rFonts w:ascii="Times New Roman" w:hAnsi="Times New Roman" w:cs="Times New Roman"/>
          <w:sz w:val="18"/>
          <w:szCs w:val="18"/>
        </w:rPr>
      </w:pPr>
      <w:hyperlink r:id="rId1">
        <w:r>
          <w:rPr>
            <w:rStyle w:val="Hyperlink"/>
            <w:rFonts w:ascii="Times New Roman" w:hAnsi="Times New Roman"/>
            <w:sz w:val="18"/>
          </w:rPr>
          <w:t>https://eba.europa.eu/documents/10180/2087449/EBA+Report+on+the+functioning+of+resolution+colleges+-+July+2018.pdf</w:t>
        </w:r>
      </w:hyperlink>
      <w:r>
        <w:rPr>
          <w:rFonts w:ascii="Times New Roman" w:hAnsi="Times New Roman"/>
          <w:sz w:val="18"/>
        </w:rPr>
        <w:t xml:space="preserve"> </w:t>
      </w:r>
    </w:p>
  </w:footnote>
  <w:footnote w:id="8">
    <w:p>
      <w:pPr>
        <w:pStyle w:val="FootnoteText"/>
        <w:ind w:left="142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Id-dokumenti relevanti jinsabu </w:t>
      </w:r>
      <w:hyperlink r:id="rId2">
        <w:r>
          <w:rPr>
            <w:rStyle w:val="Hyperlink"/>
            <w:rFonts w:ascii="Times New Roman" w:hAnsi="Times New Roman"/>
            <w:sz w:val="18"/>
          </w:rPr>
          <w:t>https://srb.europa.eu/sites/srbsite/files/srb_2018_mrel_policy_-_first_wave_of_resolution_plans.pdf</w:t>
        </w:r>
      </w:hyperlink>
      <w:r>
        <w:rPr>
          <w:rFonts w:ascii="Times New Roman" w:hAnsi="Times New Roman"/>
          <w:sz w:val="18"/>
        </w:rPr>
        <w:t xml:space="preserve"> u </w:t>
      </w:r>
      <w:hyperlink r:id="rId3">
        <w:r>
          <w:rPr>
            <w:rStyle w:val="Hyperlink"/>
            <w:rFonts w:ascii="Times New Roman" w:hAnsi="Times New Roman"/>
            <w:sz w:val="18"/>
          </w:rPr>
          <w:t>https://srb.europa.eu/sites/srbsite/files/public_mrel_policy_2018_-_second_wave_of_plans.pdf</w:t>
        </w:r>
      </w:hyperlink>
      <w:r>
        <w:rPr>
          <w:rFonts w:ascii="Times New Roman" w:hAnsi="Times New Roman"/>
          <w:sz w:val="18"/>
        </w:rPr>
        <w:t xml:space="preserve"> </w:t>
      </w:r>
    </w:p>
  </w:footnote>
  <w:footnote w:id="9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Il-Parlament Ewropew fis-sessjoni plenarja tiegħu tas-16 ta’ April 2019 adotta t-testi leġiżlattivi li jiffurmaw l-hekk imsejjaħ “Pakkett Bankarju”. It-test li ġie vvutat fih dan li ġej: - Riżoluzzjoni leġiżlattiva tal-Parlament Ewropew tas-16 ta’ April 2019 dwar il-proposta għal direttiva tal-Parlament Ewropew u tal-Kunsill li temenda d-Direttiva 2014/59/UE dwar il-kapaċità ta’ assorbiment tat-telf u ta’ rikapitalizzazzjoni ta’ istituzzjonijiet tal-kreditu u ditti tal-investiment u li temenda d-Direttiva 98/26/KE, id-Direttiva 2002/47/KE, id-Direttiva 2012/30/UE, id-Direttiva 2011/35/UE, id-Direttiva 2005/56/KE, id-Direttiva 2004/25/KE, id-Direttiva 2007/36/KE (COM(2016)0852 – C8-0481/2016 – 2016/0362(COD)) (Proċedura leġiżlattiva ordinarja: l-ewwel qari); - Riżoluzzjoni leġiżlattiva tal-Parlament Ewropew tas-16 ta’ April 2019 dwar il-proposta għal regolament tal-Parlament Ewropew u tal-Kunsill li jemenda r-Regolament (UE) Nru 806/2014 dwar il-Kapaċità ta’ assorbiment tat-telf u ta’ Rikapitalizzazzjoni għall-istituzzjonijiet ta’ kreditu u għad-ditti ta’ investiment (COM(2016)0851 – C8-0478/2016 – 2016/0361(COD)) (Proċedura leġiżlattiva ordinarja: l-ewwel qari); - Riżoluzzjoni leġiżlattiva tal-Parlament Ewropew tas-16 ta’ April 2019 dwar il-proposta għal regolament tal-Parlament Ewropew u tal-Kunsill li jemenda r-Regolament (UE) Nru 575/2013 dwar il-proporzjon ta’ ingranaġġ, il-proporzjon ta’ ffinanzjar stabbli nett, rekwiżiti għall-fondi proprji u obbligazzjonijiet eliġibbli, riskju ta’ kreditu tal-kontroparti, riskju tas-suq, skoperturi għal kontropartijiet ċentrali, skoperturi għal impriżi ta’ investiment kollettiv, skoperturi kbar, rekwiżiti ta’ rappurtar u divulgar u li jemenda r-Regolament (UE) Nru 648/2012 (COM(2016)0850 – C8-0480/2016 – 2016/0360A(COD)); - Riżoluzzjoni leġiżlattiva tal-Parlament Ewropew tas-16 ta’ April 2019 dwar il-proposta għal direttiva tal-Parlament Ewropew u tal-Kunsill li temenda d-Direttiva 2013/36/UE fir-rigward ta’ entitajiet eżentati, kumpaniji azzjonarji finanzjarji, kumpaniji azzjonarji finanzjarji mħallta, ir-rimunerazzjoni, miżuri u setgħat superviżorji u miżuri ta’ konservazzjoni kapitali (COM(2016)0854 – C8-0474/2016 – 2016/0364(COD)). </w:t>
      </w:r>
    </w:p>
  </w:footnote>
  <w:footnote w:id="10">
    <w:p>
      <w:pPr>
        <w:pStyle w:val="FootnoteText"/>
        <w:spacing w:before="2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L-iskadenza għall-applikazzjoni tad-dispożizzjonijiet dwar l-għodda tal-rikapitalizzazzjoni interna stabbilita fil-BRRD kienet l-1 ta’ Jannar 2016, filwaqt li għad-dispożizzjonijiet l-oħra l-iskadenza għall-applikazzjoni kienet l-1 ta’ Jannar 2015.</w:t>
      </w:r>
    </w:p>
  </w:footnote>
  <w:footnote w:id="11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Il-miżuri ttieħdu skont id-Deċiżjoni ta’ Riżoluzzjoni tal-SRB tas-7 ta’ Ġunju 2017 (SRB/EES/2017/08), li ġiet approvata bid-Deċiżjoni tal-Kummissjoni (UE) 2017/1246 tas-7 ta’ Ġunju 2017.</w:t>
      </w:r>
    </w:p>
  </w:footnote>
  <w:footnote w:id="12">
    <w:p>
      <w:pPr>
        <w:pStyle w:val="FootnoteText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L-Artikolu 130 tal-BRRD esiġa li l-Istati Membri japplikaw ċerti dispożizzjonijiet, inklużi dawk li jikkonċernaw ir-rikapitalizzazzjoni interna, li jibdew mhux aktar tard mill-1 ta’ Jannar 2016. </w:t>
      </w:r>
    </w:p>
  </w:footnote>
  <w:footnote w:id="13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Id-dispożizzjonijiet ta’ rikapitalizzazzjoni interna skont il-BRRD jesiġu l-valwazzjoni negattiva u l-konverżjoni ta’ ishma u tal-obbligazzjonijiet eliġibbli sal-minimu ta’ 8 % tal-obbligazzjonijiet totali tal-bank qabel ma jingħata aċċess għall-appoġġ finanzjarju estern.</w:t>
      </w:r>
    </w:p>
  </w:footnote>
  <w:footnote w:id="14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Likwidità fil-forma ta’ garanziji mill-Istat fuq faċilitajiet tal-bank ċentrali jew obbligazzjonijiet maħruġa ġodda skont l-Artikolu 32(4)(d)(i) u (ii) tal-BRRD u l-Artikolu 18(4)(d)(i) u (ii) tal-SRMR.</w:t>
      </w:r>
    </w:p>
  </w:footnote>
  <w:footnote w:id="15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Il-Każ SA.41503</w:t>
      </w:r>
    </w:p>
  </w:footnote>
  <w:footnote w:id="16">
    <w:p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Il-Każ SA.47081</w:t>
      </w:r>
    </w:p>
  </w:footnote>
  <w:footnote w:id="17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Il-Każ SA.47149</w:t>
      </w:r>
    </w:p>
  </w:footnote>
  <w:footnote w:id="18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L-għajnuna ġiet awtorizzata mill-Kummissjoni fil-Każijiet SA.43364 u SA.43365. It-terminu “rikapitalizzazzjoni prekawzjonarja” jindika l-għoti ta’ fondi proprji lil istituzzjoni solventi skont l-Artikolu 32(4)(d)(iii) tal-BRRD u l-Artikolu 18(4)(d)(iii) tal-SRMR.</w:t>
      </w:r>
    </w:p>
  </w:footnote>
  <w:footnote w:id="19">
    <w:p>
      <w:pPr>
        <w:pStyle w:val="FootnoteText"/>
        <w:spacing w:before="2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L-għajnuna ġiet awtorizzata mill-Kummissjoni fil-Każ SA.47677. </w:t>
      </w:r>
    </w:p>
  </w:footnote>
  <w:footnote w:id="20">
    <w:p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Il-Każ SA.45664</w:t>
      </w:r>
    </w:p>
  </w:footnote>
  <w:footnote w:id="21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Il-miżura hija permessa sabiex tirrimedja tfixkil serju fl-ekonomija ta’ Stat Membru u tippreserva l-istabbiltà finanzjarja. </w:t>
      </w:r>
    </w:p>
  </w:footnote>
  <w:footnote w:id="22">
    <w:p>
      <w:pPr>
        <w:pStyle w:val="FootnoteText"/>
        <w:spacing w:before="2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L-Artikolu 27 tal-BRRD jipprevedi b’mod partikolari li s-setgħa tal-awtorità kompetenti tattiva miżuri ta’ intervent bikri meta “</w:t>
      </w:r>
      <w:r>
        <w:rPr>
          <w:rFonts w:ascii="Times New Roman" w:hAnsi="Times New Roman"/>
          <w:i/>
          <w:sz w:val="18"/>
        </w:rPr>
        <w:t>istituzzjoni tikser jew, minħabba fost l-oħrajn kondizzjoni finanzjarja li qed tmur lura rapidament, inklużi sitwazzjoni ta’ likwidità li sejra lura, żieda fil-livell ta’ ingranaġġ, self mingħajr prestazzjoni jew konċentrazzjoni ta’ skoperturi, kif ivvalutat abbażi ta’ sett ta’ skattaturi, li jistgħu jinkludu r-rekwiżiti ta’ fondi proprji tal-istituzzjoni b’żieda ta’ 1,5 punti perċentwali, aktarx li fil-futur qrib tikser ir-rekwiżiti tar-Regolament (UE) Nru 575/2013, id-Direttiva 2013/36/UE, Titolu II tad-Direttiva 2014/65/UE jew l-Artikoli 3 sa 7, 14 sa 17, u 24, 25 u 26 tar-Regolament (UE) Nru 600/2014 […]</w:t>
      </w:r>
      <w:r>
        <w:rPr>
          <w:rFonts w:ascii="Times New Roman" w:hAnsi="Times New Roman"/>
          <w:sz w:val="18"/>
        </w:rPr>
        <w:t>”.</w:t>
      </w:r>
    </w:p>
  </w:footnote>
  <w:footnote w:id="23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Din id-deċiżjoni ttieħdet dan l-aħħar mill-BĊE fir-rigward tal-bank Carige (Cassa di Risparmio di Genova e Liguria). Ara </w:t>
      </w:r>
      <w:hyperlink r:id="rId4">
        <w:r>
          <w:rPr>
            <w:rStyle w:val="Hyperlink"/>
            <w:rFonts w:ascii="Times New Roman" w:hAnsi="Times New Roman"/>
            <w:sz w:val="18"/>
          </w:rPr>
          <w:t>https://www.bankingsupervision.europa.eu/press/pr/date/2019/html/ssm.pr190102.en.html</w:t>
        </w:r>
      </w:hyperlink>
      <w:r>
        <w:rPr>
          <w:rFonts w:ascii="Times New Roman" w:hAnsi="Times New Roman"/>
          <w:sz w:val="18"/>
        </w:rPr>
        <w:t xml:space="preserve"> </w:t>
      </w:r>
    </w:p>
  </w:footnote>
  <w:footnote w:id="24">
    <w:p>
      <w:pPr>
        <w:pStyle w:val="FootnoteText"/>
        <w:spacing w:before="2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B’mod speċifiku, l-Artikolu 16 tal-SSMR.</w:t>
      </w:r>
    </w:p>
  </w:footnote>
  <w:footnote w:id="25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Ftehim dwar it-trasferiment u l-mutwalizzazzjoni tal-kontribuzzjonijiet għall-Fond Uniku ta’ Riżoluzzjoni, l-14 ta’ Mejju 2014, 8457/14: </w:t>
      </w:r>
      <w:hyperlink r:id="rId5">
        <w:r>
          <w:rPr>
            <w:rStyle w:val="Hyperlink"/>
            <w:rFonts w:ascii="Times New Roman" w:hAnsi="Times New Roman"/>
            <w:sz w:val="18"/>
          </w:rPr>
          <w:t>http://data.consilium.europa.eu/doc/document/ST-8457-2014-INIT/mt/pdf</w:t>
        </w:r>
      </w:hyperlink>
      <w:r>
        <w:rPr>
          <w:rFonts w:ascii="Times New Roman" w:hAnsi="Times New Roman"/>
          <w:sz w:val="18"/>
        </w:rPr>
        <w:t xml:space="preserve">. </w:t>
      </w:r>
    </w:p>
  </w:footnote>
  <w:footnote w:id="26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Dikjarazzjoni tal-Grupp tal-Euro u tal-Ministri tal-ECOFIN dwar il-garanzija ta’ kontinġenza tal-SRM, tal-20 ta’ Diċembru 2013, 18137/13: </w:t>
      </w:r>
      <w:hyperlink r:id="rId6">
        <w:r>
          <w:rPr>
            <w:rStyle w:val="Hyperlink"/>
            <w:rFonts w:ascii="Times New Roman" w:hAnsi="Times New Roman"/>
            <w:sz w:val="18"/>
          </w:rPr>
          <w:t>http://data.consilium.europa.eu/doc/document/ST-18137-2013-INIT/en/pdf</w:t>
        </w:r>
      </w:hyperlink>
      <w:r>
        <w:rPr>
          <w:rFonts w:ascii="Times New Roman" w:hAnsi="Times New Roman"/>
          <w:sz w:val="18"/>
        </w:rPr>
        <w:t xml:space="preserve">. </w:t>
      </w:r>
    </w:p>
  </w:footnote>
  <w:footnote w:id="27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Dikjarazzjoni tas-Summit tal-Euro, tal-14 ta’ Diċembru 2018 u t-Termini ta’ referenza tal-garanzija ta’ kontinġenza komuni għall-Fond Uniku ta’ Riżoluzzjoni.</w:t>
      </w:r>
    </w:p>
  </w:footnote>
  <w:footnote w:id="28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Ara pereżempju l-Komunikazzjoni tal-Kummissjoni lill-Parlament Ewropew, lill-Kunsill Ewropew, lill-Kunsill u lill-Bank Ċentrali Ewropew – Aktar passi lejn it-tlestija tal-Unjoni Ekonomika u Monetarja tal-Ewropa: Pjan Direzzjonali, 6.12.2017, COM/2017/0821 final u l-Komunikazzjoni lill-Parlament Ewropew, lill-Kunsill, lill-Bank Ċentrali Ewropew, lill-Kumitat Ekonomiku u Soċjali Ewropew u lill-Kumitat tar-Reġjuni dwar it-tlestija tal-Unjoni Bankarja, il-11.10.2017, COM(2017) 592 final.</w:t>
      </w:r>
    </w:p>
  </w:footnote>
  <w:footnote w:id="29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L-Artikolu 5(1)(e) tal-Ftehim Intergovernattiv.</w:t>
      </w:r>
    </w:p>
  </w:footnote>
  <w:footnote w:id="30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Ara, pereżempju: ir-Rapport tal-Grupp tal-Euro lill-mexxejja dwar l-approfondiment tal-UEM, l-4 ta’ Diċembru 2018, </w:t>
      </w:r>
      <w:hyperlink r:id="rId7">
        <w:r>
          <w:rPr>
            <w:rStyle w:val="Hyperlink"/>
            <w:rFonts w:ascii="Times New Roman" w:hAnsi="Times New Roman"/>
            <w:sz w:val="18"/>
          </w:rPr>
          <w:t>https://www.consilium.europa.eu/fr/press/press-releases/2018/12/04/eurogroup-report-to-leaders-on-emu-deepening/</w:t>
        </w:r>
      </w:hyperlink>
      <w:r>
        <w:rPr>
          <w:rFonts w:ascii="Times New Roman" w:hAnsi="Times New Roman"/>
          <w:sz w:val="18"/>
        </w:rPr>
        <w:t xml:space="preserve">; “Financing bank resolution: An alternative solution for arranging the liquidity required”, Novembru 2018, W.P. de Groen, Analiżi approfondita mitluba mill-kumitat ECON tal-Parlament Ewropew, disponibbli fuq: </w:t>
      </w:r>
      <w:hyperlink r:id="rId8">
        <w:r>
          <w:rPr>
            <w:rStyle w:val="Hyperlink"/>
            <w:rFonts w:ascii="Times New Roman" w:hAnsi="Times New Roman"/>
            <w:sz w:val="18"/>
          </w:rPr>
          <w:t>http://www.europarl.europa.eu/RegData/etudes/IDAN/2018/624423/IPOL_IDA(2018)624423_EN.pdf</w:t>
        </w:r>
      </w:hyperlink>
      <w:r>
        <w:rPr>
          <w:rFonts w:ascii="Times New Roman" w:hAnsi="Times New Roman"/>
          <w:sz w:val="18"/>
        </w:rPr>
        <w:t xml:space="preserve"> ; “How to provide liquidity to banks after resolution in Europe’s banking union”, Novembru 2018, M. Demertzis, I. Gonçalves Raposo, P. Hüttl, G. Wolff, Analiżi approfondita mitluba mill-kumitat ECON tal-Parlament Ewropew, disponibbli fuq: </w:t>
      </w:r>
      <w:hyperlink r:id="rId9">
        <w:r>
          <w:rPr>
            <w:rStyle w:val="Hyperlink"/>
            <w:rFonts w:ascii="Times New Roman" w:hAnsi="Times New Roman"/>
            <w:sz w:val="18"/>
          </w:rPr>
          <w:t>http://www.europarl.europa.eu/RegData/etudes/IDAN/2018/624422/IPOL_IDA(2018)624422_EN.pdf</w:t>
        </w:r>
      </w:hyperlink>
      <w:r>
        <w:rPr>
          <w:rFonts w:ascii="Times New Roman" w:hAnsi="Times New Roman"/>
          <w:sz w:val="18"/>
        </w:rPr>
        <w:t xml:space="preserve"> </w:t>
      </w:r>
    </w:p>
  </w:footnote>
  <w:footnote w:id="31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Ara, pereżempju, il-Fond ta’ Likwidazzjoni Ordnata tal-Istati Uniti (12 U.S.C. l-Artikolu 5390 (l-Att Dodd-Frank, l-Artikolu 210(n)).</w:t>
      </w:r>
    </w:p>
  </w:footnote>
  <w:footnote w:id="32">
    <w:p>
      <w:pPr>
        <w:pStyle w:val="FootnoteText"/>
        <w:spacing w:before="2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hyperlink r:id="rId10">
        <w:r>
          <w:rPr>
            <w:rStyle w:val="Hyperlink"/>
            <w:rFonts w:ascii="Times New Roman" w:hAnsi="Times New Roman"/>
            <w:sz w:val="18"/>
          </w:rPr>
          <w:t>https://www.eba.europa.eu/documents/10180/1720738/EBA+Report+on+the+Application+of+Simplified+Obligations+and+Waivers+in+Recovery+and+Resolution+Planning.pdf</w:t>
        </w:r>
      </w:hyperlink>
      <w:r>
        <w:rPr>
          <w:rFonts w:ascii="Times New Roman" w:hAnsi="Times New Roman"/>
          <w:sz w:val="18"/>
        </w:rPr>
        <w:t xml:space="preserve"> </w:t>
      </w:r>
    </w:p>
  </w:footnote>
  <w:footnote w:id="33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hyperlink r:id="rId11">
        <w:r>
          <w:rPr>
            <w:rStyle w:val="Hyperlink"/>
            <w:rFonts w:ascii="Times New Roman" w:hAnsi="Times New Roman"/>
            <w:sz w:val="18"/>
          </w:rPr>
          <w:t>https://eba.europa.eu/documents/10180/1695288/EBA+Final+MREL+Report+%28EBA-Op-2016-21%29.pdf</w:t>
        </w:r>
      </w:hyperlink>
      <w:r>
        <w:rPr>
          <w:rFonts w:ascii="Times New Roman" w:hAnsi="Times New Roman"/>
          <w:sz w:val="18"/>
        </w:rPr>
        <w:t xml:space="preserve"> </w:t>
      </w:r>
    </w:p>
  </w:footnote>
  <w:footnote w:id="34">
    <w:p>
      <w:pPr>
        <w:pStyle w:val="FootnoteText"/>
        <w:spacing w:before="20"/>
        <w:ind w:left="142" w:hanging="142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Ir-Regolament Delegat tal-Kummissjoni (UE) 2016/1075 tat-23 ta’ Marzu 2016 li jissupplimenta d-Direttiva 2014/59/UE tal-Parlament Ewropew u tal-Kunsill fir-rigward ta’ standards tekniċi regolatorji li jispeċifikaw il-kontenut tal-pjanijiet ta’ rkupru, il-pjanijiet ta’ riżoluzzjoni u l-pjanijiet ta’ riżoluzzjoni tal-grupp, il-kriterji minimi li l-awtorità kompetenti trid tivvaluta fir-rigward tal-pjanijiet ta’ rkupru u l-pjanijiet ta’ rkupru tal-grupp, il-kundizzjonijiet għall-appoġġ finanzjarju tal-grupp, ir-rekwiżiti għall-valutaturi indipendenti, ir-rikonoxximent kuntrattwali tas-setgħat ta’ valwazzjoni negattiva u konverżjoni u l-avviż tas-sospensjoni u l-funzjonament operattivi tal-kulleġġi ta’ riżoluzzjoni, disponibbli fuq:  </w:t>
      </w:r>
      <w:hyperlink r:id="rId12">
        <w:r>
          <w:rPr>
            <w:rStyle w:val="Hyperlink"/>
            <w:rFonts w:ascii="Times New Roman" w:hAnsi="Times New Roman"/>
            <w:sz w:val="18"/>
          </w:rPr>
          <w:t>https://eur-lex.europa.eu/legal-content/MT/TXT/?uri=CELEX%3A32016R1075</w:t>
        </w:r>
      </w:hyperlink>
      <w:r>
        <w:rPr>
          <w:rFonts w:ascii="Times New Roman" w:hAnsi="Times New Roman"/>
          <w:sz w:val="18"/>
        </w:rPr>
        <w:t xml:space="preserve"> </w:t>
      </w:r>
    </w:p>
  </w:footnote>
  <w:footnote w:id="35">
    <w:p>
      <w:pPr>
        <w:pStyle w:val="FootnoteText"/>
        <w:spacing w:before="2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L-Artikolu 108 tal-BRRD.</w:t>
      </w:r>
    </w:p>
  </w:footnote>
  <w:footnote w:id="36">
    <w:p>
      <w:pPr>
        <w:pStyle w:val="FootnoteText"/>
        <w:spacing w:before="2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Id-Direttiva (UE) 2017/2399 tal-Parlament Ewropew u tal-Kunsill tat-12 ta’ Diċembru 2017 li temenda d-Direttiva 2014/59/UE fir-rigward tal-klassifikazzjoni tal-istrumenti ta’ dejn mhux garantiti fil-ġerarkija tal-insolvenza.</w:t>
      </w:r>
    </w:p>
  </w:footnote>
  <w:footnote w:id="37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Il-prinċipju huwa kkodifikat fl-Artikolu 34 tal-BRRD u jesiġi li l-azzjonisti u l-kredituri ma jġarrbux aktar telf waqt riżoluzzjoni milli waqt insolvenza.</w:t>
      </w:r>
    </w:p>
  </w:footnote>
  <w:footnote w:id="38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18"/>
        </w:rPr>
        <w:t>F’każ ta’ armonizzazzjoni tal-klassifikazzjoni tal-pretensjonijiet f’insolvenza, jenħtieġ li tingħata kunsiderazzjoni xierqa għall-istatus ta’ ċerti kredituri privileġġati, bħalma huma l-awtoritajiet tat-taxxa, l-istituzzjonijiet tas-sigurtà soċjali, il-ħaddiema/l-impjegati.</w:t>
      </w:r>
    </w:p>
  </w:footnote>
  <w:footnote w:id="39">
    <w:p>
      <w:pPr>
        <w:pStyle w:val="FootnoteText"/>
        <w:spacing w:before="2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L-istudju tnieda wara talba u allokazzjoni tal-baġit magħmula disponibbli mill-PE għal Proġett Pilota dwar l-Unjoni Bankarja. Sejħa għall-offerti ġiet ippubblikata fis-7 ta’ Settembru 2018, ara </w:t>
      </w:r>
      <w:hyperlink r:id="rId13">
        <w:r>
          <w:rPr>
            <w:rStyle w:val="Hyperlink"/>
            <w:rFonts w:ascii="Times New Roman" w:hAnsi="Times New Roman"/>
            <w:sz w:val="18"/>
          </w:rPr>
          <w:t>https://ted.europa.eu/TED/notice/udl?uri=TED:NOTICE:389651-2018:TEXT:EN:HTML&amp;ticket=ST-35512292-rGDZ9PTvzUdNJZvojeKKI1EdXBHdQdHshD8PU99JSVKIfmyXIsA4zPHRCzeoTNQsdCLBE7Iu53KzhFMVrszsG9zW-jpJZscgsw0KeumEE0mYyCS-1dilRzzzQczGl03GpkcVaEJS1fqVDK0xcTDelqmAExgb</w:t>
        </w:r>
      </w:hyperlink>
      <w:r>
        <w:rPr>
          <w:rFonts w:ascii="Times New Roman" w:hAnsi="Times New Roman"/>
          <w:sz w:val="18"/>
        </w:rPr>
        <w:t xml:space="preserve"> </w:t>
      </w:r>
    </w:p>
  </w:footnote>
  <w:footnote w:id="40">
    <w:p>
      <w:pPr>
        <w:pStyle w:val="FootnoteText"/>
        <w:spacing w:before="20"/>
        <w:ind w:left="142" w:hanging="142"/>
        <w:jc w:val="both"/>
        <w:rPr>
          <w:rFonts w:ascii="Times New Roman" w:hAnsi="Times New Roman" w:cs="Times New Roman"/>
          <w:sz w:val="18"/>
          <w:szCs w:val="18"/>
          <w:lang w:val="pt-PT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L-Artikolu 18 tal-SRMR</w:t>
      </w:r>
    </w:p>
  </w:footnote>
  <w:footnote w:id="41">
    <w:p>
      <w:pPr>
        <w:pStyle w:val="FootnoteText"/>
        <w:spacing w:before="20"/>
        <w:ind w:left="142" w:hanging="142"/>
        <w:jc w:val="both"/>
        <w:rPr>
          <w:rFonts w:ascii="Times New Roman" w:hAnsi="Times New Roman" w:cs="Times New Roman"/>
          <w:sz w:val="18"/>
          <w:szCs w:val="18"/>
          <w:lang w:val="pt-PT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hyperlink r:id="rId14">
        <w:r>
          <w:rPr>
            <w:rStyle w:val="Hyperlink"/>
            <w:rFonts w:ascii="Times New Roman" w:hAnsi="Times New Roman"/>
            <w:sz w:val="18"/>
          </w:rPr>
          <w:t>https://eur-lex.europa.eu/legal-content/MT/TXT/?uri=CELEX:52017DC0661</w:t>
        </w:r>
      </w:hyperlink>
      <w:r>
        <w:rPr>
          <w:rFonts w:ascii="Times New Roman" w:hAnsi="Times New Roman"/>
          <w:sz w:val="18"/>
        </w:rPr>
        <w:t xml:space="preserve"> </w:t>
      </w:r>
    </w:p>
  </w:footnote>
  <w:footnote w:id="42">
    <w:p>
      <w:pPr>
        <w:pStyle w:val="FootnoteText"/>
        <w:spacing w:before="2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Ir-Regolament (UE) Nru 1093/2010 tal-Parlament Ewropew u tal-Kunsill tal-24 ta’ Novembru 2010 li jistabbilixxi Awtorità Superviżorja Ewropea (Awtorità Bankarja Ewropea).</w:t>
      </w:r>
    </w:p>
  </w:footnote>
  <w:footnote w:id="43">
    <w:p>
      <w:pPr>
        <w:pStyle w:val="FootnoteText"/>
        <w:spacing w:before="2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Il-proposta tal-Kummissjoni COM(2017) 536 final tal-20 ta’ Settembru 2017. </w:t>
      </w:r>
    </w:p>
  </w:footnote>
  <w:footnote w:id="44">
    <w:p>
      <w:pPr>
        <w:pStyle w:val="FootnoteText"/>
        <w:spacing w:before="2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L-Artikolu 69(1) tal-SRMR.</w:t>
      </w:r>
    </w:p>
  </w:footnote>
  <w:footnote w:id="45">
    <w:p>
      <w:pPr>
        <w:pStyle w:val="FootnoteText"/>
        <w:spacing w:before="2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L-Artikolu 102(1) tal-BRRD.</w:t>
      </w:r>
    </w:p>
  </w:footnote>
  <w:footnote w:id="46">
    <w:p>
      <w:pPr>
        <w:pStyle w:val="FootnoteText"/>
        <w:spacing w:before="2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Ir-Regolament ta’ Delega tal-Kummissjoni (UE) 2015/63 tal-21 ta’ Ottubru 2014 li jissupplimenta d-Direttiva 2014/59/UE tal-Parlament Ewropew u tal-Kunsill fir-rigward tal-kontribuzzjonijiet </w:t>
      </w:r>
      <w:r>
        <w:rPr>
          <w:rFonts w:ascii="Times New Roman" w:hAnsi="Times New Roman"/>
          <w:i/>
          <w:sz w:val="18"/>
        </w:rPr>
        <w:t>ex ante</w:t>
      </w:r>
      <w:r>
        <w:rPr>
          <w:rFonts w:ascii="Times New Roman" w:hAnsi="Times New Roman"/>
          <w:sz w:val="18"/>
        </w:rPr>
        <w:t xml:space="preserve"> għall-arranġamenti ta’ finanzjament ta’ riżoluzzjoni, u r-Regolament ta’ Implimentazzjoni tal-Kunsill (UE) 2015/81 tad-19 ta’ Diċembru 2014 li jispeċifika kundizzjonijiet uniformi għall-applikazzjoni tar-Regolament (UE) Nru 806/2014 tal-Parlament Ewropew u tal-Kunsill fir-rigward tal-kontribuzzjonijiet </w:t>
      </w:r>
      <w:r>
        <w:rPr>
          <w:rFonts w:ascii="Times New Roman" w:hAnsi="Times New Roman"/>
          <w:i/>
          <w:sz w:val="18"/>
        </w:rPr>
        <w:t>ex ante</w:t>
      </w:r>
      <w:r>
        <w:rPr>
          <w:rFonts w:ascii="Times New Roman" w:hAnsi="Times New Roman"/>
          <w:sz w:val="18"/>
        </w:rPr>
        <w:t xml:space="preserve"> għall-Fond Uniku ta’ Riżoluzzjoni.</w:t>
      </w:r>
    </w:p>
  </w:footnote>
  <w:footnote w:id="47">
    <w:p>
      <w:pPr>
        <w:pStyle w:val="FootnoteText"/>
        <w:spacing w:before="2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Ir-Regolament Delegat tal-Kummissjoni (UE) 2016/778 tat-2 ta’ Frar 2016 li jissupplimenta d-Direttiva 2014/59/UE tal-Parlament Ewropew u tal-Kunsill fir-rigward taċ-ċirkustanzi u l-kondizzjonijiet li taħthom il-ħlas ta’ kontribuzzjonijiet straordinarji </w:t>
      </w:r>
      <w:r>
        <w:rPr>
          <w:rFonts w:ascii="Times New Roman" w:hAnsi="Times New Roman"/>
          <w:i/>
          <w:sz w:val="18"/>
        </w:rPr>
        <w:t>ex post</w:t>
      </w:r>
      <w:r>
        <w:rPr>
          <w:rFonts w:ascii="Times New Roman" w:hAnsi="Times New Roman"/>
          <w:sz w:val="18"/>
        </w:rPr>
        <w:t xml:space="preserve"> jista’ jkun parzjalment jew kompletament differit, u l-kriterji għad-determinazzjoni tal-attivitajiet, is-servizzi u l-operazzjonijiet fir-rigward ta’ funzjonijiet kritiċi, u għad-determinazzjoni tal-linji ta’ negozju u servizzi assoċjati fir-rigward tal-linji tan-negozju ewlenin.</w:t>
      </w:r>
    </w:p>
  </w:footnote>
  <w:footnote w:id="48">
    <w:p>
      <w:pPr>
        <w:pStyle w:val="FootnoteText"/>
        <w:spacing w:before="2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hyperlink r:id="rId15">
        <w:r>
          <w:rPr>
            <w:rStyle w:val="Hyperlink"/>
            <w:rFonts w:ascii="Times New Roman" w:hAnsi="Times New Roman"/>
            <w:sz w:val="18"/>
          </w:rPr>
          <w:t>https://srb.europa.eu/en/content/ex-ante-contributions-0</w:t>
        </w:r>
      </w:hyperlink>
      <w:r>
        <w:rPr>
          <w:rFonts w:ascii="Times New Roman" w:hAnsi="Times New Roman"/>
          <w:sz w:val="18"/>
        </w:rPr>
        <w:t xml:space="preserve">. </w:t>
      </w:r>
    </w:p>
  </w:footnote>
  <w:footnote w:id="49">
    <w:p>
      <w:pPr>
        <w:pStyle w:val="FootnoteText"/>
        <w:spacing w:before="2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F’konformità mal-Artikolu 102(4) tal-BRRD. Rapport dwar il-bażi xierqa ta’ livell fil-mira għall-arranġamenti tal-finanzjament ta’ riżoluzzjoni, EBA-OP-2016-18, it-28 ta’ Ottubru 2016, disponibbli fuq: </w:t>
      </w:r>
      <w:hyperlink r:id="rId16">
        <w:r>
          <w:rPr>
            <w:rStyle w:val="Hyperlink"/>
            <w:rFonts w:ascii="Times New Roman" w:hAnsi="Times New Roman"/>
            <w:sz w:val="18"/>
          </w:rPr>
          <w:t>http://www.eba.europa.eu/documents/10180/1360107/Report+on+the+appropriate+target+level+basis+for+resolution+financing+arrangements+%28EBA-OP-2016-18%29.pdf</w:t>
        </w:r>
      </w:hyperlink>
    </w:p>
  </w:footnote>
  <w:footnote w:id="50">
    <w:p>
      <w:pPr>
        <w:pStyle w:val="FootnoteText"/>
        <w:ind w:left="142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L-Artikolu 94(1)(a)(i) tal-SRMR jesiġi li, bħala parti mir-rieżami tal-leġiżlazzjoni, il-Kummissjoni tivvaluta jekk “</w:t>
      </w:r>
      <w:r>
        <w:rPr>
          <w:rFonts w:ascii="Times New Roman" w:hAnsi="Times New Roman"/>
          <w:i/>
          <w:sz w:val="18"/>
        </w:rPr>
        <w:t>hemmx ħtieġa li l-funzjonijiet allokati b’dan ir-Regolament lill-Bord, lill-Kunsill u lill-Kummissjoni, ikunux eżerċitati esklużivament minn istituzzjoni indipendenti tal-Unjoni u, jekk dan ikun il-każ, jekk tkunx meħtieġa xi bidla tad-dispożizzjonijiet rilevanti inkluż fil-livell tal-liġi primarja</w:t>
      </w:r>
      <w:r>
        <w:rPr>
          <w:rFonts w:ascii="Times New Roman" w:hAnsi="Times New Roman"/>
          <w:sz w:val="18"/>
        </w:rPr>
        <w:t xml:space="preserve">”. </w:t>
      </w:r>
    </w:p>
  </w:footnote>
  <w:footnote w:id="51">
    <w:p>
      <w:pPr>
        <w:pStyle w:val="FootnoteText"/>
        <w:ind w:left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Rapport tal-Grupp tal-Euro lill-mexxejja dwar l-approfondiment tal-UEM tal-4 ta’ Diċembru 2018. </w:t>
      </w:r>
    </w:p>
  </w:footnote>
  <w:footnote w:id="52">
    <w:p>
      <w:pPr>
        <w:pStyle w:val="FootnoteText"/>
        <w:ind w:left="142"/>
        <w:jc w:val="both"/>
        <w:rPr>
          <w:rFonts w:ascii="Times New Roman" w:hAnsi="Times New Roman" w:cs="Times New Roman"/>
          <w:sz w:val="18"/>
          <w:szCs w:val="18"/>
          <w:lang w:val="en-IE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Id-Direttiva 2014/49/KE.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8C4"/>
    <w:multiLevelType w:val="hybridMultilevel"/>
    <w:tmpl w:val="9B42E010"/>
    <w:lvl w:ilvl="0" w:tplc="E0AA99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86A00"/>
    <w:multiLevelType w:val="hybridMultilevel"/>
    <w:tmpl w:val="B76C5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8262F"/>
    <w:multiLevelType w:val="hybridMultilevel"/>
    <w:tmpl w:val="AF48D57C"/>
    <w:lvl w:ilvl="0" w:tplc="312A96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62280"/>
    <w:multiLevelType w:val="hybridMultilevel"/>
    <w:tmpl w:val="A53095F2"/>
    <w:lvl w:ilvl="0" w:tplc="9FCA9B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C4A5E"/>
    <w:multiLevelType w:val="hybridMultilevel"/>
    <w:tmpl w:val="8F2C0C38"/>
    <w:lvl w:ilvl="0" w:tplc="092669E6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0486E"/>
    <w:multiLevelType w:val="hybridMultilevel"/>
    <w:tmpl w:val="3C2603DA"/>
    <w:lvl w:ilvl="0" w:tplc="A594A7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C132D"/>
    <w:multiLevelType w:val="hybridMultilevel"/>
    <w:tmpl w:val="07886438"/>
    <w:lvl w:ilvl="0" w:tplc="ECF063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E3BF4"/>
    <w:multiLevelType w:val="hybridMultilevel"/>
    <w:tmpl w:val="C4A46982"/>
    <w:lvl w:ilvl="0" w:tplc="219CE7E6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A1731"/>
    <w:multiLevelType w:val="hybridMultilevel"/>
    <w:tmpl w:val="CB948A06"/>
    <w:lvl w:ilvl="0" w:tplc="9FCA9B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75A3E"/>
    <w:multiLevelType w:val="hybridMultilevel"/>
    <w:tmpl w:val="8CB8E3B0"/>
    <w:lvl w:ilvl="0" w:tplc="BEF2FD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92C82"/>
    <w:multiLevelType w:val="multilevel"/>
    <w:tmpl w:val="AD0AEB4C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>
    <w:nsid w:val="4AAC776B"/>
    <w:multiLevelType w:val="hybridMultilevel"/>
    <w:tmpl w:val="1F24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F6A23"/>
    <w:multiLevelType w:val="hybridMultilevel"/>
    <w:tmpl w:val="1B86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30248E"/>
    <w:multiLevelType w:val="hybridMultilevel"/>
    <w:tmpl w:val="12663796"/>
    <w:lvl w:ilvl="0" w:tplc="656AF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80112"/>
    <w:multiLevelType w:val="hybridMultilevel"/>
    <w:tmpl w:val="6AD60E7E"/>
    <w:lvl w:ilvl="0" w:tplc="B412AF2A">
      <w:start w:val="1"/>
      <w:numFmt w:val="decimal"/>
      <w:lvlText w:val="%1."/>
      <w:lvlJc w:val="left"/>
      <w:pPr>
        <w:ind w:left="425" w:firstLine="0"/>
      </w:pPr>
      <w:rPr>
        <w:rFonts w:hint="default"/>
        <w:b w:val="0"/>
        <w:i w:val="0"/>
      </w:rPr>
    </w:lvl>
    <w:lvl w:ilvl="1" w:tplc="3404EF02">
      <w:start w:val="1"/>
      <w:numFmt w:val="lowerLetter"/>
      <w:lvlText w:val="(%2)"/>
      <w:lvlJc w:val="left"/>
      <w:pPr>
        <w:ind w:left="156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66D96723"/>
    <w:multiLevelType w:val="hybridMultilevel"/>
    <w:tmpl w:val="122A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E1E8A"/>
    <w:multiLevelType w:val="hybridMultilevel"/>
    <w:tmpl w:val="9A8EE1E8"/>
    <w:lvl w:ilvl="0" w:tplc="F03CE5DC">
      <w:start w:val="1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469F2"/>
    <w:multiLevelType w:val="hybridMultilevel"/>
    <w:tmpl w:val="3D543832"/>
    <w:lvl w:ilvl="0" w:tplc="96B083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ACD6554"/>
    <w:multiLevelType w:val="hybridMultilevel"/>
    <w:tmpl w:val="37BEBD82"/>
    <w:lvl w:ilvl="0" w:tplc="9FCA9B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0"/>
  </w:num>
  <w:num w:numId="5">
    <w:abstractNumId w:val="15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6"/>
  </w:num>
  <w:num w:numId="15">
    <w:abstractNumId w:val="7"/>
  </w:num>
  <w:num w:numId="16">
    <w:abstractNumId w:val="4"/>
  </w:num>
  <w:num w:numId="17">
    <w:abstractNumId w:val="3"/>
  </w:num>
  <w:num w:numId="18">
    <w:abstractNumId w:val="10"/>
  </w:num>
  <w:num w:numId="19">
    <w:abstractNumId w:val="10"/>
  </w:num>
  <w:num w:numId="20">
    <w:abstractNumId w:val="10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fr-BE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IE" w:vendorID="64" w:dllVersion="131078" w:nlCheck="1" w:checkStyle="1"/>
  <w:activeWritingStyle w:appName="MSWord" w:lang="de-AT" w:vendorID="64" w:dllVersion="131078" w:nlCheck="1" w:checkStyle="0"/>
  <w:revisionView w:markup="0"/>
  <w:defaultTabStop w:val="45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29A09137-781B-4E83-9195-845BCD9D97F1"/>
    <w:docVar w:name="LW_COVERPAGE_TYPE" w:val="1"/>
    <w:docVar w:name="LW_CROSSREFERENCE" w:val="&lt;UNUSED&gt;"/>
    <w:docVar w:name="LW_DocType" w:val="NORMAL"/>
    <w:docVar w:name="LW_EMISSION" w:val="30.4.2019"/>
    <w:docVar w:name="LW_EMISSION_ISODATE" w:val="2019-04-30"/>
    <w:docVar w:name="LW_EMISSION_LOCATION" w:val="BRX"/>
    <w:docVar w:name="LW_EMISSION_PREFIX" w:val="Brussell, "/>
    <w:docVar w:name="LW_EMISSION_SUFFIX" w:val=" "/>
    <w:docVar w:name="LW_ID_DOCTYPE_NONLW" w:val="CP-006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9) 21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dwar l-applikazzjoni u r-rie\u380?ami tad-Direttiva 2014/59/UE (id-Direttiva dwar l-Irkupru u r-Ri\u380?oluzzjoni tal-Banek) u r-Regolament 806/2014 (ir-Regolament dwar il-Mekkani\u380?mu Uniku ta' Ri\u380?oluzzjoni)_x000d__x000d__x000d__x000d__x000b__x000d__x000d__x000d__x000d__x000b_"/>
    <w:docVar w:name="LW_TYPE.DOC.CP" w:val="RAPPORT TAL-KUMMISSJONI LILL-PARLAMENT EWROPEW U LIL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e EI,Paragraphe de liste1,EC,Paragraphe de liste2,Colorful List Accent 1,Dot pt,F5 List Paragraph,List Paragraph1,Issue Action POC,3,POCG Table Text,List Paragraph Char Char Char,Indicator Text,Colorful List - Accent 11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noteText">
    <w:name w:val="footnote text"/>
    <w:aliases w:val="Footnote,Fußnote,Footnote Text Char Char,FSR footnote,lábléc,fn,Texto nota pie Car,notefranz,ARM footnote Text,Footnote Text Char1,Footnote Text Char2,Footnote Text Char11,Footnote Text Char3,Footnote Text Char4,Footnote Text Char5"/>
    <w:basedOn w:val="Normal"/>
    <w:link w:val="FootnoteTextChar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ußnote Char,Footnote Text Char Char Char,FSR footnote Char,lábléc Char,fn Char,Texto nota pie Car Char,notefranz Char,ARM footnote Text Char,Footnote Text Char1 Char,Footnote Text Char2 Char,Footnote Text Char11 Char"/>
    <w:basedOn w:val="DefaultParagraphFont"/>
    <w:link w:val="FootnoteText"/>
    <w:uiPriority w:val="99"/>
    <w:rPr>
      <w:sz w:val="20"/>
      <w:szCs w:val="20"/>
    </w:rPr>
  </w:style>
  <w:style w:type="character" w:styleId="FootnoteReference">
    <w:name w:val="footnote reference"/>
    <w:aliases w:val="Footnote Reference Superscript,Footnote reference number,Times 10 Point,Exposant 3 Point,Footnote symbol,Footnote Reference Number,Footnote Reference_LVL6,Footnote Reference_LVL61,Footnote Reference_LVL62,Footnote Reference_LVL63,SUPE"/>
    <w:basedOn w:val="DefaultParagraphFont"/>
    <w:uiPriority w:val="99"/>
    <w:unhideWhenUsed/>
    <w:qFormat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ListParagraphChar">
    <w:name w:val="List Paragraph Char"/>
    <w:aliases w:val="Paragraphe EI Char,Paragraphe de liste1 Char,EC Char,Paragraphe de liste2 Char,Colorful List Accent 1 Char,Dot pt Char,F5 List Paragraph Char,List Paragraph1 Char,Issue Action POC Char,3 Char,POCG Table Text Char,Indicator Text Char"/>
    <w:basedOn w:val="DefaultParagraphFont"/>
    <w:link w:val="ListParagraph"/>
    <w:uiPriority w:val="34"/>
    <w:lock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Heading1Char"/>
    <w:link w:val="FooterCoverPage"/>
    <w:rPr>
      <w:rFonts w:ascii="Times New Roman" w:eastAsiaTheme="majorEastAsia" w:hAnsi="Times New Roman" w:cs="Times New Roman"/>
      <w:color w:val="365F91" w:themeColor="accent1" w:themeShade="BF"/>
      <w:sz w:val="24"/>
      <w:szCs w:val="32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Heading1Char"/>
    <w:link w:val="FooterSensitivity"/>
    <w:rPr>
      <w:rFonts w:ascii="Times New Roman" w:eastAsiaTheme="majorEastAsia" w:hAnsi="Times New Roman" w:cs="Times New Roman"/>
      <w:b/>
      <w:color w:val="365F91" w:themeColor="accent1" w:themeShade="BF"/>
      <w:sz w:val="32"/>
      <w:szCs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Heading1Char"/>
    <w:link w:val="HeaderCoverPage"/>
    <w:rPr>
      <w:rFonts w:ascii="Times New Roman" w:eastAsiaTheme="majorEastAsia" w:hAnsi="Times New Roman" w:cs="Times New Roman"/>
      <w:color w:val="365F91" w:themeColor="accent1" w:themeShade="BF"/>
      <w:sz w:val="24"/>
      <w:szCs w:val="32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Heading1Char"/>
    <w:link w:val="HeaderSensitivity"/>
    <w:rPr>
      <w:rFonts w:ascii="Times New Roman" w:eastAsiaTheme="majorEastAsia" w:hAnsi="Times New Roman" w:cs="Times New Roman"/>
      <w:b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e EI,Paragraphe de liste1,EC,Paragraphe de liste2,Colorful List Accent 1,Dot pt,F5 List Paragraph,List Paragraph1,Issue Action POC,3,POCG Table Text,List Paragraph Char Char Char,Indicator Text,Colorful List - Accent 11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noteText">
    <w:name w:val="footnote text"/>
    <w:aliases w:val="Footnote,Fußnote,Footnote Text Char Char,FSR footnote,lábléc,fn,Texto nota pie Car,notefranz,ARM footnote Text,Footnote Text Char1,Footnote Text Char2,Footnote Text Char11,Footnote Text Char3,Footnote Text Char4,Footnote Text Char5"/>
    <w:basedOn w:val="Normal"/>
    <w:link w:val="FootnoteTextChar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ußnote Char,Footnote Text Char Char Char,FSR footnote Char,lábléc Char,fn Char,Texto nota pie Car Char,notefranz Char,ARM footnote Text Char,Footnote Text Char1 Char,Footnote Text Char2 Char,Footnote Text Char11 Char"/>
    <w:basedOn w:val="DefaultParagraphFont"/>
    <w:link w:val="FootnoteText"/>
    <w:uiPriority w:val="99"/>
    <w:rPr>
      <w:sz w:val="20"/>
      <w:szCs w:val="20"/>
    </w:rPr>
  </w:style>
  <w:style w:type="character" w:styleId="FootnoteReference">
    <w:name w:val="footnote reference"/>
    <w:aliases w:val="Footnote Reference Superscript,Footnote reference number,Times 10 Point,Exposant 3 Point,Footnote symbol,Footnote Reference Number,Footnote Reference_LVL6,Footnote Reference_LVL61,Footnote Reference_LVL62,Footnote Reference_LVL63,SUPE"/>
    <w:basedOn w:val="DefaultParagraphFont"/>
    <w:uiPriority w:val="99"/>
    <w:unhideWhenUsed/>
    <w:qFormat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ListParagraphChar">
    <w:name w:val="List Paragraph Char"/>
    <w:aliases w:val="Paragraphe EI Char,Paragraphe de liste1 Char,EC Char,Paragraphe de liste2 Char,Colorful List Accent 1 Char,Dot pt Char,F5 List Paragraph Char,List Paragraph1 Char,Issue Action POC Char,3 Char,POCG Table Text Char,Indicator Text Char"/>
    <w:basedOn w:val="DefaultParagraphFont"/>
    <w:link w:val="ListParagraph"/>
    <w:uiPriority w:val="34"/>
    <w:lock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Heading1Char"/>
    <w:link w:val="FooterCoverPage"/>
    <w:rPr>
      <w:rFonts w:ascii="Times New Roman" w:eastAsiaTheme="majorEastAsia" w:hAnsi="Times New Roman" w:cs="Times New Roman"/>
      <w:color w:val="365F91" w:themeColor="accent1" w:themeShade="BF"/>
      <w:sz w:val="24"/>
      <w:szCs w:val="32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Heading1Char"/>
    <w:link w:val="FooterSensitivity"/>
    <w:rPr>
      <w:rFonts w:ascii="Times New Roman" w:eastAsiaTheme="majorEastAsia" w:hAnsi="Times New Roman" w:cs="Times New Roman"/>
      <w:b/>
      <w:color w:val="365F91" w:themeColor="accent1" w:themeShade="BF"/>
      <w:sz w:val="32"/>
      <w:szCs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Heading1Char"/>
    <w:link w:val="HeaderCoverPage"/>
    <w:rPr>
      <w:rFonts w:ascii="Times New Roman" w:eastAsiaTheme="majorEastAsia" w:hAnsi="Times New Roman" w:cs="Times New Roman"/>
      <w:color w:val="365F91" w:themeColor="accent1" w:themeShade="BF"/>
      <w:sz w:val="24"/>
      <w:szCs w:val="32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Heading1Char"/>
    <w:link w:val="HeaderSensitivity"/>
    <w:rPr>
      <w:rFonts w:ascii="Times New Roman" w:eastAsiaTheme="majorEastAsia" w:hAnsi="Times New Roman" w:cs="Times New Roman"/>
      <w:b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rl.europa.eu/RegData/etudes/IDAN/2018/624423/IPOL_IDA(2018)624423_EN.pdf" TargetMode="External"/><Relationship Id="rId13" Type="http://schemas.openxmlformats.org/officeDocument/2006/relationships/hyperlink" Target="https://ted.europa.eu/TED/notice/udl?uri=TED:NOTICE:389651-2018:TEXT:EN:HTML&amp;ticket=ST-35512292-rGDZ9PTvzUdNJZvojeKKI1EdXBHdQdHshD8PU99JSVKIfmyXIsA4zPHRCzeoTNQsdCLBE7Iu53KzhFMVrszsG9zW-jpJZscgsw0KeumEE0mYyCS-1dilRzzzQczGl03GpkcVaEJS1fqVDK0xcTDelqmAExgb" TargetMode="External"/><Relationship Id="rId3" Type="http://schemas.openxmlformats.org/officeDocument/2006/relationships/hyperlink" Target="https://srb.europa.eu/sites/srbsite/files/public_mrel_policy_2018_-_second_wave_of_plans.pdf" TargetMode="External"/><Relationship Id="rId7" Type="http://schemas.openxmlformats.org/officeDocument/2006/relationships/hyperlink" Target="https://www.consilium.europa.eu/fr/press/press-releases/2018/12/04/eurogroup-report-to-leaders-on-emu-deepening/" TargetMode="External"/><Relationship Id="rId12" Type="http://schemas.openxmlformats.org/officeDocument/2006/relationships/hyperlink" Target="https://eur-lex.europa.eu/legal-content/MT/TXT/?uri=CELEX:32016R1075" TargetMode="External"/><Relationship Id="rId2" Type="http://schemas.openxmlformats.org/officeDocument/2006/relationships/hyperlink" Target="https://srb.europa.eu/sites/srbsite/files/srb_2018_mrel_policy_-_first_wave_of_resolution_plans.pdf" TargetMode="External"/><Relationship Id="rId16" Type="http://schemas.openxmlformats.org/officeDocument/2006/relationships/hyperlink" Target="http://www.eba.europa.eu/documents/10180/1360107/Report+on+the+appropriate+target+level+basis+for+resolution+financing+arrangements+(EBA-OP-2016-18).pdf" TargetMode="External"/><Relationship Id="rId1" Type="http://schemas.openxmlformats.org/officeDocument/2006/relationships/hyperlink" Target="https://eba.europa.eu/documents/10180/2087449/EBA+Report+on+the+functioning+of+resolution+colleges+-+July+2018.pdf" TargetMode="External"/><Relationship Id="rId6" Type="http://schemas.openxmlformats.org/officeDocument/2006/relationships/hyperlink" Target="http://data.consilium.europa.eu/doc/document/ST-18137-2013-INIT/en/pdf" TargetMode="External"/><Relationship Id="rId11" Type="http://schemas.openxmlformats.org/officeDocument/2006/relationships/hyperlink" Target="https://eba.europa.eu/documents/10180/1695288/EBA+Final+MREL+Report+(EBA-Op-2016-21).pdf" TargetMode="External"/><Relationship Id="rId5" Type="http://schemas.openxmlformats.org/officeDocument/2006/relationships/hyperlink" Target="http://data.consilium.europa.eu/doc/document/ST-8457-2014-INIT/mt/pdf" TargetMode="External"/><Relationship Id="rId15" Type="http://schemas.openxmlformats.org/officeDocument/2006/relationships/hyperlink" Target="https://srb.europa.eu/en/content/ex-ante-contributions-0" TargetMode="External"/><Relationship Id="rId10" Type="http://schemas.openxmlformats.org/officeDocument/2006/relationships/hyperlink" Target="https://www.eba.europa.eu/documents/10180/1720738/EBA+Report+on+the+Application+of+Simplified+Obligations+and+Waivers+in+Recovery+and+Resolution+Planning.pdf" TargetMode="External"/><Relationship Id="rId4" Type="http://schemas.openxmlformats.org/officeDocument/2006/relationships/hyperlink" Target="https://www.bankingsupervision.europa.eu/press/pr/date/2019/html/ssm.pr190102.en.html" TargetMode="External"/><Relationship Id="rId9" Type="http://schemas.openxmlformats.org/officeDocument/2006/relationships/hyperlink" Target="http://www.europarl.europa.eu/RegData/etudes/IDAN/2018/624422/IPOL_IDA(2018)624422_EN.pdf" TargetMode="External"/><Relationship Id="rId14" Type="http://schemas.openxmlformats.org/officeDocument/2006/relationships/hyperlink" Target="https://eur-lex.europa.eu/legal-content/MT/TXT/?uri=CELEX:52017DC06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1B1FBF4-341D-4EB1-AF3C-6C5DFAC6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4127</Words>
  <Characters>30211</Characters>
  <Application>Microsoft Office Word</Application>
  <DocSecurity>0</DocSecurity>
  <Lines>444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16</cp:revision>
  <cp:lastPrinted>2019-04-15T08:47:00Z</cp:lastPrinted>
  <dcterms:created xsi:type="dcterms:W3CDTF">2019-04-30T08:33:00Z</dcterms:created>
  <dcterms:modified xsi:type="dcterms:W3CDTF">2019-05-22T07:22:00Z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Created using">
    <vt:lpwstr>LW 6.0.1, Build 20180503</vt:lpwstr>
  </property>
  <property fmtid="{D5CDD505-2E9C-101B-9397-08002B2CF9AE}" pid="7" name="Last edited using">
    <vt:lpwstr>LW 6.0.1, Build 20180503</vt:lpwstr>
  </property>
</Properties>
</file>