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26D8F78-784F-4F4E-870D-33A6C122B1CD"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Inleiding</w:t>
      </w:r>
    </w:p>
    <w:p>
      <w:pPr>
        <w:pStyle w:val="Text1"/>
        <w:rPr>
          <w:noProof/>
        </w:rPr>
      </w:pPr>
      <w:r>
        <w:rPr>
          <w:noProof/>
        </w:rPr>
        <w:t>De verordening tot bepaling van het meerjarig financieel kader (de MFK-verordening) voor de jaren 2014-2020, zoals laatst gewijzigd bij Verordening (EU, Euratom) 2017/1123 van de Raad van 20 juni 2017</w:t>
      </w:r>
      <w:r>
        <w:rPr>
          <w:rStyle w:val="FootnoteReference"/>
          <w:noProof/>
        </w:rPr>
        <w:footnoteReference w:id="2"/>
      </w:r>
      <w:r>
        <w:rPr>
          <w:noProof/>
        </w:rPr>
        <w:t xml:space="preserve"> en aangepast overeenkomstig de technische aanpassing voor 2019</w:t>
      </w:r>
      <w:r>
        <w:rPr>
          <w:rStyle w:val="FootnoteReference"/>
          <w:noProof/>
        </w:rPr>
        <w:footnoteReference w:id="3"/>
      </w:r>
      <w:r>
        <w:rPr>
          <w:noProof/>
        </w:rPr>
        <w:t>, bevat de tabel van het financieel kader voor 2014-2020, uitgedrukt in prijzen van 2011 (tabel 1).</w:t>
      </w:r>
    </w:p>
    <w:p>
      <w:pPr>
        <w:pStyle w:val="Text1"/>
        <w:rPr>
          <w:noProof/>
        </w:rPr>
      </w:pPr>
      <w:r>
        <w:rPr>
          <w:noProof/>
        </w:rPr>
        <w:t>In artikel 6, lid 1, van de MFK-verordening is bepaald dat de Commissie ieder jaar vóór de begrotingsprocedure van het begrotingsjaar n+1 overgaat tot de technische aanpassing van het meerjarig financieel kader (MFK) op grond van de ontwikkeling van het bruto nationaal inkomen (bni) van de EU en van de prijzen, en dat de resultaten van deze aanpassing worden meegedeeld aan de Raad en het Europees Parlement. Wat de prijzen betreft, zijn de uitgavenmaxima tegen lopende prijzen vastgesteld op grond van de in artikel 6, lid 2, van de MFK-verordening vermelde vaste jaarlijkse deflator van 2 %. Wat de ontwikkeling van het bni betreft, zijn de meest recente economische prognoses</w:t>
      </w:r>
      <w:r>
        <w:rPr>
          <w:rStyle w:val="FootnoteReference"/>
          <w:noProof/>
        </w:rPr>
        <w:footnoteReference w:id="4"/>
      </w:r>
      <w:r>
        <w:rPr>
          <w:noProof/>
        </w:rPr>
        <w:t xml:space="preserve"> in deze mededeling opgenomen.</w:t>
      </w:r>
    </w:p>
    <w:p>
      <w:pPr>
        <w:pStyle w:val="Text1"/>
        <w:rPr>
          <w:noProof/>
        </w:rPr>
      </w:pPr>
      <w:r>
        <w:rPr>
          <w:noProof/>
        </w:rPr>
        <w:t>Tegelijkertijd worden de volgende berekeningen door de Commissie verricht: de marge die onder het overeenkomstig Besluit 2014/335/EU, Euratom (eigenmiddelenbesluit - EMB 2014)</w:t>
      </w:r>
      <w:r>
        <w:rPr>
          <w:rStyle w:val="FootnoteReference"/>
          <w:noProof/>
        </w:rPr>
        <w:footnoteReference w:id="5"/>
      </w:r>
      <w:r>
        <w:rPr>
          <w:noProof/>
        </w:rPr>
        <w:t xml:space="preserve"> vastgestelde maximum van de eigen middelen beschikbaar blijft, het absolute bedrag van de in artikel 13 van de MFK-verordening bedoelde marge voor onvoorziene uitgaven, de in artikel 5 bedoelde overkoepelende marge voor betalingen, de in artikel 14 bedoelde overkoepelende marge voor vastleggingen en de overeenkomstig artikel 11, lid 1, tweede alinea, voor het flexibiliteitsinstrument beschikbaar te stellen bedragen. Voorts moet het submaximum van rubriek 2 met betrekking tot marktgerelateerde uitgaven en rechtstreekse betalingen worden aangepast ingevolge overschrijvingen tussen pijler I en plattelandsontwikkeling.</w:t>
      </w:r>
    </w:p>
    <w:p>
      <w:pPr>
        <w:pStyle w:val="Text1"/>
        <w:rPr>
          <w:noProof/>
        </w:rPr>
      </w:pPr>
      <w:bookmarkStart w:id="2" w:name="_Toc360453126"/>
      <w:r>
        <w:rPr>
          <w:noProof/>
        </w:rPr>
        <w:t>Aangezien het EMB 2014 in werking is getreden, werden de maxima van de eigen middelen en het maximum van de kredieten voor vastleggingen aangepast aan de nieuwe bni-gegevens volgens het Europees rekeningenstelsel (ESR 2010). Het maximumbedrag van de eigen middelen is nu vastgesteld op 1,20 % van het bni (eerder vastgesteld op 1,23 %) en het maximumbedrag van vastleggingen op 1,26 % van het bni (eerder vastgesteld op 1,29 %)</w:t>
      </w:r>
      <w:r>
        <w:rPr>
          <w:rStyle w:val="FootnoteReference"/>
          <w:noProof/>
        </w:rPr>
        <w:footnoteReference w:id="6"/>
      </w:r>
      <w:r>
        <w:rPr>
          <w:noProof/>
        </w:rPr>
        <w:t>.</w:t>
      </w:r>
    </w:p>
    <w:p>
      <w:pPr>
        <w:pStyle w:val="Text1"/>
        <w:rPr>
          <w:noProof/>
        </w:rPr>
      </w:pPr>
      <w:r>
        <w:rPr>
          <w:noProof/>
        </w:rPr>
        <w:t>Het Verenigd Koninkrijk heeft overeenkomstig artikel 50 van het Verdrag betreffende de Europese Unie (VWEU) op 29 maart 2017 kennisgegeven van zijn voornemen om de Europese Unie te verlaten. Op 21 maart 2019 heeft de Europese Raad in overeenstemming met het Verenigd Koninkrijk onder voorwaarden een termijnverlenging goedgekeurd</w:t>
      </w:r>
      <w:r>
        <w:rPr>
          <w:rStyle w:val="FootnoteReference"/>
          <w:noProof/>
        </w:rPr>
        <w:footnoteReference w:id="7"/>
      </w:r>
      <w:r>
        <w:rPr>
          <w:noProof/>
        </w:rPr>
        <w:t xml:space="preserve"> en op 11 april 2019 een verdere verlenging onder voorwaarden tot 31 oktober 2019</w:t>
      </w:r>
      <w:r>
        <w:rPr>
          <w:rStyle w:val="FootnoteReference"/>
          <w:noProof/>
        </w:rPr>
        <w:footnoteReference w:id="8"/>
      </w:r>
      <w:r>
        <w:rPr>
          <w:noProof/>
        </w:rPr>
        <w:t>. Intussen blijft het Verenigd Koninkrijk een lidstaat van de Unie. Overeenkomstig het op 25 november 2018 tussen de Europese Unie en het Verenigd Koninkrijk overeengekomen, maar nog niet geratificeerde ontwerpakkoord inzake de terugtrekking van het Verenigd Koninkrijk van Groot-Brittannië en Noord-Ierland uit de Europese Unie en de Europese Gemeenschap voor Atoomenergie</w:t>
      </w:r>
      <w:r>
        <w:rPr>
          <w:rStyle w:val="FootnoteReference"/>
          <w:noProof/>
        </w:rPr>
        <w:footnoteReference w:id="9"/>
      </w:r>
      <w:r>
        <w:rPr>
          <w:noProof/>
        </w:rPr>
        <w:t>, zouden de Verdragen niet meer van toepassing zijn op het Verenigd Koninkrijk op 1 januari 2021.</w:t>
      </w:r>
    </w:p>
    <w:p>
      <w:pPr>
        <w:pStyle w:val="Text1"/>
        <w:rPr>
          <w:noProof/>
        </w:rPr>
      </w:pPr>
      <w:r>
        <w:rPr>
          <w:noProof/>
        </w:rPr>
        <w:t>Het doel van deze mededeling is het resultaat van de overeenkomstig artikel 6 van de MFK-verordening gedane technische aanpassingen voor het begrotingsjaar 2020 aan de Raad en het Europees Parlement voor te leggen.</w:t>
      </w:r>
    </w:p>
    <w:p>
      <w:pPr>
        <w:pStyle w:val="Text1"/>
        <w:ind w:left="0"/>
        <w:rPr>
          <w:noProof/>
        </w:rPr>
      </w:pPr>
    </w:p>
    <w:p>
      <w:pPr>
        <w:pStyle w:val="ManualHeading1"/>
        <w:rPr>
          <w:noProof/>
        </w:rPr>
      </w:pPr>
      <w:r>
        <w:rPr>
          <w:noProof/>
        </w:rPr>
        <w:t>2.</w:t>
      </w:r>
      <w:r>
        <w:rPr>
          <w:noProof/>
        </w:rPr>
        <w:tab/>
        <w:t>Aanpassing van de MFK-tabel (Bijlage - tabellen 1-2)</w:t>
      </w:r>
      <w:bookmarkEnd w:id="2"/>
    </w:p>
    <w:p>
      <w:pPr>
        <w:pStyle w:val="Text1"/>
        <w:rPr>
          <w:noProof/>
        </w:rPr>
      </w:pPr>
      <w:r>
        <w:rPr>
          <w:noProof/>
          <w:u w:val="single"/>
        </w:rPr>
        <w:t>Tabel 1</w:t>
      </w:r>
      <w:r>
        <w:rPr>
          <w:noProof/>
        </w:rPr>
        <w:t xml:space="preserve"> toont het financieel kader voor de EU28 in prijzen van 2011, zoals opgenomen in bijlage I bij de MFK-verordening, aangepast overeenkomstig artikel 3, lid 1, en artikel 5. </w:t>
      </w:r>
    </w:p>
    <w:p>
      <w:pPr>
        <w:pStyle w:val="Text1"/>
        <w:rPr>
          <w:noProof/>
        </w:rPr>
      </w:pPr>
      <w:r>
        <w:rPr>
          <w:noProof/>
          <w:u w:val="single"/>
        </w:rPr>
        <w:t>Tabel 2</w:t>
      </w:r>
      <w:r>
        <w:rPr>
          <w:noProof/>
        </w:rPr>
        <w:t xml:space="preserve"> toont het voor 2020 aangepast financieel kader voor de EU28 (dus uitgedrukt in lopende prijzen). </w:t>
      </w:r>
    </w:p>
    <w:p>
      <w:pPr>
        <w:pStyle w:val="Text1"/>
        <w:rPr>
          <w:noProof/>
        </w:rPr>
      </w:pPr>
      <w:r>
        <w:rPr>
          <w:noProof/>
        </w:rPr>
        <w:t>Het in procent van het bni weergegeven financieel kader is geactualiseerd aan de hand van de meest recente economische prognoses (voorjaar 2019) en is aangepast overeenkomstig artikel 3, lid 1, en artikel 5 van de MFK-verordening.</w:t>
      </w:r>
    </w:p>
    <w:p>
      <w:pPr>
        <w:pStyle w:val="ManualHeading2"/>
        <w:rPr>
          <w:noProof/>
        </w:rPr>
      </w:pPr>
      <w:bookmarkStart w:id="3" w:name="_Toc360453127"/>
      <w:r>
        <w:rPr>
          <w:noProof/>
        </w:rPr>
        <w:t>2.1.</w:t>
      </w:r>
      <w:r>
        <w:rPr>
          <w:noProof/>
        </w:rPr>
        <w:tab/>
        <w:t>Totaalbedrag bni</w:t>
      </w:r>
      <w:bookmarkEnd w:id="3"/>
    </w:p>
    <w:p>
      <w:pPr>
        <w:pStyle w:val="Text1"/>
        <w:rPr>
          <w:noProof/>
        </w:rPr>
      </w:pPr>
      <w:r>
        <w:rPr>
          <w:noProof/>
        </w:rPr>
        <w:t>Het bni voor 2020 is aan de hand van de meest recente prognoses vastgesteld op 16 989 408 miljoen EUR in lopende prijzen voor de EU28. Overeenkomstig artikel 6, lid 4, van de MFK-verordening worden er geen andere technische aanpassingen verricht ten aanzien van het betrokken jaar, noch in de loop van het begrotingsjaar, noch bij wijze van correctie achteraf in latere jaren. Daarom, uitsluitend ter informatie, is het geactualiseerde bni volgens het ESR 2010 vastgesteld op 14 063 162 miljoen EUR voor 2014, op 14 754 468 miljoen EUR voor 2015, op 14 902 144 miljoen EUR voor 2016, op 15 386 916 miljoen EUR voor 2017, op 15 886 713 miljoen EUR voor 2018 en op 16 427 139 miljoen EUR voor 2019. Om dezelfde reden wordt het maximum van de eigen middelen, dat momenteel is vastgesteld op 1,20 % van het bni (ESR 2010), pas vanaf 2018 aangepast in de MFK-tabel in de bijlage. Voor 2017 en voorgaande jaren bedraagt het maximum van de eigen middelen 1,23 % van het bni volgens het ESR 95.</w:t>
      </w:r>
    </w:p>
    <w:p>
      <w:pPr>
        <w:pStyle w:val="ManualHeading2"/>
        <w:rPr>
          <w:noProof/>
        </w:rPr>
      </w:pPr>
      <w:bookmarkStart w:id="4" w:name="_Toc360453128"/>
      <w:r>
        <w:rPr>
          <w:noProof/>
        </w:rPr>
        <w:t>2.2.</w:t>
      </w:r>
      <w:r>
        <w:rPr>
          <w:noProof/>
        </w:rPr>
        <w:tab/>
        <w:t xml:space="preserve">Belangrijkste resultaten van de technische aanpassing van het MFK voor </w:t>
      </w:r>
      <w:bookmarkEnd w:id="4"/>
      <w:r>
        <w:rPr>
          <w:noProof/>
        </w:rPr>
        <w:t>2020</w:t>
      </w:r>
    </w:p>
    <w:p>
      <w:pPr>
        <w:pStyle w:val="Text1"/>
        <w:rPr>
          <w:noProof/>
        </w:rPr>
      </w:pPr>
      <w:r>
        <w:rPr>
          <w:noProof/>
        </w:rPr>
        <w:t>Het totale maximum voor de vastleggingskredieten voor 2020 (168 797 miljoen EUR) komt overeen met 0,99 % van het bni.</w:t>
      </w:r>
    </w:p>
    <w:p>
      <w:pPr>
        <w:pStyle w:val="Text1"/>
        <w:rPr>
          <w:noProof/>
        </w:rPr>
      </w:pPr>
      <w:r>
        <w:rPr>
          <w:noProof/>
        </w:rPr>
        <w:t xml:space="preserve">Het corresponderende totale maximum voor de betalingskredieten (172 420 miljoen EUR) komt overeen met 1,01 % van het bni. </w:t>
      </w:r>
    </w:p>
    <w:p>
      <w:pPr>
        <w:pStyle w:val="Text1"/>
        <w:rPr>
          <w:noProof/>
        </w:rPr>
      </w:pPr>
      <w:r>
        <w:rPr>
          <w:noProof/>
        </w:rPr>
        <w:t>Op basis van de meest recente economische prognoses laat dit een marge van 31 453 miljoen EUR onder het maximum (1,20 %) van de eigen middelen (0,19 % van het bni voor de EU28).</w:t>
      </w:r>
    </w:p>
    <w:p>
      <w:pPr>
        <w:pStyle w:val="ManualHeading2"/>
        <w:rPr>
          <w:noProof/>
        </w:rPr>
      </w:pPr>
      <w:r>
        <w:rPr>
          <w:noProof/>
        </w:rPr>
        <w:t>2.3.</w:t>
      </w:r>
      <w:r>
        <w:rPr>
          <w:noProof/>
        </w:rPr>
        <w:tab/>
        <w:t>Aanpassing van het submaximum van rubriek 2</w:t>
      </w:r>
    </w:p>
    <w:p>
      <w:pPr>
        <w:pStyle w:val="Text1"/>
        <w:rPr>
          <w:noProof/>
        </w:rPr>
      </w:pPr>
      <w:r>
        <w:rPr>
          <w:noProof/>
        </w:rPr>
        <w:t>Op grond van artikel 3, lid 1, van de MFK-verordening moet het submaximum van rubriek 2 voor marktgerelateerde uitgaven en rechtstreekse betalingen (pijler I) in de periode 2014-2020 worden aangepast ingevolge de overschrijvingen tussen pijler I en pijler II overeenkomstig de rechtshandeling tot vaststelling van deze overschrijvingen. Het totale bedrag van het maximum voor rubriek 2 blijft ongewijzigd.</w:t>
      </w:r>
    </w:p>
    <w:p>
      <w:pPr>
        <w:pStyle w:val="Text1"/>
        <w:rPr>
          <w:noProof/>
        </w:rPr>
      </w:pPr>
      <w:r>
        <w:rPr>
          <w:noProof/>
        </w:rPr>
        <w:t>Eerste aanpassing: het submaximum van rubriek 2 werd een eerste keer aangepast in het kader van de technische aanpassing van het MFK voor 2015</w:t>
      </w:r>
      <w:r>
        <w:rPr>
          <w:rStyle w:val="FootnoteReference"/>
          <w:noProof/>
        </w:rPr>
        <w:footnoteReference w:id="10"/>
      </w:r>
      <w:r>
        <w:rPr>
          <w:noProof/>
        </w:rPr>
        <w:t>. Deze in de eerste tabel hierna gespecificeerde aanpassing is weerspiegeld in Uitvoeringsverordening (EU) nr. 367/2014 van de Commissie van 10 april 2014</w:t>
      </w:r>
      <w:r>
        <w:rPr>
          <w:rStyle w:val="FootnoteReference"/>
          <w:noProof/>
        </w:rPr>
        <w:footnoteReference w:id="11"/>
      </w:r>
      <w:r>
        <w:rPr>
          <w:noProof/>
        </w:rPr>
        <w:t xml:space="preserve">. </w:t>
      </w:r>
    </w:p>
    <w:p>
      <w:pPr>
        <w:pStyle w:val="Text1"/>
        <w:rPr>
          <w:noProof/>
        </w:rPr>
      </w:pPr>
      <w:r>
        <w:rPr>
          <w:noProof/>
        </w:rPr>
        <w:t>Tweede aanpassing: twee rondes van overschrijvingen tussen de pijlers van het GLB werden vastgesteld in de technische aanpassing van het MFK voor 2016</w:t>
      </w:r>
      <w:r>
        <w:rPr>
          <w:rStyle w:val="FootnoteReference"/>
          <w:noProof/>
        </w:rPr>
        <w:footnoteReference w:id="12"/>
      </w:r>
      <w:r>
        <w:rPr>
          <w:noProof/>
        </w:rPr>
        <w:t xml:space="preserve"> (zie tweede tabel hierna). Deze overschrijvingen omvatten de flexibiliteit tussen de pijlers overeenkomstig artikel 136 bis van Verordening (EG) nr. 73/2009 van de Raad</w:t>
      </w:r>
      <w:r>
        <w:rPr>
          <w:rStyle w:val="FootnoteReference"/>
          <w:noProof/>
        </w:rPr>
        <w:footnoteReference w:id="13"/>
      </w:r>
      <w:r>
        <w:rPr>
          <w:noProof/>
        </w:rPr>
        <w:t xml:space="preserve"> en artikel 14 van Verordening (EU) nr. 1307/2013</w:t>
      </w:r>
      <w:r>
        <w:rPr>
          <w:rStyle w:val="FootnoteReference"/>
          <w:noProof/>
        </w:rPr>
        <w:footnoteReference w:id="14"/>
      </w:r>
      <w:r>
        <w:rPr>
          <w:noProof/>
        </w:rPr>
        <w:t>, alsook de geraamde opbrengst van de verlagingen van de rechtstreekse betalingen overeenkomstig artikel 7, lid 2, van deze laatste verordening. De eerste ronde overschrijvingen is vastgesteld bij Gedelegeerde Verordening (EU) nr. 994/2014 van de Commissie</w:t>
      </w:r>
      <w:r>
        <w:rPr>
          <w:rStyle w:val="FootnoteReference"/>
          <w:noProof/>
        </w:rPr>
        <w:footnoteReference w:id="15"/>
      </w:r>
      <w:r>
        <w:rPr>
          <w:noProof/>
        </w:rPr>
        <w:t xml:space="preserve"> van 13 mei 2014 en weerspiegeld in Uitvoeringsverordening (EU) nr. 1089/2014 van de Commissie</w:t>
      </w:r>
      <w:r>
        <w:rPr>
          <w:rStyle w:val="FootnoteReference"/>
          <w:noProof/>
        </w:rPr>
        <w:footnoteReference w:id="16"/>
      </w:r>
      <w:r>
        <w:rPr>
          <w:noProof/>
        </w:rPr>
        <w:t xml:space="preserve"> van 16 oktober 2014. De tweede ronde van overschrijvingen is vastgesteld bij Gedelegeerde Verordening (EU) nr. 1378/2014 van de Commissie</w:t>
      </w:r>
      <w:r>
        <w:rPr>
          <w:rStyle w:val="FootnoteReference"/>
          <w:noProof/>
        </w:rPr>
        <w:footnoteReference w:id="17"/>
      </w:r>
      <w:r>
        <w:rPr>
          <w:noProof/>
        </w:rPr>
        <w:t xml:space="preserve"> van 17 oktober 2014 en weerspiegeld in Uitvoeringsverordening (EU) nr. 2015/141 van de Commissie</w:t>
      </w:r>
      <w:r>
        <w:rPr>
          <w:rStyle w:val="FootnoteReference"/>
          <w:noProof/>
        </w:rPr>
        <w:footnoteReference w:id="18"/>
      </w:r>
      <w:r>
        <w:rPr>
          <w:noProof/>
        </w:rPr>
        <w:t xml:space="preserve"> van 29 januari 2015.</w:t>
      </w:r>
    </w:p>
    <w:p>
      <w:pPr>
        <w:pStyle w:val="Text1"/>
        <w:rPr>
          <w:noProof/>
        </w:rPr>
      </w:pPr>
      <w:r>
        <w:rPr>
          <w:noProof/>
        </w:rPr>
        <w:t>Er is een onvoorziene kleine aanpassing verricht toen de wetgeving tot uitvoering van de voorschriften van de Unie inzake rechtstreekse betalingen in Wales in 2015 door de nationale rechterlijke instanties nietig werd verklaard. Deze wijziging is vastgesteld in Gedelegeerde Verordening (EU) 2016/142 van de Commissie</w:t>
      </w:r>
      <w:r>
        <w:rPr>
          <w:rStyle w:val="FootnoteReference"/>
          <w:noProof/>
        </w:rPr>
        <w:footnoteReference w:id="19"/>
      </w:r>
      <w:r>
        <w:rPr>
          <w:noProof/>
        </w:rPr>
        <w:t xml:space="preserve"> van 2 december 2015 en weerspiegeld in Uitvoeringsverordening 2016/257 van de Commissie</w:t>
      </w:r>
      <w:r>
        <w:rPr>
          <w:rStyle w:val="FootnoteReference"/>
          <w:noProof/>
        </w:rPr>
        <w:footnoteReference w:id="20"/>
      </w:r>
      <w:r>
        <w:rPr>
          <w:noProof/>
        </w:rPr>
        <w:t xml:space="preserve"> van 24 februari 2016.</w:t>
      </w:r>
    </w:p>
    <w:p>
      <w:pPr>
        <w:pStyle w:val="Text1"/>
        <w:rPr>
          <w:noProof/>
        </w:rPr>
      </w:pPr>
      <w:r>
        <w:rPr>
          <w:noProof/>
        </w:rPr>
        <w:t>Een overzicht van de overschrijvingen tussen pijlers voor de begrotingsjaren 2019 en 2020 werd op 1 augustus 2017 ter kennis van de Commissie gebracht; de overschrijvingen zijn vastgesteld in Gedelegeerde Verordening (EU) 2018/162 van de Commissie</w:t>
      </w:r>
      <w:r>
        <w:rPr>
          <w:rStyle w:val="FootnoteReference"/>
          <w:noProof/>
        </w:rPr>
        <w:footnoteReference w:id="21"/>
      </w:r>
      <w:r>
        <w:rPr>
          <w:noProof/>
        </w:rPr>
        <w:t xml:space="preserve"> van 23 november 2017 en weerspiegeld in Uitvoeringsverordening (EU) 2018/288 van de Commissie</w:t>
      </w:r>
      <w:r>
        <w:rPr>
          <w:rStyle w:val="FootnoteReference"/>
          <w:noProof/>
        </w:rPr>
        <w:footnoteReference w:id="22"/>
      </w:r>
      <w:r>
        <w:rPr>
          <w:noProof/>
        </w:rPr>
        <w:t xml:space="preserve"> van 19 februari 2018 (zie de vierde tabel hieronder).</w:t>
      </w:r>
    </w:p>
    <w:p>
      <w:pPr>
        <w:pStyle w:val="Text1"/>
        <w:rPr>
          <w:noProof/>
        </w:rPr>
      </w:pPr>
      <w:r>
        <w:rPr>
          <w:noProof/>
        </w:rPr>
        <w:t>De uiterste datum voor aanmeldingen bij de Commissie voor de laatste overschrijvingenronde binnen dit MFK was 1 augustus 2018. Eén lidstaat heeft de Commissie in kennis gesteld van zijn besluit om het bedrag van de rechtstreekse betalingen te korten en van de geraamde opbrengst daarvan. Het resultaat is vastgesteld in Gedelegeerde Verordening (EU) 2019/71 van de Commissie</w:t>
      </w:r>
      <w:r>
        <w:rPr>
          <w:rStyle w:val="FootnoteReference"/>
          <w:noProof/>
        </w:rPr>
        <w:footnoteReference w:id="23"/>
      </w:r>
      <w:r>
        <w:rPr>
          <w:noProof/>
        </w:rPr>
        <w:t xml:space="preserve"> van 9 november 2018 en weerspiegeld in Uitvoeringsverordening 2019/445 van de Commissie</w:t>
      </w:r>
      <w:r>
        <w:rPr>
          <w:rStyle w:val="FootnoteReference"/>
          <w:noProof/>
        </w:rPr>
        <w:footnoteReference w:id="24"/>
      </w:r>
      <w:r>
        <w:rPr>
          <w:noProof/>
        </w:rPr>
        <w:t xml:space="preserve"> van 19 maart 2019 (zie de vijfde tabel hieronder).</w:t>
      </w:r>
    </w:p>
    <w:p>
      <w:pPr>
        <w:pStyle w:val="Text1"/>
        <w:ind w:left="0"/>
        <w:rPr>
          <w:noProof/>
        </w:rPr>
      </w:pPr>
      <w:r>
        <w:rPr>
          <w:noProof/>
          <w:lang w:val="en-GB" w:eastAsia="en-GB" w:bidi="ar-SA"/>
        </w:rPr>
        <w:drawing>
          <wp:anchor distT="0" distB="0" distL="114300" distR="114300" simplePos="0" relativeHeight="251659264" behindDoc="0" locked="0" layoutInCell="1" allowOverlap="1">
            <wp:simplePos x="0" y="0"/>
            <wp:positionH relativeFrom="column">
              <wp:posOffset>-299720</wp:posOffset>
            </wp:positionH>
            <wp:positionV relativeFrom="paragraph">
              <wp:posOffset>-24765</wp:posOffset>
            </wp:positionV>
            <wp:extent cx="6323965" cy="6353175"/>
            <wp:effectExtent l="0" t="0" r="63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3965" cy="6353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Text1"/>
        <w:rPr>
          <w:noProof/>
        </w:rPr>
      </w:pPr>
      <w:r>
        <w:rPr>
          <w:noProof/>
        </w:rPr>
        <w:t>De wijziging van het submaximum in rubriek 2 in lopende prijzen moet worden omgezet in prijzen van 2011 met het oog op een technische aanpassing van de MFK-tabel in prijzen van 2011. Hiertoe wordt het nettosaldo eerst omgezet in prijzen van 2011 door gebruik te maken van de vaste deflator van 2 %. Vervolgens wordt het resultaat afgerond om het aangepaste submaximum te verkrijgen, aangezien de MFK-maxima alleen in miljoen EUR worden uitgedrukt. Slechts na deze afronding kan worden gegarandeerd dat het MFK-submaximum altijd hoger is dan het nettosaldo dat voor de uitgaven uit het Europees Landbouwgarantiefonds (ELGF) beschikbaar is. Het resulterende kleine verschil vormt geen beschikbare marge, maar is uitsluitend het gevolg van de afronding, aangezien alle bedragen in de MFK-tabel in miljoen EUR moeten worden uitgedrukt. Voor elke jaarbegroting maakt de Commissie gebruik van de exacte bedragen van het nettosaldo dat voor de uitgaven uit het ELGF beschikbaar is. Dezelfde benadering werd gevolgd bij de vorige technische aanpassingen van het MFK.</w:t>
      </w:r>
    </w:p>
    <w:p>
      <w:pPr>
        <w:pStyle w:val="Text1"/>
        <w:rPr>
          <w:noProof/>
        </w:rPr>
      </w:pPr>
      <w:r>
        <w:rPr>
          <w:noProof/>
          <w:lang w:val="en-GB" w:eastAsia="en-GB" w:bidi="ar-SA"/>
        </w:rPr>
        <w:drawing>
          <wp:anchor distT="0" distB="0" distL="114300" distR="114300" simplePos="0" relativeHeight="251660288" behindDoc="0" locked="0" layoutInCell="1" allowOverlap="1">
            <wp:simplePos x="0" y="0"/>
            <wp:positionH relativeFrom="column">
              <wp:posOffset>-356870</wp:posOffset>
            </wp:positionH>
            <wp:positionV relativeFrom="paragraph">
              <wp:posOffset>546735</wp:posOffset>
            </wp:positionV>
            <wp:extent cx="6686550" cy="30099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Onderstaande tabel toont het nettoresultaat van de overschrijvingen tussen de twee pijlers van het GLB en de gevolgen daarvan voor het submaximum van rubriek 2.</w:t>
      </w:r>
    </w:p>
    <w:p>
      <w:pPr>
        <w:pStyle w:val="Text1"/>
        <w:rPr>
          <w:noProof/>
        </w:rPr>
      </w:pPr>
    </w:p>
    <w:p>
      <w:pPr>
        <w:pStyle w:val="ManualHeading1"/>
        <w:rPr>
          <w:noProof/>
        </w:rPr>
      </w:pPr>
      <w:bookmarkStart w:id="5" w:name="_Toc360453129"/>
      <w:r>
        <w:rPr>
          <w:noProof/>
        </w:rPr>
        <w:t>3.</w:t>
      </w:r>
      <w:r>
        <w:rPr>
          <w:noProof/>
        </w:rPr>
        <w:tab/>
        <w:t>Overkoepelende marge voor betalingen</w:t>
      </w:r>
      <w:bookmarkEnd w:id="5"/>
      <w:r>
        <w:rPr>
          <w:noProof/>
        </w:rPr>
        <w:t xml:space="preserve"> (OMB)</w:t>
      </w:r>
    </w:p>
    <w:p>
      <w:pPr>
        <w:pStyle w:val="Text1"/>
        <w:rPr>
          <w:noProof/>
        </w:rPr>
      </w:pPr>
      <w:r>
        <w:rPr>
          <w:noProof/>
        </w:rPr>
        <w:t>Overeenkomstig artikel 5 van de MFK-verordening wordt het maximum voor betalingen voor de jaren 2015-2020 door de Commissie naar boven bijgesteld met een bedrag dat gelijk is aan het verschil tussen de uitgevoerde betalingen en het MFK-maximum voor betalingen van het jaar n-1. Aanpassingen naar boven toe worden volledig verrekend met een overeenkomstige verlaging van het maximum voor de betalingskredieten voor het jaar n-1 in constante prijzen van 2011.</w:t>
      </w:r>
    </w:p>
    <w:p>
      <w:pPr>
        <w:pStyle w:val="Text1"/>
        <w:rPr>
          <w:noProof/>
        </w:rPr>
      </w:pPr>
      <w:r>
        <w:rPr>
          <w:noProof/>
        </w:rPr>
        <w:t>In het kader van de technische aanpassing voor 2016 is de resterende marge van 2014 (104 miljoen EUR in lopende prijzen) overgedragen naar het begrotingsjaar 2015 (106 miljoen EUR in lopende prijzen) en zijn de maxima dienovereenkomstig aangepast. In het kader van de technische aanpassing voor 2017 is de resterende marge van 2015 (1 288 miljoen EUR) overgedragen naar de begrotingsjaren 2018-2020. In het kader van de technische aanpassing voor 2018 is de resterende marge van 2016 (13 991 miljoen EUR) overgedragen naar de begrotingsjaren 2018-2020. In het kader van de technische aanpassing voor 2019 is de resterende marge van 2017 (16 414 miljoen EUR) overgedragen naar de begrotingsjaren 2019-2020. In de technische aanpassing van dit jaar wordt de OMB voor 2018 berekend.</w:t>
      </w:r>
    </w:p>
    <w:p>
      <w:pPr>
        <w:pStyle w:val="Text1"/>
        <w:rPr>
          <w:noProof/>
        </w:rPr>
      </w:pPr>
      <w:r>
        <w:rPr>
          <w:noProof/>
        </w:rPr>
        <w:t xml:space="preserve">De betalingen voor andere speciale instrumenten worden beschouwd als overschrijding van de MFK-maxima. Het maximum voor betalingen bedroeg voor 2018 154 565 miljoen EUR in lopende prijzen. In 2018 is voor 144 369,8 miljoen EUR aan betalingen verricht. Dit bedrag omvat de betalingen uitgevoerd op de in de begroting 2018 toegestane betalingskredieten (142 694,6 miljoen EUR) en overdrachten van 2018 naar 2019 (1 675,1 miljoen EUR). De betalingen voor de speciale instrumenten worden buiten de begrotingsuitvoering gelaten (1 060,8 miljoen EUR, waarvan 1 060,6 miljoen EUR uitgevoerd en 0,2 miljoen EUR overgedragen). De voor de berekening van de OMB in aanmerking genomen uitvoering is dus 143 309,0 miljoen EUR (142 694,6 miljoen EUR + 1 675,1 miljoen EUR – 1 060,8 miljoen EUR). </w:t>
      </w:r>
    </w:p>
    <w:p>
      <w:pPr>
        <w:pStyle w:val="Text1"/>
        <w:rPr>
          <w:noProof/>
        </w:rPr>
      </w:pPr>
      <w:r>
        <w:rPr>
          <w:noProof/>
        </w:rPr>
        <w:t>Alle overdrachten van 2017 naar 2018 zijn meegeteld als zijnde uitgevoerd voor de berekening van de OMB 2017, maar niet alle overdrachten zijn ook daadwerkelijk uitgevoerd. De geannuleerde overdrachten moeten daarom bij de berekening worden opgeteld omdat ze in feite onderbesteding vertegenwoordigen. De geannuleerde overdrachten van 2017 naar 2018 belopen 129,7 miljoen EUR, waarvan 0,07 miljoen EUR voor de speciale instrumenten. Het totale bedrag van de in aanmerking genomen geannuleerde overdrachten bedraagt dus 129,6 miljoen EUR.</w:t>
      </w:r>
    </w:p>
    <w:p>
      <w:pPr>
        <w:pStyle w:val="Text1"/>
        <w:rPr>
          <w:noProof/>
        </w:rPr>
      </w:pPr>
      <w:r>
        <w:rPr>
          <w:noProof/>
        </w:rPr>
        <w:t>De resterende marge onder het maximum van de betalingen voor 2018 bedraagt 11 385,5 miljoen EUR in lopende prijzen (nl. 154 566 miljoen EUR – 143 309,0 miljoen EUR + 129,6 miljoen EUR).</w:t>
      </w:r>
    </w:p>
    <w:p>
      <w:pPr>
        <w:pStyle w:val="Text1"/>
        <w:rPr>
          <w:noProof/>
        </w:rPr>
      </w:pPr>
      <w:r>
        <w:rPr>
          <w:noProof/>
        </w:rPr>
        <w:t>Als gevolg van de OMB-overschrijvingen in voorgaande jaren wordt slechts 183 miljoen EUR (in prijzen van 2011) overgedragen naar 2020, d.w.z. het resterende bedrag onder de drempel van 13 miljard EUR. Het resultaat is dat het algemene maximum voor betalingen voor de periode 2014-2020 in prijzen van 2011 ongewijzigd blijft en met 9 miljoen EUR stijgt in lopende prijzen.</w:t>
      </w:r>
    </w:p>
    <w:p>
      <w:pPr>
        <w:pStyle w:val="Text1"/>
        <w:rPr>
          <w:noProof/>
        </w:rPr>
      </w:pPr>
      <w:r>
        <w:rPr>
          <w:noProof/>
        </w:rPr>
        <w:t>Onderstaande tabel toont de details van de berekening van de OMB voor 2018.</w:t>
      </w:r>
    </w:p>
    <w:p>
      <w:pPr>
        <w:pStyle w:val="Text1"/>
        <w:ind w:left="0"/>
        <w:jc w:val="center"/>
        <w:rPr>
          <w:noProof/>
        </w:rPr>
      </w:pPr>
      <w:r>
        <w:rPr>
          <w:noProof/>
          <w:lang w:val="en-GB" w:eastAsia="en-GB" w:bidi="ar-SA"/>
        </w:rPr>
        <w:drawing>
          <wp:anchor distT="0" distB="0" distL="114300" distR="114300" simplePos="0" relativeHeight="251658240" behindDoc="0" locked="0" layoutInCell="1" allowOverlap="1">
            <wp:simplePos x="0" y="0"/>
            <wp:positionH relativeFrom="column">
              <wp:posOffset>-423545</wp:posOffset>
            </wp:positionH>
            <wp:positionV relativeFrom="paragraph">
              <wp:posOffset>6350</wp:posOffset>
            </wp:positionV>
            <wp:extent cx="6557010" cy="57245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7010" cy="572452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Text1"/>
        <w:keepNext/>
        <w:ind w:left="851"/>
        <w:rPr>
          <w:noProof/>
        </w:rPr>
      </w:pPr>
      <w:r>
        <w:rPr>
          <w:noProof/>
        </w:rPr>
        <w:t>Onderstaande tabel toont de overeenkomstige aanpassingen van de maxima voor betalingen:</w:t>
      </w:r>
    </w:p>
    <w:p>
      <w:pPr>
        <w:pStyle w:val="Text1"/>
        <w:ind w:left="0"/>
        <w:jc w:val="center"/>
        <w:rPr>
          <w:noProof/>
        </w:rPr>
      </w:pPr>
      <w:bookmarkStart w:id="6" w:name="_Toc360453132"/>
      <w:r>
        <w:rPr>
          <w:noProof/>
          <w:lang w:val="en-GB" w:eastAsia="en-GB" w:bidi="ar-SA"/>
        </w:rPr>
        <w:drawing>
          <wp:inline distT="0" distB="0" distL="0" distR="0">
            <wp:extent cx="6147759" cy="47625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7759" cy="4762500"/>
                    </a:xfrm>
                    <a:prstGeom prst="rect">
                      <a:avLst/>
                    </a:prstGeom>
                    <a:noFill/>
                    <a:ln>
                      <a:noFill/>
                    </a:ln>
                  </pic:spPr>
                </pic:pic>
              </a:graphicData>
            </a:graphic>
          </wp:inline>
        </w:drawing>
      </w:r>
    </w:p>
    <w:p>
      <w:pPr>
        <w:pStyle w:val="Text1"/>
        <w:ind w:left="0"/>
        <w:jc w:val="center"/>
        <w:rPr>
          <w:noProof/>
        </w:rPr>
      </w:pPr>
    </w:p>
    <w:p>
      <w:pPr>
        <w:pStyle w:val="ManualHeading1"/>
        <w:rPr>
          <w:noProof/>
        </w:rPr>
      </w:pPr>
      <w:r>
        <w:rPr>
          <w:noProof/>
        </w:rPr>
        <w:t>4.</w:t>
      </w:r>
      <w:r>
        <w:rPr>
          <w:noProof/>
        </w:rPr>
        <w:tab/>
        <w:t>Speciale instrumenten</w:t>
      </w:r>
      <w:bookmarkEnd w:id="6"/>
    </w:p>
    <w:p>
      <w:pPr>
        <w:pStyle w:val="Text1"/>
        <w:rPr>
          <w:noProof/>
        </w:rPr>
      </w:pPr>
      <w:r>
        <w:rPr>
          <w:noProof/>
        </w:rPr>
        <w:t>Er zijn instrumenten die buiten de in het financieel kader 2014-2020 overeengekomen uitgavenmaxima vallen. Deze instrumenten dienen om snel te kunnen reageren op uitzonderlijke of onvoorziene gebeurtenissen, en geven – binnen bepaalde grenzen – enige flexibiliteit boven de overeengekomen uitgavenmaxima.</w:t>
      </w:r>
    </w:p>
    <w:p>
      <w:pPr>
        <w:pStyle w:val="Text1"/>
        <w:rPr>
          <w:noProof/>
        </w:rPr>
      </w:pPr>
    </w:p>
    <w:p>
      <w:pPr>
        <w:pStyle w:val="ManualHeading2"/>
        <w:rPr>
          <w:noProof/>
        </w:rPr>
      </w:pPr>
      <w:bookmarkStart w:id="7" w:name="_Toc360453133"/>
      <w:r>
        <w:rPr>
          <w:noProof/>
        </w:rPr>
        <w:t>4.1.</w:t>
      </w:r>
      <w:r>
        <w:rPr>
          <w:noProof/>
        </w:rPr>
        <w:tab/>
        <w:t>Reserve voor noodhulp*</w:t>
      </w:r>
      <w:bookmarkEnd w:id="7"/>
    </w:p>
    <w:p>
      <w:pPr>
        <w:pStyle w:val="Text1"/>
        <w:rPr>
          <w:noProof/>
        </w:rPr>
      </w:pPr>
      <w:r>
        <w:rPr>
          <w:noProof/>
        </w:rPr>
        <w:t xml:space="preserve">Overeenkomstig artikel 9 van de gewijzigde MFK-verordening kan de </w:t>
      </w:r>
      <w:r>
        <w:rPr>
          <w:i/>
          <w:noProof/>
        </w:rPr>
        <w:t>reserve voor noodhulp</w:t>
      </w:r>
      <w:r>
        <w:rPr>
          <w:noProof/>
        </w:rPr>
        <w:t xml:space="preserve"> voor maximaal 300 miljoen EUR per jaar in prijzen van 2011 worden aangesproken, d.w.z. 358,5 miljoen EUR in 2020 in lopende prijzen (2 301,4 miljoen EUR voor de hele periode in lopende prijzen). Het deel van het niet-bestede bedrag van het voorgaande jaar kan worden overgedragen naar het volgende jaar. De overdracht van 2018 naar 2019 bedraagt 34,1 miljoen EUR.</w:t>
      </w:r>
    </w:p>
    <w:p>
      <w:pPr>
        <w:pStyle w:val="Text1"/>
        <w:rPr>
          <w:noProof/>
        </w:rPr>
      </w:pPr>
      <w:r>
        <w:rPr>
          <w:noProof/>
        </w:rPr>
        <w:t>Onderstaande tabel toont de details van de jaarlijkse beschikbare middelen en het gebruik van de reserve voor noodhulp sinds 2014:</w:t>
      </w:r>
    </w:p>
    <w:p>
      <w:pPr>
        <w:pStyle w:val="ManualHeading2"/>
        <w:rPr>
          <w:noProof/>
        </w:rPr>
      </w:pPr>
      <w:bookmarkStart w:id="8" w:name="_Toc360453134"/>
      <w:r>
        <w:rPr>
          <w:noProof/>
          <w:lang w:val="en-GB" w:eastAsia="en-GB" w:bidi="ar-SA"/>
        </w:rPr>
        <w:drawing>
          <wp:inline distT="0" distB="0" distL="0" distR="0">
            <wp:extent cx="6258516" cy="12763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599" cy="1280038"/>
                    </a:xfrm>
                    <a:prstGeom prst="rect">
                      <a:avLst/>
                    </a:prstGeom>
                    <a:noFill/>
                    <a:ln>
                      <a:noFill/>
                    </a:ln>
                  </pic:spPr>
                </pic:pic>
              </a:graphicData>
            </a:graphic>
          </wp:inline>
        </w:drawing>
      </w:r>
    </w:p>
    <w:p>
      <w:pPr>
        <w:pStyle w:val="ManualHeading2"/>
        <w:rPr>
          <w:noProof/>
        </w:rPr>
      </w:pPr>
      <w:r>
        <w:rPr>
          <w:noProof/>
        </w:rPr>
        <w:t>4.2.</w:t>
      </w:r>
      <w:r>
        <w:rPr>
          <w:noProof/>
        </w:rPr>
        <w:tab/>
        <w:t>Solidariteitsfonds van de Europese Unie</w:t>
      </w:r>
      <w:bookmarkEnd w:id="8"/>
    </w:p>
    <w:p>
      <w:pPr>
        <w:pStyle w:val="Text1"/>
        <w:rPr>
          <w:noProof/>
        </w:rPr>
      </w:pPr>
      <w:r>
        <w:rPr>
          <w:noProof/>
        </w:rPr>
        <w:t xml:space="preserve">Overeenkomstig artikel 10 van de MFK-verordening kan het </w:t>
      </w:r>
      <w:r>
        <w:rPr>
          <w:i/>
          <w:noProof/>
        </w:rPr>
        <w:t>Solidariteitsfonds van de EU</w:t>
      </w:r>
      <w:r>
        <w:rPr>
          <w:noProof/>
        </w:rPr>
        <w:t xml:space="preserve"> voor maximaal 500 miljoen EUR per jaar in prijzen van 2011 worden aangesproken, d.w.z. 597,5 miljoen EUR in 2020 in lopende prijzen (3 944,7 miljoen EUR voor de hele periode in lopende prijzen). Het deel van het niet-bestede bedrag van het voorgaande jaar kan worden overgedragen naar het volgende jaar. De overdracht van 2018 naar 2019 bedraagt 265,3 miljoen EUR. Eind 2018 verviel geen bedrag. 294 miljoen EUR van het deel voor 2018 werd vervroegd toegewezen aan 2017, om te voorzien in voldoende financiering voor de behoeften (aardbevingen in Italië).</w:t>
      </w:r>
    </w:p>
    <w:p>
      <w:pPr>
        <w:pStyle w:val="Text1"/>
        <w:rPr>
          <w:noProof/>
        </w:rPr>
      </w:pPr>
      <w:r>
        <w:rPr>
          <w:noProof/>
        </w:rPr>
        <w:t>Onderstaande tabel toont de details van de jaarlijks beschikbare bedragen en het gebruik van het Solidariteitsfonds van de Europese Unie sinds 2014.</w:t>
      </w:r>
    </w:p>
    <w:p>
      <w:pPr>
        <w:pStyle w:val="ManualHeading2"/>
        <w:rPr>
          <w:noProof/>
        </w:rPr>
      </w:pPr>
      <w:bookmarkStart w:id="9" w:name="_Toc360453135"/>
      <w:r>
        <w:rPr>
          <w:noProof/>
          <w:lang w:val="en-GB" w:eastAsia="en-GB" w:bidi="ar-SA"/>
        </w:rPr>
        <w:drawing>
          <wp:inline distT="0" distB="0" distL="0" distR="0">
            <wp:extent cx="6162675" cy="1349919"/>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5766" cy="1354977"/>
                    </a:xfrm>
                    <a:prstGeom prst="rect">
                      <a:avLst/>
                    </a:prstGeom>
                    <a:noFill/>
                    <a:ln>
                      <a:noFill/>
                    </a:ln>
                  </pic:spPr>
                </pic:pic>
              </a:graphicData>
            </a:graphic>
          </wp:inline>
        </w:drawing>
      </w:r>
    </w:p>
    <w:p>
      <w:pPr>
        <w:pStyle w:val="ManualHeading2"/>
        <w:rPr>
          <w:noProof/>
        </w:rPr>
      </w:pPr>
      <w:r>
        <w:rPr>
          <w:noProof/>
        </w:rPr>
        <w:t>4.3.</w:t>
      </w:r>
      <w:r>
        <w:rPr>
          <w:noProof/>
        </w:rPr>
        <w:tab/>
        <w:t>Flexibiliteitsinstrument</w:t>
      </w:r>
      <w:bookmarkEnd w:id="9"/>
    </w:p>
    <w:p>
      <w:pPr>
        <w:pStyle w:val="Text1"/>
        <w:rPr>
          <w:noProof/>
        </w:rPr>
      </w:pPr>
      <w:r>
        <w:rPr>
          <w:noProof/>
        </w:rPr>
        <w:t xml:space="preserve">Overeenkomstig artikel 11 van de gewijzigde MFK-verordening kan het </w:t>
      </w:r>
      <w:r>
        <w:rPr>
          <w:i/>
          <w:noProof/>
        </w:rPr>
        <w:t>flexibiliteitsinstrument</w:t>
      </w:r>
      <w:r>
        <w:rPr>
          <w:noProof/>
        </w:rPr>
        <w:t xml:space="preserve"> voor maximaal 600 miljoen EUR per jaar in prijzen van 2011 worden aangesproken, d.w.z. 717 miljoen EUR in 2020 in lopende prijzen (4 315 miljoen EUR voor de hele periode in lopende prijzen). Het deel van de niet-bestede jaarlijkse bedragen van de vorige 3 jaren kan worden overgedragen.</w:t>
      </w:r>
    </w:p>
    <w:p>
      <w:pPr>
        <w:pStyle w:val="Text1"/>
        <w:rPr>
          <w:noProof/>
        </w:rPr>
      </w:pPr>
      <w:r>
        <w:rPr>
          <w:noProof/>
        </w:rPr>
        <w:t xml:space="preserve">Volgens artikel 6, lid 1, onder f), waarin wordt verwezen naar artikel 11, lid 1, tweede alinea, wordt </w:t>
      </w:r>
      <w:r>
        <w:rPr>
          <w:i/>
          <w:noProof/>
        </w:rPr>
        <w:t>met ingang van 2017 het beschikbare jaarlijkse bedrag voor het flexibiliteitsinstrument elk jaar verhoogd met</w:t>
      </w:r>
      <w:r>
        <w:rPr>
          <w:noProof/>
        </w:rPr>
        <w:t xml:space="preserve"> de bedragen gelijk aan het deel van het jaarlijkse bedrag voor het Solidariteitsfonds van de Europese Unie en het deel van het jaarlijkse bedrag voor het Europees Fonds voor aanpassing aan de globalisering die in het voorgaande jaar zijn vervallen. </w:t>
      </w:r>
    </w:p>
    <w:p>
      <w:pPr>
        <w:pStyle w:val="Text1"/>
        <w:rPr>
          <w:noProof/>
        </w:rPr>
      </w:pPr>
      <w:r>
        <w:rPr>
          <w:noProof/>
        </w:rPr>
        <w:t>Onderstaande tabel toont de details van de jaarlijks beschikbare middelen en het gebruik van het flexibiliteitsinstrument sinds 2014:</w:t>
      </w:r>
    </w:p>
    <w:p>
      <w:pPr>
        <w:pStyle w:val="Text1"/>
        <w:ind w:left="0"/>
        <w:rPr>
          <w:noProof/>
        </w:rPr>
      </w:pPr>
      <w:r>
        <w:rPr>
          <w:noProof/>
          <w:lang w:val="en-GB" w:eastAsia="en-GB" w:bidi="ar-SA"/>
        </w:rPr>
        <w:drawing>
          <wp:inline distT="0" distB="0" distL="0" distR="0">
            <wp:extent cx="6118458" cy="1628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204" cy="1628974"/>
                    </a:xfrm>
                    <a:prstGeom prst="rect">
                      <a:avLst/>
                    </a:prstGeom>
                    <a:noFill/>
                    <a:ln>
                      <a:noFill/>
                    </a:ln>
                  </pic:spPr>
                </pic:pic>
              </a:graphicData>
            </a:graphic>
          </wp:inline>
        </w:drawing>
      </w:r>
      <w:r>
        <w:rPr>
          <w:noProof/>
        </w:rPr>
        <w:t xml:space="preserve"> </w:t>
      </w:r>
    </w:p>
    <w:p>
      <w:pPr>
        <w:pStyle w:val="ManualHeading2"/>
        <w:rPr>
          <w:noProof/>
        </w:rPr>
      </w:pPr>
      <w:bookmarkStart w:id="10" w:name="_Toc360453136"/>
      <w:r>
        <w:rPr>
          <w:noProof/>
        </w:rPr>
        <w:t>4.4.</w:t>
      </w:r>
      <w:r>
        <w:rPr>
          <w:noProof/>
        </w:rPr>
        <w:tab/>
        <w:t>Europees Fonds voor aanpassing aan de globalisering:</w:t>
      </w:r>
      <w:bookmarkEnd w:id="10"/>
    </w:p>
    <w:p>
      <w:pPr>
        <w:pStyle w:val="Text1"/>
        <w:rPr>
          <w:noProof/>
        </w:rPr>
      </w:pPr>
      <w:r>
        <w:rPr>
          <w:noProof/>
        </w:rPr>
        <w:t xml:space="preserve">Overeenkomstig artikel 12 van de MFK-verordening kan het </w:t>
      </w:r>
      <w:r>
        <w:rPr>
          <w:i/>
          <w:noProof/>
        </w:rPr>
        <w:t>Europees Fonds voor aanpassing aan de globalisering</w:t>
      </w:r>
      <w:r>
        <w:rPr>
          <w:noProof/>
        </w:rPr>
        <w:t xml:space="preserve"> voor maximaal 150 miljoen EUR per jaar in prijzen van 2011 worden aangesproken, d.w.z. 179,3 miljoen EUR in 2020 in lopende prijzen (1 183,4 miljoen EUR voor de hele periode in lopende prijzen). De ongebruikte bedragen van het voorgaande jaar kunnen niet worden overgedragen. Het bedrag van 144 miljoen EUR dat eind 2018 is vervallen, wordt gebruikt om het flexibiliteitsinstrument in 2019 te versterken.</w:t>
      </w:r>
    </w:p>
    <w:p>
      <w:pPr>
        <w:pStyle w:val="Text1"/>
        <w:rPr>
          <w:noProof/>
        </w:rPr>
      </w:pPr>
      <w:r>
        <w:rPr>
          <w:noProof/>
        </w:rPr>
        <w:t>Onderstaande tabel toont de details van de jaarlijks beschikbare middelen en het gebruik van het Europees Fonds voor aanpassing aan de globalisering sinds 2014:</w:t>
      </w:r>
    </w:p>
    <w:p>
      <w:pPr>
        <w:pStyle w:val="ManualHeading2"/>
        <w:rPr>
          <w:noProof/>
        </w:rPr>
      </w:pPr>
      <w:bookmarkStart w:id="11" w:name="_Toc360453137"/>
      <w:r>
        <w:rPr>
          <w:noProof/>
          <w:lang w:val="en-GB" w:eastAsia="en-GB" w:bidi="ar-SA"/>
        </w:rPr>
        <w:drawing>
          <wp:inline distT="0" distB="0" distL="0" distR="0">
            <wp:extent cx="6134100" cy="9547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5249" cy="956492"/>
                    </a:xfrm>
                    <a:prstGeom prst="rect">
                      <a:avLst/>
                    </a:prstGeom>
                    <a:noFill/>
                    <a:ln>
                      <a:noFill/>
                    </a:ln>
                  </pic:spPr>
                </pic:pic>
              </a:graphicData>
            </a:graphic>
          </wp:inline>
        </w:drawing>
      </w:r>
    </w:p>
    <w:p>
      <w:pPr>
        <w:pStyle w:val="ManualHeading2"/>
        <w:rPr>
          <w:noProof/>
        </w:rPr>
      </w:pPr>
      <w:r>
        <w:rPr>
          <w:noProof/>
        </w:rPr>
        <w:t>4.5.</w:t>
      </w:r>
      <w:r>
        <w:rPr>
          <w:noProof/>
        </w:rPr>
        <w:tab/>
        <w:t>Marge voor onvoorziene uitgaven</w:t>
      </w:r>
      <w:bookmarkEnd w:id="11"/>
    </w:p>
    <w:p>
      <w:pPr>
        <w:pStyle w:val="Text1"/>
        <w:rPr>
          <w:bCs/>
          <w:noProof/>
        </w:rPr>
      </w:pPr>
      <w:r>
        <w:rPr>
          <w:noProof/>
        </w:rPr>
        <w:t>Overeenkomstig artikel 13 van de MFK-verordening wordt een marge voor onvoorziene uitgaven van ten hoogste 0,03 % van het bruto nationaal inkomen van de Unie gevormd buiten de in het financieel kader vastgestelde maxima voor de periode 2014-2020.</w:t>
      </w:r>
    </w:p>
    <w:p>
      <w:pPr>
        <w:pStyle w:val="Text1"/>
        <w:rPr>
          <w:bCs/>
          <w:noProof/>
        </w:rPr>
      </w:pPr>
      <w:r>
        <w:rPr>
          <w:noProof/>
        </w:rPr>
        <w:t>Het absolute bedrag van de marge voor onvoorziene uitgaven voor het jaar 2020 is 5 096,8 miljoen EUR.</w:t>
      </w:r>
    </w:p>
    <w:p>
      <w:pPr>
        <w:pStyle w:val="Text1"/>
        <w:rPr>
          <w:noProof/>
        </w:rPr>
      </w:pPr>
      <w:r>
        <w:rPr>
          <w:noProof/>
          <w:lang w:val="en-GB" w:eastAsia="en-GB" w:bidi="ar-SA"/>
        </w:rPr>
        <w:drawing>
          <wp:anchor distT="0" distB="0" distL="114300" distR="114300" simplePos="0" relativeHeight="251661312" behindDoc="0" locked="0" layoutInCell="1" allowOverlap="1">
            <wp:simplePos x="0" y="0"/>
            <wp:positionH relativeFrom="column">
              <wp:posOffset>-6350</wp:posOffset>
            </wp:positionH>
            <wp:positionV relativeFrom="paragraph">
              <wp:posOffset>480695</wp:posOffset>
            </wp:positionV>
            <wp:extent cx="6257925" cy="1519555"/>
            <wp:effectExtent l="0" t="0" r="9525" b="444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92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Onderstaande tabel toont de details van de jaarlijks beschikbare middelen en het gebruik van de marge voor onvoorziene uitgaven sinds 2014:</w:t>
      </w:r>
    </w:p>
    <w:p>
      <w:pPr>
        <w:pStyle w:val="Text1"/>
        <w:rPr>
          <w:noProof/>
        </w:rPr>
      </w:pPr>
    </w:p>
    <w:p>
      <w:pPr>
        <w:pStyle w:val="ManualHeading2"/>
        <w:rPr>
          <w:noProof/>
        </w:rPr>
      </w:pPr>
      <w:bookmarkStart w:id="12" w:name="_Toc360453131"/>
      <w:r>
        <w:rPr>
          <w:noProof/>
        </w:rPr>
        <w:t>4.6.</w:t>
      </w:r>
      <w:r>
        <w:rPr>
          <w:noProof/>
        </w:rPr>
        <w:tab/>
        <w:t>Overkoepelende marge voor vastleggingen</w:t>
      </w:r>
      <w:bookmarkEnd w:id="12"/>
      <w:r>
        <w:rPr>
          <w:noProof/>
        </w:rPr>
        <w:t xml:space="preserve"> (OMV) voor groei en werkgelegenheid, in het bijzonder voor jongeren, en voor maatregelen op het gebied van migratie en veiligheid </w:t>
      </w:r>
    </w:p>
    <w:p>
      <w:pPr>
        <w:pStyle w:val="Text1"/>
        <w:rPr>
          <w:noProof/>
        </w:rPr>
      </w:pPr>
      <w:r>
        <w:rPr>
          <w:noProof/>
        </w:rPr>
        <w:t>Overeenkomstig artikel 14 van de MFK-verordening, zoals gewijzigd bij Verordening (EU, Euratom) nr. 2017/1123 van de Raad, vormen marges die beschikbaar blijven onder de MFK-maxima voor vastleggingskredieten een overkoepelende marge voor vastleggingen, die beschikbaar worden gesteld boven de maxima die in het MFK zijn vastgesteld voor de jaren 2016 tot en met 2020 voor beleidsdoelstellingen met betrekking tot groei en werkgelegenheid, in het bijzonder voor jongeren, en migratie en veiligheid.</w:t>
      </w:r>
    </w:p>
    <w:p>
      <w:pPr>
        <w:pStyle w:val="Text1"/>
        <w:rPr>
          <w:noProof/>
        </w:rPr>
      </w:pPr>
      <w:r>
        <w:rPr>
          <w:noProof/>
        </w:rPr>
        <w:t>In de definitieve begroting van 2018 bedraagt de onder het maximum voor vastleggingen resterende marge 1 390,9 miljoen EUR. De vastleggingen op speciale instrumenten (inclusief het gebruik van de OMV en de marge voor onvoorziene uitgaven) worden niet in aanmerking genomen, aangezien ze worden uitgevoerd boven de maxima van het MFK.</w:t>
      </w:r>
    </w:p>
    <w:p>
      <w:pPr>
        <w:pStyle w:val="Text1"/>
        <w:rPr>
          <w:noProof/>
        </w:rPr>
      </w:pPr>
      <w:r>
        <w:rPr>
          <w:noProof/>
        </w:rPr>
        <w:t>Overeenkomstig artikel 6, lid 2, van de MFK-verordening wordt voor de berekening van de OMV de jaarlijkse deflator van 2 % gebruikt. De resterende marge van 2018 die voor 2019 beschikbaar wordt gesteld, bedraagt 1 390,9 miljoen EUR in lopende prijzen in 2018 of 1 418,7 miljoen EUR in lopende prijzen in 2019</w:t>
      </w:r>
      <w:r>
        <w:rPr>
          <w:rStyle w:val="FootnoteReference"/>
          <w:noProof/>
        </w:rPr>
        <w:footnoteReference w:id="25"/>
      </w:r>
      <w:r>
        <w:rPr>
          <w:noProof/>
        </w:rPr>
        <w:t xml:space="preserve"> (1 447,1 miljoen EUR in lopende prijzen in 2020). De OMV in prijzen van 2011 komt uit op 1 210,9 miljoen EUR.</w:t>
      </w:r>
    </w:p>
    <w:p>
      <w:pPr>
        <w:pStyle w:val="Text1"/>
        <w:rPr>
          <w:noProof/>
        </w:rPr>
      </w:pPr>
      <w:r>
        <w:rPr>
          <w:noProof/>
        </w:rPr>
        <w:t>Onderstaande tabel toont de details van de berekening van de OMV 2018:</w:t>
      </w:r>
    </w:p>
    <w:p>
      <w:pPr>
        <w:pStyle w:val="Text1"/>
        <w:jc w:val="center"/>
        <w:rPr>
          <w:noProof/>
        </w:rPr>
      </w:pPr>
      <w:r>
        <w:rPr>
          <w:noProof/>
          <w:lang w:val="en-GB" w:eastAsia="en-GB" w:bidi="ar-SA"/>
        </w:rPr>
        <w:drawing>
          <wp:inline distT="0" distB="0" distL="0" distR="0">
            <wp:extent cx="4486275" cy="25336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2533650"/>
                    </a:xfrm>
                    <a:prstGeom prst="rect">
                      <a:avLst/>
                    </a:prstGeom>
                    <a:noFill/>
                    <a:ln>
                      <a:noFill/>
                    </a:ln>
                  </pic:spPr>
                </pic:pic>
              </a:graphicData>
            </a:graphic>
          </wp:inline>
        </w:drawing>
      </w:r>
    </w:p>
    <w:p>
      <w:pPr>
        <w:pStyle w:val="Text1"/>
        <w:rPr>
          <w:noProof/>
        </w:rPr>
      </w:pPr>
    </w:p>
    <w:p>
      <w:pPr>
        <w:pStyle w:val="Text1"/>
        <w:rPr>
          <w:noProof/>
        </w:rPr>
      </w:pPr>
      <w:r>
        <w:rPr>
          <w:noProof/>
        </w:rPr>
        <w:t xml:space="preserve">Er is momenteel geen resterend deel van eerdere OMV’s (2014-2017). De totale beschikbaarheid van de OMV voor 2019 beperkt zich daarom tot het deel van 2018. </w:t>
      </w:r>
    </w:p>
    <w:p>
      <w:pPr>
        <w:pStyle w:val="Text1"/>
        <w:rPr>
          <w:noProof/>
        </w:rPr>
      </w:pPr>
      <w:r>
        <w:rPr>
          <w:noProof/>
        </w:rPr>
        <w:t>Onderstaande tabel toont de details van de beschikbare middelen en het gebruik van de OMV sinds 2014:</w:t>
      </w:r>
    </w:p>
    <w:p>
      <w:pPr>
        <w:pStyle w:val="Text1"/>
        <w:ind w:left="0"/>
        <w:jc w:val="center"/>
        <w:rPr>
          <w:noProof/>
        </w:rPr>
      </w:pPr>
      <w:r>
        <w:rPr>
          <w:noProof/>
          <w:lang w:val="en-GB" w:eastAsia="en-GB" w:bidi="ar-SA"/>
        </w:rPr>
        <w:drawing>
          <wp:inline distT="0" distB="0" distL="0" distR="0">
            <wp:extent cx="6067947" cy="338137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9083" cy="3382008"/>
                    </a:xfrm>
                    <a:prstGeom prst="rect">
                      <a:avLst/>
                    </a:prstGeom>
                    <a:noFill/>
                    <a:ln>
                      <a:noFill/>
                    </a:ln>
                  </pic:spPr>
                </pic:pic>
              </a:graphicData>
            </a:graphic>
          </wp:inline>
        </w:drawing>
      </w:r>
    </w:p>
    <w:p>
      <w:pPr>
        <w:pStyle w:val="Text1"/>
        <w:ind w:left="0"/>
        <w:rPr>
          <w:noProof/>
        </w:rPr>
      </w:pPr>
    </w:p>
    <w:p>
      <w:pPr>
        <w:pStyle w:val="ManualHeading1"/>
        <w:rPr>
          <w:noProof/>
        </w:rPr>
      </w:pPr>
      <w:r>
        <w:rPr>
          <w:noProof/>
        </w:rPr>
        <w:t>5.</w:t>
      </w:r>
      <w:r>
        <w:rPr>
          <w:noProof/>
        </w:rPr>
        <w:tab/>
        <w:t>Overzichtstabel en conclusies</w:t>
      </w:r>
    </w:p>
    <w:p>
      <w:pPr>
        <w:pStyle w:val="Text1"/>
        <w:rPr>
          <w:noProof/>
        </w:rPr>
      </w:pPr>
      <w:r>
        <w:rPr>
          <w:noProof/>
        </w:rPr>
        <w:t>De onderstaande tabellen geven een overzicht van de uit artikel 3, lid 1, en artikel 5 van de MFK-verordening voortvloeiende aanpassingen van de maxima voor vastleggings- en betalingskredieten in het financieel kader, in lopende prijzen en in prijzen van 2011:</w:t>
      </w:r>
    </w:p>
    <w:p>
      <w:pPr>
        <w:pStyle w:val="Text1"/>
        <w:ind w:left="0"/>
        <w:rPr>
          <w:noProof/>
        </w:rPr>
      </w:pPr>
      <w:r>
        <w:rPr>
          <w:noProof/>
          <w:lang w:val="en-GB" w:eastAsia="en-GB" w:bidi="ar-SA"/>
        </w:rPr>
        <w:drawing>
          <wp:inline distT="0" distB="0" distL="0" distR="0">
            <wp:extent cx="6189448" cy="235267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084" cy="2352157"/>
                    </a:xfrm>
                    <a:prstGeom prst="rect">
                      <a:avLst/>
                    </a:prstGeom>
                    <a:noFill/>
                    <a:ln>
                      <a:noFill/>
                    </a:ln>
                  </pic:spPr>
                </pic:pic>
              </a:graphicData>
            </a:graphic>
          </wp:inline>
        </w:drawing>
      </w:r>
    </w:p>
    <w:p>
      <w:pPr>
        <w:rPr>
          <w:noProof/>
        </w:rPr>
      </w:pPr>
    </w:p>
    <w:sectPr>
      <w:headerReference w:type="even" r:id="rId28"/>
      <w:headerReference w:type="default" r:id="rId29"/>
      <w:footerReference w:type="even" r:id="rId30"/>
      <w:footerReference w:type="default" r:id="rId31"/>
      <w:headerReference w:type="first" r:id="rId32"/>
      <w:footerReference w:type="first" r:id="rId3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PB L 163 van 24.6.2017, blz. 1.</w:t>
      </w:r>
    </w:p>
  </w:footnote>
  <w:footnote w:id="3">
    <w:p>
      <w:pPr>
        <w:pStyle w:val="FootnoteText"/>
        <w:rPr>
          <w:lang w:val="pt-PT"/>
        </w:rPr>
      </w:pPr>
      <w:r>
        <w:rPr>
          <w:rStyle w:val="FootnoteReference"/>
        </w:rPr>
        <w:footnoteRef/>
      </w:r>
      <w:r>
        <w:t xml:space="preserve"> </w:t>
      </w:r>
      <w:r>
        <w:tab/>
        <w:t>COM(2018) 282 final van 23.05.2018.</w:t>
      </w:r>
    </w:p>
  </w:footnote>
  <w:footnote w:id="4">
    <w:p>
      <w:pPr>
        <w:pStyle w:val="FootnoteText"/>
        <w:rPr>
          <w:rStyle w:val="FootnoteReference"/>
          <w:lang w:val="pt-PT"/>
        </w:rPr>
      </w:pPr>
      <w:r>
        <w:rPr>
          <w:rStyle w:val="FootnoteReference"/>
        </w:rPr>
        <w:footnoteRef/>
      </w:r>
      <w:r>
        <w:rPr>
          <w:rStyle w:val="FootnoteReference"/>
        </w:rPr>
        <w:t xml:space="preserve"> </w:t>
      </w:r>
      <w:r>
        <w:tab/>
        <w:t>https://ec.europa.eu/info/business-economy-euro/economic-performance-and-forecasts/economic-forecasts/spring-2019-economic-forecast_en</w:t>
      </w:r>
    </w:p>
  </w:footnote>
  <w:footnote w:id="5">
    <w:p>
      <w:pPr>
        <w:pStyle w:val="FootnoteText"/>
      </w:pPr>
      <w:r>
        <w:rPr>
          <w:rStyle w:val="FootnoteReference"/>
        </w:rPr>
        <w:footnoteRef/>
      </w:r>
      <w:r>
        <w:t xml:space="preserve"> </w:t>
      </w:r>
      <w:r>
        <w:tab/>
        <w:t>PB L 168 van 7.6.2014.</w:t>
      </w:r>
    </w:p>
  </w:footnote>
  <w:footnote w:id="6">
    <w:p>
      <w:pPr>
        <w:pStyle w:val="FootnoteText"/>
      </w:pPr>
      <w:r>
        <w:rPr>
          <w:rStyle w:val="FootnoteReference"/>
        </w:rPr>
        <w:footnoteRef/>
      </w:r>
      <w:r>
        <w:t xml:space="preserve"> </w:t>
      </w:r>
      <w:r>
        <w:tab/>
        <w:t>COM(2016) 829 final van 21.12.2016.</w:t>
      </w:r>
    </w:p>
  </w:footnote>
  <w:footnote w:id="7">
    <w:p>
      <w:pPr>
        <w:pStyle w:val="FootnoteText"/>
      </w:pPr>
      <w:r>
        <w:rPr>
          <w:rStyle w:val="FootnoteReference"/>
        </w:rPr>
        <w:footnoteRef/>
      </w:r>
      <w:r>
        <w:t xml:space="preserve"> </w:t>
      </w:r>
      <w:r>
        <w:tab/>
        <w:t>Besluit (EU) 2019/476 van de Europese Raad vastgesteld in overeenstemming met het Verenigd Koninkrijk, van 22 maart 2019 tot verlenging van de in artikel 50, lid 3, VEU bedoelde termijn (PB L 80 I van 22.3.2019, blz. 1).</w:t>
      </w:r>
    </w:p>
  </w:footnote>
  <w:footnote w:id="8">
    <w:p>
      <w:pPr>
        <w:pStyle w:val="FootnoteText"/>
      </w:pPr>
      <w:r>
        <w:rPr>
          <w:rStyle w:val="FootnoteReference"/>
        </w:rPr>
        <w:footnoteRef/>
      </w:r>
      <w:r>
        <w:t xml:space="preserve"> </w:t>
      </w:r>
      <w:r>
        <w:tab/>
        <w:t>Besluit (EU) 2019/584 van de Europese Raad vastgesteld in overeenstemming met het Verenigd Koninkrijk, van 11 april 2019 tot verlenging van de in artikel 50, lid 3, VEU bedoelde termijn (PB L 101 I van 11.4.2019, blz. 1).</w:t>
      </w:r>
    </w:p>
  </w:footnote>
  <w:footnote w:id="9">
    <w:p>
      <w:pPr>
        <w:pStyle w:val="FootnoteText"/>
      </w:pPr>
      <w:r>
        <w:rPr>
          <w:rStyle w:val="FootnoteReference"/>
        </w:rPr>
        <w:footnoteRef/>
      </w:r>
      <w:r>
        <w:t xml:space="preserve"> </w:t>
      </w:r>
      <w:r>
        <w:tab/>
        <w:t xml:space="preserve">PB C66I van 19.2.2019, blz. 1. </w:t>
      </w:r>
    </w:p>
  </w:footnote>
  <w:footnote w:id="10">
    <w:p>
      <w:pPr>
        <w:pStyle w:val="FootnoteText"/>
      </w:pPr>
      <w:r>
        <w:rPr>
          <w:rStyle w:val="FootnoteReference"/>
        </w:rPr>
        <w:footnoteRef/>
      </w:r>
      <w:r>
        <w:t xml:space="preserve"> </w:t>
      </w:r>
      <w:r>
        <w:tab/>
        <w:t>COM(2014) 307 final van 28.5.2014.</w:t>
      </w:r>
    </w:p>
  </w:footnote>
  <w:footnote w:id="11">
    <w:p>
      <w:pPr>
        <w:pStyle w:val="FootnoteText"/>
      </w:pPr>
      <w:r>
        <w:rPr>
          <w:rStyle w:val="FootnoteReference"/>
        </w:rPr>
        <w:footnoteRef/>
      </w:r>
      <w:r>
        <w:t xml:space="preserve"> </w:t>
      </w:r>
      <w:r>
        <w:tab/>
        <w:t>Uitvoeringsverordening (EU) nr. 367/2014 van de Commissie tot vaststelling van het nettosaldo dat voor de uitgaven uit het ELGF beschikbaar is (PB L 108 van 11.4.2014, blz. 13).</w:t>
      </w:r>
    </w:p>
  </w:footnote>
  <w:footnote w:id="12">
    <w:p>
      <w:pPr>
        <w:pStyle w:val="FootnoteText"/>
      </w:pPr>
      <w:r>
        <w:rPr>
          <w:rStyle w:val="FootnoteReference"/>
        </w:rPr>
        <w:footnoteRef/>
      </w:r>
      <w:r>
        <w:t xml:space="preserve"> </w:t>
      </w:r>
      <w:r>
        <w:tab/>
        <w:t>COM(2015) 320 final van 22.5.2015.</w:t>
      </w:r>
    </w:p>
  </w:footnote>
  <w:footnote w:id="13">
    <w:p>
      <w:pPr>
        <w:pStyle w:val="FootnoteText"/>
      </w:pPr>
      <w:r>
        <w:rPr>
          <w:rStyle w:val="FootnoteReference"/>
        </w:rPr>
        <w:footnoteRef/>
      </w:r>
      <w:r>
        <w:tab/>
        <w:t>Verordening (EG) nr. 73/2009 van de Raad van 19 januari 2009 tot vaststelling van gemeenschappelijke voorschriften voor regelingen inzake rechtstreekse steunverlening aan landbouwers in het kader van het gemeenschappelijk landbouwbeleid en tot vaststelling van bepaalde steunregelingen voor landbouwers, tot wijziging van Verordeningen (EG) nr. 1290/2005, (EG) nr. 247/2006, (EG) nr. 378/2007 en tot intrekking van Verordening (EG) nr. 1782/2003 (PB L 30 van 31.1.2009, blz. 16).</w:t>
      </w:r>
    </w:p>
  </w:footnote>
  <w:footnote w:id="14">
    <w:p>
      <w:pPr>
        <w:pStyle w:val="FootnoteText"/>
      </w:pPr>
      <w:r>
        <w:rPr>
          <w:rStyle w:val="FootnoteReference"/>
        </w:rPr>
        <w:footnoteRef/>
      </w:r>
      <w:r>
        <w:tab/>
        <w:t>Verordening (EU) nr. 1307/2013 van het Europees Parlement en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 (PB L 347 van 20.12.2013, blz. 608).</w:t>
      </w:r>
    </w:p>
  </w:footnote>
  <w:footnote w:id="15">
    <w:p>
      <w:pPr>
        <w:pStyle w:val="FootnoteText"/>
      </w:pPr>
      <w:r>
        <w:rPr>
          <w:rStyle w:val="FootnoteReference"/>
        </w:rPr>
        <w:footnoteRef/>
      </w:r>
      <w:r>
        <w:tab/>
        <w:t>Gedelegeerde Verordening (EU) nr. 994/2014 van de Commissie van 13 mei 2014 tot wijziging van de bijlagen VIII en VIII quater bij Verordening (EG) nr. 73/2009 van de Raad, van bijlage I bij Verordening (EU) nr. 1305/2013 van het Europees Parlement en de Raad en van de bijlagen II, III en VI bij Verordening (EU) nr. 1307/2013 van het Europees Parlement en de Raad (PB L 280 van 24.9.2014, blz. 1).</w:t>
      </w:r>
    </w:p>
  </w:footnote>
  <w:footnote w:id="16">
    <w:p>
      <w:pPr>
        <w:pStyle w:val="FootnoteText"/>
      </w:pPr>
      <w:r>
        <w:rPr>
          <w:rStyle w:val="FootnoteReference"/>
        </w:rPr>
        <w:footnoteRef/>
      </w:r>
      <w:r>
        <w:t xml:space="preserve"> </w:t>
      </w:r>
      <w:r>
        <w:tab/>
        <w:t>Uitvoeringsverordening (EU) 1089/2014 van de Commissie van 16 oktober 2014 houdende wijziging van Uitvoeringsverordening (EU) nr. 367/2014 tot vaststelling van het nettosaldo dat voor de uitgaven uit het ELGF beschikbaar is (PB L 299 van 17.10.2014, blz. 7).</w:t>
      </w:r>
    </w:p>
  </w:footnote>
  <w:footnote w:id="17">
    <w:p>
      <w:pPr>
        <w:pStyle w:val="FootnoteText"/>
        <w:rPr>
          <w:lang w:val="cs-CZ"/>
        </w:rPr>
      </w:pPr>
      <w:r>
        <w:rPr>
          <w:rStyle w:val="FootnoteReference"/>
        </w:rPr>
        <w:footnoteRef/>
      </w:r>
      <w:r>
        <w:tab/>
        <w:t>Gedelegeerde verordening (EU) nr. 1378/2014 van de Commissie van 17 oktober 2014 tot wijziging van bijlage I bij Verordening (EU) nr. 1305/2013 van het Europees Parlement en de Raad en van de bijlagen II en III bij Verordening (EU) nr. 1307/2013 van het Europees Parlement en de Raad (PB L 367 van 23.12.2014, blz. 16).</w:t>
      </w:r>
    </w:p>
  </w:footnote>
  <w:footnote w:id="18">
    <w:p>
      <w:pPr>
        <w:pStyle w:val="FootnoteText"/>
      </w:pPr>
      <w:r>
        <w:rPr>
          <w:rStyle w:val="FootnoteReference"/>
        </w:rPr>
        <w:footnoteRef/>
      </w:r>
      <w:r>
        <w:tab/>
        <w:t>Uitvoeringsverordening (EU) 2015/141 van de Commissie van 29 januari 2015 houdende wijziging van Uitvoeringsverordening (EU) nr. 367/2014 tot vaststelling van het nettosaldo dat voor de uitgaven uit het ELGF beschikbaar is (PB L 24 van 30.1.2015, blz. 11).</w:t>
      </w:r>
    </w:p>
  </w:footnote>
  <w:footnote w:id="19">
    <w:p>
      <w:pPr>
        <w:pStyle w:val="FootnoteText"/>
      </w:pPr>
      <w:r>
        <w:rPr>
          <w:rStyle w:val="FootnoteReference"/>
        </w:rPr>
        <w:footnoteRef/>
      </w:r>
      <w:r>
        <w:t xml:space="preserve"> </w:t>
      </w:r>
      <w:r>
        <w:tab/>
        <w:t>Gedelegeerde Verordening (EU) 2016/142 van de Commissie van 2 december 2015 tot wijziging van bijlage I bij Verordening (EU) nr. 1305/2013 van het Europees Parlement en de Raad en van bijlage III bij Verordening (EU) nr. 1307/2013 van het Europees Parlement en de Raad (PB L 28 van 4.2.2016, blz. 8).</w:t>
      </w:r>
    </w:p>
  </w:footnote>
  <w:footnote w:id="20">
    <w:p>
      <w:pPr>
        <w:pStyle w:val="FootnoteText"/>
      </w:pPr>
      <w:r>
        <w:rPr>
          <w:rStyle w:val="FootnoteReference"/>
        </w:rPr>
        <w:footnoteRef/>
      </w:r>
      <w:r>
        <w:t xml:space="preserve"> </w:t>
      </w:r>
      <w:r>
        <w:tab/>
        <w:t>Uitvoeringsverordening (EU) 2016/257 van de Commissie van 24 februari 2016 houdende wijziging van Uitvoeringsverordening (EU) nr. 367/2014 tot vaststelling van het nettosaldo dat voor de uitgaven uit het ELGF beschikbaar is (PB L 49 van 25.2.2016, blz. 1).</w:t>
      </w:r>
    </w:p>
  </w:footnote>
  <w:footnote w:id="21">
    <w:p>
      <w:pPr>
        <w:pStyle w:val="FootnoteText"/>
      </w:pPr>
      <w:r>
        <w:rPr>
          <w:rStyle w:val="FootnoteReference"/>
        </w:rPr>
        <w:footnoteRef/>
      </w:r>
      <w:r>
        <w:t xml:space="preserve"> </w:t>
      </w:r>
      <w:r>
        <w:tab/>
        <w:t>Gedelegeerde Verordening (EU) 2018/162 van de Commissie van 23 november 2017 tot wijziging van bijlage I bij Verordening (EU) nr. 1305/2013 van het Europees Parlement en de Raad en van de bijlagen II en III bij Verordening (EU) nr. 1307/2013 van het Europees Parlement en de Raad (PB L 30 van 2.2.2018, blz. 6).</w:t>
      </w:r>
    </w:p>
  </w:footnote>
  <w:footnote w:id="22">
    <w:p>
      <w:pPr>
        <w:pStyle w:val="FootnoteText"/>
      </w:pPr>
      <w:r>
        <w:rPr>
          <w:rStyle w:val="FootnoteReference"/>
        </w:rPr>
        <w:footnoteRef/>
      </w:r>
      <w:r>
        <w:t xml:space="preserve"> </w:t>
      </w:r>
      <w:r>
        <w:tab/>
        <w:t>Uitvoeringsverordening (EU) 2018/288 van de Commissie van 19 februari 2018 houdende wijziging van Uitvoeringsverordening (EU) nr. 2014/367 tot vaststelling van het nettosaldo dat voor de uitgaven uit het ELGF beschikbaar is (PB L 55 van 27.2.2018, blz. 18).</w:t>
      </w:r>
    </w:p>
  </w:footnote>
  <w:footnote w:id="23">
    <w:p>
      <w:pPr>
        <w:pStyle w:val="FootnoteText"/>
      </w:pPr>
      <w:r>
        <w:rPr>
          <w:rStyle w:val="FootnoteReference"/>
        </w:rPr>
        <w:footnoteRef/>
      </w:r>
      <w:r>
        <w:t xml:space="preserve"> </w:t>
      </w:r>
      <w:r>
        <w:tab/>
        <w:t>Gedelegeerde Verordening (EU) 2019/71 van de Commissie van 9 november 2018 tot wijziging van bijlage I bij Verordening (EU) nr. 1305/2013 van het Europees Parlement en de Raad en van bijlage III bij Verordening (EU) nr. 1307/2013 van het Europees Parlement en de Raad (PB L 16 van 18.1.2019, blz. 1).</w:t>
      </w:r>
    </w:p>
  </w:footnote>
  <w:footnote w:id="24">
    <w:p>
      <w:pPr>
        <w:pStyle w:val="FootnoteText"/>
      </w:pPr>
      <w:r>
        <w:rPr>
          <w:rStyle w:val="FootnoteReference"/>
        </w:rPr>
        <w:footnoteRef/>
      </w:r>
      <w:r>
        <w:t xml:space="preserve"> </w:t>
      </w:r>
      <w:r>
        <w:tab/>
        <w:t>Uitvoeringsverordening (EU) 2019/445 van de Commissie van 19 maart 2019 houdende wijziging van Uitvoeringsverordening (EU) nr. 367/2014 tot vaststelling van het nettosaldo dat voor de uitgaven uit het ELGF beschikbaar is (PB L 77 van 20.3.2019, blz. 64).</w:t>
      </w:r>
    </w:p>
  </w:footnote>
  <w:footnote w:id="25">
    <w:p>
      <w:pPr>
        <w:pStyle w:val="FootnoteText"/>
        <w:rPr>
          <w:lang w:val="cs-CZ"/>
        </w:rPr>
      </w:pPr>
      <w:r>
        <w:rPr>
          <w:rStyle w:val="FootnoteReference"/>
        </w:rPr>
        <w:footnoteRef/>
      </w:r>
      <w:r>
        <w:tab/>
        <w:t>Bij gebruik van de totaliteit of een deel van het bedrag in de jaren 2019-2020 zal het dienovereenkomstig worden aangepast door toepassing van de jaarlijkse deflator van 2 % overeenkomstig artikel 6, lid 2, van de MFK-verordening.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26D8F78-784F-4F4E-870D-33A6C122B1CD"/>
    <w:docVar w:name="LW_COVERPAGE_TYPE" w:val="1"/>
    <w:docVar w:name="LW_CROSSREFERENCE" w:val="&lt;UNUSED&gt;"/>
    <w:docVar w:name="LW_DocType" w:val="NORMAL"/>
    <w:docVar w:name="LW_EMISSION" w:val="15.5.2019"/>
    <w:docVar w:name="LW_EMISSION_ISODATE" w:val="2019-05-15"/>
    <w:docVar w:name="LW_EMISSION_LOCATION" w:val="BRX"/>
    <w:docVar w:name="LW_EMISSION_PREFIX" w:val="Brussel, "/>
    <w:docVar w:name="LW_EMISSION_SUFFIX" w:val=" "/>
    <w:docVar w:name="LW_ID_DOCTYPE_NONLW" w:val="CP-011"/>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echnische aanpassing van het financieel kader voor 2020 in overeenstemming met de ontwikkeling van het bni (ESR 2010)(Artikel 6 van Verordening nr. 1311/2013 van de Raad tot bepaling van het meerjarig financieel kader voor de jaren 2014-2020)"/>
    <w:docVar w:name="LW_TYPE.DOC.CP" w:val="MEDEDELING VAN DE COMMISSIE AAN DE RAAD EN HET EUROPEES PARLEMEN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nl-NL"/>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nl-NL"/>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nl-NL"/>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nl-NL"/>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nl-NL"/>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84EB2F-8018-43C2-B54B-44CD9B4F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2958</Words>
  <Characters>16299</Characters>
  <Application>Microsoft Office Word</Application>
  <DocSecurity>0</DocSecurity>
  <Lines>296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23</cp:revision>
  <cp:lastPrinted>2019-04-11T08:28:00Z</cp:lastPrinted>
  <dcterms:created xsi:type="dcterms:W3CDTF">2019-04-29T09:51:00Z</dcterms:created>
  <dcterms:modified xsi:type="dcterms:W3CDTF">2019-05-20T13:15:00Z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