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A053C57-4A27-4A39-8CDC-69BCFD1CCC17"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ManualHeading1"/>
        <w:numPr>
          <w:ilvl w:val="0"/>
          <w:numId w:val="1"/>
        </w:numPr>
        <w:rPr>
          <w:noProof/>
        </w:rPr>
      </w:pPr>
      <w:bookmarkStart w:id="1" w:name="_GoBack"/>
      <w:bookmarkEnd w:id="1"/>
      <w:r>
        <w:rPr>
          <w:noProof/>
        </w:rPr>
        <w:lastRenderedPageBreak/>
        <w:t>Úvod</w:t>
      </w:r>
    </w:p>
    <w:p>
      <w:pPr>
        <w:pStyle w:val="Text1"/>
        <w:rPr>
          <w:noProof/>
        </w:rPr>
      </w:pPr>
      <w:r>
        <w:rPr>
          <w:noProof/>
        </w:rPr>
        <w:t>Nariadenie, ktorým sa ustanovuje viacročný finančný rámec na roky 2014 – 2020 (ďalej len „nariadenie o VFR“) naposledy zmenené nariadením Rady (EÚ, Euratom) 2017/1123 z 20. júna 2017</w:t>
      </w:r>
      <w:r>
        <w:rPr>
          <w:rStyle w:val="FootnoteReference"/>
          <w:noProof/>
        </w:rPr>
        <w:footnoteReference w:id="2"/>
      </w:r>
      <w:r>
        <w:rPr>
          <w:noProof/>
        </w:rPr>
        <w:t xml:space="preserve"> a upravené v rámci technickej úpravy na rok 2019</w:t>
      </w:r>
      <w:r>
        <w:rPr>
          <w:rStyle w:val="FootnoteReference"/>
          <w:noProof/>
        </w:rPr>
        <w:footnoteReference w:id="3"/>
      </w:r>
      <w:r>
        <w:rPr>
          <w:noProof/>
        </w:rPr>
        <w:t xml:space="preserve"> obsahuje tabuľku finančného rámca s údajmi na roky 2014 – 2020 vyjadrenými v cenách roku 2011 (tabuľka 1).</w:t>
      </w:r>
    </w:p>
    <w:p>
      <w:pPr>
        <w:pStyle w:val="Text1"/>
        <w:rPr>
          <w:noProof/>
        </w:rPr>
      </w:pPr>
      <w:r>
        <w:rPr>
          <w:noProof/>
        </w:rPr>
        <w:t>V článku 6 ods. 1 nariadenia o VFR sa uvádza, že Komisia každý rok ešte pred začatím rozpočtového postupu pre rok n + 1 vykoná technickú úpravu viacročného finančného rámca (VFR) v súlade s vývojom hrubého národného dôchodku (HND) EÚ a cien v EÚ a výsledky oznámi Rade a Európskemu parlamentu. Pokiaľ ide o ceny, výdavkové stropy v bežných cenách sú stanovené na základe fixného ročného deflátora vo výške 2 %, ako je stanovené v článku 6 ods. 2 nariadenia o VFR. Pokiaľ ide o vývoj HND, toto oznámenie obsahuje najnovšie dostupné ekonomické prognózy</w:t>
      </w:r>
      <w:r>
        <w:rPr>
          <w:rStyle w:val="FootnoteReference"/>
          <w:noProof/>
        </w:rPr>
        <w:footnoteReference w:id="4"/>
      </w:r>
      <w:r>
        <w:rPr>
          <w:noProof/>
        </w:rPr>
        <w:t>.</w:t>
      </w:r>
    </w:p>
    <w:p>
      <w:pPr>
        <w:pStyle w:val="Text1"/>
        <w:rPr>
          <w:noProof/>
        </w:rPr>
      </w:pPr>
      <w:r>
        <w:rPr>
          <w:noProof/>
        </w:rPr>
        <w:t>Komisia zároveň vypočíta rezervu disponibilnú v rámci stropu vlastných zdrojov stanoveného v súlade s novým rozhodnutím 2014/335/EÚ, Euratom o vlastných zdrojoch (ďalej len „RVZ 2014“)</w:t>
      </w:r>
      <w:r>
        <w:rPr>
          <w:rStyle w:val="FootnoteReference"/>
          <w:noProof/>
        </w:rPr>
        <w:footnoteReference w:id="5"/>
      </w:r>
      <w:r>
        <w:rPr>
          <w:noProof/>
        </w:rPr>
        <w:t>, ďalej vypočíta absolútnu sumu rezervy na nepredvídané udalosti stanovenej v článku 13, celkovú rezervu pre platby stanovenú v článku 5, celkovú rezervu na záväzky stanovenú v článku 14 a sumy, ktoré sa majú dať k dispozícii pre nástroj flexibility podľa článku 11 ods. 1 druhého pododseku nariadenia o VFR. Čiastkový strop okruhu 2 týkajúci sa výdavkov súvisiacich s trhom a priamych platieb sa upraví po presunoch medzi pilierom I a rozvojom vidieka.</w:t>
      </w:r>
    </w:p>
    <w:p>
      <w:pPr>
        <w:pStyle w:val="Text1"/>
        <w:rPr>
          <w:noProof/>
        </w:rPr>
      </w:pPr>
      <w:bookmarkStart w:id="2" w:name="_Toc360453126"/>
      <w:r>
        <w:rPr>
          <w:noProof/>
        </w:rPr>
        <w:t>V súlade s platným RVZ 2014 boli stropy vlastných zdrojov a stropy viazaných rozpočtových prostriedkov upravené podľa nových údajov o HND v súlade s európskym systémom účtov (ESA 2010). Maximálna výška vlastných zdrojov je v súčasnosti stanovená na úrovni 1,20 % HND (predtým bola stanovená na úrovni 1,23 %) a maximálna výška záväzkov na úrovni 1,26 % HND (predtým bola stanovená na úrovni 1,29 %)</w:t>
      </w:r>
      <w:r>
        <w:rPr>
          <w:rStyle w:val="FootnoteReference"/>
          <w:noProof/>
        </w:rPr>
        <w:footnoteReference w:id="6"/>
      </w:r>
      <w:r>
        <w:rPr>
          <w:noProof/>
        </w:rPr>
        <w:t>.</w:t>
      </w:r>
    </w:p>
    <w:p>
      <w:pPr>
        <w:pStyle w:val="Text1"/>
        <w:rPr>
          <w:noProof/>
        </w:rPr>
      </w:pPr>
      <w:r>
        <w:rPr>
          <w:noProof/>
        </w:rPr>
        <w:t>Spojené kráľovstvo oznámilo svoj úmysel opustiť Európsku úniu v súlade s článkom 50 Zmluvy o Európskej únii (ZFEÚ) 29. marca 2017. Európska rada 21. marca 2019 po dohode so Spojeným kráľovstvom rozhodla, že termínu odchodu sa za určitých podmienok predĺži</w:t>
      </w:r>
      <w:r>
        <w:rPr>
          <w:rStyle w:val="FootnoteReference"/>
          <w:noProof/>
        </w:rPr>
        <w:footnoteReference w:id="7"/>
      </w:r>
      <w:r>
        <w:rPr>
          <w:noProof/>
        </w:rPr>
        <w:t>, a 11. apríla 2019 súhlasila s ďalším predĺžením za určitých podmienok do 31. októbra 2019</w:t>
      </w:r>
      <w:r>
        <w:rPr>
          <w:rStyle w:val="FootnoteReference"/>
          <w:noProof/>
        </w:rPr>
        <w:footnoteReference w:id="8"/>
      </w:r>
      <w:r>
        <w:rPr>
          <w:noProof/>
        </w:rPr>
        <w:t>, pričom počas tohto obdobia Spojené kráľovstvo zostáva členským štátom Únie. V súlade s podmienkami návrhu dohody o vystúpení Spojeného kráľovstva Veľkej Británie a Severného Írska z Európskej únie a Európskeho spoločenstva pre atómovú energiu</w:t>
      </w:r>
      <w:r>
        <w:rPr>
          <w:rStyle w:val="FootnoteReference"/>
          <w:noProof/>
        </w:rPr>
        <w:footnoteReference w:id="9"/>
      </w:r>
      <w:r>
        <w:rPr>
          <w:noProof/>
        </w:rPr>
        <w:t>, ktoré boli dohodnuté medzi Európskou úniou a Spojeným kráľovstvom 25. novembra 2018, ale ktoré ešte neboli ratifikované, sa od 1. januára 2021na Spojené kráľovstvo prestanú uplatňovať zmluvy.</w:t>
      </w:r>
    </w:p>
    <w:p>
      <w:pPr>
        <w:pStyle w:val="Text1"/>
        <w:rPr>
          <w:noProof/>
        </w:rPr>
      </w:pPr>
      <w:r>
        <w:rPr>
          <w:noProof/>
        </w:rPr>
        <w:t>Cieľom tohto oznámenia je predložiť Rade a Európskemu parlamentu výsledok technických úprav na rok 2020 v súlade s článkom 6 nariadenia o VFR.</w:t>
      </w:r>
    </w:p>
    <w:p>
      <w:pPr>
        <w:pStyle w:val="Text1"/>
        <w:ind w:left="0"/>
        <w:rPr>
          <w:noProof/>
        </w:rPr>
      </w:pPr>
    </w:p>
    <w:p>
      <w:pPr>
        <w:pStyle w:val="ManualHeading1"/>
        <w:rPr>
          <w:noProof/>
        </w:rPr>
      </w:pPr>
      <w:r>
        <w:rPr>
          <w:noProof/>
        </w:rPr>
        <w:t>2.</w:t>
      </w:r>
      <w:r>
        <w:rPr>
          <w:noProof/>
        </w:rPr>
        <w:tab/>
        <w:t>Podmienky úpravy tabuľky VFR (Príloha – tabuľky 1 – 2)</w:t>
      </w:r>
      <w:bookmarkEnd w:id="2"/>
    </w:p>
    <w:p>
      <w:pPr>
        <w:pStyle w:val="Text1"/>
        <w:rPr>
          <w:noProof/>
        </w:rPr>
      </w:pPr>
      <w:r>
        <w:rPr>
          <w:noProof/>
        </w:rPr>
        <w:t xml:space="preserve">V </w:t>
      </w:r>
      <w:r>
        <w:rPr>
          <w:noProof/>
          <w:u w:val="single"/>
        </w:rPr>
        <w:t>tabuľke 1</w:t>
      </w:r>
      <w:r>
        <w:rPr>
          <w:noProof/>
        </w:rPr>
        <w:t xml:space="preserve"> je finančný rámec pre EÚ28 vyjadrený v cenách roku 2011, ako je uvedený v prílohe I k nariadeniu o VRF, s úpravami podľa článku 3 ods. 1 a článku 5.</w:t>
      </w:r>
    </w:p>
    <w:p>
      <w:pPr>
        <w:pStyle w:val="Text1"/>
        <w:rPr>
          <w:noProof/>
        </w:rPr>
      </w:pPr>
      <w:r>
        <w:rPr>
          <w:noProof/>
        </w:rPr>
        <w:t xml:space="preserve">V </w:t>
      </w:r>
      <w:r>
        <w:rPr>
          <w:noProof/>
          <w:u w:val="single"/>
        </w:rPr>
        <w:t>tabuľke 2</w:t>
      </w:r>
      <w:r>
        <w:rPr>
          <w:noProof/>
        </w:rPr>
        <w:t xml:space="preserve"> je finančný rámec pre EÚ28 upravený pre rok 2020 (t. j. v bežných cenách).</w:t>
      </w:r>
    </w:p>
    <w:p>
      <w:pPr>
        <w:pStyle w:val="Text1"/>
        <w:rPr>
          <w:noProof/>
        </w:rPr>
      </w:pPr>
      <w:r>
        <w:rPr>
          <w:noProof/>
        </w:rPr>
        <w:t>Finančný rámec vyjadrený ako % HND je aktualizovaný na základe najnovších dostupných ekonomických prognóz (z jari 2019) a je upravený podľa článku 3 ods. 1 a článku 5 nariadenia o VFR.</w:t>
      </w:r>
    </w:p>
    <w:p>
      <w:pPr>
        <w:pStyle w:val="ManualHeading2"/>
        <w:rPr>
          <w:noProof/>
        </w:rPr>
      </w:pPr>
      <w:bookmarkStart w:id="3" w:name="_Toc360453127"/>
      <w:r>
        <w:rPr>
          <w:noProof/>
        </w:rPr>
        <w:t>2.1.</w:t>
      </w:r>
      <w:r>
        <w:rPr>
          <w:noProof/>
        </w:rPr>
        <w:tab/>
        <w:t>Celková výška HND</w:t>
      </w:r>
      <w:bookmarkEnd w:id="3"/>
    </w:p>
    <w:p>
      <w:pPr>
        <w:pStyle w:val="Text1"/>
        <w:rPr>
          <w:noProof/>
        </w:rPr>
      </w:pPr>
      <w:r>
        <w:rPr>
          <w:noProof/>
        </w:rPr>
        <w:t>Podľa najnovšej dostupnej prognózy je HND pre EÚ28 na rok 2020 stanovený na úrovni 16 989 408 mil. EUR v bežných cenách. Podľa článku 6 ods. 4 nariadenia o VFR sa v súvislosti s dotknutým rokom nesmú vykonať žiadne ďalšie technické úpravy, a to ani počas tohto roka, ani formou následných korekcií počas nasledujúcich rokov. Preto bola aktualizovaná výška HND podľa ESA 2010 – výlučne na informačné účely – stanovená na úrovni 14 063 162 mil. EUR na rok 2014, 14 754 468 mil. EUR na rok 2015, 14 902 144 mil. EUR na rok 2016, 15 386 916 mil. EUR na rok 2017, 15 886 713 mil. EUR na rok 2018 a 16 427 139 mil. EUR na rok 2019. Strop vlastných zdrojov, ktorý je v súčasnosti stanovený na úrovni 1,20 % HND (ESA 2010), je v tabuľke VFR v prílohe z toho istého dôvodu upravený len pre obdobie od roku 2018. Na rok 2017 a predchádzajúce roky je strop vlastných zdrojov uvedený vo výške 1,23 % HND podľa ESA95.</w:t>
      </w:r>
    </w:p>
    <w:p>
      <w:pPr>
        <w:pStyle w:val="ManualHeading2"/>
        <w:rPr>
          <w:noProof/>
        </w:rPr>
      </w:pPr>
      <w:bookmarkStart w:id="4" w:name="_Toc360453128"/>
      <w:r>
        <w:rPr>
          <w:noProof/>
        </w:rPr>
        <w:t>2.2.</w:t>
      </w:r>
      <w:r>
        <w:rPr>
          <w:noProof/>
        </w:rPr>
        <w:tab/>
        <w:t xml:space="preserve">Najdôležitejšie výsledky technickej úpravy VFR na rok </w:t>
      </w:r>
      <w:bookmarkEnd w:id="4"/>
      <w:r>
        <w:rPr>
          <w:noProof/>
        </w:rPr>
        <w:t>2020</w:t>
      </w:r>
    </w:p>
    <w:p>
      <w:pPr>
        <w:pStyle w:val="Text1"/>
        <w:rPr>
          <w:noProof/>
        </w:rPr>
      </w:pPr>
      <w:r>
        <w:rPr>
          <w:noProof/>
        </w:rPr>
        <w:t>Celkový strop viazaných rozpočtových prostriedkov na rok 2020 (168 797 mil. EUR) predstavuje 0,99 % HND.</w:t>
      </w:r>
    </w:p>
    <w:p>
      <w:pPr>
        <w:pStyle w:val="Text1"/>
        <w:rPr>
          <w:noProof/>
        </w:rPr>
      </w:pPr>
      <w:r>
        <w:rPr>
          <w:noProof/>
        </w:rPr>
        <w:t>Zodpovedajúci celkový strop platobných rozpočtových prostriedkov (172 420 mil. EUR) predstavuje 1,01 % HND.</w:t>
      </w:r>
    </w:p>
    <w:p>
      <w:pPr>
        <w:pStyle w:val="Text1"/>
        <w:rPr>
          <w:noProof/>
        </w:rPr>
      </w:pPr>
      <w:r>
        <w:rPr>
          <w:noProof/>
        </w:rPr>
        <w:t>Na základe najnovších ekonomických prognóz tak v rámci stropu vlastných zdrojov vo výške 1,20 % zostáva rezerva 31 453 mil. EUR (alebo 0,19 % HND pre EÚ28).</w:t>
      </w:r>
    </w:p>
    <w:p>
      <w:pPr>
        <w:pStyle w:val="ManualHeading2"/>
        <w:rPr>
          <w:noProof/>
        </w:rPr>
      </w:pPr>
      <w:r>
        <w:rPr>
          <w:noProof/>
        </w:rPr>
        <w:t>2.3.</w:t>
      </w:r>
      <w:r>
        <w:rPr>
          <w:noProof/>
        </w:rPr>
        <w:tab/>
        <w:t>Úprava čiastkového stropu okruhu 2</w:t>
      </w:r>
    </w:p>
    <w:p>
      <w:pPr>
        <w:pStyle w:val="Text1"/>
        <w:rPr>
          <w:noProof/>
        </w:rPr>
      </w:pPr>
      <w:r>
        <w:rPr>
          <w:noProof/>
        </w:rPr>
        <w:t>Podľa článku 3 ods. 1 nariadenia o VFR sa čiastkový strop okruhu 2 pre výdavky súvisiace s trhom a priame platby (prvý pilier) v období rokov 2014 až 2020 upraví po presunoch medzi prvým a druhým pilierom v súlade s právnym aktom stanovujúcim tieto presuny. Celková výška stropu okruhu 2 sa nemení.</w:t>
      </w:r>
    </w:p>
    <w:p>
      <w:pPr>
        <w:pStyle w:val="Text1"/>
        <w:rPr>
          <w:noProof/>
        </w:rPr>
      </w:pPr>
      <w:r>
        <w:rPr>
          <w:noProof/>
        </w:rPr>
        <w:t>Prvá úprava: Čiastkový strop okruhu 2 bol prvýkrát upravený v rámci technickej úpravy VFR na rok 2015</w:t>
      </w:r>
      <w:r>
        <w:rPr>
          <w:rStyle w:val="FootnoteReference"/>
          <w:noProof/>
        </w:rPr>
        <w:footnoteReference w:id="10"/>
      </w:r>
      <w:r>
        <w:rPr>
          <w:noProof/>
        </w:rPr>
        <w:t>. Táto úprava, ako sa uvádza v prvej tabuľke, bola zohľadnená vo vykonávacom nariadení Komisie (EÚ) č. 367/2014 z 10. apríla 2014</w:t>
      </w:r>
      <w:r>
        <w:rPr>
          <w:rStyle w:val="FootnoteReference"/>
          <w:noProof/>
        </w:rPr>
        <w:footnoteReference w:id="11"/>
      </w:r>
      <w:r>
        <w:rPr>
          <w:noProof/>
        </w:rPr>
        <w:t>.</w:t>
      </w:r>
    </w:p>
    <w:p>
      <w:pPr>
        <w:pStyle w:val="Text1"/>
        <w:rPr>
          <w:noProof/>
        </w:rPr>
      </w:pPr>
      <w:r>
        <w:rPr>
          <w:noProof/>
        </w:rPr>
        <w:t>Druhá úprava: Dve kolá presunov prostriedkov medzi piliermi spoločnej poľnohospodárskej politiky (SPP) boli zohľadnené v rámci technickej úpravy VFR na rok 2016</w:t>
      </w:r>
      <w:r>
        <w:rPr>
          <w:rStyle w:val="FootnoteReference"/>
          <w:noProof/>
        </w:rPr>
        <w:footnoteReference w:id="12"/>
      </w:r>
      <w:r>
        <w:rPr>
          <w:noProof/>
        </w:rPr>
        <w:t xml:space="preserve"> (pozri druhú tabuľku). Tieto presuny zahŕňali pružnosť medzi piliermi v súlade s článkom 136a nariadenia Rady (ES) č. 73/2009</w:t>
      </w:r>
      <w:r>
        <w:rPr>
          <w:rStyle w:val="FootnoteReference"/>
          <w:noProof/>
        </w:rPr>
        <w:footnoteReference w:id="13"/>
      </w:r>
      <w:r>
        <w:rPr>
          <w:noProof/>
        </w:rPr>
        <w:t xml:space="preserve"> a článkom 14 nariadenia (EÚ) č. 1307/2013</w:t>
      </w:r>
      <w:r>
        <w:rPr>
          <w:rStyle w:val="FootnoteReference"/>
          <w:noProof/>
        </w:rPr>
        <w:footnoteReference w:id="14"/>
      </w:r>
      <w:r>
        <w:rPr>
          <w:noProof/>
        </w:rPr>
        <w:t xml:space="preserve"> a aj odhadovaný výsledok zníženia priamych platieb v súlade s článkom 7 ods. 2 nariadenia (EÚ) č. 1307/2013. Prvé kolo presunov je stanovené v delegovanom nariadení Komisie (EÚ) č. 994/2014 z 13. mája 2014</w:t>
      </w:r>
      <w:r>
        <w:rPr>
          <w:rStyle w:val="FootnoteReference"/>
          <w:noProof/>
        </w:rPr>
        <w:footnoteReference w:id="15"/>
      </w:r>
      <w:r>
        <w:rPr>
          <w:noProof/>
        </w:rPr>
        <w:t xml:space="preserve"> a zohľadnené vo vykonávacom nariadení Komisie (EÚ) č. 1089/2014 zo 16. októbra 2014</w:t>
      </w:r>
      <w:r>
        <w:rPr>
          <w:rStyle w:val="FootnoteReference"/>
          <w:noProof/>
        </w:rPr>
        <w:footnoteReference w:id="16"/>
      </w:r>
      <w:r>
        <w:rPr>
          <w:noProof/>
        </w:rPr>
        <w:t>. Druhé kolo presunov je stanovené v delegovanom nariadení Komisie (EÚ) č. 1378/2014 zo 17. októbra 2014</w:t>
      </w:r>
      <w:r>
        <w:rPr>
          <w:rStyle w:val="FootnoteReference"/>
          <w:noProof/>
        </w:rPr>
        <w:footnoteReference w:id="17"/>
      </w:r>
      <w:r>
        <w:rPr>
          <w:noProof/>
        </w:rPr>
        <w:t xml:space="preserve"> a zohľadnené vo vykonávacom nariadení Komisie (EÚ) 2015/141 z 29. januára 2015</w:t>
      </w:r>
      <w:r>
        <w:rPr>
          <w:rStyle w:val="FootnoteReference"/>
          <w:noProof/>
        </w:rPr>
        <w:footnoteReference w:id="18"/>
      </w:r>
      <w:r>
        <w:rPr>
          <w:noProof/>
        </w:rPr>
        <w:t>.</w:t>
      </w:r>
    </w:p>
    <w:p>
      <w:pPr>
        <w:pStyle w:val="Text1"/>
        <w:rPr>
          <w:noProof/>
        </w:rPr>
      </w:pPr>
      <w:r>
        <w:rPr>
          <w:noProof/>
        </w:rPr>
        <w:t>Bola vykonaná malá neplánovaná úprava, keď boli z príkazu vnútroštátneho súdu v roku 2015 zrušené právne predpisy, ktorými sa vykonávajú pravidlá Únie týkajúce sa priamych platieb vo Walese. Táto zmena je stanovená v delegovanom nariadení Komisie (EÚ) 2016/142 z 2. decembra 2015</w:t>
      </w:r>
      <w:r>
        <w:rPr>
          <w:rStyle w:val="FootnoteReference"/>
          <w:noProof/>
        </w:rPr>
        <w:footnoteReference w:id="19"/>
      </w:r>
      <w:r>
        <w:rPr>
          <w:noProof/>
        </w:rPr>
        <w:t xml:space="preserve"> a zohľadnená vo vykonávacom nariadení Komisie (EÚ) 2016/257 z 24. februára 2016</w:t>
      </w:r>
      <w:r>
        <w:rPr>
          <w:rStyle w:val="FootnoteReference"/>
          <w:noProof/>
        </w:rPr>
        <w:footnoteReference w:id="20"/>
      </w:r>
      <w:r>
        <w:rPr>
          <w:noProof/>
        </w:rPr>
        <w:t>.</w:t>
      </w:r>
    </w:p>
    <w:p>
      <w:pPr>
        <w:pStyle w:val="Text1"/>
        <w:rPr>
          <w:noProof/>
        </w:rPr>
      </w:pPr>
      <w:r>
        <w:rPr>
          <w:noProof/>
        </w:rPr>
        <w:t>Preskúmanie presunov medzi piliermi v súvislosti s rozpočtovými rokmi 2019 a 2020 bolo Komisii oznámené k 1. augustu 2017, stanovené v delegovanom nariadení Komisie (EÚ) 162/2018 z 23. novembra 2017</w:t>
      </w:r>
      <w:r>
        <w:rPr>
          <w:rStyle w:val="FootnoteReference"/>
          <w:noProof/>
        </w:rPr>
        <w:footnoteReference w:id="21"/>
      </w:r>
      <w:r>
        <w:rPr>
          <w:noProof/>
        </w:rPr>
        <w:t xml:space="preserve"> a zohľadnené vo vykonávacom nariadení Komisie (EÚ) 2018/288 z 19. februára 2018</w:t>
      </w:r>
      <w:r>
        <w:rPr>
          <w:rStyle w:val="FootnoteReference"/>
          <w:noProof/>
        </w:rPr>
        <w:footnoteReference w:id="22"/>
      </w:r>
      <w:r>
        <w:rPr>
          <w:noProof/>
        </w:rPr>
        <w:t xml:space="preserve"> (pozri štvrtú tabuľku nižšie).</w:t>
      </w:r>
    </w:p>
    <w:p>
      <w:pPr>
        <w:pStyle w:val="Text1"/>
        <w:rPr>
          <w:noProof/>
        </w:rPr>
      </w:pPr>
      <w:r>
        <w:rPr>
          <w:noProof/>
        </w:rPr>
        <w:t>Lehota na predloženie oznámení o poslednom kole presunov v rámci tohto VFR Komisii uplynula 1. augusta 2018. Jeden členský štát oznámil Komisii svoje rozhodnutie znížiť výšku priamych platieb a odhadovaný výsledok zníženia. Tento výsledok bol stanovený v delegovanom nariadení Komisie (EÚ) 2019/71 z 9. novembra 2018</w:t>
      </w:r>
      <w:r>
        <w:rPr>
          <w:rStyle w:val="FootnoteReference"/>
          <w:noProof/>
        </w:rPr>
        <w:footnoteReference w:id="23"/>
      </w:r>
      <w:r>
        <w:rPr>
          <w:noProof/>
        </w:rPr>
        <w:t xml:space="preserve"> a je zohľadnený vo vykonávacom nariadení Komisie (EÚ) 2019/445 z 19. marca 2019</w:t>
      </w:r>
      <w:r>
        <w:rPr>
          <w:rStyle w:val="FootnoteReference"/>
          <w:noProof/>
        </w:rPr>
        <w:footnoteReference w:id="24"/>
      </w:r>
      <w:r>
        <w:rPr>
          <w:noProof/>
        </w:rPr>
        <w:t xml:space="preserve"> (pozri piatu tabuľku nižšie).</w:t>
      </w:r>
    </w:p>
    <w:p>
      <w:pPr>
        <w:pStyle w:val="Text1"/>
        <w:ind w:left="0"/>
        <w:rPr>
          <w:noProof/>
        </w:rPr>
      </w:pPr>
    </w:p>
    <w:p>
      <w:pPr>
        <w:pStyle w:val="Text1"/>
        <w:ind w:left="0"/>
        <w:rPr>
          <w:noProof/>
        </w:rPr>
      </w:pPr>
      <w:r>
        <w:rPr>
          <w:noProof/>
          <w:lang w:val="en-GB" w:eastAsia="en-GB" w:bidi="ar-SA"/>
        </w:rPr>
        <w:drawing>
          <wp:inline distT="0" distB="0" distL="0" distR="0">
            <wp:extent cx="5761355" cy="445763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4457631"/>
                    </a:xfrm>
                    <a:prstGeom prst="rect">
                      <a:avLst/>
                    </a:prstGeom>
                    <a:noFill/>
                    <a:ln>
                      <a:noFill/>
                    </a:ln>
                  </pic:spPr>
                </pic:pic>
              </a:graphicData>
            </a:graphic>
          </wp:inline>
        </w:drawing>
      </w:r>
    </w:p>
    <w:p>
      <w:pPr>
        <w:pStyle w:val="Text1"/>
        <w:ind w:left="0"/>
        <w:rPr>
          <w:noProof/>
        </w:rPr>
      </w:pPr>
      <w:r>
        <w:rPr>
          <w:noProof/>
          <w:lang w:val="en-GB" w:eastAsia="en-GB" w:bidi="ar-SA"/>
        </w:rPr>
        <w:drawing>
          <wp:inline distT="0" distB="0" distL="0" distR="0">
            <wp:extent cx="5761355" cy="96983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969835"/>
                    </a:xfrm>
                    <a:prstGeom prst="rect">
                      <a:avLst/>
                    </a:prstGeom>
                    <a:noFill/>
                    <a:ln>
                      <a:noFill/>
                    </a:ln>
                  </pic:spPr>
                </pic:pic>
              </a:graphicData>
            </a:graphic>
          </wp:inline>
        </w:drawing>
      </w:r>
    </w:p>
    <w:p>
      <w:pPr>
        <w:pStyle w:val="Text1"/>
        <w:rPr>
          <w:noProof/>
        </w:rPr>
      </w:pPr>
      <w:r>
        <w:rPr>
          <w:noProof/>
        </w:rPr>
        <w:t>Úpravu čiastkového stropu okruhu 2 v bežných cenách treba vyjadriť v cenách roku 2011, aby bolo možné tabuľku VFR vyjadrenú v cenách roku 2011 technicky upraviť. Na tento účel sa čistý zostatok najprv transformuje na ceny roku 2011 s použitím fixného deflátora vo výške 2 %. Výsledok sa potom zaokrúhli nahor, čím sa získa výška upraveného čiastkového stropu, keďže stropy VFR sú vyjadrené len v miliónoch EUR. Len takýmto zaokrúhľovaním nahor možno zaručiť, že čiastkový strop VFR bude vždy vyšší ako čistý zostatok, ktorý je k dispozícii pre výdavky v rámci Európskeho poľnohospodárskeho a záručného fondu (EPZF). Výsledný malý rozdiel nepredstavuje disponibilnú rezervu, ale je výlučne dôsledkom zaokrúhľovania, keďže všetky číselné údaje v tabuľke VFR musia byť vyjadrené v miliónoch EUR. Komisia bude pri každom ročnom rozpočte používať presné výšky čistého zostatku, ktorý je k dispozícii na výdavky EPFZ. Rovnaký prístup sa uplatnil pri predchádzajúcej technickej úprave VFR.</w:t>
      </w:r>
    </w:p>
    <w:p>
      <w:pPr>
        <w:pStyle w:val="Text1"/>
        <w:rPr>
          <w:noProof/>
        </w:rPr>
      </w:pPr>
      <w:r>
        <w:rPr>
          <w:noProof/>
        </w:rPr>
        <w:t>V nasledujúcej tabuľke je uvedený čistý výsledok presunov medzi dvomi piliermi SPP a ich vplyv na čiastkový strop okruhu 2.</w:t>
      </w:r>
    </w:p>
    <w:p>
      <w:pPr>
        <w:pStyle w:val="Text1"/>
        <w:ind w:left="0"/>
        <w:rPr>
          <w:noProof/>
        </w:rPr>
      </w:pPr>
      <w:r>
        <w:rPr>
          <w:noProof/>
          <w:lang w:val="en-GB" w:eastAsia="en-GB" w:bidi="ar-SA"/>
        </w:rPr>
        <w:drawing>
          <wp:inline distT="0" distB="0" distL="0" distR="0">
            <wp:extent cx="5761355" cy="349204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3492041"/>
                    </a:xfrm>
                    <a:prstGeom prst="rect">
                      <a:avLst/>
                    </a:prstGeom>
                    <a:noFill/>
                    <a:ln>
                      <a:noFill/>
                    </a:ln>
                  </pic:spPr>
                </pic:pic>
              </a:graphicData>
            </a:graphic>
          </wp:inline>
        </w:drawing>
      </w:r>
    </w:p>
    <w:p>
      <w:pPr>
        <w:pStyle w:val="Text1"/>
        <w:rPr>
          <w:noProof/>
        </w:rPr>
      </w:pPr>
    </w:p>
    <w:p>
      <w:pPr>
        <w:pStyle w:val="ManualHeading1"/>
        <w:rPr>
          <w:noProof/>
          <w:spacing w:val="-4"/>
        </w:rPr>
      </w:pPr>
      <w:bookmarkStart w:id="5" w:name="_Toc360453129"/>
      <w:r>
        <w:rPr>
          <w:noProof/>
        </w:rPr>
        <w:t>3.</w:t>
      </w:r>
      <w:r>
        <w:rPr>
          <w:noProof/>
        </w:rPr>
        <w:tab/>
      </w:r>
      <w:r>
        <w:rPr>
          <w:noProof/>
          <w:spacing w:val="-4"/>
        </w:rPr>
        <w:t>Celková rezerva pre platby</w:t>
      </w:r>
      <w:bookmarkEnd w:id="5"/>
    </w:p>
    <w:p>
      <w:pPr>
        <w:pStyle w:val="Text1"/>
        <w:rPr>
          <w:noProof/>
          <w:spacing w:val="-4"/>
        </w:rPr>
      </w:pPr>
      <w:r>
        <w:rPr>
          <w:noProof/>
          <w:spacing w:val="-4"/>
        </w:rPr>
        <w:t>Podľa článku 5 nariadenia o VFR Komisia upraví strop platieb na roky 2015 – 2020 smerom nahor o sumu rovnajúcu sa rozdielu medzi vykonanými platbami a stropom platieb viacročného finančného rámca na rok n – 1. Akákoľvek úprava smerom nahor sa v plnom rozsahu kompenzuje zodpovedajúcim znížením stropu platieb na rok n – 1 v stálych cenách roku 2011.</w:t>
      </w:r>
    </w:p>
    <w:p>
      <w:pPr>
        <w:pStyle w:val="Text1"/>
        <w:rPr>
          <w:noProof/>
          <w:spacing w:val="-4"/>
        </w:rPr>
      </w:pPr>
      <w:r>
        <w:rPr>
          <w:noProof/>
          <w:spacing w:val="-4"/>
        </w:rPr>
        <w:t>V technickej úprave na rok 2016 sa zostávajúca rezerva z roku 2014 (104 mil. EUR v bežných cenách) presunula do roku 2015 (106 mil. EUR v bežných cenách) a stropy boli zodpovedajúcim spôsobom upravené. V technickej úprave na rok 2017 sa zostávajúca rezerva z roku 2015 (1 288 mil. EUR) presunula do rokov 2018 – 2020. V technickej úprave na rok 2018 sa zostávajúca rezerva z roku 2016 (13 991 mil. EUR) presunula do rokov 2018 – 2020. V technickej úprave na rok 2019 sa zostávajúca rezerva z roku 2017 (16 414 mil. EUR) presunula do rokov 2019 – 2020. V tohtoročnej technickej úprave je vypočítaná celková rezerva pre platby na rok 2018.</w:t>
      </w:r>
    </w:p>
    <w:p>
      <w:pPr>
        <w:pStyle w:val="Text1"/>
        <w:rPr>
          <w:noProof/>
          <w:spacing w:val="-4"/>
        </w:rPr>
      </w:pPr>
      <w:r>
        <w:rPr>
          <w:noProof/>
          <w:spacing w:val="-4"/>
        </w:rPr>
        <w:t>K platbám týkajúcim sa iných osobitných nástrojov sa pristupuje ako k platbám, ktoré sú nad rámec stropov VFR. Strop platieb na rok 2018 bol 154 565 mil. EUR v bežných cenách. Platby vykonané v roku 2018 dosahujú výšku 144 369,8 mil. EUR. Táto suma pozostáva z vyplatených platobných rozpočtových prostriedkov schválených v rozpočte na rok 2018 (142 694,6 mil. EUR) a rozpočtových prostriedkov prenesených z roku 2018 do roku 2019 (1 675,1 mil. EUR). Platby týkajúce sa osobitných nástrojov sú vyňaté z plnenia (suma 1 060,8 mil. EUR pozostávajúca z uhradených platieb vo výške 1 060,6 mil. EUR a z prenesených 0,2 mil. EUR). Plnenie zohľadnené pri výpočte celkovej rezervy pre platby je teda 143 309,0 mil. EUR (142 694,6 mil. EUR + 1 675,1 mil. EUR – 1 060,8 mil. EUR).</w:t>
      </w:r>
    </w:p>
    <w:p>
      <w:pPr>
        <w:pStyle w:val="Text1"/>
        <w:rPr>
          <w:noProof/>
          <w:spacing w:val="-4"/>
        </w:rPr>
      </w:pPr>
      <w:r>
        <w:rPr>
          <w:noProof/>
          <w:spacing w:val="-4"/>
        </w:rPr>
        <w:t>Všetky prenosy z roku 2017 do roku 2018 boli na účely výpočtu celkovej rezervy pre platby na rok 2017 považované za vykonané, ale nie všetky boli skutočne vykonané. Prepadnuté prenosy sa teda musia pridať do výpočtu, pretože v skutočnosti znamenajú, že plnenie bolo nižšie. Prepadnuté prenosy z roku 2017 do roku 2018 predstavujú 129,7 mil. EUR, z toho 0,07 mil. EUR pripadá na osobitné nástroje. Celková výška prepadnutých prenosov, ktoré boli zohľadnené, je teda 129,6 mil. EUR.</w:t>
      </w:r>
    </w:p>
    <w:p>
      <w:pPr>
        <w:pStyle w:val="Text1"/>
        <w:rPr>
          <w:noProof/>
          <w:spacing w:val="-4"/>
        </w:rPr>
      </w:pPr>
      <w:r>
        <w:rPr>
          <w:noProof/>
          <w:spacing w:val="-4"/>
        </w:rPr>
        <w:t>Zostávajúca rezerva v rámci stropu platieb na rok 2018 predstavuje 11 385,5 mil. EUR v bežných cenách (t. j. 154 566 mil. EUR – 143 309,0 mil. EUR + 129,6 mil. EUR).</w:t>
      </w:r>
    </w:p>
    <w:p>
      <w:pPr>
        <w:pStyle w:val="Text1"/>
        <w:rPr>
          <w:noProof/>
          <w:spacing w:val="-4"/>
        </w:rPr>
      </w:pPr>
      <w:r>
        <w:rPr>
          <w:noProof/>
          <w:spacing w:val="-4"/>
        </w:rPr>
        <w:t>V dôsledku presunov celkovej rezervy pre platby v predchádzajúcich rokoch sa do roku 2020 presúva len 183 mil. EUR (v cenách roku 2011), t. j. suma, ktorá zostáva, do dosiahnutia prahovej hodnoty 13 mld. EUR. Výsledkom je nezmenený celkový strop platieb na roky 2014 – 2020 v cenách roku 2011 a zvýšenie celkového stropu platieb o 9 mil. EUR v bežných cenách.</w:t>
      </w:r>
    </w:p>
    <w:p>
      <w:pPr>
        <w:pStyle w:val="Text1"/>
        <w:rPr>
          <w:noProof/>
          <w:spacing w:val="-4"/>
        </w:rPr>
      </w:pPr>
      <w:r>
        <w:rPr>
          <w:noProof/>
          <w:spacing w:val="-4"/>
        </w:rPr>
        <w:t>V nasledujúcej tabuľke sú uvedené podrobné údaje o výpočte celkovej rezervy pre platby na rok 2018.</w:t>
      </w:r>
    </w:p>
    <w:p>
      <w:pPr>
        <w:pStyle w:val="Text1"/>
        <w:ind w:left="0"/>
        <w:jc w:val="center"/>
        <w:rPr>
          <w:noProof/>
        </w:rPr>
      </w:pPr>
      <w:r>
        <w:rPr>
          <w:noProof/>
          <w:lang w:val="en-GB" w:eastAsia="en-GB" w:bidi="ar-SA"/>
        </w:rPr>
        <w:drawing>
          <wp:inline distT="0" distB="0" distL="0" distR="0">
            <wp:extent cx="5761355" cy="539621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5396218"/>
                    </a:xfrm>
                    <a:prstGeom prst="rect">
                      <a:avLst/>
                    </a:prstGeom>
                    <a:noFill/>
                    <a:ln>
                      <a:noFill/>
                    </a:ln>
                  </pic:spPr>
                </pic:pic>
              </a:graphicData>
            </a:graphic>
          </wp:inline>
        </w:drawing>
      </w:r>
    </w:p>
    <w:p>
      <w:pPr>
        <w:pStyle w:val="Text1"/>
        <w:keepNext/>
        <w:ind w:left="851"/>
        <w:rPr>
          <w:noProof/>
        </w:rPr>
      </w:pPr>
      <w:r>
        <w:rPr>
          <w:noProof/>
        </w:rPr>
        <w:t>V nasledujúcej tabuľke sú uvedené zodpovedajúce úpravy stropov platieb:</w:t>
      </w:r>
    </w:p>
    <w:p>
      <w:pPr>
        <w:pStyle w:val="Text1"/>
        <w:ind w:left="0"/>
        <w:jc w:val="center"/>
        <w:rPr>
          <w:noProof/>
        </w:rPr>
      </w:pPr>
      <w:bookmarkStart w:id="6" w:name="_Toc360453132"/>
      <w:r>
        <w:rPr>
          <w:noProof/>
          <w:lang w:val="en-GB" w:eastAsia="en-GB" w:bidi="ar-SA"/>
        </w:rPr>
        <w:drawing>
          <wp:inline distT="0" distB="0" distL="0" distR="0">
            <wp:extent cx="5761355" cy="46764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4676422"/>
                    </a:xfrm>
                    <a:prstGeom prst="rect">
                      <a:avLst/>
                    </a:prstGeom>
                    <a:noFill/>
                    <a:ln>
                      <a:noFill/>
                    </a:ln>
                  </pic:spPr>
                </pic:pic>
              </a:graphicData>
            </a:graphic>
          </wp:inline>
        </w:drawing>
      </w:r>
    </w:p>
    <w:p>
      <w:pPr>
        <w:pStyle w:val="Text1"/>
        <w:ind w:left="0"/>
        <w:jc w:val="center"/>
        <w:rPr>
          <w:noProof/>
        </w:rPr>
      </w:pPr>
    </w:p>
    <w:p>
      <w:pPr>
        <w:pStyle w:val="ManualHeading1"/>
        <w:rPr>
          <w:noProof/>
        </w:rPr>
      </w:pPr>
      <w:r>
        <w:rPr>
          <w:noProof/>
        </w:rPr>
        <w:t>4.</w:t>
      </w:r>
      <w:r>
        <w:rPr>
          <w:noProof/>
        </w:rPr>
        <w:tab/>
        <w:t>Osobitné nástroje</w:t>
      </w:r>
      <w:bookmarkEnd w:id="6"/>
    </w:p>
    <w:p>
      <w:pPr>
        <w:pStyle w:val="Text1"/>
        <w:rPr>
          <w:noProof/>
        </w:rPr>
      </w:pPr>
      <w:r>
        <w:rPr>
          <w:noProof/>
        </w:rPr>
        <w:t>Je k dispozícii niekoľko nástrojov, na ktoré sa nevzťahujú výdavkové stropy schválené vo finančnom rámci na roky 2014 – 2020. Cieľom týchto nástrojov je umožniť rýchlu reakciu na mimoriadne alebo nepredvídané udalosti a v rámci určitých limitov zaistiť istú flexibilitu nad rámec schválených výdavkových stropov.</w:t>
      </w:r>
    </w:p>
    <w:p>
      <w:pPr>
        <w:pStyle w:val="Text1"/>
        <w:rPr>
          <w:noProof/>
        </w:rPr>
      </w:pPr>
    </w:p>
    <w:p>
      <w:pPr>
        <w:pStyle w:val="ManualHeading2"/>
        <w:rPr>
          <w:noProof/>
        </w:rPr>
      </w:pPr>
      <w:bookmarkStart w:id="7" w:name="_Toc360453133"/>
      <w:r>
        <w:rPr>
          <w:noProof/>
        </w:rPr>
        <w:t>4.1.</w:t>
      </w:r>
      <w:r>
        <w:rPr>
          <w:noProof/>
        </w:rPr>
        <w:tab/>
        <w:t>Rezerva na núdzovú pomoc</w:t>
      </w:r>
      <w:bookmarkEnd w:id="7"/>
    </w:p>
    <w:p>
      <w:pPr>
        <w:pStyle w:val="Text1"/>
        <w:rPr>
          <w:noProof/>
        </w:rPr>
      </w:pPr>
      <w:r>
        <w:rPr>
          <w:noProof/>
        </w:rPr>
        <w:t xml:space="preserve">Podľa článku 9 zmeneného nariadenia o VFR môže byť </w:t>
      </w:r>
      <w:r>
        <w:rPr>
          <w:i/>
          <w:noProof/>
        </w:rPr>
        <w:t>rezerva na núdzovú pomoc</w:t>
      </w:r>
      <w:r>
        <w:rPr>
          <w:noProof/>
        </w:rPr>
        <w:t xml:space="preserve"> mobilizovaná do maximálnej výšky 300 mil. EUR ročne v cenách roku 2011 alebo do výšky 358,5 mil. EUR v roku 2020 v bežných cenách (2 301,4 mil. EUR v bežných cenách na celé obdobie). Nevyužitá časť sumy prostriedkov z predchádzajúceho roka sa môže preniesť do nasledujúceho roka. Prenos z roku 2018 do roku 2019 predstavuje 34,1 mil. EUR.</w:t>
      </w:r>
    </w:p>
    <w:p>
      <w:pPr>
        <w:pStyle w:val="Text1"/>
        <w:rPr>
          <w:noProof/>
        </w:rPr>
      </w:pPr>
      <w:r>
        <w:rPr>
          <w:noProof/>
        </w:rPr>
        <w:t>V nasledujúcej tabuľke sú uvedené podrobné údaje o ročných disponibilných a využitých prostriedkoch rezervy na núdzovú pomoc od roku 2014:</w:t>
      </w:r>
    </w:p>
    <w:p>
      <w:pPr>
        <w:pStyle w:val="ManualHeading2"/>
        <w:rPr>
          <w:noProof/>
        </w:rPr>
      </w:pPr>
      <w:bookmarkStart w:id="8" w:name="_Toc360453134"/>
      <w:r>
        <w:rPr>
          <w:noProof/>
          <w:lang w:val="en-GB" w:eastAsia="en-GB" w:bidi="ar-SA"/>
        </w:rPr>
        <w:drawing>
          <wp:inline distT="0" distB="0" distL="0" distR="0">
            <wp:extent cx="5761355" cy="1251494"/>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1251494"/>
                    </a:xfrm>
                    <a:prstGeom prst="rect">
                      <a:avLst/>
                    </a:prstGeom>
                    <a:noFill/>
                    <a:ln>
                      <a:noFill/>
                    </a:ln>
                  </pic:spPr>
                </pic:pic>
              </a:graphicData>
            </a:graphic>
          </wp:inline>
        </w:drawing>
      </w:r>
    </w:p>
    <w:p>
      <w:pPr>
        <w:pStyle w:val="ManualHeading2"/>
        <w:rPr>
          <w:noProof/>
        </w:rPr>
      </w:pPr>
      <w:r>
        <w:rPr>
          <w:noProof/>
        </w:rPr>
        <w:t>4.2.</w:t>
      </w:r>
      <w:r>
        <w:rPr>
          <w:noProof/>
        </w:rPr>
        <w:tab/>
        <w:t>Fond solidarity Európskej únie</w:t>
      </w:r>
      <w:bookmarkEnd w:id="8"/>
    </w:p>
    <w:p>
      <w:pPr>
        <w:pStyle w:val="Text1"/>
        <w:rPr>
          <w:noProof/>
        </w:rPr>
      </w:pPr>
      <w:r>
        <w:rPr>
          <w:noProof/>
        </w:rPr>
        <w:t xml:space="preserve">Podľa článku 10 nariadenia o VFR môže byť </w:t>
      </w:r>
      <w:r>
        <w:rPr>
          <w:i/>
          <w:noProof/>
        </w:rPr>
        <w:t>Fond solidarity Európskej únie</w:t>
      </w:r>
      <w:r>
        <w:rPr>
          <w:noProof/>
        </w:rPr>
        <w:t xml:space="preserve"> mobilizovaný do maximálnej výšky 500 mil. EUR ročne v cenách roku 2011 alebo do výšky 597,5 mil. EUR v roku 2020 v bežných cenách (3 944,7 mil. EUR v bežných cenách na celé obdobie). Nevyužitá časť sumy prostriedkov z predchádzajúceho roka sa môže preniesť do nasledujúceho roka. Prenos z roku 2018 do roku 2019 predstavuje 265,3 mil. EUR. Na konci roku 2018 žiadna suma neprepadla. Suma 294 mil. EUR z časti pripadajúcej na rok 2018 bola predsunutá do roku 2017 s cieľom poskytnúť dostatočné finančné prostriedky na pokrytie potrieb (zemetrasenia v Taliansku).</w:t>
      </w:r>
    </w:p>
    <w:p>
      <w:pPr>
        <w:pStyle w:val="Text1"/>
        <w:rPr>
          <w:noProof/>
        </w:rPr>
      </w:pPr>
      <w:r>
        <w:rPr>
          <w:noProof/>
        </w:rPr>
        <w:t>V nasledujúcej tabuľke sú uvedené podrobné údaje o ročných disponibilných a využitých prostriedkoch FSEÚ od roku 2014:</w:t>
      </w:r>
    </w:p>
    <w:p>
      <w:pPr>
        <w:pStyle w:val="ManualHeading2"/>
        <w:rPr>
          <w:noProof/>
        </w:rPr>
      </w:pPr>
      <w:bookmarkStart w:id="9" w:name="_Toc360453135"/>
      <w:r>
        <w:rPr>
          <w:noProof/>
          <w:lang w:val="en-GB" w:eastAsia="en-GB" w:bidi="ar-SA"/>
        </w:rPr>
        <w:drawing>
          <wp:inline distT="0" distB="0" distL="0" distR="0">
            <wp:extent cx="5761355" cy="139061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1390612"/>
                    </a:xfrm>
                    <a:prstGeom prst="rect">
                      <a:avLst/>
                    </a:prstGeom>
                    <a:noFill/>
                    <a:ln>
                      <a:noFill/>
                    </a:ln>
                  </pic:spPr>
                </pic:pic>
              </a:graphicData>
            </a:graphic>
          </wp:inline>
        </w:drawing>
      </w:r>
    </w:p>
    <w:p>
      <w:pPr>
        <w:pStyle w:val="ManualHeading2"/>
        <w:rPr>
          <w:noProof/>
        </w:rPr>
      </w:pPr>
      <w:r>
        <w:rPr>
          <w:noProof/>
        </w:rPr>
        <w:t>4.3.</w:t>
      </w:r>
      <w:r>
        <w:rPr>
          <w:noProof/>
        </w:rPr>
        <w:tab/>
        <w:t>Nástroj flexibility</w:t>
      </w:r>
      <w:bookmarkEnd w:id="9"/>
    </w:p>
    <w:p>
      <w:pPr>
        <w:pStyle w:val="Text1"/>
        <w:rPr>
          <w:noProof/>
        </w:rPr>
      </w:pPr>
      <w:r>
        <w:rPr>
          <w:noProof/>
        </w:rPr>
        <w:t xml:space="preserve">Podľa článku 11 nariadenia o VFR môže byť </w:t>
      </w:r>
      <w:r>
        <w:rPr>
          <w:i/>
          <w:noProof/>
        </w:rPr>
        <w:t>nástroj flexibility</w:t>
      </w:r>
      <w:r>
        <w:rPr>
          <w:noProof/>
        </w:rPr>
        <w:t xml:space="preserve"> mobilizovaný do maximálnej výšky 600 mil. EUR ročne v cenách roku 2011 alebo do výšky 717 mil. EUR v roku 2020 v bežných cenách (4 315 mil. EUR v bežných cenách na celé obdobie). Časť nevyužitých ročných súm z predchádzajúcich 3 rokov sa môže preniesť.</w:t>
      </w:r>
    </w:p>
    <w:p>
      <w:pPr>
        <w:pStyle w:val="Text1"/>
        <w:rPr>
          <w:noProof/>
        </w:rPr>
      </w:pPr>
      <w:r>
        <w:rPr>
          <w:noProof/>
        </w:rPr>
        <w:t xml:space="preserve">V súlade s článkom 6 ods. 1 písm. f) odkazujúcim na článok 11 ods. 1 druhý pododsek sa </w:t>
      </w:r>
      <w:r>
        <w:rPr>
          <w:i/>
          <w:noProof/>
        </w:rPr>
        <w:t>každý rok, počnúc rokom 2017, ročná suma, ktorá je k dispozícii pre nástroj flexibility, zvýši o </w:t>
      </w:r>
      <w:r>
        <w:rPr>
          <w:noProof/>
        </w:rPr>
        <w:t>sumy zodpovedajúce časti ročnej sumy prostriedkov pre Fond solidarity Európskej únie a Európsky fond na prispôsobenie sa globalizácii, ktoré prepadli v predchádzajúcom roku.</w:t>
      </w:r>
    </w:p>
    <w:p>
      <w:pPr>
        <w:pStyle w:val="Text1"/>
        <w:rPr>
          <w:noProof/>
        </w:rPr>
      </w:pPr>
      <w:r>
        <w:rPr>
          <w:noProof/>
        </w:rPr>
        <w:t>V nasledujúcej tabuľke sú uvedené podrobné údaje o ročných disponibilných a využitých prostriedkoch nástroja flexibility od roku 2014:</w:t>
      </w:r>
    </w:p>
    <w:p>
      <w:pPr>
        <w:pStyle w:val="Text1"/>
        <w:ind w:left="0"/>
        <w:rPr>
          <w:noProof/>
        </w:rPr>
      </w:pPr>
      <w:r>
        <w:rPr>
          <w:noProof/>
          <w:lang w:val="en-GB" w:eastAsia="en-GB" w:bidi="ar-SA"/>
        </w:rPr>
        <w:drawing>
          <wp:inline distT="0" distB="0" distL="0" distR="0">
            <wp:extent cx="5761355" cy="1598105"/>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1598105"/>
                    </a:xfrm>
                    <a:prstGeom prst="rect">
                      <a:avLst/>
                    </a:prstGeom>
                    <a:noFill/>
                    <a:ln>
                      <a:noFill/>
                    </a:ln>
                  </pic:spPr>
                </pic:pic>
              </a:graphicData>
            </a:graphic>
          </wp:inline>
        </w:drawing>
      </w:r>
    </w:p>
    <w:p>
      <w:pPr>
        <w:pStyle w:val="ManualHeading2"/>
        <w:rPr>
          <w:noProof/>
        </w:rPr>
      </w:pPr>
      <w:bookmarkStart w:id="10" w:name="_Toc360453136"/>
      <w:r>
        <w:rPr>
          <w:noProof/>
        </w:rPr>
        <w:t>4.4.</w:t>
      </w:r>
      <w:r>
        <w:rPr>
          <w:noProof/>
        </w:rPr>
        <w:tab/>
        <w:t>Európsky fond na prispôsobenie sa globalizácii</w:t>
      </w:r>
      <w:bookmarkEnd w:id="10"/>
    </w:p>
    <w:p>
      <w:pPr>
        <w:pStyle w:val="Text1"/>
        <w:rPr>
          <w:noProof/>
        </w:rPr>
      </w:pPr>
      <w:r>
        <w:rPr>
          <w:noProof/>
        </w:rPr>
        <w:t xml:space="preserve">Podľa článku 12 nariadenia o VFR môže byť </w:t>
      </w:r>
      <w:r>
        <w:rPr>
          <w:i/>
          <w:noProof/>
        </w:rPr>
        <w:t>Európsky fond na prispôsobenie sa globalizácii</w:t>
      </w:r>
      <w:r>
        <w:rPr>
          <w:noProof/>
        </w:rPr>
        <w:t xml:space="preserve"> mobilizovaný do maximálnej výšky 150 mil. EUR ročne v cenách roku 2011 alebo do výšky 179,3 mil. EUR v roku 2020 v bežných cenách (1 183,4 mil. EUR v bežných cenách na celé obdobie). Nevyužité sumy z predchádzajúceho roka nemožno preniesť. Suma 144 mil. EUR prepadnutá na konci roka 2018 sa použije na zvýšenie rozpočtových prostriedkov pre nástroj flexibility v roku 2019.</w:t>
      </w:r>
    </w:p>
    <w:p>
      <w:pPr>
        <w:pStyle w:val="Text1"/>
        <w:rPr>
          <w:noProof/>
        </w:rPr>
      </w:pPr>
      <w:r>
        <w:rPr>
          <w:noProof/>
        </w:rPr>
        <w:t>V nasledujúcej tabuľke sú uvedené podrobné údaje o ročných disponibilných a využitých prostriedkoch EGF od roku 2014:</w:t>
      </w:r>
    </w:p>
    <w:p>
      <w:pPr>
        <w:pStyle w:val="ManualHeading2"/>
        <w:rPr>
          <w:noProof/>
        </w:rPr>
      </w:pPr>
      <w:bookmarkStart w:id="11" w:name="_Toc360453137"/>
      <w:r>
        <w:rPr>
          <w:noProof/>
          <w:lang w:val="en-GB" w:eastAsia="en-GB" w:bidi="ar-SA"/>
        </w:rPr>
        <w:drawing>
          <wp:inline distT="0" distB="0" distL="0" distR="0">
            <wp:extent cx="5761355" cy="9732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973256"/>
                    </a:xfrm>
                    <a:prstGeom prst="rect">
                      <a:avLst/>
                    </a:prstGeom>
                    <a:noFill/>
                    <a:ln>
                      <a:noFill/>
                    </a:ln>
                  </pic:spPr>
                </pic:pic>
              </a:graphicData>
            </a:graphic>
          </wp:inline>
        </w:drawing>
      </w:r>
    </w:p>
    <w:p>
      <w:pPr>
        <w:pStyle w:val="ManualHeading2"/>
        <w:rPr>
          <w:noProof/>
        </w:rPr>
      </w:pPr>
      <w:r>
        <w:rPr>
          <w:noProof/>
        </w:rPr>
        <w:t>4.5.</w:t>
      </w:r>
      <w:r>
        <w:rPr>
          <w:noProof/>
        </w:rPr>
        <w:tab/>
        <w:t>Rezerva na nepredvídané udalosti</w:t>
      </w:r>
      <w:bookmarkEnd w:id="11"/>
    </w:p>
    <w:p>
      <w:pPr>
        <w:pStyle w:val="Text1"/>
        <w:rPr>
          <w:bCs/>
          <w:noProof/>
        </w:rPr>
      </w:pPr>
      <w:r>
        <w:rPr>
          <w:noProof/>
        </w:rPr>
        <w:t>Podľa článku 13 nariadenia o VFR sa vytvorí rezerva na nepredvídané udalosti do výšky 0,03 % hrubého národného dôchodku Únie mimo stropov finančného rámca na roky 2014 – 2020.</w:t>
      </w:r>
    </w:p>
    <w:p>
      <w:pPr>
        <w:pStyle w:val="Text1"/>
        <w:rPr>
          <w:bCs/>
          <w:noProof/>
        </w:rPr>
      </w:pPr>
      <w:r>
        <w:rPr>
          <w:noProof/>
        </w:rPr>
        <w:t>Absolútna výška rezervy na nepredvídané udalosti na rok 2020 predstavuje 5 096,8 mil. EUR.</w:t>
      </w:r>
    </w:p>
    <w:p>
      <w:pPr>
        <w:pStyle w:val="Text1"/>
        <w:rPr>
          <w:noProof/>
        </w:rPr>
      </w:pPr>
      <w:r>
        <w:rPr>
          <w:noProof/>
        </w:rPr>
        <w:t>V nasledujúcej tabuľke sú uvedené podrobné údaje o ročných disponibilných a využitých prostriedkoch rezervy na nepredvídané udalosti od roku 2014:</w:t>
      </w:r>
    </w:p>
    <w:p>
      <w:pPr>
        <w:pStyle w:val="ManualHeading2"/>
        <w:rPr>
          <w:noProof/>
        </w:rPr>
      </w:pPr>
      <w:bookmarkStart w:id="12" w:name="_Toc360453131"/>
      <w:r>
        <w:rPr>
          <w:noProof/>
          <w:lang w:val="en-GB" w:eastAsia="en-GB" w:bidi="ar-SA"/>
        </w:rPr>
        <w:drawing>
          <wp:inline distT="0" distB="0" distL="0" distR="0">
            <wp:extent cx="5761355" cy="140107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1401072"/>
                    </a:xfrm>
                    <a:prstGeom prst="rect">
                      <a:avLst/>
                    </a:prstGeom>
                    <a:noFill/>
                    <a:ln>
                      <a:noFill/>
                    </a:ln>
                  </pic:spPr>
                </pic:pic>
              </a:graphicData>
            </a:graphic>
          </wp:inline>
        </w:drawing>
      </w:r>
      <w:r>
        <w:rPr>
          <w:noProof/>
        </w:rPr>
        <w:t>4.6.</w:t>
      </w:r>
      <w:r>
        <w:rPr>
          <w:noProof/>
        </w:rPr>
        <w:tab/>
        <w:t>Celková rezerva na záväzky</w:t>
      </w:r>
      <w:bookmarkEnd w:id="12"/>
      <w:r>
        <w:rPr>
          <w:noProof/>
        </w:rPr>
        <w:t xml:space="preserve"> pre rast a zamestnanosť, najmä zamestnanosť mladých ľudí, a pre migráciu a bezpečnostné opatrenia</w:t>
      </w:r>
    </w:p>
    <w:p>
      <w:pPr>
        <w:pStyle w:val="Text1"/>
        <w:rPr>
          <w:noProof/>
        </w:rPr>
      </w:pPr>
      <w:r>
        <w:rPr>
          <w:noProof/>
        </w:rPr>
        <w:t>Podľa článku 14 nariadenia o VFR, zmeneného nariadením Rady (EÚ, Euratom) No 2017/1123, rezervy ponechané ako dostupné v rámci stropov VFR pre viazané rozpočtové prostriedky tvoria celkovú rezervu na záväzky VFR, ktorá sa sprístupní nad rámec stropov stanovených vo VFR pre roky 2016 až 2020 na politické ciele súvisiace s rastom a zamestnanosťou, najmä zamestnanosťou mladých ľudí, a migráciou a bezpečnosťou.</w:t>
      </w:r>
    </w:p>
    <w:p>
      <w:pPr>
        <w:pStyle w:val="Text1"/>
        <w:rPr>
          <w:noProof/>
        </w:rPr>
      </w:pPr>
      <w:r>
        <w:rPr>
          <w:noProof/>
        </w:rPr>
        <w:t>V konečnom rozpočte na rok 2018 rezerva zostávajúca k dispozícii v rámci stropu viazaných rozpočtových prostriedkov predstavovala 1 390,9 mil. EUR. Záväzky týkajúce sa osobitných nástrojov (vrátane využitia celkovej rezervy na záväzky a rezervy na nepredvídané udalosti) sa nezohľadňujú, pretože sa vykonávajú nad rámec stropov VFR.</w:t>
      </w:r>
    </w:p>
    <w:p>
      <w:pPr>
        <w:pStyle w:val="Text1"/>
        <w:rPr>
          <w:noProof/>
        </w:rPr>
      </w:pPr>
      <w:r>
        <w:rPr>
          <w:noProof/>
        </w:rPr>
        <w:t>Podľa článku 6 ods. 2 nariadenia o VFR sa na výpočet celkovej rezervy na záväzky použije ročný deflátor vo výške 2 %. Výška zostávajúcej rezervy z roku 2018, ktorá sa má sprístupniť v roku 2019, predstavuje 1 390,9 mil. EUR v bežných cenách roku 2018 alebo 1 418,7 mil. EUR v bežných cenách roku 2019</w:t>
      </w:r>
      <w:r>
        <w:rPr>
          <w:rStyle w:val="FootnoteReference"/>
          <w:noProof/>
        </w:rPr>
        <w:footnoteReference w:id="25"/>
      </w:r>
      <w:r>
        <w:rPr>
          <w:noProof/>
        </w:rPr>
        <w:t xml:space="preserve"> (1 447,1 mil. EUR v bežných cenách roku 2020). Výška celkovej rezervy na záväzky v cenách roku 2011 predstavuje 1 210,9 mil. EUR.</w:t>
      </w:r>
    </w:p>
    <w:p>
      <w:pPr>
        <w:pStyle w:val="Text1"/>
        <w:rPr>
          <w:noProof/>
        </w:rPr>
      </w:pPr>
      <w:r>
        <w:rPr>
          <w:noProof/>
        </w:rPr>
        <w:t>V nasledujúcej tabuľke sú uvedené podrobné údaje o výpočte celkovej rezervy na záväzky pre rok 2018:</w:t>
      </w:r>
    </w:p>
    <w:p>
      <w:pPr>
        <w:pStyle w:val="Text1"/>
        <w:jc w:val="center"/>
        <w:rPr>
          <w:noProof/>
        </w:rPr>
      </w:pPr>
      <w:r>
        <w:rPr>
          <w:noProof/>
          <w:lang w:val="en-GB" w:eastAsia="en-GB" w:bidi="ar-SA"/>
        </w:rPr>
        <w:drawing>
          <wp:inline distT="0" distB="0" distL="0" distR="0">
            <wp:extent cx="3983655" cy="29699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3927" cy="2970175"/>
                    </a:xfrm>
                    <a:prstGeom prst="rect">
                      <a:avLst/>
                    </a:prstGeom>
                    <a:noFill/>
                    <a:ln>
                      <a:noFill/>
                    </a:ln>
                  </pic:spPr>
                </pic:pic>
              </a:graphicData>
            </a:graphic>
          </wp:inline>
        </w:drawing>
      </w:r>
    </w:p>
    <w:p>
      <w:pPr>
        <w:pStyle w:val="Text1"/>
        <w:rPr>
          <w:noProof/>
        </w:rPr>
      </w:pPr>
    </w:p>
    <w:p>
      <w:pPr>
        <w:pStyle w:val="Text1"/>
        <w:rPr>
          <w:noProof/>
        </w:rPr>
      </w:pPr>
      <w:r>
        <w:rPr>
          <w:noProof/>
        </w:rPr>
        <w:t>V súčasnosti už nezostáva žiadna časť predchádzajúcej rezervy na záväzky (2014 – 2017). Celková súčasná dostupnosť celkovej rezervy na záväzky na rok 2019 je preto obmedzená na časť z roku 2018.</w:t>
      </w:r>
    </w:p>
    <w:p>
      <w:pPr>
        <w:pStyle w:val="Text1"/>
        <w:rPr>
          <w:noProof/>
        </w:rPr>
      </w:pPr>
      <w:r>
        <w:rPr>
          <w:noProof/>
        </w:rPr>
        <w:t>V nasledujúcej tabuľke sú uvedené podrobné údaje o ročných disponibilných a využitých prostriedkoch celkovej rezervy na záväzky od roku 2014:</w:t>
      </w:r>
    </w:p>
    <w:p>
      <w:pPr>
        <w:pStyle w:val="Text1"/>
        <w:ind w:left="0"/>
        <w:jc w:val="center"/>
        <w:rPr>
          <w:noProof/>
        </w:rPr>
      </w:pPr>
      <w:r>
        <w:rPr>
          <w:noProof/>
          <w:lang w:val="en-GB" w:eastAsia="en-GB" w:bidi="ar-SA"/>
        </w:rPr>
        <w:drawing>
          <wp:inline distT="0" distB="0" distL="0" distR="0">
            <wp:extent cx="5761355" cy="328149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3281498"/>
                    </a:xfrm>
                    <a:prstGeom prst="rect">
                      <a:avLst/>
                    </a:prstGeom>
                    <a:noFill/>
                    <a:ln>
                      <a:noFill/>
                    </a:ln>
                  </pic:spPr>
                </pic:pic>
              </a:graphicData>
            </a:graphic>
          </wp:inline>
        </w:drawing>
      </w:r>
    </w:p>
    <w:p>
      <w:pPr>
        <w:pStyle w:val="Text1"/>
        <w:ind w:left="0"/>
        <w:rPr>
          <w:noProof/>
        </w:rPr>
      </w:pPr>
    </w:p>
    <w:p>
      <w:pPr>
        <w:pStyle w:val="ManualHeading1"/>
        <w:rPr>
          <w:noProof/>
        </w:rPr>
      </w:pPr>
      <w:r>
        <w:rPr>
          <w:noProof/>
        </w:rPr>
        <w:t>5.</w:t>
      </w:r>
      <w:r>
        <w:rPr>
          <w:noProof/>
        </w:rPr>
        <w:tab/>
        <w:t>Súhrnná tabuľka a závery</w:t>
      </w:r>
    </w:p>
    <w:p>
      <w:pPr>
        <w:pStyle w:val="Text1"/>
        <w:rPr>
          <w:noProof/>
        </w:rPr>
      </w:pPr>
      <w:r>
        <w:rPr>
          <w:noProof/>
        </w:rPr>
        <w:t>V nasledujúcich tabuľkách sú uvedené zmeny stropov pre viazané a platobné rozpočtové prostriedky vo finančnom rámci na základe článku 3 ods. 1 a článku 5 nariadenia o VFR v bežných cenách a cenách roku 2011:</w:t>
      </w:r>
    </w:p>
    <w:p>
      <w:pPr>
        <w:pStyle w:val="Text1"/>
        <w:ind w:left="0"/>
        <w:rPr>
          <w:noProof/>
        </w:rPr>
      </w:pPr>
      <w:r>
        <w:rPr>
          <w:noProof/>
          <w:lang w:val="en-GB" w:eastAsia="en-GB" w:bidi="ar-SA"/>
        </w:rPr>
        <w:drawing>
          <wp:inline distT="0" distB="0" distL="0" distR="0">
            <wp:extent cx="5761355" cy="26493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2649385"/>
                    </a:xfrm>
                    <a:prstGeom prst="rect">
                      <a:avLst/>
                    </a:prstGeom>
                    <a:noFill/>
                    <a:ln>
                      <a:noFill/>
                    </a:ln>
                  </pic:spPr>
                </pic:pic>
              </a:graphicData>
            </a:graphic>
          </wp:inline>
        </w:drawing>
      </w:r>
    </w:p>
    <w:p>
      <w:pPr>
        <w:rPr>
          <w:noProof/>
        </w:rPr>
      </w:pPr>
    </w:p>
    <w:sectPr>
      <w:headerReference w:type="even" r:id="rId29"/>
      <w:headerReference w:type="default" r:id="rId30"/>
      <w:footerReference w:type="even" r:id="rId31"/>
      <w:footerReference w:type="default" r:id="rId32"/>
      <w:headerReference w:type="first" r:id="rId33"/>
      <w:footerReference w:type="first" r:id="rId34"/>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14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Ú. v. EÚ L 163, 24.6.2017, s.1.</w:t>
      </w:r>
    </w:p>
  </w:footnote>
  <w:footnote w:id="3">
    <w:p>
      <w:pPr>
        <w:pStyle w:val="FootnoteText"/>
      </w:pPr>
      <w:r>
        <w:rPr>
          <w:rStyle w:val="FootnoteReference"/>
        </w:rPr>
        <w:footnoteRef/>
      </w:r>
      <w:r>
        <w:t xml:space="preserve"> </w:t>
      </w:r>
      <w:r>
        <w:tab/>
        <w:t>COM(2018) 282 final z 23.5.2018.</w:t>
      </w:r>
    </w:p>
  </w:footnote>
  <w:footnote w:id="4">
    <w:p>
      <w:pPr>
        <w:pStyle w:val="FootnoteText"/>
        <w:rPr>
          <w:rStyle w:val="FootnoteReference"/>
        </w:rPr>
      </w:pPr>
      <w:r>
        <w:rPr>
          <w:rStyle w:val="FootnoteReference"/>
        </w:rPr>
        <w:footnoteRef/>
      </w:r>
      <w:r>
        <w:rPr>
          <w:rStyle w:val="FootnoteReference"/>
        </w:rPr>
        <w:t xml:space="preserve"> </w:t>
      </w:r>
      <w:r>
        <w:tab/>
        <w:t>https://ec.europa.eu/info/business-economy-euro/economic-performance-and-forecasts/economic-forecasts/spring-2019-economic-forecast_en</w:t>
      </w:r>
    </w:p>
  </w:footnote>
  <w:footnote w:id="5">
    <w:p>
      <w:pPr>
        <w:pStyle w:val="FootnoteText"/>
      </w:pPr>
      <w:r>
        <w:rPr>
          <w:rStyle w:val="FootnoteReference"/>
        </w:rPr>
        <w:footnoteRef/>
      </w:r>
      <w:r>
        <w:t xml:space="preserve"> </w:t>
      </w:r>
      <w:r>
        <w:tab/>
        <w:t>Ú. v. EÚ L 168, 7.6.2014.</w:t>
      </w:r>
    </w:p>
  </w:footnote>
  <w:footnote w:id="6">
    <w:p>
      <w:pPr>
        <w:pStyle w:val="FootnoteText"/>
      </w:pPr>
      <w:r>
        <w:rPr>
          <w:rStyle w:val="FootnoteReference"/>
        </w:rPr>
        <w:footnoteRef/>
      </w:r>
      <w:r>
        <w:t xml:space="preserve"> </w:t>
      </w:r>
      <w:r>
        <w:tab/>
        <w:t>COM(2016) 829 final, 21.12.2016.</w:t>
      </w:r>
    </w:p>
  </w:footnote>
  <w:footnote w:id="7">
    <w:p>
      <w:pPr>
        <w:pStyle w:val="FootnoteText"/>
      </w:pPr>
      <w:r>
        <w:rPr>
          <w:rStyle w:val="FootnoteReference"/>
        </w:rPr>
        <w:footnoteRef/>
      </w:r>
      <w:r>
        <w:t xml:space="preserve"> </w:t>
      </w:r>
      <w:r>
        <w:tab/>
        <w:t>Rozhodnutie Európskej rady (EÚ) 2019/476 prijaté po dohode so Spojeným kráľovstvom z 22. marca 2019, ktorým sa predlžuje lehota podľa článku 50 ods. 3 Zmluvy o EÚ (Ú. v. EÚ L 80, 22.3.2019, s. 1).</w:t>
      </w:r>
    </w:p>
  </w:footnote>
  <w:footnote w:id="8">
    <w:p>
      <w:pPr>
        <w:pStyle w:val="FootnoteText"/>
      </w:pPr>
      <w:r>
        <w:rPr>
          <w:rStyle w:val="FootnoteReference"/>
        </w:rPr>
        <w:footnoteRef/>
      </w:r>
      <w:r>
        <w:t xml:space="preserve"> </w:t>
      </w:r>
      <w:r>
        <w:tab/>
        <w:t>Rozhodnutie Európskej rady (EÚ) 2019/584 prijaté po dohode so Spojeným kráľovstvom z 11. apríla 2019, ktorým sa predlžuje lehota podľa článku 50 ods. 3 Zmluvy o EÚ (Ú. v. EÚ L 101, 11.4.2019, s. 1).</w:t>
      </w:r>
    </w:p>
  </w:footnote>
  <w:footnote w:id="9">
    <w:p>
      <w:pPr>
        <w:pStyle w:val="FootnoteText"/>
      </w:pPr>
      <w:r>
        <w:rPr>
          <w:rStyle w:val="FootnoteReference"/>
        </w:rPr>
        <w:footnoteRef/>
      </w:r>
      <w:r>
        <w:t xml:space="preserve"> </w:t>
      </w:r>
      <w:r>
        <w:tab/>
        <w:t xml:space="preserve">Ú. v. EÚ C 66 I, 19.2.2019, s.1. </w:t>
      </w:r>
    </w:p>
  </w:footnote>
  <w:footnote w:id="10">
    <w:p>
      <w:pPr>
        <w:pStyle w:val="FootnoteText"/>
      </w:pPr>
      <w:r>
        <w:rPr>
          <w:rStyle w:val="FootnoteReference"/>
        </w:rPr>
        <w:footnoteRef/>
      </w:r>
      <w:r>
        <w:t xml:space="preserve"> </w:t>
      </w:r>
      <w:r>
        <w:tab/>
        <w:t>COM(2014) 307 final (28.5.2014).</w:t>
      </w:r>
    </w:p>
  </w:footnote>
  <w:footnote w:id="11">
    <w:p>
      <w:pPr>
        <w:pStyle w:val="FootnoteText"/>
      </w:pPr>
      <w:r>
        <w:rPr>
          <w:rStyle w:val="FootnoteReference"/>
        </w:rPr>
        <w:footnoteRef/>
      </w:r>
      <w:r>
        <w:t xml:space="preserve"> </w:t>
      </w:r>
      <w:r>
        <w:tab/>
        <w:t>Vykonávacie nariadenie Komisie (EÚ) č. 367/2014, ktorým sa stanovuje čistý zostatok vyčlenený na výdavky EPZF (Ú. v. EÚ L 108, 11.4.2014, s. 13).</w:t>
      </w:r>
    </w:p>
  </w:footnote>
  <w:footnote w:id="12">
    <w:p>
      <w:pPr>
        <w:pStyle w:val="FootnoteText"/>
      </w:pPr>
      <w:r>
        <w:rPr>
          <w:rStyle w:val="FootnoteReference"/>
        </w:rPr>
        <w:footnoteRef/>
      </w:r>
      <w:r>
        <w:t xml:space="preserve"> </w:t>
      </w:r>
      <w:r>
        <w:tab/>
        <w:t>COM(2015) 320 final (22.5.2015)</w:t>
      </w:r>
    </w:p>
  </w:footnote>
  <w:footnote w:id="13">
    <w:p>
      <w:pPr>
        <w:pStyle w:val="FootnoteText"/>
      </w:pPr>
      <w:r>
        <w:rPr>
          <w:rStyle w:val="FootnoteReference"/>
        </w:rPr>
        <w:footnoteRef/>
      </w:r>
      <w:r>
        <w:tab/>
        <w:t>Nariadenie Rady (ES) č. 73/2009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(Ú. v. EÚ L 30, 31.1.2009, s. 16).</w:t>
      </w:r>
    </w:p>
  </w:footnote>
  <w:footnote w:id="14">
    <w:p>
      <w:pPr>
        <w:pStyle w:val="FootnoteText"/>
      </w:pPr>
      <w:r>
        <w:rPr>
          <w:rStyle w:val="FootnoteReference"/>
        </w:rPr>
        <w:footnoteRef/>
      </w:r>
      <w:r>
        <w:tab/>
        <w:t>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20.12.2013, s. 608).</w:t>
      </w:r>
    </w:p>
  </w:footnote>
  <w:footnote w:id="15">
    <w:p>
      <w:pPr>
        <w:pStyle w:val="FootnoteText"/>
      </w:pPr>
      <w:r>
        <w:rPr>
          <w:rStyle w:val="FootnoteReference"/>
        </w:rPr>
        <w:footnoteRef/>
      </w:r>
      <w:r>
        <w:tab/>
        <w:t>Delegované nariadenie Komisie (EÚ) č. 994/2014 z 13. mája 2014, ktorým sa menia prílohy VIII a VIIIc k nariadeniu Rady (ES) č. 73/2009, príloha I k nariadeniu Európskeho parlamentu a Rady (EÚ) č. 1305/2013 a prílohy II, III a VI k nariadeniu Európskeho parlamentu a Rady (EÚ) č. 1307/2013 (Ú. v. EÚ L 280, 24.9.2014, s. 1).</w:t>
      </w:r>
    </w:p>
  </w:footnote>
  <w:footnote w:id="16">
    <w:p>
      <w:pPr>
        <w:pStyle w:val="FootnoteText"/>
      </w:pPr>
      <w:r>
        <w:rPr>
          <w:rStyle w:val="FootnoteReference"/>
        </w:rPr>
        <w:footnoteRef/>
      </w:r>
      <w:r>
        <w:t xml:space="preserve"> </w:t>
      </w:r>
      <w:r>
        <w:tab/>
        <w:t>Vykonávacie nariadenie Komisie (EÚ) č. 1089/2014 zo 16. októbra 2014, ktorým sa mení vykonávacie nariadenie (EÚ) č. 367/2014, ktorým sa stanovuje čistý zostatok vyčlenený na výdavky EPZF (Ú. v. EÚ L 299, 17.10.2014, s. 7).</w:t>
      </w:r>
    </w:p>
  </w:footnote>
  <w:footnote w:id="17">
    <w:p>
      <w:pPr>
        <w:pStyle w:val="FootnoteText"/>
      </w:pPr>
      <w:r>
        <w:rPr>
          <w:rStyle w:val="FootnoteReference"/>
        </w:rPr>
        <w:footnoteRef/>
      </w:r>
      <w:r>
        <w:tab/>
        <w:t>Delegované nariadenie Komisie (EÚ) č. 1378/2014 zo 17. októbra 2014, ktorým sa mení príloha I k nariadeniu Európskeho parlamentu a Rady (EÚ) č. 1305/2013 a prílohy II a III k nariadeniu Európskeho parlamentu a Rady (EÚ) č. 1307/2013 (Ú. v. EÚ L 367, 23.12.2014, s. 16).</w:t>
      </w:r>
    </w:p>
  </w:footnote>
  <w:footnote w:id="18">
    <w:p>
      <w:pPr>
        <w:pStyle w:val="FootnoteText"/>
      </w:pPr>
      <w:r>
        <w:rPr>
          <w:rStyle w:val="FootnoteReference"/>
        </w:rPr>
        <w:footnoteRef/>
      </w:r>
      <w:r>
        <w:tab/>
        <w:t>Vykonávacie nariadenie Komisie (EÚ) 2015/141 z 29. januára 2015, ktorým sa mení vykonávacie nariadenie (EÚ) č. 367/2014, ktorým sa stanovuje čistý zostatok vyčlenený na výdavky EPZF (Ú. v. EÚ L 24, 30.1.2015, s. 11).</w:t>
      </w:r>
    </w:p>
  </w:footnote>
  <w:footnote w:id="19">
    <w:p>
      <w:pPr>
        <w:pStyle w:val="FootnoteText"/>
      </w:pPr>
      <w:r>
        <w:rPr>
          <w:rStyle w:val="FootnoteReference"/>
        </w:rPr>
        <w:footnoteRef/>
      </w:r>
      <w:r>
        <w:t xml:space="preserve"> </w:t>
      </w:r>
      <w:r>
        <w:tab/>
        <w:t>Delegované nariadenie Komisie (EÚ) 2016/142 z 2. decembra 2015, ktorým sa mení príloha I k nariadeniu Európskeho parlamentu a Rady (EÚ) č. 1305/2013 a príloha III k nariadeniu Európskeho parlamentu a Rady (EÚ) č. 1307/2013 (Ú. v. EÚ L 28, 4.2.2016, s. 8).</w:t>
      </w:r>
    </w:p>
  </w:footnote>
  <w:footnote w:id="20">
    <w:p>
      <w:pPr>
        <w:pStyle w:val="FootnoteText"/>
      </w:pPr>
      <w:r>
        <w:rPr>
          <w:rStyle w:val="FootnoteReference"/>
        </w:rPr>
        <w:footnoteRef/>
      </w:r>
      <w:r>
        <w:t xml:space="preserve"> </w:t>
      </w:r>
      <w:r>
        <w:tab/>
        <w:t>Vykonávacie nariadenie Komisie (EÚ) 2016/257 z 24. februára 2016, ktorým sa mení vykonávacie nariadenie (EÚ) č. 367/2014, ktorým sa stanovuje čistý zostatok vyčlenený na výdavky EPZF (Ú. v. EÚ L 49, 25.2.2016, s. 1).</w:t>
      </w:r>
    </w:p>
  </w:footnote>
  <w:footnote w:id="21">
    <w:p>
      <w:pPr>
        <w:pStyle w:val="FootnoteText"/>
      </w:pPr>
      <w:r>
        <w:rPr>
          <w:rStyle w:val="FootnoteReference"/>
        </w:rPr>
        <w:footnoteRef/>
      </w:r>
      <w:r>
        <w:t xml:space="preserve"> </w:t>
      </w:r>
      <w:r>
        <w:tab/>
        <w:t>Delegované nariadenie Komisie (EÚ) 2018/162 z 23. novembra 2017, ktorým sa mení príloha I k nariadeniu Európskeho parlamentu a Rady (EÚ) č. 1305/2013 a prílohy II a III k nariadeniu Európskeho parlamentu a Rady (EÚ) č. 1307/2013 (Ú. v. EÚ L 30, 2.2.2018, s. 6).</w:t>
      </w:r>
    </w:p>
  </w:footnote>
  <w:footnote w:id="22">
    <w:p>
      <w:pPr>
        <w:pStyle w:val="FootnoteText"/>
      </w:pPr>
      <w:r>
        <w:rPr>
          <w:rStyle w:val="FootnoteReference"/>
        </w:rPr>
        <w:footnoteRef/>
      </w:r>
      <w:r>
        <w:t xml:space="preserve"> </w:t>
      </w:r>
      <w:r>
        <w:tab/>
        <w:t>Vykonávacie nariadenie Komisie (EÚ) 2018/288 z 19. februára 2018, ktorým sa mení vykonávacie nariadenie (EÚ) č. 367/2014, ktorým sa stanovuje čistý zostatok vyčlenený na výdavky EPZF (Ú. v. EÚ L 55, 27.2.2018, s. 18).</w:t>
      </w:r>
    </w:p>
  </w:footnote>
  <w:footnote w:id="23">
    <w:p>
      <w:pPr>
        <w:pStyle w:val="FootnoteText"/>
      </w:pPr>
      <w:r>
        <w:rPr>
          <w:rStyle w:val="FootnoteReference"/>
        </w:rPr>
        <w:footnoteRef/>
      </w:r>
      <w:r>
        <w:t xml:space="preserve"> </w:t>
      </w:r>
      <w:r>
        <w:tab/>
        <w:t>Delegované nariadenie Komisie (EÚ) 2019/71 z 9. novembra 2018, ktorým sa mení príloha I k nariadeniu Európskeho parlamentu a Rady (EÚ) č. 1305/2013 a príloha III k nariadeniu Európskeho parlamentu a Rady (EÚ) č. 1307/2013 (Ú. v. EÚ L 16, 18.1.2019, s. 1).</w:t>
      </w:r>
    </w:p>
  </w:footnote>
  <w:footnote w:id="24">
    <w:p>
      <w:pPr>
        <w:pStyle w:val="FootnoteText"/>
      </w:pPr>
      <w:r>
        <w:rPr>
          <w:rStyle w:val="FootnoteReference"/>
        </w:rPr>
        <w:footnoteRef/>
      </w:r>
      <w:r>
        <w:t xml:space="preserve"> </w:t>
      </w:r>
      <w:r>
        <w:tab/>
        <w:t>Vykonávacie nariadenie Komisie (EÚ) 2019/445 z 19. marca 2019, ktorým sa mení vykonávacie nariadenie (EÚ) č. 367/2014, ktorým sa stanovuje čistý zostatok vyčlenený na výdavky EPZF (Ú. v. EÚ L 77, 20.3.2019, s. 64).</w:t>
      </w:r>
    </w:p>
  </w:footnote>
  <w:footnote w:id="25">
    <w:p>
      <w:pPr>
        <w:pStyle w:val="FootnoteText"/>
      </w:pPr>
      <w:r>
        <w:rPr>
          <w:rStyle w:val="FootnoteReference"/>
        </w:rPr>
        <w:footnoteRef/>
      </w:r>
      <w:r>
        <w:tab/>
        <w:t>Ak sa v rokoch 2019 – 2020 použije celá suma alebo jej časť, suma sa zodpovedajúcim spôsobom upraví uplatnením ročného deflátora vo výške 2 % v súlade s článkom 6 ods. 2 nariadenia o VFR.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29F9"/>
    <w:multiLevelType w:val="hybridMultilevel"/>
    <w:tmpl w:val="32229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A053C57-4A27-4A39-8CDC-69BCFD1CCC17"/>
    <w:docVar w:name="LW_COVERPAGE_TYPE" w:val="1"/>
    <w:docVar w:name="LW_CROSSREFERENCE" w:val="&lt;UNUSED&gt;"/>
    <w:docVar w:name="LW_DocType" w:val="NORMAL"/>
    <w:docVar w:name="LW_EMISSION" w:val="15. 5. 2019"/>
    <w:docVar w:name="LW_EMISSION_ISODATE" w:val="2019-05-15"/>
    <w:docVar w:name="LW_EMISSION_LOCATION" w:val="BRX"/>
    <w:docVar w:name="LW_EMISSION_PREFIX" w:val="V Bruseli"/>
    <w:docVar w:name="LW_EMISSION_SUFFIX" w:val=" "/>
    <w:docVar w:name="LW_ID_DOCTYPE_NONLW" w:val="CP-011"/>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3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echnická úprava finan\u269?ného rámca na rok 2020 v súlade s vývojom HND (ESA2010) (\u269?lánok 6 nariadenia Rady \u269?. 1311/2013, ktorým sa ustanovuje viacro\u269?ný finan\u269?ný rámec na roky 2014 \u8211? 2020)"/>
    <w:docVar w:name="LW_TYPE.DOC.CP" w:val="OZNÁMENIE KOMISIE RADE A EURÓPSKEMU PARLAMENT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sk-SK"/>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k-SK"/>
    </w:rPr>
  </w:style>
  <w:style w:type="paragraph" w:customStyle="1" w:styleId="Pagedecouverture">
    <w:name w:val="Page de couverture"/>
    <w:basedOn w:val="Normal"/>
    <w:next w:val="Normal"/>
    <w:pPr>
      <w:spacing w:before="0" w:after="0"/>
    </w:pPr>
    <w:rPr>
      <w:rFonts w:eastAsiaTheme="minorHAn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sk-SK"/>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sk-SK"/>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sk-SK"/>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sk-SK"/>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k-SK"/>
    </w:rPr>
  </w:style>
  <w:style w:type="paragraph" w:customStyle="1" w:styleId="Pagedecouverture">
    <w:name w:val="Page de couverture"/>
    <w:basedOn w:val="Normal"/>
    <w:next w:val="Normal"/>
    <w:pPr>
      <w:spacing w:before="0" w:after="0"/>
    </w:pPr>
    <w:rPr>
      <w:rFonts w:eastAsiaTheme="minorHAn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sk-SK"/>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sk-SK"/>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sk-SK"/>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125">
      <w:bodyDiv w:val="1"/>
      <w:marLeft w:val="0"/>
      <w:marRight w:val="0"/>
      <w:marTop w:val="0"/>
      <w:marBottom w:val="0"/>
      <w:divBdr>
        <w:top w:val="none" w:sz="0" w:space="0" w:color="auto"/>
        <w:left w:val="none" w:sz="0" w:space="0" w:color="auto"/>
        <w:bottom w:val="none" w:sz="0" w:space="0" w:color="auto"/>
        <w:right w:val="none" w:sz="0" w:space="0" w:color="auto"/>
      </w:divBdr>
    </w:div>
    <w:div w:id="1330478991">
      <w:bodyDiv w:val="1"/>
      <w:marLeft w:val="0"/>
      <w:marRight w:val="0"/>
      <w:marTop w:val="0"/>
      <w:marBottom w:val="0"/>
      <w:divBdr>
        <w:top w:val="none" w:sz="0" w:space="0" w:color="auto"/>
        <w:left w:val="none" w:sz="0" w:space="0" w:color="auto"/>
        <w:bottom w:val="none" w:sz="0" w:space="0" w:color="auto"/>
        <w:right w:val="none" w:sz="0" w:space="0" w:color="auto"/>
      </w:divBdr>
    </w:div>
    <w:div w:id="20638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A556149-1823-45A6-99B3-04BFC9C0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13</Pages>
  <Words>2725</Words>
  <Characters>14202</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29</cp:revision>
  <cp:lastPrinted>2019-04-11T08:28:00Z</cp:lastPrinted>
  <dcterms:created xsi:type="dcterms:W3CDTF">2019-04-29T09:51:00Z</dcterms:created>
  <dcterms:modified xsi:type="dcterms:W3CDTF">2019-05-20T13:15:00Z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