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C98CE8D-F091-4143-994E-BEC53F38273D" style="width:450.7pt;height:333.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ManualHeading1"/>
        <w:numPr>
          <w:ilvl w:val="0"/>
          <w:numId w:val="1"/>
        </w:numPr>
        <w:rPr>
          <w:noProof/>
        </w:rPr>
      </w:pPr>
      <w:bookmarkStart w:id="1" w:name="_GoBack"/>
      <w:bookmarkEnd w:id="1"/>
      <w:r>
        <w:rPr>
          <w:noProof/>
        </w:rPr>
        <w:lastRenderedPageBreak/>
        <w:t>Įžanga</w:t>
      </w:r>
    </w:p>
    <w:p>
      <w:pPr>
        <w:pStyle w:val="Text1"/>
        <w:rPr>
          <w:noProof/>
        </w:rPr>
      </w:pPr>
      <w:r>
        <w:rPr>
          <w:noProof/>
        </w:rPr>
        <w:t>Reglamente, kuriuo nustatoma 2014–2020 m. daugiametė finansinė programa (DFP reglamente), su paskutiniais pakeitimais, padarytais 2017 m. birželio 20 d. Tarybos reglamentu (ES, Euratomas) 2017/1123</w:t>
      </w:r>
      <w:r>
        <w:rPr>
          <w:rStyle w:val="FootnoteReference"/>
          <w:noProof/>
        </w:rPr>
        <w:footnoteReference w:id="2"/>
      </w:r>
      <w:r>
        <w:rPr>
          <w:noProof/>
        </w:rPr>
        <w:t xml:space="preserve"> ir patikslintame, kaip nurodyta 2019 m. techniniame patikslinime</w:t>
      </w:r>
      <w:r>
        <w:rPr>
          <w:rStyle w:val="FootnoteReference"/>
          <w:noProof/>
        </w:rPr>
        <w:footnoteReference w:id="3"/>
      </w:r>
      <w:r>
        <w:rPr>
          <w:noProof/>
        </w:rPr>
        <w:t>, pateikta 2014–2020 m. finansinės programos lentelė 2011 m. kainomis (1 lentelė).</w:t>
      </w:r>
    </w:p>
    <w:p>
      <w:pPr>
        <w:pStyle w:val="Text1"/>
        <w:rPr>
          <w:noProof/>
        </w:rPr>
      </w:pPr>
      <w:r>
        <w:rPr>
          <w:noProof/>
        </w:rPr>
        <w:t>Pagal DFP reglamento 6 straipsnio 1 dalį kiekvienais metais Komisija, prieš pradėdama n + 1 metų biudžeto procedūrą, techniškai patikslina daugiametę finansinę programą (DFP) pagal ES bendrųjų nacionalinių pajamų (BNP) ir kainų pokyčius ir rezultatus praneša Tarybai ir Europos Parlamentui. Kiek tai susiję su kainomis, viršutinės išlaidų ribos galiojančiomis kainomis nustatomos taikant 2 % fiksuotą metinį defliatorių, kaip numatyta DFP reglamento 6 straipsnio 2 dalyje. Kiek tai susiję su BNP pokyčiais, į šį komunikatą įtrauktos naujausios turimos ekonominės prognozės</w:t>
      </w:r>
      <w:r>
        <w:rPr>
          <w:rStyle w:val="FootnoteReference"/>
          <w:noProof/>
        </w:rPr>
        <w:footnoteReference w:id="4"/>
      </w:r>
      <w:r>
        <w:rPr>
          <w:noProof/>
        </w:rPr>
        <w:t>.</w:t>
      </w:r>
    </w:p>
    <w:p>
      <w:pPr>
        <w:pStyle w:val="Text1"/>
        <w:rPr>
          <w:noProof/>
        </w:rPr>
      </w:pPr>
      <w:r>
        <w:rPr>
          <w:noProof/>
        </w:rPr>
        <w:t>Kartu Komisija apskaičiuoja galimą nuosavų išteklių viršutinės ribos, nustatytos pagal naują Sprendimą dėl nuosavų išteklių 2014/335/ES, Euratomas (toliau – 2014 m. sprendimas dėl nuosavų išteklių)</w:t>
      </w:r>
      <w:r>
        <w:rPr>
          <w:rStyle w:val="FootnoteReference"/>
          <w:noProof/>
        </w:rPr>
        <w:footnoteReference w:id="5"/>
      </w:r>
      <w:r>
        <w:rPr>
          <w:noProof/>
        </w:rPr>
        <w:t>, maržą, absoliučią nenumatytų atvejų rezervo, nurodyto DFP reglamento 13 straipsnyje, sumą, bendrą mokėjimų, numatytų 5 straipsnyje, maržą, bendrą įsipareigojimų, numatytų 14 straipsnyje, maržą ir lankstumo priemonei skirtinas sumas pagal 11 straipsnio 1 dalies antrą pastraipą. Be to, 2 išlaidų kategorijos tarpinė viršutinė riba, taikoma su rinka susijusioms išlaidoms ir tiesioginėms išmokoms, tikslinama perkeliant lėšas tarp I ramsčio ir kaimo plėtros eilučių.</w:t>
      </w:r>
    </w:p>
    <w:p>
      <w:pPr>
        <w:pStyle w:val="Text1"/>
        <w:rPr>
          <w:noProof/>
        </w:rPr>
      </w:pPr>
      <w:bookmarkStart w:id="2" w:name="_Toc360453126"/>
      <w:r>
        <w:rPr>
          <w:noProof/>
        </w:rPr>
        <w:t>Įsigaliojus 2014 m. sprendimui dėl nuosavų išteklių, nuosavų išteklių viršutinės ribos ir įsipareigojimų asignavimų viršutinė riba buvo pritaikytos prie naujų BNP duomenų pagal Europos sąskaitų sistemą (2010 m. ESS). Didžiausia nustatyta nuosavų išteklių suma šiuo metu yra 1,20 % BNP (anksčiau buvo 1,23 %), o didžiausia įsipareigojimų suma – 1,26 % BNP (anksčiau buvo 1,29 %)</w:t>
      </w:r>
      <w:r>
        <w:rPr>
          <w:rStyle w:val="FootnoteReference"/>
          <w:noProof/>
        </w:rPr>
        <w:footnoteReference w:id="6"/>
      </w:r>
      <w:r>
        <w:rPr>
          <w:noProof/>
        </w:rPr>
        <w:t>.</w:t>
      </w:r>
    </w:p>
    <w:p>
      <w:pPr>
        <w:pStyle w:val="Text1"/>
        <w:rPr>
          <w:noProof/>
        </w:rPr>
      </w:pPr>
      <w:r>
        <w:rPr>
          <w:noProof/>
        </w:rPr>
        <w:t>2017 m. kovo 29 d. Jungtinė Karalystė pranešė apie savo ketinimą išstoti iš Europos Sąjungos pagal Europos Sąjungos sutarties (SESV) 50 straipsnį. 2019 m. kovo 21 d. Europos Vadovų Taryba, susitarusi su Jungtine Karalyste, nusprendė su tam tikromis sąlygomis pratęsti išstojimo terminą</w:t>
      </w:r>
      <w:r>
        <w:rPr>
          <w:rStyle w:val="FootnoteReference"/>
          <w:noProof/>
        </w:rPr>
        <w:footnoteReference w:id="7"/>
      </w:r>
      <w:r>
        <w:rPr>
          <w:noProof/>
        </w:rPr>
        <w:t>, o 2019 m. balandžio 11 d. su tam tikromis sąlygomis dar kartą pratęsė jį iki 2019 m. spalio 31 d.</w:t>
      </w:r>
      <w:r>
        <w:rPr>
          <w:rStyle w:val="FootnoteReference"/>
          <w:noProof/>
        </w:rPr>
        <w:footnoteReference w:id="8"/>
      </w:r>
      <w:r>
        <w:rPr>
          <w:noProof/>
        </w:rPr>
        <w:t xml:space="preserve">; iki tos dienos Jungtinė Karalystė toliau bus Sąjungos valstybė narė. Pagal Susitarimo dėl Jungtinės </w:t>
      </w:r>
      <w:r>
        <w:rPr>
          <w:noProof/>
        </w:rPr>
        <w:lastRenderedPageBreak/>
        <w:t>Didžiosios Britanijos ir Šiaurės Airijos Karalystės išstojimo iš Europos Sąjungos ir Europos atominės energijos bendrijos projekto</w:t>
      </w:r>
      <w:r>
        <w:rPr>
          <w:rStyle w:val="FootnoteReference"/>
          <w:noProof/>
        </w:rPr>
        <w:footnoteReference w:id="9"/>
      </w:r>
      <w:r>
        <w:rPr>
          <w:noProof/>
        </w:rPr>
        <w:t>, dėl kurio Europos Sąjunga ir Jungtinė Karalystė susitarė 2018 m. lapkričio 25 d., bet dar neratifikavo, sąlygas Sutartys Jungtinei Karalystei nustos galioti 2021 m. sausio 1 d.</w:t>
      </w:r>
    </w:p>
    <w:p>
      <w:pPr>
        <w:pStyle w:val="Text1"/>
        <w:rPr>
          <w:noProof/>
        </w:rPr>
      </w:pPr>
      <w:r>
        <w:rPr>
          <w:noProof/>
        </w:rPr>
        <w:t>Šio komunikato tikslas – Tarybai ir Europos Parlamentui pateikti 2020 m. techninių patikslinimų rezultatą pagal DFP reglamento 6 straipsnį.</w:t>
      </w:r>
    </w:p>
    <w:p>
      <w:pPr>
        <w:pStyle w:val="Text1"/>
        <w:ind w:left="0"/>
        <w:rPr>
          <w:noProof/>
        </w:rPr>
      </w:pPr>
    </w:p>
    <w:p>
      <w:pPr>
        <w:pStyle w:val="ManualHeading1"/>
        <w:rPr>
          <w:noProof/>
        </w:rPr>
      </w:pPr>
      <w:r>
        <w:rPr>
          <w:noProof/>
        </w:rPr>
        <w:t>2.</w:t>
      </w:r>
      <w:r>
        <w:rPr>
          <w:noProof/>
        </w:rPr>
        <w:tab/>
        <w:t>DFP lentelės patikslinimo sąlygos (Priedas. 1–2 lentelės)</w:t>
      </w:r>
      <w:bookmarkEnd w:id="2"/>
    </w:p>
    <w:p>
      <w:pPr>
        <w:pStyle w:val="Text1"/>
        <w:rPr>
          <w:noProof/>
        </w:rPr>
      </w:pPr>
      <w:r>
        <w:rPr>
          <w:noProof/>
          <w:u w:val="single"/>
        </w:rPr>
        <w:t>1 lentelėje</w:t>
      </w:r>
      <w:r>
        <w:rPr>
          <w:noProof/>
        </w:rPr>
        <w:t xml:space="preserve"> parodoma ES 28 finansinė programa 2011 m. kainomis, įtraukta į DFP reglamento I priedą, patikslintą pagal 3 straipsnio 1 dalį ir 5 straipsnį. </w:t>
      </w:r>
    </w:p>
    <w:p>
      <w:pPr>
        <w:pStyle w:val="Text1"/>
        <w:rPr>
          <w:noProof/>
        </w:rPr>
      </w:pPr>
      <w:r>
        <w:rPr>
          <w:noProof/>
          <w:u w:val="single"/>
        </w:rPr>
        <w:t>2 lentelėje</w:t>
      </w:r>
      <w:r>
        <w:rPr>
          <w:noProof/>
        </w:rPr>
        <w:t xml:space="preserve"> parodoma patikslinta 2020 m. ES 28 finansinė programa (t. y. galiojančiomis kainomis). </w:t>
      </w:r>
    </w:p>
    <w:p>
      <w:pPr>
        <w:pStyle w:val="Text1"/>
        <w:rPr>
          <w:noProof/>
        </w:rPr>
      </w:pPr>
      <w:r>
        <w:rPr>
          <w:noProof/>
        </w:rPr>
        <w:t>Finansinė programa, kaip BNP procentinė dalis, atnaujinama atsižvelgiant į naujausią turimą (2019 m. pavasario) ekonominę prognozę ir tikslinama pagal DFP reglamento 3 straipsnio 1 dalį ir 5 straipsnį.</w:t>
      </w:r>
    </w:p>
    <w:p>
      <w:pPr>
        <w:pStyle w:val="ManualHeading2"/>
        <w:rPr>
          <w:noProof/>
        </w:rPr>
      </w:pPr>
      <w:bookmarkStart w:id="3" w:name="_Toc360453127"/>
      <w:r>
        <w:rPr>
          <w:noProof/>
        </w:rPr>
        <w:t>2.1.</w:t>
      </w:r>
      <w:r>
        <w:rPr>
          <w:noProof/>
        </w:rPr>
        <w:tab/>
        <w:t>Bendra BNP suma</w:t>
      </w:r>
      <w:bookmarkEnd w:id="3"/>
    </w:p>
    <w:p>
      <w:pPr>
        <w:pStyle w:val="Text1"/>
        <w:rPr>
          <w:noProof/>
        </w:rPr>
      </w:pPr>
      <w:r>
        <w:rPr>
          <w:noProof/>
        </w:rPr>
        <w:t xml:space="preserve">Pagal naujausią turimą prognozę 2020 m. ES 28 BNP sudarys 16 989 408 mln. EUR galiojančiomis kainomis. Pagal DFP reglamento 6 straipsnio 4 dalį neatliekami jokie atitinkamų metų tolesni techniniai patikslinimai nei tais pačiais metais, nei atliekant </w:t>
      </w:r>
      <w:r>
        <w:rPr>
          <w:i/>
          <w:noProof/>
        </w:rPr>
        <w:t>ex post</w:t>
      </w:r>
      <w:r>
        <w:rPr>
          <w:noProof/>
        </w:rPr>
        <w:t xml:space="preserve"> koregavimus vėlesniais metais. Todėl tik informacijos tikslais atnaujintas 2014 m. BNP pagal 2010 m. ESS yra 14 063 162 mln. EUR, 2015 m. – 14 754 468 mln. EUR, 2016 m. – 14 902 144 mln. EUR, 2017 m. – 15 386 916 mln. EUR, 2018 m. – 15 886 713 mln. EUR, o 2019 m. – 16 427 139 mln. EUR. Dėl tos pačios priežasties šiuo metu nustatyta 1,20 % BNP (2010 m. ESS) nuosavų išteklių viršutinė riba priedo DFP lentelėje patikslinama tik nuo 2018 m. 2017 m. ir ankstesnių metų nuosavų išteklių viršutinė riba, remiantis 1995 m. ESS, yra 1,23 % BNP.</w:t>
      </w:r>
    </w:p>
    <w:p>
      <w:pPr>
        <w:pStyle w:val="ManualHeading2"/>
        <w:rPr>
          <w:noProof/>
        </w:rPr>
      </w:pPr>
      <w:bookmarkStart w:id="4" w:name="_Toc360453128"/>
      <w:r>
        <w:rPr>
          <w:noProof/>
        </w:rPr>
        <w:t>2.2.</w:t>
      </w:r>
      <w:r>
        <w:rPr>
          <w:noProof/>
        </w:rPr>
        <w:tab/>
      </w:r>
      <w:bookmarkEnd w:id="4"/>
      <w:r>
        <w:rPr>
          <w:noProof/>
        </w:rPr>
        <w:t>2020 m. DFP techninio patikslinimo pagrindiniai rezultatai</w:t>
      </w:r>
    </w:p>
    <w:p>
      <w:pPr>
        <w:pStyle w:val="Text1"/>
        <w:rPr>
          <w:noProof/>
        </w:rPr>
      </w:pPr>
      <w:r>
        <w:rPr>
          <w:noProof/>
        </w:rPr>
        <w:t>2020 m. bendra įsipareigojimų asignavimų viršutinė riba (168 797 mln. EUR) lygi 0,99 % BNP.</w:t>
      </w:r>
    </w:p>
    <w:p>
      <w:pPr>
        <w:pStyle w:val="Text1"/>
        <w:rPr>
          <w:noProof/>
        </w:rPr>
      </w:pPr>
      <w:r>
        <w:rPr>
          <w:noProof/>
        </w:rPr>
        <w:t xml:space="preserve">Atitinkama bendra mokėjimų asignavimų viršutinė riba (172 420 mln. EUR) lygi 1,01 % BNP. </w:t>
      </w:r>
    </w:p>
    <w:p>
      <w:pPr>
        <w:pStyle w:val="Text1"/>
        <w:rPr>
          <w:noProof/>
        </w:rPr>
      </w:pPr>
      <w:r>
        <w:rPr>
          <w:noProof/>
        </w:rPr>
        <w:t>Pagal naujausias ekonomines prognozes iki nuosavų išteklių 1,20 % viršutinės ribos lieka 31 453 mln. EUR (arba 0,19 % ES 28 BNP) marža.</w:t>
      </w:r>
    </w:p>
    <w:p>
      <w:pPr>
        <w:pStyle w:val="ManualHeading2"/>
        <w:rPr>
          <w:noProof/>
        </w:rPr>
      </w:pPr>
      <w:r>
        <w:rPr>
          <w:noProof/>
        </w:rPr>
        <w:t>2.3.</w:t>
      </w:r>
      <w:r>
        <w:rPr>
          <w:noProof/>
        </w:rPr>
        <w:tab/>
        <w:t>2 išlaidų kategorijos tarpinės viršutinės ribos patikslinimas</w:t>
      </w:r>
    </w:p>
    <w:p>
      <w:pPr>
        <w:pStyle w:val="Text1"/>
        <w:rPr>
          <w:noProof/>
        </w:rPr>
      </w:pPr>
      <w:r>
        <w:rPr>
          <w:noProof/>
        </w:rPr>
        <w:t>Pagal DFP reglamento 3 straipsnio 1 dalį 2 išlaidų kategorijos tarpinė viršutinė riba su rinka susijusioms išlaidoms ir tiesioginėms išmokoms (pirmas ramstis) 2014–2020 m. laikotarpiu tikslinama perkeliant lėšas tarp pirmo ir antro ramsčių pagal teisės aktą, kuriuo tokie perkėlimai nustatomi. Bendra 2 išlaidų kategorijos viršutinės ribos suma nesikeičia.</w:t>
      </w:r>
    </w:p>
    <w:p>
      <w:pPr>
        <w:pStyle w:val="Text1"/>
        <w:rPr>
          <w:noProof/>
        </w:rPr>
      </w:pPr>
      <w:r>
        <w:rPr>
          <w:noProof/>
        </w:rPr>
        <w:t>Pirmas patikslinimas. 2 išlaidų kategorijos tarpinė viršutinė riba pirmą kartą buvo patikslinta atliekant 2015 m. DFP techninį patikslinimą</w:t>
      </w:r>
      <w:r>
        <w:rPr>
          <w:rStyle w:val="FootnoteReference"/>
          <w:noProof/>
        </w:rPr>
        <w:footnoteReference w:id="10"/>
      </w:r>
      <w:r>
        <w:rPr>
          <w:noProof/>
        </w:rPr>
        <w:t>. Šis patikslinimas, išsamiai aprašytas toliau pateikiamoje pirmoje lentelėje, atsispindėjo 2014 m. balandžio 10 d. Komisijos įgyvendinimo reglamente (ES) Nr. 367/2014</w:t>
      </w:r>
      <w:r>
        <w:rPr>
          <w:rStyle w:val="FootnoteReference"/>
          <w:noProof/>
        </w:rPr>
        <w:footnoteReference w:id="11"/>
      </w:r>
      <w:r>
        <w:rPr>
          <w:noProof/>
        </w:rPr>
        <w:t xml:space="preserve">. </w:t>
      </w:r>
    </w:p>
    <w:p>
      <w:pPr>
        <w:pStyle w:val="Text1"/>
        <w:rPr>
          <w:noProof/>
        </w:rPr>
      </w:pPr>
      <w:r>
        <w:rPr>
          <w:noProof/>
        </w:rPr>
        <w:t>Antras patikslinimas. Du perkėlimų tarp bendros žemės ūkio politikos (BŽŪP) ramsčių etapus atspindėjo 2016 m. DFP techninis patikslinimas</w:t>
      </w:r>
      <w:r>
        <w:rPr>
          <w:rStyle w:val="FootnoteReference"/>
          <w:noProof/>
        </w:rPr>
        <w:footnoteReference w:id="12"/>
      </w:r>
      <w:r>
        <w:rPr>
          <w:noProof/>
        </w:rPr>
        <w:t xml:space="preserve"> (žr. toliau pateikiamą antrą lentelę). Šie perkėlimai apėmė lankstų lėšų perkėlimą tarp ramsčių pagal Tarybos reglamento (EB) Nr. 73/2009</w:t>
      </w:r>
      <w:r>
        <w:rPr>
          <w:rStyle w:val="FootnoteReference"/>
          <w:noProof/>
        </w:rPr>
        <w:footnoteReference w:id="13"/>
      </w:r>
      <w:r>
        <w:rPr>
          <w:noProof/>
        </w:rPr>
        <w:t xml:space="preserve"> 136a straipsnį ir Reglamento (ES) Nr. 1307/2013</w:t>
      </w:r>
      <w:r>
        <w:rPr>
          <w:rStyle w:val="FootnoteReference"/>
          <w:noProof/>
        </w:rPr>
        <w:footnoteReference w:id="14"/>
      </w:r>
      <w:r>
        <w:rPr>
          <w:noProof/>
        </w:rPr>
        <w:t xml:space="preserve"> 14 straipsnį, taip pat sumažinus tiesiogines išmokas numatomas gauti sumas pagal pastarojo reglamento 7 straipsnio 2 dalį. Pirmas perkėlimų etapas numatytas 2014 m. gegužės 13 d. Komisijos deleguotajame reglamente (ES) Nr. 994/2014</w:t>
      </w:r>
      <w:r>
        <w:rPr>
          <w:rStyle w:val="FootnoteReference"/>
          <w:noProof/>
        </w:rPr>
        <w:footnoteReference w:id="15"/>
      </w:r>
      <w:r>
        <w:rPr>
          <w:noProof/>
        </w:rPr>
        <w:t xml:space="preserve"> ir atsispindi 2014 m. spalio 16 d. Komisijos įgyvendinimo reglamente (ES) Nr. 1089/2014</w:t>
      </w:r>
      <w:r>
        <w:rPr>
          <w:rStyle w:val="FootnoteReference"/>
          <w:noProof/>
        </w:rPr>
        <w:footnoteReference w:id="16"/>
      </w:r>
      <w:r>
        <w:rPr>
          <w:noProof/>
        </w:rPr>
        <w:t>. Antras perkėlimų etapas numatytas 2014 m. spalio 17 d. Komisijos deleguotajame reglamente (ES) Nr. 1378/2014</w:t>
      </w:r>
      <w:r>
        <w:rPr>
          <w:rStyle w:val="FootnoteReference"/>
          <w:noProof/>
        </w:rPr>
        <w:footnoteReference w:id="17"/>
      </w:r>
      <w:r>
        <w:rPr>
          <w:noProof/>
        </w:rPr>
        <w:t xml:space="preserve"> ir atsispindi 2015 m. sausio 29 d. Komisijos įgyvendinimo reglamente (ES) 2015/141</w:t>
      </w:r>
      <w:r>
        <w:rPr>
          <w:rStyle w:val="FootnoteReference"/>
          <w:noProof/>
        </w:rPr>
        <w:footnoteReference w:id="18"/>
      </w:r>
      <w:r>
        <w:rPr>
          <w:noProof/>
        </w:rPr>
        <w:t>.</w:t>
      </w:r>
    </w:p>
    <w:p>
      <w:pPr>
        <w:pStyle w:val="Text1"/>
        <w:rPr>
          <w:noProof/>
        </w:rPr>
      </w:pPr>
      <w:r>
        <w:rPr>
          <w:noProof/>
        </w:rPr>
        <w:t>2015 m. nacionalinio teismo sprendimu panaikinus teisės aktus, kuriais įgyvendintos Sąjungos taisyklės dėl tiesioginių išmokų Velsui, padarytas nenumatytas nedidelis patikslinimas. Šis pakeitimas numatytas 2015 m. gruodžio 2 d. Komisijos deleguotajame reglamente (ES) 2016/142</w:t>
      </w:r>
      <w:r>
        <w:rPr>
          <w:rStyle w:val="FootnoteReference"/>
          <w:noProof/>
        </w:rPr>
        <w:footnoteReference w:id="19"/>
      </w:r>
      <w:r>
        <w:rPr>
          <w:noProof/>
        </w:rPr>
        <w:t xml:space="preserve"> ir atsispindi 2016 m. vasario 24 d. Komisijos įgyvendinimo reglamente (ES) 2016/257</w:t>
      </w:r>
      <w:r>
        <w:rPr>
          <w:rStyle w:val="FootnoteReference"/>
          <w:noProof/>
        </w:rPr>
        <w:footnoteReference w:id="20"/>
      </w:r>
      <w:r>
        <w:rPr>
          <w:noProof/>
        </w:rPr>
        <w:t>.</w:t>
      </w:r>
    </w:p>
    <w:p>
      <w:pPr>
        <w:pStyle w:val="Text1"/>
        <w:rPr>
          <w:noProof/>
        </w:rPr>
      </w:pPr>
      <w:r>
        <w:rPr>
          <w:noProof/>
        </w:rPr>
        <w:t>Apie lėšų perkėlimo tarp ramsčių, susijusio su 2019 ir 2020 finansiniais metais, peržiūrą Komisijai pranešta iki 2017 m. rugpjūčio 1 d., o perkėlimas numatytas 2017 m. lapkričio 23 d. Komisijos deleguotajame reglamente (ES) 162/2018</w:t>
      </w:r>
      <w:r>
        <w:rPr>
          <w:rStyle w:val="FootnoteReference"/>
          <w:noProof/>
        </w:rPr>
        <w:footnoteReference w:id="21"/>
      </w:r>
      <w:r>
        <w:rPr>
          <w:noProof/>
        </w:rPr>
        <w:t xml:space="preserve"> ir atsispindi 2018 m. vasario 19 d. Komisijos įgyvendinimo reglamente (ES) 2018/288</w:t>
      </w:r>
      <w:r>
        <w:rPr>
          <w:rStyle w:val="FootnoteReference"/>
          <w:noProof/>
        </w:rPr>
        <w:footnoteReference w:id="22"/>
      </w:r>
      <w:r>
        <w:rPr>
          <w:noProof/>
        </w:rPr>
        <w:t xml:space="preserve"> (žr. toliau pateikiamą ketvirtą lentelę).</w:t>
      </w:r>
    </w:p>
    <w:p>
      <w:pPr>
        <w:pStyle w:val="Text1"/>
        <w:rPr>
          <w:noProof/>
        </w:rPr>
      </w:pPr>
      <w:r>
        <w:rPr>
          <w:noProof/>
        </w:rPr>
        <w:t>Galutinis terminas, iki kurio Komisijai turi būti pateikti pranešimai apie paskutinį lėšų perkėlimą pagal šią DFP, buvo 2018 m. rugpjūčio 1 d. Viena valstybė narė pranešė Komisijai apie savo sprendimą sumažinti tiesioginių išmokų sumą ir apie numatomą šio sumažinimo rezultatą. Šis rezultatas numatytas 2018 m. lapkričio 9 d. Komisijos deleguotajame reglamente (ES) 2019/71</w:t>
      </w:r>
      <w:r>
        <w:rPr>
          <w:rStyle w:val="FootnoteReference"/>
          <w:noProof/>
        </w:rPr>
        <w:footnoteReference w:id="23"/>
      </w:r>
      <w:r>
        <w:rPr>
          <w:noProof/>
        </w:rPr>
        <w:t xml:space="preserve"> ir atsispindi 2019 m. kovo 19 d. Komisijos įgyvendinimo reglamente 2019/445</w:t>
      </w:r>
      <w:r>
        <w:rPr>
          <w:rStyle w:val="FootnoteReference"/>
          <w:noProof/>
        </w:rPr>
        <w:footnoteReference w:id="24"/>
      </w:r>
      <w:r>
        <w:rPr>
          <w:noProof/>
        </w:rPr>
        <w:t xml:space="preserve"> (žr. toliau pateikiamą penktą lentelę).</w:t>
      </w:r>
    </w:p>
    <w:p>
      <w:pPr>
        <w:pStyle w:val="Text1"/>
        <w:ind w:left="0"/>
        <w:rPr>
          <w:noProof/>
        </w:rPr>
      </w:pPr>
    </w:p>
    <w:p>
      <w:pPr>
        <w:pStyle w:val="Text1"/>
        <w:ind w:left="0"/>
        <w:rPr>
          <w:noProof/>
        </w:rPr>
      </w:pPr>
      <w:r>
        <w:rPr>
          <w:noProof/>
          <w:lang w:val="en-GB" w:eastAsia="en-GB" w:bidi="ar-SA"/>
        </w:rPr>
        <w:drawing>
          <wp:inline distT="0" distB="0" distL="0" distR="0">
            <wp:extent cx="5761355" cy="445629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456297"/>
                    </a:xfrm>
                    <a:prstGeom prst="rect">
                      <a:avLst/>
                    </a:prstGeom>
                    <a:noFill/>
                    <a:ln>
                      <a:noFill/>
                    </a:ln>
                  </pic:spPr>
                </pic:pic>
              </a:graphicData>
            </a:graphic>
          </wp:inline>
        </w:drawing>
      </w:r>
    </w:p>
    <w:p>
      <w:pPr>
        <w:pStyle w:val="Text1"/>
        <w:ind w:left="0"/>
        <w:rPr>
          <w:noProof/>
        </w:rPr>
      </w:pPr>
      <w:r>
        <w:rPr>
          <w:noProof/>
          <w:lang w:val="en-GB" w:eastAsia="en-GB" w:bidi="ar-SA"/>
        </w:rPr>
        <w:drawing>
          <wp:inline distT="0" distB="0" distL="0" distR="0">
            <wp:extent cx="5761355" cy="970836"/>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970836"/>
                    </a:xfrm>
                    <a:prstGeom prst="rect">
                      <a:avLst/>
                    </a:prstGeom>
                    <a:noFill/>
                    <a:ln>
                      <a:noFill/>
                    </a:ln>
                  </pic:spPr>
                </pic:pic>
              </a:graphicData>
            </a:graphic>
          </wp:inline>
        </w:drawing>
      </w:r>
    </w:p>
    <w:p>
      <w:pPr>
        <w:pStyle w:val="Text1"/>
        <w:rPr>
          <w:noProof/>
        </w:rPr>
      </w:pPr>
      <w:r>
        <w:rPr>
          <w:noProof/>
        </w:rPr>
        <w:t>2 išlaidų kategorijos tarpinės viršutinės ribos galiojančiomis kainomis pakeitimas turi būti patikslintas pagal 2011 m. kainas, kad būtų galima techniškai patikslinti DFP lentelę 2011 m. kainomis. Tuo tikslu grynasis likutis pirma perskaičiuojamas 2011 m. kainomis naudojant 2 % fiksuotą defliatorių. Tada suma suapvalinama, kad būtų gauta patikslinta tarpinė viršutinė riba, kadangi DFP viršutinės ribos nurodomos tik milijonais EUR. Tik taikant šią suapvalinimo procedūrą galima užtikrinti, kad DFP tarpinė viršutinė riba visada būtų aukštesnė negu Europos žemės ūkio garantijų fondo (EŽŪGF) išlaidoms skiriamas grynasis likutis. Gautas nedidelis skirtumas nėra galima marža, bet išimtinai susidaro dėl apvalinimo operacijos, nes visi skaičiai DFP lentelėje turi būti nurodomi milijonais EUR. Kiekviename metiniame biudžete Komisija naudos tikslias EŽŪGF išlaidoms skiriamo grynojo likučio sumas. Tas pats metodas buvo taikomas atliekant ankstesnius DFP techninius patikslinimus.</w:t>
      </w:r>
    </w:p>
    <w:p>
      <w:pPr>
        <w:pStyle w:val="Text1"/>
        <w:rPr>
          <w:noProof/>
        </w:rPr>
      </w:pPr>
      <w:r>
        <w:rPr>
          <w:noProof/>
        </w:rPr>
        <w:t>Toliau pateikiamoje lentelėje parodytas perkėlimų tarp dviejų BŽŪK ramsčių grynasis rezultatas ir jų poveikis 2 išlaidų kategorijos tarpinei viršutinei ribai.</w:t>
      </w:r>
    </w:p>
    <w:p>
      <w:pPr>
        <w:pStyle w:val="Text1"/>
        <w:ind w:left="0"/>
        <w:rPr>
          <w:noProof/>
        </w:rPr>
      </w:pPr>
      <w:r>
        <w:rPr>
          <w:noProof/>
          <w:lang w:val="en-GB" w:eastAsia="en-GB" w:bidi="ar-SA"/>
        </w:rPr>
        <w:drawing>
          <wp:inline distT="0" distB="0" distL="0" distR="0">
            <wp:extent cx="5761355" cy="27692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769270"/>
                    </a:xfrm>
                    <a:prstGeom prst="rect">
                      <a:avLst/>
                    </a:prstGeom>
                    <a:noFill/>
                    <a:ln>
                      <a:noFill/>
                    </a:ln>
                  </pic:spPr>
                </pic:pic>
              </a:graphicData>
            </a:graphic>
          </wp:inline>
        </w:drawing>
      </w:r>
    </w:p>
    <w:p>
      <w:pPr>
        <w:pStyle w:val="Text1"/>
        <w:rPr>
          <w:noProof/>
        </w:rPr>
      </w:pPr>
    </w:p>
    <w:p>
      <w:pPr>
        <w:pStyle w:val="ManualHeading1"/>
        <w:rPr>
          <w:noProof/>
        </w:rPr>
      </w:pPr>
      <w:bookmarkStart w:id="5" w:name="_Toc360453129"/>
      <w:r>
        <w:rPr>
          <w:noProof/>
        </w:rPr>
        <w:t>3.</w:t>
      </w:r>
      <w:r>
        <w:rPr>
          <w:noProof/>
        </w:rPr>
        <w:tab/>
        <w:t>Bendroji mokėjimų marža</w:t>
      </w:r>
      <w:bookmarkEnd w:id="5"/>
      <w:r>
        <w:rPr>
          <w:noProof/>
        </w:rPr>
        <w:t xml:space="preserve"> (BMM)</w:t>
      </w:r>
    </w:p>
    <w:p>
      <w:pPr>
        <w:pStyle w:val="Text1"/>
        <w:rPr>
          <w:noProof/>
        </w:rPr>
      </w:pPr>
      <w:r>
        <w:rPr>
          <w:noProof/>
        </w:rPr>
        <w:t>Pagal DFP reglamento 5 straipsnį Komisija patikslina 2015–2020 m. mokėjimų viršutinę ribą, ją padidindama suma, kuri yra lygiavertė n − 1 metų įvykdytų mokėjimų ir DFP mokėjimų viršutinės ribos skirtumui. Patikslinimas, kurį atlikus suma padidinama, visiškai kompensuojamas atitinkamai sumažinant n − 1 metų mokėjimų viršutinę ribą palyginamosiomis 2011 m. kainomis.</w:t>
      </w:r>
    </w:p>
    <w:p>
      <w:pPr>
        <w:pStyle w:val="Text1"/>
        <w:rPr>
          <w:noProof/>
        </w:rPr>
      </w:pPr>
      <w:r>
        <w:rPr>
          <w:noProof/>
        </w:rPr>
        <w:t>2016 m. techniniame patikslinime 2014 m. likusi maržos suma (104 mln. EUR galiojančiomis kainomis) buvo perkelta į 2015 m. (106 mln. EUR galiojančiomis kainomis), o viršutinės ribos atitinkamai patikslintos. 2017 m. techniniame patikslinime 2015 m. likusi maržos suma (1 288 mln. EUR) buvo perkelta į 2018–2020 m. 2018 m. techniniame patikslinime 2016 m. likusi maržos suma (13 991 mln. EUR) buvo perkelta į 2018–2020 m. 2019 m. techniniame patikslinime 2017 m. likusi maržos suma (16 414 mln. EUR) buvo perkelta į 2019–2020 m. Šių metų techniniame patikslinime apskaičiuota 2018 m. BMM.</w:t>
      </w:r>
    </w:p>
    <w:p>
      <w:pPr>
        <w:pStyle w:val="Text1"/>
        <w:rPr>
          <w:noProof/>
        </w:rPr>
      </w:pPr>
      <w:r>
        <w:rPr>
          <w:noProof/>
        </w:rPr>
        <w:t xml:space="preserve">Laikoma, kad mokėjimų asignavimai kitoms specialioms priemonėms viršija DFP viršutines ribas. 2018 m. viršutinė mokėjimų riba buvo 154 565 mln. EUR galiojančiomis kainomis. 2018 m. įvykdyti mokėjimai sudaro 144 369,8 mln. EUR. Šią sumą sudaro įvykdyti 2018 m. biudžete patvirtintų mokėjimų asignavimų mokėjimai (142 694,6 mln. EUR) ir iš 2018 m. į 2019 m. perkeltos sumos (1 675,1 mln. EUR). Mokėjimų asignavimai specialioms priemonėms neįtraukti į atliktus mokėjimus (1 060,8 mln. EUR, iš jų – 1 060,6 mln. EUR įvykdytų mokėjimų ir 0,2 mln. EUR perkelta suma). Todėl atliktų mokėjimų suma, į kurią atsižvelgiama skaičiuojant BMM, yra 143 309,0 mln. EUR (142 694,6 mln. EUR + 1 675,1 mln. EUR − 1 060,8 mln. EUR). </w:t>
      </w:r>
    </w:p>
    <w:p>
      <w:pPr>
        <w:pStyle w:val="Text1"/>
        <w:rPr>
          <w:noProof/>
        </w:rPr>
      </w:pPr>
      <w:r>
        <w:rPr>
          <w:noProof/>
        </w:rPr>
        <w:t>Visos iš 2017 į 2018 m. perkeltos sumos buvo laikomos įvykdytais mokėjimais skaičiuojant 2017 m. BMM, tačiau ne visos jos buvo iš tikrųjų išmokėtos. Todėl panaikintos perkeltos sumos turi būti įtrauktos į skaičiavimą, nors jos iš tikrųjų yra neišmokėtos. Panaikintos iš 2017 į 2018 m. perkeltos sumos sudaro 129,7 mln. EUR, iš jų 0,07 mln. EUR skirta specialioms priemonėms. Taigi, visa panaikintų perkeltų sumų, į kurias atsižvelgiama, suma sudaro 129,6 mln. EUR.</w:t>
      </w:r>
    </w:p>
    <w:p>
      <w:pPr>
        <w:pStyle w:val="Text1"/>
        <w:rPr>
          <w:noProof/>
        </w:rPr>
      </w:pPr>
      <w:r>
        <w:rPr>
          <w:noProof/>
        </w:rPr>
        <w:t>Likusi marža pagal 2018 m. mokėjimų viršutinę ribą yra 11 385,5 mln. EUR galiojančiomis kainomis (t. y. 154 566 mln. EUR – 143 309,0 mln. EUR + 129,6 mln. EUR).</w:t>
      </w:r>
    </w:p>
    <w:p>
      <w:pPr>
        <w:pStyle w:val="Text1"/>
        <w:rPr>
          <w:noProof/>
        </w:rPr>
      </w:pPr>
      <w:r>
        <w:rPr>
          <w:noProof/>
        </w:rPr>
        <w:t>Dėl ankstesnių metų BMP perkėlimų į 2020 m. perkelta tik 183 mln. EUR (2011 m. kainomis), t. y. likusi suma neviršija 13 mlrd. EUR ribos. Todėl bendra mokėjimų viršutinė riba 2014–2020 m. laikotarpiu lieka nepakitusi 2011 m. kainomis ir padidėja 9 mln. EUR galiojančiomis kainomis.</w:t>
      </w:r>
    </w:p>
    <w:p>
      <w:pPr>
        <w:pStyle w:val="Text1"/>
        <w:rPr>
          <w:noProof/>
        </w:rPr>
      </w:pPr>
      <w:r>
        <w:rPr>
          <w:noProof/>
        </w:rPr>
        <w:t>Toliau pateikiamoje lentelėje išsamiai parodyta, kaip apskaičiuojama 2018 m. BMM.</w:t>
      </w:r>
    </w:p>
    <w:p>
      <w:pPr>
        <w:pStyle w:val="Text1"/>
        <w:ind w:left="0"/>
        <w:jc w:val="center"/>
        <w:rPr>
          <w:noProof/>
        </w:rPr>
      </w:pPr>
      <w:r>
        <w:rPr>
          <w:noProof/>
          <w:lang w:val="en-GB" w:eastAsia="en-GB" w:bidi="ar-SA"/>
        </w:rPr>
        <w:drawing>
          <wp:inline distT="0" distB="0" distL="0" distR="0">
            <wp:extent cx="5761355" cy="64795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6479582"/>
                    </a:xfrm>
                    <a:prstGeom prst="rect">
                      <a:avLst/>
                    </a:prstGeom>
                    <a:noFill/>
                    <a:ln>
                      <a:noFill/>
                    </a:ln>
                  </pic:spPr>
                </pic:pic>
              </a:graphicData>
            </a:graphic>
          </wp:inline>
        </w:drawing>
      </w:r>
    </w:p>
    <w:p>
      <w:pPr>
        <w:pStyle w:val="Text1"/>
        <w:keepNext/>
        <w:ind w:left="851"/>
        <w:rPr>
          <w:noProof/>
        </w:rPr>
      </w:pPr>
      <w:r>
        <w:rPr>
          <w:noProof/>
        </w:rPr>
        <w:t>Toliau pateikiamoje lentelėje parodyti atitinkami mokėjimų viršutinių ribų patikslinimai.</w:t>
      </w:r>
    </w:p>
    <w:p>
      <w:pPr>
        <w:pStyle w:val="Text1"/>
        <w:ind w:left="0"/>
        <w:jc w:val="center"/>
        <w:rPr>
          <w:noProof/>
        </w:rPr>
      </w:pPr>
      <w:bookmarkStart w:id="6" w:name="_Toc360453132"/>
      <w:r>
        <w:rPr>
          <w:noProof/>
          <w:lang w:val="en-GB" w:eastAsia="en-GB" w:bidi="ar-SA"/>
        </w:rPr>
        <w:drawing>
          <wp:inline distT="0" distB="0" distL="0" distR="0">
            <wp:extent cx="5761355" cy="5270675"/>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5270675"/>
                    </a:xfrm>
                    <a:prstGeom prst="rect">
                      <a:avLst/>
                    </a:prstGeom>
                    <a:noFill/>
                    <a:ln>
                      <a:noFill/>
                    </a:ln>
                  </pic:spPr>
                </pic:pic>
              </a:graphicData>
            </a:graphic>
          </wp:inline>
        </w:drawing>
      </w:r>
    </w:p>
    <w:p>
      <w:pPr>
        <w:pStyle w:val="Text1"/>
        <w:ind w:left="0"/>
        <w:jc w:val="center"/>
        <w:rPr>
          <w:noProof/>
        </w:rPr>
      </w:pPr>
    </w:p>
    <w:p>
      <w:pPr>
        <w:pStyle w:val="ManualHeading1"/>
        <w:rPr>
          <w:noProof/>
        </w:rPr>
      </w:pPr>
      <w:r>
        <w:rPr>
          <w:noProof/>
        </w:rPr>
        <w:t>4.</w:t>
      </w:r>
      <w:r>
        <w:rPr>
          <w:noProof/>
        </w:rPr>
        <w:tab/>
        <w:t>Specialios priemonės</w:t>
      </w:r>
      <w:bookmarkEnd w:id="6"/>
    </w:p>
    <w:p>
      <w:pPr>
        <w:pStyle w:val="Text1"/>
        <w:rPr>
          <w:noProof/>
        </w:rPr>
      </w:pPr>
      <w:r>
        <w:rPr>
          <w:noProof/>
        </w:rPr>
        <w:t>Yra priemonių, kurioms netaikomos 2014–2020 m. finansinėje programoje sutartos viršutinės išlaidų ribos. Šiomis priemonėmis siekiama greitai reaguoti į išskirtinius arba nenumatytus įvykius ir užtikrinti tam tikrą lankstumą, nevaržomą viršutinės sutartos išlaidų ribos, su tam tikrais apribojimais.</w:t>
      </w:r>
    </w:p>
    <w:p>
      <w:pPr>
        <w:pStyle w:val="Text1"/>
        <w:rPr>
          <w:noProof/>
        </w:rPr>
      </w:pPr>
    </w:p>
    <w:p>
      <w:pPr>
        <w:pStyle w:val="ManualHeading2"/>
        <w:rPr>
          <w:noProof/>
        </w:rPr>
      </w:pPr>
      <w:bookmarkStart w:id="7" w:name="_Toc360453133"/>
      <w:r>
        <w:rPr>
          <w:noProof/>
        </w:rPr>
        <w:t>4.1.</w:t>
      </w:r>
      <w:r>
        <w:rPr>
          <w:noProof/>
        </w:rPr>
        <w:tab/>
        <w:t>Neatidėliotinos pagalbos rezervas</w:t>
      </w:r>
      <w:bookmarkEnd w:id="7"/>
    </w:p>
    <w:p>
      <w:pPr>
        <w:pStyle w:val="Text1"/>
        <w:rPr>
          <w:noProof/>
        </w:rPr>
      </w:pPr>
      <w:r>
        <w:rPr>
          <w:noProof/>
        </w:rPr>
        <w:t xml:space="preserve">Pagal iš dalies pakeisto DFP reglamento 9 straipsnį </w:t>
      </w:r>
      <w:r>
        <w:rPr>
          <w:i/>
          <w:noProof/>
        </w:rPr>
        <w:t>neatidėliotinos pagalbos rezervą</w:t>
      </w:r>
      <w:r>
        <w:rPr>
          <w:noProof/>
        </w:rPr>
        <w:t xml:space="preserve"> galima panaudoti per metus neviršijant didžiausios 300 mln. EUR sumos 2011 m. kainomis, arba 2020 m. – 358,5 mln. EUR galiojančiomis kainomis (per visą laikotarpį – 2 301,4 mln. EUR galiojančiomis kainomis). Nepanaudota ankstesnių metų sumos dalis gali būti perkeliama į kitus metus. Iš 2018 į 2019 m. perkelta suma sudaro 34,1 mln. EUR.</w:t>
      </w:r>
    </w:p>
    <w:p>
      <w:pPr>
        <w:pStyle w:val="Text1"/>
        <w:rPr>
          <w:noProof/>
        </w:rPr>
      </w:pPr>
      <w:r>
        <w:rPr>
          <w:noProof/>
        </w:rPr>
        <w:t>Toliau pateikiamoje lentelėje išsamiai parodyta, koks kasmet turimas ir kiek nuo 2014 m. panaudojamas neatidėliotinos pagalbos rezervas.</w:t>
      </w:r>
    </w:p>
    <w:p>
      <w:pPr>
        <w:pStyle w:val="ManualHeading2"/>
        <w:rPr>
          <w:noProof/>
        </w:rPr>
      </w:pPr>
      <w:bookmarkStart w:id="8" w:name="_Toc360453134"/>
      <w:r>
        <w:rPr>
          <w:noProof/>
          <w:lang w:val="en-GB" w:eastAsia="en-GB" w:bidi="ar-SA"/>
        </w:rPr>
        <w:drawing>
          <wp:inline distT="0" distB="0" distL="0" distR="0">
            <wp:extent cx="5761355" cy="1371340"/>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1371340"/>
                    </a:xfrm>
                    <a:prstGeom prst="rect">
                      <a:avLst/>
                    </a:prstGeom>
                    <a:noFill/>
                    <a:ln>
                      <a:noFill/>
                    </a:ln>
                  </pic:spPr>
                </pic:pic>
              </a:graphicData>
            </a:graphic>
          </wp:inline>
        </w:drawing>
      </w:r>
    </w:p>
    <w:p>
      <w:pPr>
        <w:pStyle w:val="ManualHeading2"/>
        <w:rPr>
          <w:noProof/>
        </w:rPr>
      </w:pPr>
      <w:r>
        <w:rPr>
          <w:noProof/>
        </w:rPr>
        <w:t>4.2.</w:t>
      </w:r>
      <w:r>
        <w:rPr>
          <w:noProof/>
        </w:rPr>
        <w:tab/>
        <w:t>Europos Sąjungos solidarumo fondas</w:t>
      </w:r>
      <w:bookmarkEnd w:id="8"/>
    </w:p>
    <w:p>
      <w:pPr>
        <w:pStyle w:val="Text1"/>
        <w:rPr>
          <w:noProof/>
        </w:rPr>
      </w:pPr>
      <w:r>
        <w:rPr>
          <w:noProof/>
        </w:rPr>
        <w:t xml:space="preserve">Pagal DFP reglamento 10 straipsnį </w:t>
      </w:r>
      <w:r>
        <w:rPr>
          <w:i/>
          <w:noProof/>
        </w:rPr>
        <w:t>ES solidarumo fondą</w:t>
      </w:r>
      <w:r>
        <w:rPr>
          <w:noProof/>
        </w:rPr>
        <w:t xml:space="preserve"> galima panaudoti per metus neviršijant didžiausios 500 mln. EUR sumos 2011 m. kainomis, arba 2020 m. – 597,5 mln. EUR galiojančiomis kainomis (per visą laikotarpį – 3 944,7 mln. EUR galiojančiomis kainomis). Nepanaudota ankstesnių metų sumos dalis gali būti perkeliama į kitus metus. Iš 2018 į 2019 m. perkelta suma sudaro 265,3 mln. EUR. 2018 m. pabaigoje nepanaikinta jokia suma. 294 mln. EUR 2018 m. dalies buvo sutelkta 2017 m., kad būtų pakankamai lėšų poreikiams patenkinti (žemės drebėjimai Italijoje).</w:t>
      </w:r>
    </w:p>
    <w:p>
      <w:pPr>
        <w:pStyle w:val="Text1"/>
        <w:rPr>
          <w:noProof/>
        </w:rPr>
      </w:pPr>
      <w:r>
        <w:rPr>
          <w:noProof/>
        </w:rPr>
        <w:t>Toliau pateikiamoje lentelėje išsamiai parodyta, koks kasmet turimas ir kiek nuo 2014 m. panaudojamas Europos Sąjungos solidarumo fondas.</w:t>
      </w:r>
    </w:p>
    <w:p>
      <w:pPr>
        <w:pStyle w:val="ManualHeading2"/>
        <w:rPr>
          <w:noProof/>
        </w:rPr>
      </w:pPr>
      <w:bookmarkStart w:id="9" w:name="_Toc360453135"/>
      <w:r>
        <w:rPr>
          <w:noProof/>
          <w:lang w:val="en-GB" w:eastAsia="en-GB" w:bidi="ar-SA"/>
        </w:rPr>
        <w:drawing>
          <wp:inline distT="0" distB="0" distL="0" distR="0">
            <wp:extent cx="5761355" cy="150933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1509337"/>
                    </a:xfrm>
                    <a:prstGeom prst="rect">
                      <a:avLst/>
                    </a:prstGeom>
                    <a:noFill/>
                    <a:ln>
                      <a:noFill/>
                    </a:ln>
                  </pic:spPr>
                </pic:pic>
              </a:graphicData>
            </a:graphic>
          </wp:inline>
        </w:drawing>
      </w:r>
    </w:p>
    <w:p>
      <w:pPr>
        <w:pStyle w:val="ManualHeading2"/>
        <w:rPr>
          <w:noProof/>
        </w:rPr>
      </w:pPr>
      <w:r>
        <w:rPr>
          <w:noProof/>
        </w:rPr>
        <w:t>4.3.</w:t>
      </w:r>
      <w:r>
        <w:rPr>
          <w:noProof/>
        </w:rPr>
        <w:tab/>
        <w:t>Lankstumo priemonė</w:t>
      </w:r>
      <w:bookmarkEnd w:id="9"/>
    </w:p>
    <w:p>
      <w:pPr>
        <w:pStyle w:val="Text1"/>
        <w:rPr>
          <w:noProof/>
        </w:rPr>
      </w:pPr>
      <w:r>
        <w:rPr>
          <w:noProof/>
        </w:rPr>
        <w:t xml:space="preserve">Pagal iš dalies pakeisto DFP reglamento 11 straipsnį </w:t>
      </w:r>
      <w:r>
        <w:rPr>
          <w:i/>
          <w:noProof/>
        </w:rPr>
        <w:t>lankstumo priemonę</w:t>
      </w:r>
      <w:r>
        <w:rPr>
          <w:noProof/>
        </w:rPr>
        <w:t xml:space="preserve"> galima panaudoti per metus neviršijant didžiausios 600 mln. EUR sumos 2011 m. kainomis, arba 2020 m. – 717 mln. EUR galiojančiomis kainomis (4 315 mln. EUR per visą laikotarpį galiojančiomis kainomis). Nepanaudota ankstesnių 3 metų metinės sumos dalis gali būti perkeliama į kitą laikotarpį.</w:t>
      </w:r>
    </w:p>
    <w:p>
      <w:pPr>
        <w:pStyle w:val="Text1"/>
        <w:rPr>
          <w:noProof/>
        </w:rPr>
      </w:pPr>
      <w:r>
        <w:rPr>
          <w:noProof/>
        </w:rPr>
        <w:t xml:space="preserve">Pagal 6 straipsnio 1 dalies f punktą, kuriame remiamasi 11 straipsnio 1 dalies antra pastraipa, </w:t>
      </w:r>
      <w:r>
        <w:rPr>
          <w:i/>
          <w:noProof/>
        </w:rPr>
        <w:t>nuo 2017 m. lankstumo priemonei skirta metinė suma kasmet padidinama</w:t>
      </w:r>
      <w:r>
        <w:rPr>
          <w:noProof/>
        </w:rPr>
        <w:t xml:space="preserve"> suma, lygiaverte Europos Sąjungos solidarumo fondui skirtos metinės sumos daliai, ir suma, lygiaverte Europos prisitaikymo prie globalizacijos padarinių fondui skirtos metinės sumos daliai, panaikintoms praėjusiais metais. </w:t>
      </w:r>
    </w:p>
    <w:p>
      <w:pPr>
        <w:pStyle w:val="Text1"/>
        <w:rPr>
          <w:noProof/>
        </w:rPr>
      </w:pPr>
      <w:r>
        <w:rPr>
          <w:noProof/>
        </w:rPr>
        <w:t>Toliau pateikiamoje lentelėje išsamiai parodyta, kokia kasmet turima ir kiek nuo 2014 m. panaudojama lankstumo priemonė.</w:t>
      </w:r>
    </w:p>
    <w:p>
      <w:pPr>
        <w:pStyle w:val="Text1"/>
        <w:ind w:left="0"/>
        <w:rPr>
          <w:noProof/>
        </w:rPr>
      </w:pPr>
      <w:r>
        <w:rPr>
          <w:noProof/>
          <w:lang w:val="en-GB" w:eastAsia="en-GB" w:bidi="ar-SA"/>
        </w:rPr>
        <w:drawing>
          <wp:inline distT="0" distB="0" distL="0" distR="0">
            <wp:extent cx="5761355" cy="1997822"/>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1997822"/>
                    </a:xfrm>
                    <a:prstGeom prst="rect">
                      <a:avLst/>
                    </a:prstGeom>
                    <a:noFill/>
                    <a:ln>
                      <a:noFill/>
                    </a:ln>
                  </pic:spPr>
                </pic:pic>
              </a:graphicData>
            </a:graphic>
          </wp:inline>
        </w:drawing>
      </w:r>
      <w:r>
        <w:rPr>
          <w:noProof/>
        </w:rPr>
        <w:t xml:space="preserve"> </w:t>
      </w:r>
    </w:p>
    <w:p>
      <w:pPr>
        <w:pStyle w:val="ManualHeading2"/>
        <w:rPr>
          <w:noProof/>
        </w:rPr>
      </w:pPr>
      <w:bookmarkStart w:id="10" w:name="_Toc360453136"/>
      <w:r>
        <w:rPr>
          <w:noProof/>
        </w:rPr>
        <w:t>4.4.</w:t>
      </w:r>
      <w:r>
        <w:rPr>
          <w:noProof/>
        </w:rPr>
        <w:tab/>
        <w:t>Europos prisitaikymo prie globalizacijos padarinių fondas</w:t>
      </w:r>
      <w:bookmarkEnd w:id="10"/>
    </w:p>
    <w:p>
      <w:pPr>
        <w:pStyle w:val="Text1"/>
        <w:rPr>
          <w:noProof/>
        </w:rPr>
      </w:pPr>
      <w:r>
        <w:rPr>
          <w:noProof/>
        </w:rPr>
        <w:t>Pagal DFP reglamento 12 straipsnį Europos prisitaikymo prie globalizacijos padarinių fondą galima panaudoti per metus neviršijant didžiausios 150 mln. EUR sumos 2011 m. kainomis, arba 2020 m. – 179,3 mln. EUR galiojančiomis kainomis (1 183,4 mln. EUR per visą laikotarpį galiojančiomis kainomis). Nepanaudotų ankstesnių metų sumų negalima perkelti. 144 mln. EUR suma, kuri panaikinta 2018 m. pabaigoje, panaudota lankstumo priemonei 2019 m. skirtai sumai padidinti.</w:t>
      </w:r>
    </w:p>
    <w:p>
      <w:pPr>
        <w:pStyle w:val="Text1"/>
        <w:rPr>
          <w:noProof/>
        </w:rPr>
      </w:pPr>
      <w:r>
        <w:rPr>
          <w:noProof/>
        </w:rPr>
        <w:t>Toliau pateikiamoje lentelėje išsamiai parodyta, koks kasmet turimas ir kiek nuo 2014 m. panaudojamas Europos prisitaikymo prie globalizacijos padarinių fondas.</w:t>
      </w:r>
    </w:p>
    <w:p>
      <w:pPr>
        <w:pStyle w:val="ManualHeading2"/>
        <w:rPr>
          <w:noProof/>
        </w:rPr>
      </w:pPr>
      <w:bookmarkStart w:id="11" w:name="_Toc360453137"/>
      <w:r>
        <w:rPr>
          <w:noProof/>
          <w:lang w:val="en-GB" w:eastAsia="en-GB" w:bidi="ar-SA"/>
        </w:rPr>
        <w:drawing>
          <wp:inline distT="0" distB="0" distL="0" distR="0">
            <wp:extent cx="5761355" cy="11125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1112597"/>
                    </a:xfrm>
                    <a:prstGeom prst="rect">
                      <a:avLst/>
                    </a:prstGeom>
                    <a:noFill/>
                    <a:ln>
                      <a:noFill/>
                    </a:ln>
                  </pic:spPr>
                </pic:pic>
              </a:graphicData>
            </a:graphic>
          </wp:inline>
        </w:drawing>
      </w:r>
    </w:p>
    <w:p>
      <w:pPr>
        <w:pStyle w:val="ManualHeading2"/>
        <w:rPr>
          <w:noProof/>
        </w:rPr>
      </w:pPr>
      <w:r>
        <w:rPr>
          <w:noProof/>
        </w:rPr>
        <w:t>4.5.</w:t>
      </w:r>
      <w:r>
        <w:rPr>
          <w:noProof/>
        </w:rPr>
        <w:tab/>
        <w:t>Nenumatytų atvejų rezervas</w:t>
      </w:r>
      <w:bookmarkEnd w:id="11"/>
    </w:p>
    <w:p>
      <w:pPr>
        <w:pStyle w:val="Text1"/>
        <w:rPr>
          <w:bCs/>
          <w:noProof/>
        </w:rPr>
      </w:pPr>
      <w:r>
        <w:rPr>
          <w:noProof/>
        </w:rPr>
        <w:t>Pagal DFP reglamento 13 straipsnį už 2014–2020 m. finansinės programos viršutinių ribų sudaromas nenumatytų atvejų rezervas, kuris neviršija 0,03 % Sąjungos bendrųjų nacionalinių pajamų.</w:t>
      </w:r>
    </w:p>
    <w:p>
      <w:pPr>
        <w:pStyle w:val="Text1"/>
        <w:rPr>
          <w:bCs/>
          <w:noProof/>
        </w:rPr>
      </w:pPr>
      <w:r>
        <w:rPr>
          <w:noProof/>
        </w:rPr>
        <w:t>2020 m. nenumatytų atvejų rezervo absoliuti suma yra 5 096,8 mln. EUR.</w:t>
      </w:r>
    </w:p>
    <w:p>
      <w:pPr>
        <w:pStyle w:val="Text1"/>
        <w:rPr>
          <w:noProof/>
        </w:rPr>
      </w:pPr>
      <w:r>
        <w:rPr>
          <w:noProof/>
        </w:rPr>
        <w:t>Toliau pateikiamoje lentelėje išsamiai parodyta, koks kasmet turimas ir kiek nuo 2014 m. panaudojamas nenumatytų atvejų rezervas.</w:t>
      </w:r>
    </w:p>
    <w:p>
      <w:pPr>
        <w:pStyle w:val="ManualHeading2"/>
        <w:rPr>
          <w:noProof/>
        </w:rPr>
      </w:pPr>
      <w:bookmarkStart w:id="12" w:name="_Toc360453131"/>
      <w:r>
        <w:rPr>
          <w:noProof/>
          <w:lang w:val="en-GB" w:eastAsia="en-GB" w:bidi="ar-SA"/>
        </w:rPr>
        <w:drawing>
          <wp:inline distT="0" distB="0" distL="0" distR="0">
            <wp:extent cx="5761355" cy="1396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1396990"/>
                    </a:xfrm>
                    <a:prstGeom prst="rect">
                      <a:avLst/>
                    </a:prstGeom>
                    <a:noFill/>
                    <a:ln>
                      <a:noFill/>
                    </a:ln>
                  </pic:spPr>
                </pic:pic>
              </a:graphicData>
            </a:graphic>
          </wp:inline>
        </w:drawing>
      </w:r>
      <w:r>
        <w:rPr>
          <w:noProof/>
        </w:rPr>
        <w:t>4.6.</w:t>
      </w:r>
      <w:r>
        <w:rPr>
          <w:noProof/>
        </w:rPr>
        <w:tab/>
        <w:t>Bendroji įsipareigojimų marža</w:t>
      </w:r>
      <w:bookmarkEnd w:id="12"/>
      <w:r>
        <w:rPr>
          <w:noProof/>
        </w:rPr>
        <w:t xml:space="preserve"> (BĮM) augimui ir užimtumui, visų pirma jaunimo užimtumui, taip pat migracijos ir saugumo priemonėms </w:t>
      </w:r>
    </w:p>
    <w:p>
      <w:pPr>
        <w:pStyle w:val="Text1"/>
        <w:rPr>
          <w:noProof/>
        </w:rPr>
      </w:pPr>
      <w:r>
        <w:rPr>
          <w:noProof/>
        </w:rPr>
        <w:t>Pagal DFP reglamento su pakeitimais, padarytais Tarybos reglamentu (ES, Euratomas) Nr. 2017/1123, 14 straipsnį turimos DFP įsipareigojimų asignavimų viršutinių ribų nesiekiančios maržos sudaro bendrąją DFP įsipareigojimų maržą, kurią galima panaudoti viršijant DFP nurodytas 2016–2020 m. viršutines ribas, nustatytas politiniams tikslams, susijusiems su augimu ir užimtumu, visų pirma jaunimo užimtumu, taip pat migracijai ir saugumui.</w:t>
      </w:r>
    </w:p>
    <w:p>
      <w:pPr>
        <w:pStyle w:val="Text1"/>
        <w:rPr>
          <w:noProof/>
        </w:rPr>
      </w:pPr>
      <w:r>
        <w:rPr>
          <w:noProof/>
        </w:rPr>
        <w:t>Galutiniame 2018 m. biudžete likusi turima marža pagal įsipareigojimų asignavimų viršutinę ribą sudaro 1 390,9 mln. EUR. Į įsipareigojimų asignavimus, skirtus specialiosioms priemonėms (įskaitant BĮM ir nenumatytų atvejų rezervo naudojimą) neatsižvelgiama, nes jie įgyvendinti viršijant DFP viršutines ribas.</w:t>
      </w:r>
    </w:p>
    <w:p>
      <w:pPr>
        <w:pStyle w:val="Text1"/>
        <w:rPr>
          <w:noProof/>
        </w:rPr>
      </w:pPr>
      <w:r>
        <w:rPr>
          <w:noProof/>
        </w:rPr>
        <w:t>Remiantis DFP reglamento 6 straipsnio 2 dalimi, apskaičiuojant BĮM naudojamas 2 % metinis defliatorius. Iš 2018 m. likusios maržos suma, kurią bus galima panaudoti 2019 m., atitinka 1 390,9 mln. EUR 2018 m. galiojančiomis kainomis, arba 1 418,7 mln. EUR sumą 2019 m. galiojančiomis kainomis</w:t>
      </w:r>
      <w:r>
        <w:rPr>
          <w:rStyle w:val="FootnoteReference"/>
          <w:noProof/>
        </w:rPr>
        <w:footnoteReference w:id="25"/>
      </w:r>
      <w:r>
        <w:rPr>
          <w:noProof/>
        </w:rPr>
        <w:t xml:space="preserve"> (1 447,1 mln. EUR 2020 m. galiojančiomis kainomis). BĮM suma 2011 m. kainomis atitinka 1 210,9 mln. EUR.</w:t>
      </w:r>
    </w:p>
    <w:p>
      <w:pPr>
        <w:pStyle w:val="Text1"/>
        <w:rPr>
          <w:noProof/>
        </w:rPr>
      </w:pPr>
      <w:r>
        <w:rPr>
          <w:noProof/>
        </w:rPr>
        <w:t>Toliau pateikiamoje lentelėje išsamiai parodyta, kaip apskaičiuojama 2018 m. BĮM.</w:t>
      </w:r>
    </w:p>
    <w:p>
      <w:pPr>
        <w:pStyle w:val="Text1"/>
        <w:jc w:val="center"/>
        <w:rPr>
          <w:noProof/>
        </w:rPr>
      </w:pPr>
      <w:r>
        <w:rPr>
          <w:noProof/>
          <w:lang w:val="en-GB" w:eastAsia="en-GB" w:bidi="ar-SA"/>
        </w:rPr>
        <w:drawing>
          <wp:inline distT="0" distB="0" distL="0" distR="0">
            <wp:extent cx="4488815" cy="286194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8815" cy="2861945"/>
                    </a:xfrm>
                    <a:prstGeom prst="rect">
                      <a:avLst/>
                    </a:prstGeom>
                    <a:noFill/>
                    <a:ln>
                      <a:noFill/>
                    </a:ln>
                  </pic:spPr>
                </pic:pic>
              </a:graphicData>
            </a:graphic>
          </wp:inline>
        </w:drawing>
      </w:r>
    </w:p>
    <w:p>
      <w:pPr>
        <w:pStyle w:val="Text1"/>
        <w:rPr>
          <w:noProof/>
        </w:rPr>
      </w:pPr>
    </w:p>
    <w:p>
      <w:pPr>
        <w:pStyle w:val="Text1"/>
        <w:rPr>
          <w:noProof/>
        </w:rPr>
      </w:pPr>
      <w:r>
        <w:rPr>
          <w:noProof/>
        </w:rPr>
        <w:t xml:space="preserve">Šiuo metu ankstesnės likusios BĮM (2014–2017 m.) dalies nėra. Todėl bendra 2019 m. turima BĮM suma yra ne didesnė nei 2018 m. dalis. </w:t>
      </w:r>
    </w:p>
    <w:p>
      <w:pPr>
        <w:pStyle w:val="Text1"/>
        <w:rPr>
          <w:noProof/>
        </w:rPr>
      </w:pPr>
      <w:r>
        <w:rPr>
          <w:noProof/>
        </w:rPr>
        <w:t>Toliau pateikiamoje lentelėje išsamiai parodyta, kokia turima ir kiek nuo 2014 m. panaudojama BĮM.</w:t>
      </w:r>
    </w:p>
    <w:p>
      <w:pPr>
        <w:pStyle w:val="Text1"/>
        <w:ind w:left="0"/>
        <w:jc w:val="center"/>
        <w:rPr>
          <w:noProof/>
        </w:rPr>
      </w:pPr>
      <w:r>
        <w:rPr>
          <w:noProof/>
          <w:lang w:val="en-GB" w:eastAsia="en-GB" w:bidi="ar-SA"/>
        </w:rPr>
        <w:drawing>
          <wp:inline distT="0" distB="0" distL="0" distR="0">
            <wp:extent cx="5379720" cy="332486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79720" cy="3324860"/>
                    </a:xfrm>
                    <a:prstGeom prst="rect">
                      <a:avLst/>
                    </a:prstGeom>
                    <a:noFill/>
                    <a:ln>
                      <a:noFill/>
                    </a:ln>
                  </pic:spPr>
                </pic:pic>
              </a:graphicData>
            </a:graphic>
          </wp:inline>
        </w:drawing>
      </w:r>
    </w:p>
    <w:p>
      <w:pPr>
        <w:pStyle w:val="Text1"/>
        <w:ind w:left="0"/>
        <w:rPr>
          <w:noProof/>
        </w:rPr>
      </w:pPr>
    </w:p>
    <w:p>
      <w:pPr>
        <w:pStyle w:val="ManualHeading1"/>
        <w:rPr>
          <w:noProof/>
        </w:rPr>
      </w:pPr>
      <w:r>
        <w:rPr>
          <w:noProof/>
        </w:rPr>
        <w:t>5.</w:t>
      </w:r>
      <w:r>
        <w:rPr>
          <w:noProof/>
        </w:rPr>
        <w:tab/>
        <w:t>Suvestinė lentelė ir išvados</w:t>
      </w:r>
    </w:p>
    <w:p>
      <w:pPr>
        <w:pStyle w:val="Text1"/>
        <w:rPr>
          <w:noProof/>
        </w:rPr>
      </w:pPr>
      <w:r>
        <w:rPr>
          <w:noProof/>
        </w:rPr>
        <w:t>Toliau pateikiamose lentelėse apibendrinami finansinės programos įsipareigojimų ir mokėjimų asignavimų viršutinių ribų pokyčiai galiojančiomis ir 2011 m. kainomis remiantis DFP reglamento 3 straipsnio 1 dalimi ir 5 straipsniu.</w:t>
      </w:r>
    </w:p>
    <w:p>
      <w:pPr>
        <w:pStyle w:val="Text1"/>
        <w:ind w:left="0"/>
        <w:rPr>
          <w:noProof/>
        </w:rPr>
      </w:pPr>
      <w:r>
        <w:rPr>
          <w:noProof/>
          <w:lang w:val="en-GB" w:eastAsia="en-GB" w:bidi="ar-SA"/>
        </w:rPr>
        <w:drawing>
          <wp:inline distT="0" distB="0" distL="0" distR="0">
            <wp:extent cx="5761355" cy="228155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2281558"/>
                    </a:xfrm>
                    <a:prstGeom prst="rect">
                      <a:avLst/>
                    </a:prstGeom>
                    <a:noFill/>
                    <a:ln>
                      <a:noFill/>
                    </a:ln>
                  </pic:spPr>
                </pic:pic>
              </a:graphicData>
            </a:graphic>
          </wp:inline>
        </w:drawing>
      </w:r>
    </w:p>
    <w:p>
      <w:pPr>
        <w:rPr>
          <w:noProof/>
        </w:rPr>
      </w:pPr>
    </w:p>
    <w:sectPr>
      <w:headerReference w:type="even" r:id="rId29"/>
      <w:headerReference w:type="default" r:id="rId30"/>
      <w:footerReference w:type="even" r:id="rId31"/>
      <w:footerReference w:type="default" r:id="rId32"/>
      <w:headerReference w:type="first" r:id="rId33"/>
      <w:footerReference w:type="first" r:id="rId3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44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tab/>
        <w:t>OL L 163, 2017 6 24, p. 1.</w:t>
      </w:r>
    </w:p>
  </w:footnote>
  <w:footnote w:id="3">
    <w:p>
      <w:pPr>
        <w:pStyle w:val="FootnoteText"/>
        <w:rPr>
          <w:lang w:val="pt-PT"/>
        </w:rPr>
      </w:pPr>
      <w:r>
        <w:rPr>
          <w:rStyle w:val="FootnoteReference"/>
        </w:rPr>
        <w:footnoteRef/>
      </w:r>
      <w:r>
        <w:t xml:space="preserve"> </w:t>
      </w:r>
      <w:r>
        <w:tab/>
        <w:t xml:space="preserve">COM(2018) 282 </w:t>
      </w:r>
      <w:r>
        <w:rPr>
          <w:i/>
        </w:rPr>
        <w:t>final</w:t>
      </w:r>
      <w:r>
        <w:t>, 2018 5 23.</w:t>
      </w:r>
    </w:p>
  </w:footnote>
  <w:footnote w:id="4">
    <w:p>
      <w:pPr>
        <w:pStyle w:val="FootnoteText"/>
        <w:rPr>
          <w:rStyle w:val="FootnoteReference"/>
          <w:lang w:val="pt-PT"/>
        </w:rPr>
      </w:pPr>
      <w:r>
        <w:rPr>
          <w:rStyle w:val="FootnoteReference"/>
        </w:rPr>
        <w:footnoteRef/>
      </w:r>
      <w:r>
        <w:rPr>
          <w:rStyle w:val="FootnoteReference"/>
        </w:rPr>
        <w:t xml:space="preserve"> </w:t>
      </w:r>
      <w:r>
        <w:tab/>
        <w:t>https://ec.europa.eu/info/business-economy-euro/economic-performance-and-forecasts/economic-forecasts/spring-2019-economic-forecast_en</w:t>
      </w:r>
    </w:p>
  </w:footnote>
  <w:footnote w:id="5">
    <w:p>
      <w:pPr>
        <w:pStyle w:val="FootnoteText"/>
      </w:pPr>
      <w:r>
        <w:rPr>
          <w:rStyle w:val="FootnoteReference"/>
        </w:rPr>
        <w:footnoteRef/>
      </w:r>
      <w:r>
        <w:t xml:space="preserve"> </w:t>
      </w:r>
      <w:r>
        <w:tab/>
        <w:t>OL L 168, 2014 6 7.</w:t>
      </w:r>
    </w:p>
  </w:footnote>
  <w:footnote w:id="6">
    <w:p>
      <w:pPr>
        <w:pStyle w:val="FootnoteText"/>
      </w:pPr>
      <w:r>
        <w:rPr>
          <w:rStyle w:val="FootnoteReference"/>
        </w:rPr>
        <w:footnoteRef/>
      </w:r>
      <w:r>
        <w:t xml:space="preserve"> </w:t>
      </w:r>
      <w:r>
        <w:tab/>
        <w:t xml:space="preserve">COM(2016) 829 </w:t>
      </w:r>
      <w:r>
        <w:rPr>
          <w:i/>
        </w:rPr>
        <w:t>final</w:t>
      </w:r>
      <w:r>
        <w:t>, 2016 12 21.</w:t>
      </w:r>
    </w:p>
  </w:footnote>
  <w:footnote w:id="7">
    <w:p>
      <w:pPr>
        <w:pStyle w:val="FootnoteText"/>
      </w:pPr>
      <w:r>
        <w:rPr>
          <w:rStyle w:val="FootnoteReference"/>
        </w:rPr>
        <w:footnoteRef/>
      </w:r>
      <w:r>
        <w:t xml:space="preserve"> </w:t>
      </w:r>
      <w:r>
        <w:tab/>
        <w:t>2019 m. kovo 22 d. Europos Vadovų Tarybos sprendimas (ES) 2019/476, priimtas susitarus su Jungtine Karalyste, kuriuo pratęsiamas terminas pagal ES sutarties 50 straipsnio 3 dalį (OL L 80, 2019 3 22, p. 1).</w:t>
      </w:r>
    </w:p>
  </w:footnote>
  <w:footnote w:id="8">
    <w:p>
      <w:pPr>
        <w:pStyle w:val="FootnoteText"/>
      </w:pPr>
      <w:r>
        <w:rPr>
          <w:rStyle w:val="FootnoteReference"/>
        </w:rPr>
        <w:footnoteRef/>
      </w:r>
      <w:r>
        <w:t xml:space="preserve"> </w:t>
      </w:r>
      <w:r>
        <w:tab/>
        <w:t>2019 m. balandžio 11 d. Europos Vadovų Tarybos sprendimas (ES) 2019/584, priimtas susitarus su Jungtine Karalyste, kuriuo pratęsiamas terminas pagal ES sutarties 50 straipsnio 3 dalį (OL L 101, 2019 4 11, p. 1).</w:t>
      </w:r>
    </w:p>
  </w:footnote>
  <w:footnote w:id="9">
    <w:p>
      <w:pPr>
        <w:pStyle w:val="FootnoteText"/>
      </w:pPr>
      <w:r>
        <w:rPr>
          <w:rStyle w:val="FootnoteReference"/>
        </w:rPr>
        <w:footnoteRef/>
      </w:r>
      <w:r>
        <w:t xml:space="preserve"> </w:t>
      </w:r>
      <w:r>
        <w:tab/>
        <w:t xml:space="preserve">OL C 66 I, 2019 2 19, p. 1. </w:t>
      </w:r>
    </w:p>
  </w:footnote>
  <w:footnote w:id="10">
    <w:p>
      <w:pPr>
        <w:pStyle w:val="FootnoteText"/>
        <w:rPr>
          <w:lang w:val="pt-PT"/>
        </w:rPr>
      </w:pPr>
      <w:r>
        <w:rPr>
          <w:rStyle w:val="FootnoteReference"/>
        </w:rPr>
        <w:footnoteRef/>
      </w:r>
      <w:r>
        <w:t xml:space="preserve"> </w:t>
      </w:r>
      <w:r>
        <w:tab/>
        <w:t xml:space="preserve">COM(2014) 307 </w:t>
      </w:r>
      <w:r>
        <w:rPr>
          <w:i/>
        </w:rPr>
        <w:t>final</w:t>
      </w:r>
      <w:r>
        <w:t xml:space="preserve"> (2014 5 28).</w:t>
      </w:r>
    </w:p>
  </w:footnote>
  <w:footnote w:id="11">
    <w:p>
      <w:pPr>
        <w:pStyle w:val="FootnoteText"/>
      </w:pPr>
      <w:r>
        <w:rPr>
          <w:rStyle w:val="FootnoteReference"/>
        </w:rPr>
        <w:footnoteRef/>
      </w:r>
      <w:r>
        <w:t xml:space="preserve"> </w:t>
      </w:r>
      <w:r>
        <w:tab/>
        <w:t>Komisijos įgyvendinimo reglamentas (ES) Nr. 367/2014, kuriuo nustatomas EŽŪGF išlaidoms skiriamas grynasis likutis (OL L 108, 2014 4 11, p. 13).</w:t>
      </w:r>
    </w:p>
  </w:footnote>
  <w:footnote w:id="12">
    <w:p>
      <w:pPr>
        <w:pStyle w:val="FootnoteText"/>
      </w:pPr>
      <w:r>
        <w:rPr>
          <w:rStyle w:val="FootnoteReference"/>
        </w:rPr>
        <w:footnoteRef/>
      </w:r>
      <w:r>
        <w:t xml:space="preserve"> </w:t>
      </w:r>
      <w:r>
        <w:tab/>
        <w:t xml:space="preserve">COM(2015) 320 </w:t>
      </w:r>
      <w:r>
        <w:rPr>
          <w:i/>
        </w:rPr>
        <w:t>final</w:t>
      </w:r>
      <w:r>
        <w:t xml:space="preserve"> (2015 5 22).</w:t>
      </w:r>
    </w:p>
  </w:footnote>
  <w:footnote w:id="13">
    <w:p>
      <w:pPr>
        <w:pStyle w:val="FootnoteText"/>
      </w:pPr>
      <w:r>
        <w:rPr>
          <w:rStyle w:val="FootnoteReference"/>
        </w:rPr>
        <w:footnoteRef/>
      </w:r>
      <w:r>
        <w:tab/>
        <w:t>2009 m. sausio 19 d. Tarybos reglamentas (EB) Nr. 73/2009, nustatantis bendrąsias tiesioginės paramos schemų ūkininkams pagal bendrą žemės ūkio politiką taisykles ir nustatantis tam tikras paramos schemas ūkininkams, iš dalies keičiantis reglamentus (EB) Nr. 1290/2005, (EB) Nr. 247/2006, (EB) Nr. 378/2007 ir panaikinantis Reglamentą (EB) Nr. 1782/2003 (OL L 30, 2009 1 31, p. 16).</w:t>
      </w:r>
    </w:p>
  </w:footnote>
  <w:footnote w:id="14">
    <w:p>
      <w:pPr>
        <w:pStyle w:val="FootnoteText"/>
      </w:pPr>
      <w:r>
        <w:rPr>
          <w:rStyle w:val="FootnoteReference"/>
        </w:rPr>
        <w:footnoteRef/>
      </w:r>
      <w:r>
        <w:tab/>
        <w:t>2013 m. gruodžio 17 d. Europos Parlamento ir Tarybos reglamentas (ES) Nr. 1307/2013, kuriuo nustatomos pagal bendros žemės ūkio politikos paramos sistemas ūkininkams skiriamų tiesioginių išmokų taisyklės ir panaikinami Tarybos reglamentas (EB) Nr. 637/2008 ir Tarybos reglamentas (EB) Nr. 73/2009 (OL L 347, 2013 12 20, p. 608).</w:t>
      </w:r>
    </w:p>
  </w:footnote>
  <w:footnote w:id="15">
    <w:p>
      <w:pPr>
        <w:pStyle w:val="FootnoteText"/>
      </w:pPr>
      <w:r>
        <w:rPr>
          <w:rStyle w:val="FootnoteReference"/>
        </w:rPr>
        <w:footnoteRef/>
      </w:r>
      <w:r>
        <w:tab/>
        <w:t>2014 m. gegužės 13 d. Komisijos deleguotasis reglamentas (ES) Nr. 994/2014, kuriuo iš dalies keičiami Tarybos reglamento (EB) Nr. 73/2009 VIII ir VIIIc priedai, Europos Parlamento ir Tarybos reglamento (ES) Nr. 1305/2013 I priedas ir Europos Parlamento ir Tarybos reglamento (ES) Nr. 1307/2013 II, III ir VI priedai (OL L 280, 2014 9 24, p. 1).</w:t>
      </w:r>
    </w:p>
  </w:footnote>
  <w:footnote w:id="16">
    <w:p>
      <w:pPr>
        <w:pStyle w:val="FootnoteText"/>
      </w:pPr>
      <w:r>
        <w:rPr>
          <w:rStyle w:val="FootnoteReference"/>
        </w:rPr>
        <w:footnoteRef/>
      </w:r>
      <w:r>
        <w:t xml:space="preserve"> </w:t>
      </w:r>
      <w:r>
        <w:tab/>
        <w:t>2014 m. spalio 16 d. Komisijos įgyvendinimo reglamentas (ES) Nr. 1089/2014, kuriuo iš dalies keičiamas Įgyvendinimo reglamentas (ES) Nr. 367/2014, kuriuo nustatomas EŽŪGF išlaidoms skiriamas grynasis likutis (OL L 299, 2014 10 17, p. 7).</w:t>
      </w:r>
    </w:p>
  </w:footnote>
  <w:footnote w:id="17">
    <w:p>
      <w:pPr>
        <w:pStyle w:val="FootnoteText"/>
        <w:rPr>
          <w:lang w:val="cs-CZ"/>
        </w:rPr>
      </w:pPr>
      <w:r>
        <w:rPr>
          <w:rStyle w:val="FootnoteReference"/>
        </w:rPr>
        <w:footnoteRef/>
      </w:r>
      <w:r>
        <w:tab/>
        <w:t>2014 m. spalio 17 d. Komisijos deleguotasis reglamentas (ES) Nr. 1378/2014, kuriuo iš dalies keičiami Europos Parlamento ir Tarybos reglamento (ES) Nr. 1305/2013 I priedas ir Europos Parlamento ir Tarybos reglamento (ES) Nr. 1307/2013 II ir III priedai (OL L 367, 2014 12 23, p. 16).</w:t>
      </w:r>
    </w:p>
  </w:footnote>
  <w:footnote w:id="18">
    <w:p>
      <w:pPr>
        <w:pStyle w:val="FootnoteText"/>
      </w:pPr>
      <w:r>
        <w:rPr>
          <w:rStyle w:val="FootnoteReference"/>
        </w:rPr>
        <w:footnoteRef/>
      </w:r>
      <w:r>
        <w:tab/>
        <w:t>2015 m. sausio 29 d. Komisijos įgyvendinimo reglamentas (ES) 2015/141, kuriuo iš dalies keičiamas Įgyvendinimo reglamentas (ES) Nr. 367/2014, kuriuo nustatomas EŽŪGF išlaidoms skiriamas grynasis likutis (OL L 24, 2015 1 30, p. 11).</w:t>
      </w:r>
    </w:p>
  </w:footnote>
  <w:footnote w:id="19">
    <w:p>
      <w:pPr>
        <w:pStyle w:val="FootnoteText"/>
      </w:pPr>
      <w:r>
        <w:rPr>
          <w:rStyle w:val="FootnoteReference"/>
        </w:rPr>
        <w:footnoteRef/>
      </w:r>
      <w:r>
        <w:t xml:space="preserve"> </w:t>
      </w:r>
      <w:r>
        <w:tab/>
        <w:t>2015 m. gruodžio 2 d. Komisijos deleguotasis reglamentas (ES) 2016/142, kuriuo iš dalies keičiamas Europos Parlamento ir Tarybos reglamento (ES) Nr. 1305/2013 I priedas ir Europos Parlamento ir Tarybos reglamento (ES) Nr. 1307/2013 III priedas (OL L 28, 2016 2 4, p. 8).</w:t>
      </w:r>
    </w:p>
  </w:footnote>
  <w:footnote w:id="20">
    <w:p>
      <w:pPr>
        <w:pStyle w:val="FootnoteText"/>
      </w:pPr>
      <w:r>
        <w:rPr>
          <w:rStyle w:val="FootnoteReference"/>
        </w:rPr>
        <w:footnoteRef/>
      </w:r>
      <w:r>
        <w:t xml:space="preserve"> </w:t>
      </w:r>
      <w:r>
        <w:tab/>
        <w:t>2016 m. vasario 24 d. Komisijos įgyvendinimo reglamentas (ES) 2016/257, kuriuo iš dalies keičiamas Įgyvendinimo reglamentas (ES) Nr. 367/2014, kuriuo nustatomas EŽŪGF išlaidoms skiriamas grynasis likutis (OL L 49, 2016 2 25, p. 1).</w:t>
      </w:r>
    </w:p>
  </w:footnote>
  <w:footnote w:id="21">
    <w:p>
      <w:pPr>
        <w:pStyle w:val="FootnoteText"/>
      </w:pPr>
      <w:r>
        <w:rPr>
          <w:rStyle w:val="FootnoteReference"/>
        </w:rPr>
        <w:footnoteRef/>
      </w:r>
      <w:r>
        <w:t xml:space="preserve"> </w:t>
      </w:r>
      <w:r>
        <w:tab/>
        <w:t>2017 m. lapkričio 23 d. Komisijos deleguotasis reglamentas (ES) 2018/162, kuriuo iš dalies keičiami Europos Parlamento ir Tarybos reglamento (ES) Nr. 1305/2013 I priedas ir Europos Parlamento ir Tarybos reglamento (ES) Nr. 1307/2013 II ir III priedai (OL L 30, 2018 2 2, p. 6).</w:t>
      </w:r>
    </w:p>
  </w:footnote>
  <w:footnote w:id="22">
    <w:p>
      <w:pPr>
        <w:pStyle w:val="FootnoteText"/>
      </w:pPr>
      <w:r>
        <w:rPr>
          <w:rStyle w:val="FootnoteReference"/>
        </w:rPr>
        <w:footnoteRef/>
      </w:r>
      <w:r>
        <w:t xml:space="preserve"> </w:t>
      </w:r>
      <w:r>
        <w:tab/>
        <w:t>2018 m. vasario 19 d. Komisijos įgyvendinimo reglamentas (ES) 2018/288, kuriuo iš dalies keičiamas Įgyvendinimo reglamentas (ES) Nr. 367/2014, kuriuo nustatomas EŽŪGF išlaidoms skiriamas grynasis likutis (OL L 55, 2018 2 27, p. 18).</w:t>
      </w:r>
    </w:p>
  </w:footnote>
  <w:footnote w:id="23">
    <w:p>
      <w:pPr>
        <w:pStyle w:val="FootnoteText"/>
      </w:pPr>
      <w:r>
        <w:rPr>
          <w:rStyle w:val="FootnoteReference"/>
        </w:rPr>
        <w:footnoteRef/>
      </w:r>
      <w:r>
        <w:t xml:space="preserve"> </w:t>
      </w:r>
      <w:r>
        <w:tab/>
        <w:t>2018 m. lapkričio 9 d. Komisijos deleguotasis reglamentas (ES) 2019/71, kuriuo iš dalies keičiamas Europos Parlamento ir Tarybos reglamento (ES) Nr. 1305/2013 I priedas ir Europos Parlamento ir Tarybos reglamento (ES) Nr. 1307/2013 III priedas (OL L 16, 2019 1 18, p. 1).</w:t>
      </w:r>
    </w:p>
  </w:footnote>
  <w:footnote w:id="24">
    <w:p>
      <w:pPr>
        <w:pStyle w:val="FootnoteText"/>
      </w:pPr>
      <w:r>
        <w:rPr>
          <w:rStyle w:val="FootnoteReference"/>
        </w:rPr>
        <w:footnoteRef/>
      </w:r>
      <w:r>
        <w:t xml:space="preserve"> </w:t>
      </w:r>
      <w:r>
        <w:tab/>
        <w:t>2019 m. kovo 19 d. Komisijos įgyvendinimo reglamentas (ES) 2019/445, kuriuo iš dalies keičiamas Įgyvendinimo reglamentas (ES) 367/2014, kuriuo nustatomas EŽŪGF išlaidoms skiriamas grynasis likutis (OL L 77, 2019 3 20, p. 64).</w:t>
      </w:r>
    </w:p>
  </w:footnote>
  <w:footnote w:id="25">
    <w:p>
      <w:pPr>
        <w:pStyle w:val="FootnoteText"/>
        <w:rPr>
          <w:lang w:val="cs-CZ"/>
        </w:rPr>
      </w:pPr>
      <w:r>
        <w:rPr>
          <w:rStyle w:val="FootnoteReference"/>
        </w:rPr>
        <w:footnoteRef/>
      </w:r>
      <w:r>
        <w:tab/>
        <w:t>Jei 2019–2020 m. būtų panaudota visa ši suma arba jos dalis, suma bus atitinkamai patikslinta taikant 2 % metinį defliatorių pagal DFP reglamento 6 straipsnio 2 dalį.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29F9"/>
    <w:multiLevelType w:val="hybridMultilevel"/>
    <w:tmpl w:val="3222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C98CE8D-F091-4143-994E-BEC53F38273D"/>
    <w:docVar w:name="LW_COVERPAGE_TYPE" w:val="1"/>
    <w:docVar w:name="LW_CROSSREFERENCE" w:val="&lt;UNUSED&gt;"/>
    <w:docVar w:name="LW_DocType" w:val="NORMAL"/>
    <w:docVar w:name="LW_EMISSION" w:val="2019 05 15"/>
    <w:docVar w:name="LW_EMISSION_ISODATE" w:val="2019-05-15"/>
    <w:docVar w:name="LW_EMISSION_LOCATION" w:val="BRX"/>
    <w:docVar w:name="LW_EMISSION_PREFIX" w:val="Briuselis, "/>
    <w:docVar w:name="LW_EMISSION_SUFFIX" w:val=" "/>
    <w:docVar w:name="LW_ID_DOCTYPE_NONLW" w:val="CP-011"/>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3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2020 m. finansin\u279?s programos techninis patikslinimas pagal BNP poky\u269?ius (2010 m. ESS)_x000b_(Tarybos reglamento Nr. 1311/2013, kuriuo nustatoma 2014\u8211?2020 m. daugiamet\u279? finansin\u279? programa, 6 straipsnis)"/>
    <w:docVar w:name="LW_TYPE.DOC.CP" w:val="KOMISIJOS KOMUNIKATAS TARYBAI IR EUROPOS PARLAMENTU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t-LT"/>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lt-LT"/>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lt-LT"/>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lt-LT"/>
    </w:r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ManualHeading1">
    <w:name w:val="Manual Heading 1"/>
    <w:basedOn w:val="Normal"/>
    <w:next w:val="Text1"/>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customStyle="1" w:styleId="Pagedecouverture">
    <w:name w:val="Page de couverture"/>
    <w:basedOn w:val="Normal"/>
    <w:next w:val="Normal"/>
    <w:pPr>
      <w:spacing w:before="0" w:after="0"/>
    </w:pPr>
    <w:rPr>
      <w:rFonts w:eastAsiaTheme="minorHAn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lang w:eastAsia="lt-LT"/>
    </w:rPr>
  </w:style>
  <w:style w:type="character" w:customStyle="1" w:styleId="FooterCoverPageChar">
    <w:name w:val="Footer Cover Page Char"/>
    <w:basedOn w:val="ManualHeading1Char"/>
    <w:link w:val="FooterCoverPage"/>
    <w:rPr>
      <w:rFonts w:ascii="Times New Roman" w:eastAsia="Times New Roman" w:hAnsi="Times New Roman" w:cs="Times New Roman"/>
      <w:b w:val="0"/>
      <w:smallCaps w:val="0"/>
      <w:sz w:val="24"/>
      <w:lang w:eastAsia="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ManualHeading1Char"/>
    <w:link w:val="FooterSensitivity"/>
    <w:rPr>
      <w:rFonts w:ascii="Times New Roman" w:eastAsia="Times New Roman" w:hAnsi="Times New Roman" w:cs="Times New Roman"/>
      <w:b/>
      <w:smallCaps w:val="0"/>
      <w:sz w:val="32"/>
      <w:lang w:eastAsia="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ManualHeading1Char"/>
    <w:link w:val="HeaderCoverPage"/>
    <w:rPr>
      <w:rFonts w:ascii="Times New Roman" w:eastAsia="Times New Roman" w:hAnsi="Times New Roman" w:cs="Times New Roman"/>
      <w:b w:val="0"/>
      <w:smallCaps w:val="0"/>
      <w:sz w:val="24"/>
      <w:lang w:eastAsia="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ManualHeading1Char"/>
    <w:link w:val="HeaderSensitivity"/>
    <w:rPr>
      <w:rFonts w:ascii="Times New Roman" w:eastAsia="Times New Roman" w:hAnsi="Times New Roman" w:cs="Times New Roman"/>
      <w:b/>
      <w:smallCaps w:val="0"/>
      <w:sz w:val="32"/>
      <w:lang w:eastAsia="lt-LT"/>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B7BE5A1-E551-4F6A-B6B3-C51DCACA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2412</Words>
  <Characters>14501</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cp:lastPrinted>2019-04-11T08:28:00Z</cp:lastPrinted>
  <dcterms:created xsi:type="dcterms:W3CDTF">2019-04-29T09:51:00Z</dcterms:created>
  <dcterms:modified xsi:type="dcterms:W3CDTF">2019-05-20T13:15:00Z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