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BC597F72-0AFB-47E6-97D2-2822F3C8D44A" style="width:450.4pt;height:333.95pt">
            <v:imagedata r:id="rId9" o:title=""/>
          </v:shape>
        </w:pict>
      </w:r>
    </w:p>
    <w:bookmarkEnd w:id="0"/>
    <w:p>
      <w:pPr>
        <w:rPr>
          <w:noProof/>
          <w:lang w:val="en-GB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bCs/>
          <w:noProof/>
          <w:color w:val="auto"/>
          <w:sz w:val="24"/>
          <w:szCs w:val="24"/>
        </w:rPr>
        <w:lastRenderedPageBreak/>
        <w:t>7. program działań w zakresie środowiska</w:t>
      </w:r>
      <w:r>
        <w:rPr>
          <w:rStyle w:val="FootnoteReference"/>
          <w:rFonts w:ascii="Times New Roman" w:hAnsi="Times New Roman"/>
          <w:b/>
          <w:bCs/>
          <w:noProof/>
          <w:color w:val="auto"/>
          <w:sz w:val="24"/>
          <w:szCs w:val="24"/>
          <w:lang w:val="en-GB"/>
        </w:rPr>
        <w:footnoteReference w:id="2"/>
      </w:r>
      <w:r>
        <w:rPr>
          <w:rFonts w:ascii="Times New Roman" w:hAnsi="Times New Roman"/>
          <w:b/>
          <w:bCs/>
          <w:noProof/>
          <w:color w:val="auto"/>
          <w:sz w:val="24"/>
          <w:szCs w:val="24"/>
        </w:rPr>
        <w:t xml:space="preserve"> w pigułce</w:t>
      </w:r>
    </w:p>
    <w:p>
      <w:pPr>
        <w:pStyle w:val="ListParagraph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120" w:line="276" w:lineRule="auto"/>
        <w:ind w:left="0"/>
        <w:rPr>
          <w:noProof/>
          <w:color w:val="auto"/>
        </w:rPr>
      </w:pPr>
      <w:r>
        <w:rPr>
          <w:noProof/>
          <w:color w:val="auto"/>
        </w:rPr>
        <w:t>UE uzgadnia programy działań w zakresie środowiska (EAP), aby zapewnić strategiczne wytyczne oraz przewidywalne i skoordynowane działania na rzecz europejskiej polityki w zakresie środowiska i klimatu. 7. program działań w zakresie środowiska (7. EAP) wszedł w życie w 2014 r. i będzie trwał do końca 2020 r. Określono w nim wizję do 2050 r.</w:t>
      </w:r>
      <w:r>
        <w:rPr>
          <w:noProof/>
          <w:color w:val="auto"/>
          <w:vertAlign w:val="superscript"/>
          <w:lang w:val="en-GB"/>
        </w:rPr>
        <w:footnoteReference w:id="3"/>
      </w:r>
      <w:r>
        <w:rPr>
          <w:noProof/>
          <w:color w:val="auto"/>
        </w:rPr>
        <w:t xml:space="preserve"> oraz jasny opis zintegrowanej polityki w zakresie środowiska, która przyczynia się do zrównoważonego wzrostu gospodarczego oraz do poprawy zdrowia i dobrostanu człowieka. Wizja ta jest w pełni zgodna z ideą celów zrównoważonego rozwoju ONZ. </w:t>
      </w:r>
    </w:p>
    <w:p>
      <w:pPr>
        <w:pStyle w:val="ListParagraph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120" w:line="276" w:lineRule="auto"/>
        <w:ind w:left="0"/>
        <w:rPr>
          <w:noProof/>
          <w:color w:val="auto"/>
        </w:rPr>
      </w:pPr>
      <w:r>
        <w:rPr>
          <w:noProof/>
          <w:color w:val="auto"/>
        </w:rPr>
        <w:t>W programie określono dziewięć priorytetowych celów działań:</w:t>
      </w:r>
    </w:p>
    <w:p>
      <w:pPr>
        <w:pStyle w:val="ListParagraph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120" w:line="276" w:lineRule="auto"/>
        <w:ind w:hanging="720"/>
        <w:rPr>
          <w:noProof/>
          <w:color w:val="auto"/>
        </w:rPr>
      </w:pPr>
      <w:r>
        <w:rPr>
          <w:noProof/>
          <w:color w:val="auto"/>
        </w:rPr>
        <w:t>–</w:t>
      </w:r>
      <w:r>
        <w:rPr>
          <w:noProof/>
          <w:color w:val="auto"/>
        </w:rPr>
        <w:tab/>
        <w:t>trzy priorytety tematyczne: ochrona, zachowanie i poprawa kapitału naturalnego Unii; przekształcenie Unii w zasobooszczędną, zieloną i konkurencyjną gospodarkę niskoemisyjną; ochrona obywateli Unii przed związanymi ze środowiskiem presjami i zagrożeniami dla zdrowia i dobrostanu;</w:t>
      </w:r>
    </w:p>
    <w:p>
      <w:pPr>
        <w:pStyle w:val="ListParagraph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120" w:line="276" w:lineRule="auto"/>
        <w:ind w:hanging="720"/>
        <w:rPr>
          <w:noProof/>
          <w:color w:val="auto"/>
        </w:rPr>
      </w:pPr>
      <w:r>
        <w:rPr>
          <w:noProof/>
          <w:color w:val="auto"/>
        </w:rPr>
        <w:t>–</w:t>
      </w:r>
      <w:r>
        <w:rPr>
          <w:noProof/>
          <w:color w:val="auto"/>
        </w:rPr>
        <w:tab/>
        <w:t>cztery tzw. „czynniki wspomagające”: lepsze wdrażanie prawodawstwa; lepsze informowanie dzięki doskonaleniu bazy wiedzy; mądrzejsze inwestycje; uwzględnianie problematyki środowiska w innych politykach;</w:t>
      </w:r>
    </w:p>
    <w:p>
      <w:pPr>
        <w:pStyle w:val="ListParagraph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120" w:line="276" w:lineRule="auto"/>
        <w:ind w:hanging="720"/>
        <w:rPr>
          <w:noProof/>
          <w:color w:val="auto"/>
        </w:rPr>
      </w:pPr>
      <w:r>
        <w:rPr>
          <w:noProof/>
          <w:color w:val="auto"/>
        </w:rPr>
        <w:t>–</w:t>
      </w:r>
      <w:r>
        <w:rPr>
          <w:noProof/>
          <w:color w:val="auto"/>
        </w:rPr>
        <w:tab/>
        <w:t>dwa horyzontalne cele priorytetowe: wspieranie zrównoważonego charakteru miast w Unii oraz pomoc dla Unii w podejmowaniu wyzwań związanych ze środowiskiem i klimatem.</w:t>
      </w:r>
    </w:p>
    <w:p>
      <w:pPr>
        <w:pStyle w:val="ListParagraph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120" w:line="276" w:lineRule="auto"/>
        <w:ind w:left="0"/>
        <w:rPr>
          <w:noProof/>
          <w:color w:val="auto"/>
        </w:rPr>
      </w:pPr>
      <w:r>
        <w:rPr>
          <w:noProof/>
          <w:color w:val="auto"/>
        </w:rPr>
        <w:t xml:space="preserve">W ramach tych dziewięciu celów priorytetowych w 7. EAP wymieniono 36 celów cząstkowych i 60 konkretnych działań, których realizacją mają zająć się UE i państwa członkowskie, a także przedsiębiorstwa, grupy pracodawców i pracowników oraz osoby fizyczne. </w:t>
      </w:r>
    </w:p>
    <w:p>
      <w:pPr>
        <w:pStyle w:val="ListParagraph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120" w:line="276" w:lineRule="auto"/>
        <w:ind w:left="0"/>
        <w:rPr>
          <w:noProof/>
          <w:color w:val="auto"/>
        </w:rPr>
      </w:pPr>
      <w:r>
        <w:rPr>
          <w:noProof/>
          <w:color w:val="auto"/>
        </w:rPr>
        <w:t>Kwestie dotyczące programów działań w zakresie środowiska ustala się zgodnie z art. 192 ust. 3 Traktatu o funkcjonowaniu Unii Europejskiej (TFUE), a odpowiedzialność za ich realizację spoczywa wspólnie na UE i państwach członkowskich. W niniejszej ocenie uwzględniono sprawozdanie Europejskiej Agencji Środowiska na temat stanu środowiska oraz konsultacje z zainteresowanymi stronami.</w:t>
      </w:r>
    </w:p>
    <w:p>
      <w:pPr>
        <w:pStyle w:val="ListParagraph"/>
        <w:shd w:val="clear" w:color="auto" w:fill="FFFFFF"/>
        <w:spacing w:after="120" w:line="276" w:lineRule="auto"/>
        <w:ind w:left="0"/>
        <w:rPr>
          <w:noProof/>
          <w:color w:val="auto"/>
          <w:u w:val="single"/>
        </w:rPr>
      </w:pPr>
    </w:p>
    <w:p>
      <w:pPr>
        <w:pStyle w:val="ListParagraph"/>
        <w:numPr>
          <w:ilvl w:val="0"/>
          <w:numId w:val="2"/>
        </w:numPr>
        <w:spacing w:after="120" w:line="276" w:lineRule="auto"/>
        <w:rPr>
          <w:b/>
          <w:bCs/>
          <w:noProof/>
          <w:color w:val="auto"/>
        </w:rPr>
      </w:pPr>
      <w:r>
        <w:rPr>
          <w:b/>
          <w:bCs/>
          <w:noProof/>
          <w:color w:val="auto"/>
        </w:rPr>
        <w:t>7. EAP – nowoczesne narzędzie zarządzania jako odpowiedź na dzisiejsze wyzwania w zakresie ochrony środowiska</w:t>
      </w:r>
    </w:p>
    <w:p>
      <w:pPr>
        <w:pStyle w:val="Body"/>
        <w:spacing w:after="120" w:line="276" w:lineRule="auto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 xml:space="preserve">Z przeprowadzonej przez Komisję oceny 7. EAP wynika, że program zapewnia ramy strategiczne, dzięki którym z powodzeniem określono charakter polityki w zakresie środowiska jako siły napędowej zielonego wzrostu gospodarczego, zdrowej planety i poprawy dobrostanu ludzi. Wszystkie zainteresowane strony wspólnie wyznaczyły priorytety, dzięki czemu UE, państwa członkowskie oraz podmioty na szczeblu lokalnym i regionalnym, w tym przedsiębiorstwa, mogą prowadzić skuteczne i wydajne działania na rzecz tworzenia polityki w zakresie środowiska. Posiadanie na szczeblu UE dokumentu referencyjnego, w którego tworzenie każdy się zaangażował, pozwoliło zapewnić większą spójność i zaangażowanie polityk w dziedzinie środowiska UE i państw członkowskich oraz podejmowanych przez nie działań na rzecz poprawy stanu środowiska oraz dobrostanu osób. </w:t>
      </w:r>
    </w:p>
    <w:p>
      <w:pPr>
        <w:pStyle w:val="ListParagraph"/>
        <w:shd w:val="clear" w:color="auto" w:fill="FFFFFF"/>
        <w:spacing w:after="120" w:line="276" w:lineRule="auto"/>
        <w:ind w:left="0"/>
        <w:rPr>
          <w:noProof/>
          <w:color w:val="auto"/>
        </w:rPr>
      </w:pPr>
      <w:r>
        <w:rPr>
          <w:noProof/>
          <w:color w:val="auto"/>
        </w:rPr>
        <w:t>Dzięki 7. EAP wzrosła ogólna świadomość tego, że ochrona środowiska idzie w parze ze zrównoważonym modelem gospodarczym, który przyczynia się do tworzenia miejsc pracy i dobrobytu. Polityka UE w zakresie środowiska ewoluowała od ukierunkowanych interwencji regulacyjnych do nacisku na włączanie wymiaru środowiskowego do innych polityk sektorowych w szerszej perspektywie zrównoważonego rozwoju, np. do pakietu dotyczącego gospodarki o obiegu zamkniętym</w:t>
      </w:r>
      <w:r>
        <w:rPr>
          <w:rStyle w:val="FootnoteReference"/>
          <w:noProof/>
          <w:color w:val="auto"/>
          <w:lang w:val="en-GB"/>
        </w:rPr>
        <w:footnoteReference w:id="4"/>
      </w:r>
      <w:r>
        <w:rPr>
          <w:noProof/>
          <w:color w:val="auto"/>
        </w:rPr>
        <w:t>, ram polityki klimatyczno-energetycznej do roku 2030</w:t>
      </w:r>
      <w:r>
        <w:rPr>
          <w:rStyle w:val="FootnoteReference"/>
          <w:noProof/>
          <w:color w:val="auto"/>
          <w:lang w:val="en-GB"/>
        </w:rPr>
        <w:footnoteReference w:id="5"/>
      </w:r>
      <w:r>
        <w:rPr>
          <w:noProof/>
          <w:color w:val="auto"/>
        </w:rPr>
        <w:t>, strategii dotyczącej biogospodarki</w:t>
      </w:r>
      <w:r>
        <w:rPr>
          <w:rStyle w:val="FootnoteReference"/>
          <w:noProof/>
          <w:color w:val="auto"/>
          <w:lang w:val="en-GB"/>
        </w:rPr>
        <w:footnoteReference w:id="6"/>
      </w:r>
      <w:r>
        <w:rPr>
          <w:noProof/>
          <w:color w:val="auto"/>
        </w:rPr>
        <w:t xml:space="preserve"> i Planu działania w zakresie finansowania zrównoważonego wzrostu gospodarczego</w:t>
      </w:r>
      <w:r>
        <w:rPr>
          <w:rStyle w:val="FootnoteReference"/>
          <w:noProof/>
          <w:color w:val="auto"/>
          <w:lang w:val="en-GB"/>
        </w:rPr>
        <w:footnoteReference w:id="7"/>
      </w:r>
      <w:r>
        <w:rPr>
          <w:noProof/>
          <w:color w:val="auto"/>
        </w:rPr>
        <w:t xml:space="preserve">. Porozumienie osiągnięte w odniesieniu do 7. EAP pomogło Europie mówić jednym głosem w globalnym kontekście wielostronnej współpracy, czego przykładem są Agenda na rzecz zrównoważonego rozwoju 2030 i porozumienie paryskie mające na celu przeciwdziałanie zmianie klimatu. </w:t>
      </w:r>
    </w:p>
    <w:p>
      <w:pPr>
        <w:pStyle w:val="Body"/>
        <w:spacing w:after="120" w:line="276" w:lineRule="auto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>Z regularnych sprawozdań dotyczących stanu środowiska w Europie wynika, że nastąpiła pewna poprawa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vertAlign w:val="superscript"/>
          <w:lang w:val="en-GB"/>
        </w:rPr>
        <w:footnoteReference w:id="8"/>
      </w:r>
      <w:r>
        <w:rPr>
          <w:rFonts w:ascii="Times New Roman" w:hAnsi="Times New Roman"/>
          <w:noProof/>
          <w:color w:val="auto"/>
          <w:sz w:val="24"/>
          <w:szCs w:val="24"/>
        </w:rPr>
        <w:t>. UE prawdopodobnie osiągnie swoje cele w zakresie emisji gazów cieplarnianych i energii ze źródeł odnawialnych na 2020 r. i wyznaczyła sobie ambitne cele na 2030 r.</w:t>
      </w:r>
      <w:r>
        <w:rPr>
          <w:rStyle w:val="FootnoteReference"/>
          <w:rFonts w:ascii="Times New Roman" w:hAnsi="Times New Roman"/>
          <w:noProof/>
          <w:color w:val="auto"/>
          <w:sz w:val="24"/>
          <w:szCs w:val="24"/>
          <w:lang w:val="en-GB"/>
        </w:rPr>
        <w:footnoteReference w:id="9"/>
      </w:r>
      <w:r>
        <w:rPr>
          <w:rFonts w:ascii="Times New Roman" w:hAnsi="Times New Roman"/>
          <w:noProof/>
          <w:color w:val="auto"/>
          <w:sz w:val="24"/>
          <w:szCs w:val="24"/>
        </w:rPr>
        <w:t xml:space="preserve"> Konieczne są dalsze wysiłki na rzecz osiągnięcia celów w zakresie efektywności energetycznej</w:t>
      </w:r>
      <w:r>
        <w:rPr>
          <w:rStyle w:val="FootnoteReference"/>
          <w:rFonts w:ascii="Times New Roman" w:hAnsi="Times New Roman"/>
          <w:noProof/>
          <w:color w:val="auto"/>
          <w:sz w:val="24"/>
          <w:szCs w:val="24"/>
          <w:lang w:val="en-GB"/>
        </w:rPr>
        <w:footnoteReference w:id="10"/>
      </w:r>
      <w:r>
        <w:rPr>
          <w:rFonts w:ascii="Times New Roman" w:hAnsi="Times New Roman"/>
          <w:noProof/>
          <w:color w:val="auto"/>
          <w:sz w:val="24"/>
          <w:szCs w:val="24"/>
        </w:rPr>
        <w:t>. Komisja przedstawiła również swoją wizję zaktualizowanej unijnej strategii dotyczącej biogospodarki oraz unijnej gospodarki neutralnej dla klimatu do 2050 r. zgodnie z porozumieniem paryskim</w:t>
      </w:r>
      <w:r>
        <w:rPr>
          <w:rStyle w:val="FootnoteReference"/>
          <w:rFonts w:ascii="Times New Roman" w:hAnsi="Times New Roman"/>
          <w:noProof/>
          <w:color w:val="auto"/>
          <w:sz w:val="24"/>
          <w:szCs w:val="24"/>
          <w:lang w:val="en-GB"/>
        </w:rPr>
        <w:footnoteReference w:id="11"/>
      </w:r>
      <w:r>
        <w:rPr>
          <w:rFonts w:ascii="Times New Roman" w:hAnsi="Times New Roman"/>
          <w:noProof/>
          <w:color w:val="auto"/>
          <w:sz w:val="24"/>
          <w:szCs w:val="24"/>
        </w:rPr>
        <w:t xml:space="preserve">. Przedsiębiorstwa czerpią korzyści z gospodarki o obiegu zamkniętym, wzrasta finansowanie sektora publicznego i prywatnego na rzecz klimatu i środowiska, gospodarka leśna w Europie jest bardziej zrównoważona, poprawia się jakość wody w kąpieliskach. </w:t>
      </w:r>
    </w:p>
    <w:p>
      <w:pPr>
        <w:pStyle w:val="Body"/>
        <w:spacing w:after="120" w:line="276" w:lineRule="auto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>Nadal istnieją jednak poważne wyzwania i pojawiają się nowe</w:t>
      </w:r>
      <w:r>
        <w:rPr>
          <w:noProof/>
          <w:color w:val="auto"/>
          <w:vertAlign w:val="superscript"/>
          <w:lang w:val="en-GB"/>
        </w:rPr>
        <w:footnoteReference w:id="12"/>
      </w:r>
      <w:r>
        <w:rPr>
          <w:rFonts w:ascii="Times New Roman" w:hAnsi="Times New Roman"/>
          <w:noProof/>
          <w:color w:val="auto"/>
          <w:sz w:val="24"/>
          <w:szCs w:val="24"/>
        </w:rPr>
        <w:t>. Stoimy w obliczu światowego kryzysu ekologicznego, ponieważ zbliżamy się do osiągnięcia poziomów krytycznych dla planety, a w niektórych obszarach już je przekroczyliśmy. W dokumencie Komisji otwierającym debatę pt. „W kierunku zrównoważonej Europy do 2030 r.” uznano nasz dług ekologiczny za główny deficyt Europy w dziedzinie zrównoważonego rozwoju</w:t>
      </w:r>
      <w:r>
        <w:rPr>
          <w:noProof/>
          <w:color w:val="auto"/>
          <w:vertAlign w:val="superscript"/>
          <w:lang w:val="en-GB"/>
        </w:rPr>
        <w:footnoteReference w:id="13"/>
      </w:r>
      <w:r>
        <w:rPr>
          <w:rFonts w:ascii="Times New Roman" w:hAnsi="Times New Roman"/>
          <w:noProof/>
          <w:color w:val="auto"/>
          <w:sz w:val="24"/>
          <w:szCs w:val="24"/>
        </w:rPr>
        <w:t>. Ten kryzys środowiskowy ma bezpośredni wpływ na zdrowie ludzi. Wiele miast w Europie nie spełnia wspólnie ustalonych i prawnie wiążących norm jakości</w:t>
      </w:r>
      <w:r>
        <w:rPr>
          <w:noProof/>
          <w:color w:val="auto"/>
          <w:vertAlign w:val="superscript"/>
          <w:lang w:val="en-GB"/>
        </w:rPr>
        <w:footnoteReference w:id="14"/>
      </w:r>
      <w:r>
        <w:rPr>
          <w:rFonts w:ascii="Times New Roman" w:hAnsi="Times New Roman"/>
          <w:noProof/>
          <w:color w:val="auto"/>
          <w:sz w:val="24"/>
          <w:szCs w:val="24"/>
        </w:rPr>
        <w:t xml:space="preserve">. UE nie jest na dobrej drodze do osiągnięcia do 2020 r. celu, jakim jest powstrzymanie utraty różnorodności biologicznej i odtworzenie potencjału usług ekosystemowych. Wpływ sektora mobilności i systemu żywnościowego na środowisko pozostaje zbyt duży. </w:t>
      </w:r>
    </w:p>
    <w:p>
      <w:pPr>
        <w:pStyle w:val="Body"/>
        <w:spacing w:after="120" w:line="276" w:lineRule="auto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>Powstrzymanie tych negatywnych tendencji wymaga przede wszystkim nieustannych starań w celu wdrożenia obowiązujących przepisów</w:t>
      </w:r>
      <w:r>
        <w:rPr>
          <w:noProof/>
          <w:color w:val="auto"/>
          <w:vertAlign w:val="superscript"/>
          <w:lang w:val="en-GB"/>
        </w:rPr>
        <w:footnoteReference w:id="15"/>
      </w:r>
      <w:r>
        <w:rPr>
          <w:rFonts w:ascii="Times New Roman" w:hAnsi="Times New Roman"/>
          <w:noProof/>
          <w:color w:val="auto"/>
          <w:sz w:val="24"/>
          <w:szCs w:val="24"/>
        </w:rPr>
        <w:t xml:space="preserve">. Chociaż działanie pociąga za sobą koszty i wymaga dużych zbiorowych wysiłków, koszt bezczynności i związanych z nią skutków społecznych byłby znacznie wyższy. </w:t>
      </w:r>
    </w:p>
    <w:p>
      <w:pPr>
        <w:pStyle w:val="Body"/>
        <w:spacing w:after="120" w:line="276" w:lineRule="auto"/>
        <w:jc w:val="both"/>
        <w:rPr>
          <w:rFonts w:ascii="Times New Roman" w:hAnsi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>W tym kontekście 7. EAP odegrał istotną rolę, ponieważ dał narzędzie zarządzania do celów tworzenia polityki w zakresie środowiska w Europie. W niniejszej ocenie zwrócono uwagę na główne osiągnięcia i niedociągnięcia programu. Na podstawie tej analizy wskazano najważniejsze wnioski. Ogólnie rzecz biorąc, na obecnym etapie wdrażania nie zrealizowano wszystkich działań. Mimo że postępy poczyniono we wszystkich obszarach – w niektórych większe niż przewidziano w 7. EAP – istnieje wyraźna potrzeba silniejszego zaangażowania.</w:t>
      </w:r>
    </w:p>
    <w:p>
      <w:pPr>
        <w:pStyle w:val="Body"/>
        <w:spacing w:after="120" w:line="276" w:lineRule="auto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GB"/>
        </w:rPr>
      </w:pPr>
    </w:p>
    <w:p>
      <w:pPr>
        <w:pStyle w:val="ListParagraph"/>
        <w:numPr>
          <w:ilvl w:val="0"/>
          <w:numId w:val="2"/>
        </w:numPr>
        <w:spacing w:after="120" w:line="276" w:lineRule="auto"/>
        <w:rPr>
          <w:b/>
          <w:bCs/>
          <w:noProof/>
          <w:color w:val="auto"/>
        </w:rPr>
      </w:pPr>
      <w:r>
        <w:rPr>
          <w:b/>
          <w:bCs/>
          <w:noProof/>
          <w:color w:val="auto"/>
        </w:rPr>
        <w:t xml:space="preserve">Doświadczenia i wnioski </w:t>
      </w:r>
    </w:p>
    <w:p>
      <w:pPr>
        <w:spacing w:after="120" w:line="276" w:lineRule="auto"/>
        <w:ind w:right="27"/>
        <w:rPr>
          <w:noProof/>
        </w:rPr>
      </w:pPr>
      <w:r>
        <w:rPr>
          <w:noProof/>
        </w:rPr>
        <w:t>W ocenie 7. EAP wskazano szereg wniosków cennych z punktu widzenia wszelkich przyszłych programów działań w zakresie środowiska.</w:t>
      </w:r>
    </w:p>
    <w:p>
      <w:pPr>
        <w:pStyle w:val="ListParagraph"/>
        <w:numPr>
          <w:ilvl w:val="0"/>
          <w:numId w:val="4"/>
        </w:numPr>
        <w:spacing w:after="120" w:line="276" w:lineRule="auto"/>
        <w:ind w:right="27"/>
        <w:rPr>
          <w:noProof/>
          <w:color w:val="auto"/>
        </w:rPr>
      </w:pPr>
      <w:r>
        <w:rPr>
          <w:b/>
          <w:bCs/>
          <w:noProof/>
          <w:color w:val="auto"/>
        </w:rPr>
        <w:t xml:space="preserve">Posiadanie strategii dotyczącej opracowywania unijnej polityki w zakresie środowiska stanowi wartość dodaną. </w:t>
      </w:r>
      <w:r>
        <w:rPr>
          <w:noProof/>
          <w:color w:val="auto"/>
        </w:rPr>
        <w:t xml:space="preserve">7. EAP jest postrzegany jako solidna strategia o silnych powiązaniach z krajowymi strategiami na rzecz środowiska. Wiele państw członkowskich przyjęło 7. EAP jako plan działania na potrzeby własnych strategii w dziedzinie polityki ochrony środowiska lub poszczególnych środków. W efekcie 7. EAP przyczynił się do zapewnienia bardziej przewidywalnych, szybszych i lepiej skoordynowanych działań związanych z polityką w zakresie środowiska. Przewidywalność pomogła w realizacji działań. </w:t>
      </w:r>
    </w:p>
    <w:p>
      <w:pPr>
        <w:pStyle w:val="ListParagraph"/>
        <w:numPr>
          <w:ilvl w:val="0"/>
          <w:numId w:val="4"/>
        </w:numPr>
        <w:spacing w:after="120" w:line="276" w:lineRule="auto"/>
        <w:ind w:right="27"/>
        <w:rPr>
          <w:noProof/>
          <w:color w:val="auto"/>
        </w:rPr>
      </w:pPr>
      <w:r>
        <w:rPr>
          <w:b/>
          <w:bCs/>
          <w:noProof/>
          <w:color w:val="auto"/>
        </w:rPr>
        <w:t>7. EAP jest zasadniczo zgodny z praktykami dobrego zarządzania</w:t>
      </w:r>
      <w:r>
        <w:rPr>
          <w:noProof/>
          <w:color w:val="auto"/>
        </w:rPr>
        <w:t xml:space="preserve">. Program opiera się na solidnych podstawach analitycznych i zaangażowaniu politycznym; posiada odpowiednie zasoby, jasną wizję, cele i zadania; w ramach programu zapewnia się również monitorowanie, ustawiczne uczenie się oraz doskonalenie. 7. EAP byłby jednak skuteczniejszy, gdyby obejmował </w:t>
      </w:r>
      <w:r>
        <w:rPr>
          <w:b/>
          <w:noProof/>
          <w:color w:val="auto"/>
        </w:rPr>
        <w:t>bardziej strategiczne działania</w:t>
      </w:r>
      <w:r>
        <w:rPr>
          <w:noProof/>
          <w:color w:val="auto"/>
        </w:rPr>
        <w:t xml:space="preserve">, możliwie </w:t>
      </w:r>
      <w:r>
        <w:rPr>
          <w:b/>
          <w:noProof/>
          <w:color w:val="auto"/>
        </w:rPr>
        <w:t>jak najbardziej konkretne, by umożliwić ocenę sytuacji</w:t>
      </w:r>
      <w:r>
        <w:rPr>
          <w:noProof/>
          <w:color w:val="auto"/>
        </w:rPr>
        <w:t xml:space="preserve">, oraz </w:t>
      </w:r>
      <w:r>
        <w:rPr>
          <w:b/>
          <w:bCs/>
          <w:noProof/>
          <w:color w:val="auto"/>
        </w:rPr>
        <w:t>lepiej określone priorytety dzięki ograniczonemu zestawowi działań</w:t>
      </w:r>
      <w:r>
        <w:rPr>
          <w:bCs/>
          <w:noProof/>
          <w:color w:val="auto"/>
        </w:rPr>
        <w:t xml:space="preserve"> – zamiast uwzględniać szeroką gamę unijnych przepisów środowiskowych.</w:t>
      </w:r>
      <w:r>
        <w:rPr>
          <w:b/>
          <w:bCs/>
          <w:noProof/>
          <w:color w:val="auto"/>
        </w:rPr>
        <w:t xml:space="preserve"> </w:t>
      </w:r>
      <w:r>
        <w:rPr>
          <w:noProof/>
          <w:color w:val="auto"/>
        </w:rPr>
        <w:t>W</w:t>
      </w:r>
      <w:r>
        <w:rPr>
          <w:bCs/>
          <w:noProof/>
          <w:color w:val="auto"/>
        </w:rPr>
        <w:t> </w:t>
      </w:r>
      <w:r>
        <w:rPr>
          <w:noProof/>
          <w:color w:val="auto"/>
        </w:rPr>
        <w:t xml:space="preserve">ramach 7. EAP przydatny byłby również </w:t>
      </w:r>
      <w:r>
        <w:rPr>
          <w:b/>
          <w:bCs/>
          <w:noProof/>
          <w:color w:val="auto"/>
        </w:rPr>
        <w:t>mechanizm monitorowania</w:t>
      </w:r>
      <w:r>
        <w:rPr>
          <w:noProof/>
          <w:color w:val="auto"/>
        </w:rPr>
        <w:t xml:space="preserve">, aby zapewnić odpowiedzialność za zobowiązania i ich realizację, a także jasne i uzgodnione </w:t>
      </w:r>
      <w:r>
        <w:rPr>
          <w:b/>
          <w:bCs/>
          <w:noProof/>
          <w:color w:val="auto"/>
        </w:rPr>
        <w:t>wskaźniki</w:t>
      </w:r>
      <w:r>
        <w:rPr>
          <w:noProof/>
          <w:color w:val="auto"/>
        </w:rPr>
        <w:t xml:space="preserve"> służące do pomiaru postępów w realizacji działań. </w:t>
      </w:r>
    </w:p>
    <w:p>
      <w:pPr>
        <w:pStyle w:val="ListParagraph"/>
        <w:numPr>
          <w:ilvl w:val="0"/>
          <w:numId w:val="4"/>
        </w:numPr>
        <w:spacing w:after="120" w:line="276" w:lineRule="auto"/>
        <w:ind w:right="27"/>
        <w:rPr>
          <w:noProof/>
          <w:color w:val="auto"/>
        </w:rPr>
      </w:pPr>
      <w:r>
        <w:rPr>
          <w:b/>
          <w:bCs/>
          <w:noProof/>
          <w:color w:val="auto"/>
        </w:rPr>
        <w:t>Szeroki udział zainteresowanych stron ma kluczowe znaczenie</w:t>
      </w:r>
      <w:r>
        <w:rPr>
          <w:noProof/>
          <w:color w:val="auto"/>
        </w:rPr>
        <w:t xml:space="preserve"> zarówno przed uruchomieniem EAP, jak i podczas jego realizacji.</w:t>
      </w:r>
      <w:r>
        <w:rPr>
          <w:noProof/>
        </w:rPr>
        <w:t xml:space="preserve"> </w:t>
      </w:r>
      <w:r>
        <w:rPr>
          <w:noProof/>
          <w:color w:val="auto"/>
        </w:rPr>
        <w:t xml:space="preserve">Powoduje on zwiększenie uczestnictwa w programie oraz skali działań następczych. 7. EAP opracowano w ramach szeroko zakrojonych konsultacji i przyjęto </w:t>
      </w:r>
      <w:r>
        <w:rPr>
          <w:noProof/>
        </w:rPr>
        <w:t>w</w:t>
      </w:r>
      <w:r>
        <w:rPr>
          <w:noProof/>
          <w:color w:val="auto"/>
        </w:rPr>
        <w:t> </w:t>
      </w:r>
      <w:r>
        <w:rPr>
          <w:noProof/>
        </w:rPr>
        <w:t>drodze zwykłej procedury ustawodawczej</w:t>
      </w:r>
      <w:r>
        <w:rPr>
          <w:noProof/>
          <w:color w:val="auto"/>
        </w:rPr>
        <w:t xml:space="preserve"> (procedura współdecyzji). Doprowadziło to do większego udziału różnych zainteresowanych stron i decydentów. Taki poziom aktywnego udziału przed uruchomieniem programu można było jednak utrzymać przez cały okres realizacji 7. EAP. </w:t>
      </w:r>
    </w:p>
    <w:p>
      <w:pPr>
        <w:pStyle w:val="ListParagraph"/>
        <w:numPr>
          <w:ilvl w:val="0"/>
          <w:numId w:val="4"/>
        </w:numPr>
        <w:spacing w:after="120" w:line="276" w:lineRule="auto"/>
        <w:ind w:right="27"/>
        <w:rPr>
          <w:noProof/>
          <w:color w:val="auto"/>
        </w:rPr>
      </w:pPr>
      <w:r>
        <w:rPr>
          <w:b/>
          <w:bCs/>
          <w:noProof/>
          <w:color w:val="auto"/>
        </w:rPr>
        <w:t xml:space="preserve">7. EAP jest w dużej mierze spójny z programem politycznym zarówno w Europie, jak i na świecie. </w:t>
      </w:r>
      <w:r>
        <w:rPr>
          <w:noProof/>
          <w:color w:val="auto"/>
        </w:rPr>
        <w:t>Można było jednak podjąć więcej działań na rzecz włączenia kwestii dotyczących środowiska do innych obszarów polityki UE.</w:t>
      </w:r>
      <w:r>
        <w:rPr>
          <w:b/>
          <w:bCs/>
          <w:noProof/>
          <w:color w:val="auto"/>
        </w:rPr>
        <w:t xml:space="preserve"> </w:t>
      </w:r>
      <w:r>
        <w:rPr>
          <w:noProof/>
          <w:color w:val="auto"/>
        </w:rPr>
        <w:t xml:space="preserve">Zainteresowane strony zgadzają się, że programy działań w zakresie środowiska powinny być w pełni </w:t>
      </w:r>
      <w:r>
        <w:rPr>
          <w:b/>
          <w:bCs/>
          <w:noProof/>
          <w:color w:val="auto"/>
        </w:rPr>
        <w:t>spójne z priorytetami politycznymi instytucji UE</w:t>
      </w:r>
      <w:r>
        <w:rPr>
          <w:noProof/>
          <w:color w:val="auto"/>
        </w:rPr>
        <w:t xml:space="preserve"> oraz że powinny gwarantować ich odpowiedzialność polityczną. Cel ten można było osiągnąć w lepszy sposób, łącząc okres realizacji EAP z cyklem wyborów parlamentarnych UE, a także z innymi kluczowymi długoterminowymi ramami strategicznymi, takimi jak porozumienie paryskie i Agenda na rzecz zrównoważonego rozwoju 2030. </w:t>
      </w:r>
    </w:p>
    <w:p>
      <w:pPr>
        <w:pStyle w:val="ListParagraph"/>
        <w:shd w:val="clear" w:color="auto" w:fill="FFFFFF"/>
        <w:spacing w:after="120" w:line="276" w:lineRule="auto"/>
        <w:ind w:left="0"/>
        <w:rPr>
          <w:noProof/>
          <w:color w:val="auto"/>
        </w:rPr>
      </w:pPr>
    </w:p>
    <w:p>
      <w:pPr>
        <w:pStyle w:val="ListParagraph"/>
        <w:numPr>
          <w:ilvl w:val="0"/>
          <w:numId w:val="5"/>
        </w:numPr>
        <w:spacing w:after="120" w:line="276" w:lineRule="auto"/>
        <w:rPr>
          <w:b/>
          <w:bCs/>
          <w:noProof/>
          <w:color w:val="auto"/>
        </w:rPr>
      </w:pPr>
      <w:r>
        <w:rPr>
          <w:b/>
          <w:bCs/>
          <w:noProof/>
          <w:color w:val="auto"/>
        </w:rPr>
        <w:t>Metoda oceny</w:t>
      </w:r>
    </w:p>
    <w:p>
      <w:pPr>
        <w:pStyle w:val="Body"/>
        <w:spacing w:before="200" w:after="120" w:line="276" w:lineRule="auto"/>
        <w:jc w:val="both"/>
        <w:rPr>
          <w:rFonts w:ascii="Times New Roman" w:hAnsi="Times New Roman"/>
          <w:noProof/>
          <w:color w:val="auto"/>
          <w:sz w:val="24"/>
          <w:szCs w:val="24"/>
          <w:u w:color="333333"/>
        </w:rPr>
      </w:pPr>
      <w:r>
        <w:rPr>
          <w:rFonts w:ascii="Times New Roman" w:hAnsi="Times New Roman"/>
          <w:noProof/>
          <w:color w:val="auto"/>
          <w:sz w:val="24"/>
          <w:szCs w:val="24"/>
          <w:u w:color="333333"/>
        </w:rPr>
        <w:t>W niniejszej ocenie zbadano, w jakim zakresie struktura, forma i strategiczna rola uzgodnionych ram działania przyczyniły się do zapewnienia lepszej polityki w zakresie środowiska i klimatu w Europie. W ten sposób sprawdzono, jakie elementy składają się na dobrą strategię, oraz to, w jakim zakresie 7. EAP spełnia te kryteria powodzenia. Ogólne wnioski wyciągnięto na podstawie analizy połączonej z oceną osiągniętych celów i zrealizowanych działań, przy jednoczesnym uwzględnieniu zasad Komisji dotyczących lepszego stanowienia prawa</w:t>
      </w:r>
      <w:r>
        <w:rPr>
          <w:rStyle w:val="FootnoteReference"/>
          <w:rFonts w:ascii="Times New Roman" w:hAnsi="Times New Roman"/>
          <w:noProof/>
          <w:color w:val="auto"/>
          <w:sz w:val="24"/>
          <w:szCs w:val="24"/>
          <w:u w:color="333333"/>
          <w:lang w:val="en-GB"/>
        </w:rPr>
        <w:footnoteReference w:id="16"/>
      </w:r>
      <w:r>
        <w:rPr>
          <w:rFonts w:ascii="Times New Roman" w:hAnsi="Times New Roman"/>
          <w:noProof/>
          <w:color w:val="auto"/>
          <w:sz w:val="24"/>
          <w:szCs w:val="24"/>
          <w:u w:color="333333"/>
        </w:rPr>
        <w:t xml:space="preserve">. </w:t>
      </w:r>
    </w:p>
    <w:p>
      <w:pPr>
        <w:pStyle w:val="Body"/>
        <w:spacing w:before="200" w:after="120" w:line="276" w:lineRule="auto"/>
        <w:jc w:val="both"/>
        <w:rPr>
          <w:rFonts w:ascii="Times New Roman" w:hAnsi="Times New Roman"/>
          <w:noProof/>
          <w:color w:val="auto"/>
          <w:sz w:val="24"/>
          <w:szCs w:val="24"/>
          <w:u w:color="333333"/>
        </w:rPr>
      </w:pPr>
      <w:r>
        <w:rPr>
          <w:rFonts w:ascii="Times New Roman" w:hAnsi="Times New Roman"/>
          <w:noProof/>
          <w:color w:val="auto"/>
          <w:sz w:val="24"/>
          <w:szCs w:val="24"/>
          <w:u w:color="333333"/>
        </w:rPr>
        <w:t xml:space="preserve">Na tyle, na ile jest to możliwe, w ocenie uwzględniono faktyczne postępy w postaci czystszego powietrza i czystszej wody, lepszego gospodarowania odpadami, mniejszego narażenia na toksyczne substancje chemiczne itd. – w szczególności dzięki sprawozdaniom Europejskiej Agencji Środowiska. Biorąc jednak pod uwagę, że urzeczywistnienie się postępów w ochronie środowiska zazwyczaj trwa dłużej niż pięć lat, a także z uwagi na trudność w przypisaniu postępów konkretnemu EAP, celem niniejszej oceny jest zbadanie wartości dodanej wynikającej z posiadania strategicznych ram i wspólnie uzgodnionych priorytetów przy wyznaczaniu kierunków unijnej polityki w zakresie środowiska. </w:t>
      </w:r>
    </w:p>
    <w:p>
      <w:pPr>
        <w:pStyle w:val="Body"/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  <w:u w:color="333333"/>
        </w:rPr>
        <w:t xml:space="preserve">Ponadto 7. EAP jest jednym z wielu czynników kształtujących politykę w zakresie środowiska; nie jest łatwo ustalić wkład każdego z nich. Metoda przeprowadzania oceny polega na zadawaniu pytań ewaluacyjnych z zastosowaniem poziomu bazowego zakładającego brak EAP. </w:t>
      </w:r>
      <w:r>
        <w:rPr>
          <w:rFonts w:ascii="Times New Roman" w:hAnsi="Times New Roman"/>
          <w:noProof/>
          <w:color w:val="auto"/>
          <w:sz w:val="24"/>
          <w:szCs w:val="24"/>
        </w:rPr>
        <w:t xml:space="preserve">Ocena 7. EAP obejmuje osiągnięcia z lat 2014–2018 i opiera się na szeregu badań, konsultacji i przeglądów, w których uwzględniono dotychczasowe postępy programu. </w:t>
      </w:r>
    </w:p>
    <w:p>
      <w:pPr>
        <w:pStyle w:val="Body"/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>Obejmują one:</w:t>
      </w:r>
    </w:p>
    <w:p>
      <w:pPr>
        <w:pStyle w:val="ListParagraph"/>
        <w:numPr>
          <w:ilvl w:val="0"/>
          <w:numId w:val="7"/>
        </w:numPr>
        <w:spacing w:before="200" w:after="120" w:line="276" w:lineRule="auto"/>
        <w:rPr>
          <w:noProof/>
          <w:color w:val="auto"/>
        </w:rPr>
      </w:pPr>
      <w:r>
        <w:rPr>
          <w:noProof/>
          <w:color w:val="auto"/>
        </w:rPr>
        <w:t>konsultacje z zainteresowanymi stronami (internetowe konsultacje publiczne, publiczne warsztaty i ukierunkowane konsultacje);</w:t>
      </w:r>
    </w:p>
    <w:p>
      <w:pPr>
        <w:pStyle w:val="ListParagraph"/>
        <w:numPr>
          <w:ilvl w:val="0"/>
          <w:numId w:val="7"/>
        </w:numPr>
        <w:spacing w:before="200" w:after="120" w:line="276" w:lineRule="auto"/>
        <w:rPr>
          <w:noProof/>
          <w:color w:val="auto"/>
        </w:rPr>
      </w:pPr>
      <w:r>
        <w:rPr>
          <w:noProof/>
          <w:color w:val="auto"/>
        </w:rPr>
        <w:t>komisyjny przegląd wdrażania polityki ochrony środowiska</w:t>
      </w:r>
      <w:r>
        <w:rPr>
          <w:rStyle w:val="FootnoteReference"/>
          <w:noProof/>
          <w:color w:val="auto"/>
          <w:lang w:val="en-GB"/>
        </w:rPr>
        <w:footnoteReference w:id="17"/>
      </w:r>
      <w:r>
        <w:rPr>
          <w:noProof/>
          <w:color w:val="auto"/>
        </w:rPr>
        <w:t>;</w:t>
      </w:r>
    </w:p>
    <w:p>
      <w:pPr>
        <w:pStyle w:val="ListParagraph"/>
        <w:numPr>
          <w:ilvl w:val="0"/>
          <w:numId w:val="7"/>
        </w:numPr>
        <w:spacing w:before="200" w:after="120" w:line="276" w:lineRule="auto"/>
        <w:rPr>
          <w:noProof/>
          <w:color w:val="auto"/>
        </w:rPr>
      </w:pPr>
      <w:r>
        <w:rPr>
          <w:noProof/>
          <w:color w:val="auto"/>
        </w:rPr>
        <w:t>roczne sprawozdania Europejskiej Agencji Środowiska na temat indeksu środowiskowego (2016–2018)</w:t>
      </w:r>
      <w:r>
        <w:rPr>
          <w:rStyle w:val="FootnoteReference"/>
          <w:noProof/>
          <w:color w:val="auto"/>
          <w:lang w:val="en-GB"/>
        </w:rPr>
        <w:footnoteReference w:id="18"/>
      </w:r>
      <w:r>
        <w:rPr>
          <w:noProof/>
          <w:color w:val="auto"/>
        </w:rPr>
        <w:t xml:space="preserve">; </w:t>
      </w:r>
    </w:p>
    <w:p>
      <w:pPr>
        <w:pStyle w:val="ListParagraph"/>
        <w:numPr>
          <w:ilvl w:val="0"/>
          <w:numId w:val="7"/>
        </w:numPr>
        <w:spacing w:before="200" w:after="120" w:line="276" w:lineRule="auto"/>
        <w:rPr>
          <w:noProof/>
          <w:color w:val="auto"/>
        </w:rPr>
      </w:pPr>
      <w:r>
        <w:rPr>
          <w:noProof/>
          <w:color w:val="auto"/>
        </w:rPr>
        <w:t>sprawozdania Parlamentu Europejskiego i Komitetu Regionów; w tym ocena Parlamentu Europejskiego dotycząca wdrożenia 7. EAP (listopad 2017 r.)</w:t>
      </w:r>
      <w:r>
        <w:rPr>
          <w:rStyle w:val="FootnoteReference"/>
          <w:noProof/>
          <w:color w:val="auto"/>
          <w:lang w:val="en-GB"/>
        </w:rPr>
        <w:footnoteReference w:id="19"/>
      </w:r>
      <w:r>
        <w:rPr>
          <w:noProof/>
          <w:color w:val="auto"/>
        </w:rPr>
        <w:t xml:space="preserve">. </w:t>
      </w:r>
    </w:p>
    <w:p>
      <w:pPr>
        <w:pStyle w:val="ListParagraph"/>
        <w:spacing w:before="200" w:after="120" w:line="276" w:lineRule="auto"/>
        <w:rPr>
          <w:noProof/>
          <w:color w:val="auto"/>
          <w:lang w:val="en-GB"/>
        </w:rPr>
      </w:pPr>
    </w:p>
    <w:p>
      <w:pPr>
        <w:pStyle w:val="ListParagraph"/>
        <w:numPr>
          <w:ilvl w:val="0"/>
          <w:numId w:val="8"/>
        </w:numPr>
        <w:spacing w:after="120" w:line="276" w:lineRule="auto"/>
        <w:rPr>
          <w:b/>
          <w:bCs/>
          <w:noProof/>
          <w:color w:val="auto"/>
        </w:rPr>
      </w:pPr>
      <w:r>
        <w:rPr>
          <w:b/>
          <w:bCs/>
          <w:noProof/>
          <w:color w:val="auto"/>
        </w:rPr>
        <w:t>Streszczenie analizy</w:t>
      </w:r>
    </w:p>
    <w:p>
      <w:pPr>
        <w:spacing w:before="200" w:after="120" w:line="276" w:lineRule="auto"/>
        <w:rPr>
          <w:noProof/>
        </w:rPr>
      </w:pPr>
      <w:r>
        <w:rPr>
          <w:noProof/>
        </w:rPr>
        <w:t>Po przeprowadzeniu dogłębnej analizy można wyciągnąć następujące wnioski na temat tego, w jaki sposób realizacja 7. EAP odpowiadała kryteriom lepszego stanowienia prawa</w:t>
      </w:r>
      <w:r>
        <w:rPr>
          <w:bCs/>
          <w:noProof/>
          <w:vertAlign w:val="superscript"/>
          <w:lang w:val="en-GB"/>
        </w:rPr>
        <w:footnoteReference w:id="20"/>
      </w:r>
      <w:r>
        <w:rPr>
          <w:noProof/>
        </w:rPr>
        <w:t xml:space="preserve"> na rzecz dobrego zarządzania. </w:t>
      </w:r>
    </w:p>
    <w:p>
      <w:pPr>
        <w:pStyle w:val="ListParagraph"/>
        <w:numPr>
          <w:ilvl w:val="0"/>
          <w:numId w:val="12"/>
        </w:numPr>
        <w:spacing w:after="120" w:line="276" w:lineRule="auto"/>
        <w:rPr>
          <w:noProof/>
          <w:color w:val="auto"/>
        </w:rPr>
      </w:pPr>
      <w:bookmarkStart w:id="2" w:name="_ftnref16"/>
      <w:bookmarkEnd w:id="2"/>
      <w:r>
        <w:rPr>
          <w:b/>
          <w:bCs/>
          <w:noProof/>
          <w:color w:val="auto"/>
        </w:rPr>
        <w:t>Skuteczność: poczyniono pewne postępy w osiąganiu celów 7. EAP. 7. EAP przyczynił się do zapewnienia bardziej przewidywalnych, szybszych i lepiej skoordynowanych działań związanych z polityką w zakresie środowiska. Pomogła w tym przewidywalność</w:t>
      </w:r>
      <w:r>
        <w:rPr>
          <w:noProof/>
          <w:color w:val="auto"/>
        </w:rPr>
        <w:t xml:space="preserve"> </w:t>
      </w:r>
    </w:p>
    <w:p>
      <w:pPr>
        <w:pStyle w:val="Body"/>
        <w:spacing w:after="120" w:line="276" w:lineRule="auto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 xml:space="preserve">W analizie realizacji 60 działań wymienionych w 7. EAP Komisja stwierdza, że poczyniono </w:t>
      </w:r>
      <w:r>
        <w:rPr>
          <w:rFonts w:ascii="Times New Roman" w:hAnsi="Times New Roman"/>
          <w:i/>
          <w:iCs/>
          <w:noProof/>
          <w:color w:val="auto"/>
          <w:sz w:val="24"/>
          <w:szCs w:val="24"/>
        </w:rPr>
        <w:t>pewne postępy</w:t>
      </w:r>
      <w:r>
        <w:rPr>
          <w:rFonts w:ascii="Times New Roman" w:hAnsi="Times New Roman"/>
          <w:noProof/>
          <w:color w:val="auto"/>
          <w:sz w:val="24"/>
          <w:szCs w:val="24"/>
        </w:rPr>
        <w:t xml:space="preserve"> w osiąganiu celów (ocena 3 w skali od 1 do 5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vertAlign w:val="superscript"/>
          <w:lang w:val="en-GB"/>
        </w:rPr>
        <w:footnoteReference w:id="21"/>
      </w:r>
      <w:r>
        <w:rPr>
          <w:rFonts w:ascii="Times New Roman" w:hAnsi="Times New Roman"/>
          <w:noProof/>
          <w:color w:val="auto"/>
          <w:sz w:val="24"/>
          <w:szCs w:val="24"/>
        </w:rPr>
        <w:t xml:space="preserve">). Największe postępy widać w działaniach związanych z drugim celem priorytetowym, jakim jest </w:t>
      </w:r>
      <w:r>
        <w:rPr>
          <w:rFonts w:ascii="Times New Roman" w:hAnsi="Times New Roman"/>
          <w:i/>
          <w:iCs/>
          <w:noProof/>
          <w:color w:val="auto"/>
          <w:sz w:val="24"/>
          <w:szCs w:val="24"/>
        </w:rPr>
        <w:t>przekształcenie Unii w zasobooszczędną gospodarkę niskoemisyjną</w:t>
      </w:r>
      <w:r>
        <w:rPr>
          <w:rFonts w:ascii="Times New Roman" w:hAnsi="Times New Roman"/>
          <w:noProof/>
          <w:color w:val="auto"/>
          <w:sz w:val="24"/>
          <w:szCs w:val="24"/>
        </w:rPr>
        <w:t>. Najmniejsze dotychczas postępy odnotowano natomiast w odniesieniu do działań związanych z ochroną przyrody, środowiskiem i zdrowiem oraz integracją. Z niezależnych ocen Europejskiej Agencji Środowiska</w:t>
      </w:r>
      <w:r>
        <w:rPr>
          <w:rStyle w:val="FootnoteReference"/>
          <w:rFonts w:ascii="Times New Roman" w:hAnsi="Times New Roman"/>
          <w:noProof/>
          <w:color w:val="auto"/>
          <w:sz w:val="24"/>
          <w:szCs w:val="24"/>
          <w:lang w:val="en-GB"/>
        </w:rPr>
        <w:footnoteReference w:id="22"/>
      </w:r>
      <w:r>
        <w:rPr>
          <w:rFonts w:ascii="Times New Roman" w:hAnsi="Times New Roman"/>
          <w:noProof/>
          <w:color w:val="auto"/>
          <w:sz w:val="24"/>
          <w:szCs w:val="24"/>
        </w:rPr>
        <w:t xml:space="preserve"> wyłania się podobny obraz: podczas gdy w wielu dziedzinach następuje znaczny postęp, inne nadal pozostają w tyle. Osiągnięcie celów związanych z ochroną przyrody (wskaźniki dotyczące np. substancji biogennych, różnorodności biologicznej, słodkiej lub morskiej wody) wydaje się mało prawdopodobne; nie jest też pewne, czy osiągnięte zostaną wszystkie cele związane ze środowiskiem i zdrowiem. UE jest na dobrej drodze do osiągnięcia wyznaczonego na 2020 r. celu w zakresie ograniczenia emisji gazów cieplarnianych (do 2020 r. o 20 % w porównaniu z poziomem emisji z 1990 r.) oraz celu w zakresie energii ze źródeł odnawialnych. Tendencje w zakresie zużycia energii należy jednak odwrócić, by osiągnąć cel w zakresie efektywności energetycznej na 2020 r. </w:t>
      </w:r>
    </w:p>
    <w:p>
      <w:pPr>
        <w:pStyle w:val="Body"/>
        <w:spacing w:after="120" w:line="276" w:lineRule="auto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>Dzięki 7. EAP zwiększyła się odpowiedzialność polityczna za politykę w zakresie środowiska – zainteresowane strony systematycznie angażowano w proces projektowania, a następnie projekt uzgadniano z Radą i Parlamentem Europejskim. Zainteresowane strony zgadzają się, że program zapewnia większą przewidywalność polityki w zakresie środowiska i klimatu oraz ułatwia koordynację polityki państw członkowskich. Przyjęcie 7. EAP oraz okres jego wdrażania nie odpowiadają jednak cyklowi instytucjonalnemu Unii, co mogło spowodować trudności.</w:t>
      </w:r>
    </w:p>
    <w:p>
      <w:pPr>
        <w:pStyle w:val="Body"/>
        <w:spacing w:after="120" w:line="276" w:lineRule="auto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>Przewidywalność i prowadzenie szeroko zakrojonych dyskusji politycznych w ramach procesu legislacyjnego związanego z przyjmowaniem przepisów pomogły w realizacji pewnych działań, takich jak przegląd wdrażania polityki ochrony środowiska, wyznaczanie małych dostawców wody pitnej, postępowanie z inwazyjnymi gatunkami obcymi oraz prowadzenie działań następczych w związku z konferencją Rio+20</w:t>
      </w:r>
      <w:r>
        <w:rPr>
          <w:rStyle w:val="FootnoteReference"/>
          <w:rFonts w:ascii="Times New Roman" w:hAnsi="Times New Roman"/>
          <w:noProof/>
          <w:color w:val="auto"/>
          <w:sz w:val="24"/>
          <w:szCs w:val="24"/>
          <w:lang w:val="en-GB"/>
        </w:rPr>
        <w:footnoteReference w:id="23"/>
      </w:r>
      <w:r>
        <w:rPr>
          <w:rFonts w:ascii="Times New Roman" w:hAnsi="Times New Roman"/>
          <w:noProof/>
          <w:color w:val="auto"/>
          <w:sz w:val="24"/>
          <w:szCs w:val="24"/>
        </w:rPr>
        <w:t>, co w efekcie doprowadziło do porozumienia co do celów zrównoważonego rozwoju ONZ.</w:t>
      </w:r>
    </w:p>
    <w:p>
      <w:pPr>
        <w:pStyle w:val="Body"/>
        <w:spacing w:after="120" w:line="276" w:lineRule="auto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>Jak ma to miejsce w przypadku większości szeroko zakrojonych strategii, niektórych przewidzianych działań nie zrealizowano; są to m.in. strategia nietoksyczności do 2018 r. oraz główny cel polegający na zmniejszeniu ilości odpadów wyrzucanych do mórz. Jednocześnie realizowano pewne dodatkowe działania, takie jak unijna strategia w dziedzinie tworzyw sztucznych oraz rozszerzenie koncepcji efektywnego gospodarowania zasobami o program gospodarki o obiegu zamkniętym. Ogółem realizacja 7. EAP osiąga dobre wyniki, jeżeli chodzi o kryteria dobrego zarządzania takimi strategiami i ich projektowania</w:t>
      </w:r>
      <w:r>
        <w:rPr>
          <w:rStyle w:val="FootnoteReference"/>
          <w:rFonts w:ascii="Times New Roman" w:hAnsi="Times New Roman"/>
          <w:noProof/>
          <w:color w:val="auto"/>
          <w:sz w:val="24"/>
          <w:szCs w:val="24"/>
          <w:lang w:val="en-GB"/>
        </w:rPr>
        <w:footnoteReference w:id="24"/>
      </w:r>
      <w:r>
        <w:rPr>
          <w:rFonts w:ascii="Times New Roman" w:hAnsi="Times New Roman"/>
          <w:noProof/>
          <w:color w:val="auto"/>
          <w:sz w:val="24"/>
          <w:szCs w:val="24"/>
        </w:rPr>
        <w:t>.</w:t>
      </w:r>
    </w:p>
    <w:p>
      <w:pPr>
        <w:pStyle w:val="ListParagraph"/>
        <w:numPr>
          <w:ilvl w:val="0"/>
          <w:numId w:val="12"/>
        </w:numPr>
        <w:spacing w:after="120" w:line="276" w:lineRule="auto"/>
        <w:rPr>
          <w:noProof/>
          <w:color w:val="auto"/>
        </w:rPr>
      </w:pPr>
      <w:r>
        <w:rPr>
          <w:b/>
          <w:bCs/>
          <w:noProof/>
          <w:color w:val="auto"/>
        </w:rPr>
        <w:t xml:space="preserve">Wydajność: </w:t>
      </w:r>
      <w:r>
        <w:rPr>
          <w:b/>
          <w:bCs/>
          <w:noProof/>
          <w:color w:val="auto"/>
          <w:u w:color="333333"/>
        </w:rPr>
        <w:t xml:space="preserve">struktura 7. EAP, a w szczególności sprzyjające ramy prawne, przyczyniła się do powstania synergii. </w:t>
      </w:r>
      <w:r>
        <w:rPr>
          <w:b/>
          <w:noProof/>
          <w:color w:val="auto"/>
        </w:rPr>
        <w:t>Dzięki temu, że program koncentruje się na lepszej integracji i wdrażaniu, stanowi wsparcie dla środków z zakresu polityki mających na celu uzyskanie oszczędności kosztów i poprawę wydajności</w:t>
      </w:r>
    </w:p>
    <w:p>
      <w:pPr>
        <w:pStyle w:val="Body"/>
        <w:spacing w:after="120" w:line="276" w:lineRule="auto"/>
        <w:jc w:val="both"/>
        <w:rPr>
          <w:rFonts w:ascii="Times New Roman" w:eastAsia="Times New Roman" w:hAnsi="Times New Roman" w:cs="Times New Roman"/>
          <w:bCs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>Niewdrażanie przepisów w zakresie ochrony środowiska kosztuje gospodarkę UE około 55 mld EUR rocznie: są to koszty zdrowotne oraz koszty bezpośrednie dla środowiska</w:t>
      </w:r>
      <w:r>
        <w:rPr>
          <w:rStyle w:val="FootnoteReference"/>
          <w:rFonts w:ascii="Times New Roman" w:eastAsia="Trebuchet MS" w:hAnsi="Times New Roman" w:cs="Times New Roman"/>
          <w:noProof/>
          <w:color w:val="auto"/>
          <w:sz w:val="24"/>
          <w:szCs w:val="24"/>
        </w:rPr>
        <w:footnoteReference w:id="25"/>
      </w:r>
      <w:r>
        <w:rPr>
          <w:rFonts w:ascii="Times New Roman" w:hAnsi="Times New Roman"/>
          <w:noProof/>
          <w:color w:val="auto"/>
          <w:sz w:val="24"/>
          <w:szCs w:val="24"/>
        </w:rPr>
        <w:t>. We wnioskach z oceny wskazano na kilka przykładów oszczędności kosztów związanych z polityką w zakresie środowiska przez cały okres realizacji 7. EAP. Pomimo coraz bardziej ambitnych zadań środowiskowych w wielu dziedzinach polityki wydatki na ochronę środowiska w Europie przez wiele lat pozostają mniej więcej na tym samym poziomie (około 2 % PKB</w:t>
      </w:r>
      <w:r>
        <w:rPr>
          <w:rStyle w:val="FootnoteReference"/>
          <w:rFonts w:ascii="Times New Roman" w:eastAsia="Trebuchet MS" w:hAnsi="Times New Roman" w:cs="Times New Roman"/>
          <w:noProof/>
          <w:color w:val="auto"/>
          <w:sz w:val="24"/>
          <w:szCs w:val="24"/>
        </w:rPr>
        <w:footnoteReference w:id="26"/>
      </w:r>
      <w:r>
        <w:rPr>
          <w:rFonts w:ascii="Times New Roman" w:hAnsi="Times New Roman"/>
          <w:noProof/>
          <w:color w:val="auto"/>
          <w:sz w:val="24"/>
          <w:szCs w:val="24"/>
        </w:rPr>
        <w:t xml:space="preserve">). </w:t>
      </w:r>
    </w:p>
    <w:p>
      <w:pPr>
        <w:pStyle w:val="Body"/>
        <w:spacing w:after="120" w:line="276" w:lineRule="auto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  <w:u w:color="333333"/>
        </w:rPr>
      </w:pPr>
      <w:r>
        <w:rPr>
          <w:rFonts w:ascii="Times New Roman" w:hAnsi="Times New Roman"/>
          <w:noProof/>
          <w:color w:val="auto"/>
          <w:sz w:val="24"/>
          <w:szCs w:val="24"/>
          <w:u w:color="333333"/>
        </w:rPr>
        <w:t xml:space="preserve">Od wejścia w życie 7. EAP w 2014 r., jeżeli chodzi o uwzględnianie problematyki ochrony środowiska, poczyniono postępy zarówno horyzontalnie (między obszarami polityki), jak i wertykalnie (między szczeblami władzy); w ten sposób wspierane są środki mające na celu osiąganie oszczędności kosztów oraz zwiększenie wydajności. </w:t>
      </w:r>
    </w:p>
    <w:p>
      <w:pPr>
        <w:pStyle w:val="Body"/>
        <w:spacing w:after="120" w:line="276" w:lineRule="auto"/>
        <w:jc w:val="both"/>
        <w:rPr>
          <w:rFonts w:ascii="Times New Roman" w:hAnsi="Times New Roman"/>
          <w:noProof/>
          <w:color w:val="auto"/>
          <w:sz w:val="24"/>
          <w:szCs w:val="24"/>
          <w:u w:color="333333"/>
        </w:rPr>
      </w:pPr>
      <w:r>
        <w:rPr>
          <w:rFonts w:ascii="Times New Roman" w:hAnsi="Times New Roman"/>
          <w:noProof/>
          <w:color w:val="auto"/>
          <w:sz w:val="24"/>
          <w:szCs w:val="24"/>
          <w:u w:color="333333"/>
        </w:rPr>
        <w:t>Komisja oraz państwa członkowskie podjęły wysiłki w celu poprawy sposobu gromadzenia informacji o środowisku i dzielenia się nimi</w:t>
      </w:r>
      <w:r>
        <w:rPr>
          <w:rStyle w:val="FootnoteReference"/>
          <w:rFonts w:ascii="Times New Roman" w:hAnsi="Times New Roman"/>
          <w:noProof/>
          <w:color w:val="auto"/>
          <w:sz w:val="24"/>
          <w:szCs w:val="24"/>
          <w:u w:color="333333"/>
          <w:lang w:val="en-GB"/>
        </w:rPr>
        <w:footnoteReference w:id="27"/>
      </w:r>
      <w:r>
        <w:rPr>
          <w:rFonts w:ascii="Times New Roman" w:hAnsi="Times New Roman"/>
          <w:noProof/>
          <w:color w:val="auto"/>
          <w:sz w:val="24"/>
          <w:szCs w:val="24"/>
          <w:u w:color="333333"/>
        </w:rPr>
        <w:t xml:space="preserve">, umożliwiając osobom fizycznym zdobycie wiedzy </w:t>
      </w:r>
      <w:r>
        <w:rPr>
          <w:rFonts w:ascii="Times New Roman" w:hAnsi="Times New Roman"/>
          <w:iCs/>
          <w:noProof/>
          <w:color w:val="auto"/>
          <w:sz w:val="24"/>
          <w:szCs w:val="24"/>
        </w:rPr>
        <w:t>o</w:t>
      </w:r>
      <w:r>
        <w:rPr>
          <w:rFonts w:ascii="Times New Roman" w:hAnsi="Times New Roman"/>
          <w:noProof/>
          <w:color w:val="auto"/>
          <w:sz w:val="24"/>
          <w:szCs w:val="24"/>
          <w:u w:color="333333"/>
        </w:rPr>
        <w:t> </w:t>
      </w:r>
      <w:r>
        <w:rPr>
          <w:rFonts w:ascii="Times New Roman" w:hAnsi="Times New Roman"/>
          <w:iCs/>
          <w:noProof/>
          <w:color w:val="auto"/>
          <w:sz w:val="24"/>
          <w:szCs w:val="24"/>
        </w:rPr>
        <w:t>emisjach przemysłowych lub hałasie w środowisku, co zmniejsza obciążenie przedsiębiorstw związane z przekazywaniem informacji oraz sprzyja temu, by administracja na szczeblu krajowym i unijnym współpracowała bardziej wydajnie</w:t>
      </w:r>
      <w:r>
        <w:rPr>
          <w:rFonts w:ascii="Times New Roman" w:hAnsi="Times New Roman"/>
          <w:noProof/>
          <w:color w:val="auto"/>
          <w:sz w:val="24"/>
          <w:szCs w:val="24"/>
          <w:u w:color="333333"/>
        </w:rPr>
        <w:t>. Państwa członkowskie mogły w bardziej przejrzysty sposób dzielić się informacjami, które gromadzą w ramach ocen oraz działań na rzecz lepszego stanowienia prawa, co umożliwia większą synergię w całej UE.</w:t>
      </w:r>
    </w:p>
    <w:p>
      <w:pPr>
        <w:pStyle w:val="ListParagraph"/>
        <w:numPr>
          <w:ilvl w:val="0"/>
          <w:numId w:val="12"/>
        </w:numPr>
        <w:spacing w:after="120" w:line="276" w:lineRule="auto"/>
        <w:rPr>
          <w:b/>
          <w:bCs/>
          <w:noProof/>
          <w:color w:val="auto"/>
        </w:rPr>
      </w:pPr>
      <w:r>
        <w:rPr>
          <w:b/>
          <w:bCs/>
          <w:noProof/>
          <w:color w:val="auto"/>
        </w:rPr>
        <w:t xml:space="preserve">Adekwatność: 7. EAP obejmuje właściwe obszary, a wizja programu na 2050 r. nadal jest aktualna. W miarę pojawiania się nowych wyzwań konieczne będzie jednak wprowadzenie korekt </w:t>
      </w:r>
    </w:p>
    <w:p>
      <w:pPr>
        <w:pStyle w:val="Body"/>
        <w:spacing w:after="120" w:line="276" w:lineRule="auto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>Panuje powszechna zgoda co do tego, że 7. EAP obejmuje trzy odpowiednie cele związane z priorytetami tematycznymi, natomiast niektóre czynniki sprzyjające, jak np. digitalizację i zarządzanie środowiskiem, można było uwzględnić w bardziej jednoznaczny sposób jako środki na rzecz poprawy skuteczności polityki. Wizja 7. EAP na 2050 r. była pomocna i w dalszym ciągu jest aktualna.</w:t>
      </w:r>
    </w:p>
    <w:p>
      <w:pPr>
        <w:pStyle w:val="Body"/>
        <w:spacing w:after="120" w:line="276" w:lineRule="auto"/>
        <w:jc w:val="both"/>
        <w:rPr>
          <w:b/>
          <w:bCs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 xml:space="preserve">Ogólna struktura niewielkiej liczby celów tematycznych, podbudowana bardziej operacyjnymi i szczegółowymi celami cząstkowymi oraz działaniami, pomogła w realizacji celów priorytetowych. </w:t>
      </w:r>
      <w:r>
        <w:rPr>
          <w:rFonts w:ascii="Times New Roman" w:hAnsi="Times New Roman"/>
          <w:bCs/>
          <w:noProof/>
          <w:color w:val="auto"/>
          <w:sz w:val="24"/>
          <w:szCs w:val="24"/>
        </w:rPr>
        <w:t>Zasada wielopoziomowego EAP</w:t>
      </w:r>
      <w:r>
        <w:rPr>
          <w:rStyle w:val="FootnoteReference"/>
          <w:rFonts w:ascii="Times New Roman" w:hAnsi="Times New Roman" w:cs="Times New Roman"/>
          <w:bCs/>
          <w:noProof/>
          <w:color w:val="auto"/>
          <w:sz w:val="24"/>
          <w:szCs w:val="24"/>
        </w:rPr>
        <w:footnoteReference w:id="28"/>
      </w:r>
      <w:r>
        <w:rPr>
          <w:rFonts w:ascii="Times New Roman" w:hAnsi="Times New Roman"/>
          <w:bCs/>
          <w:noProof/>
          <w:color w:val="auto"/>
          <w:sz w:val="24"/>
          <w:szCs w:val="24"/>
        </w:rPr>
        <w:t xml:space="preserve"> jest przestrzegana i odzwierciedla dobre praktyki, ale pojawiają się wątpliwości co do stopnia złożoności lub dogłębności, co również sprawia, że niektóre działania trudno jest monitorować.</w:t>
      </w:r>
      <w:r>
        <w:rPr>
          <w:b/>
          <w:bCs/>
          <w:noProof/>
          <w:color w:val="auto"/>
          <w:sz w:val="24"/>
          <w:szCs w:val="24"/>
        </w:rPr>
        <w:t xml:space="preserve"> </w:t>
      </w:r>
    </w:p>
    <w:p>
      <w:pPr>
        <w:pStyle w:val="Body"/>
        <w:spacing w:after="120" w:line="276" w:lineRule="auto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>
      <w:pPr>
        <w:pStyle w:val="ListParagraph"/>
        <w:numPr>
          <w:ilvl w:val="0"/>
          <w:numId w:val="12"/>
        </w:numPr>
        <w:spacing w:after="120" w:line="276" w:lineRule="auto"/>
        <w:rPr>
          <w:b/>
          <w:bCs/>
          <w:noProof/>
          <w:color w:val="auto"/>
        </w:rPr>
      </w:pPr>
      <w:r>
        <w:rPr>
          <w:b/>
          <w:bCs/>
          <w:noProof/>
          <w:color w:val="auto"/>
        </w:rPr>
        <w:t xml:space="preserve">Spójność: 7. EAP jest w dużej mierze spójny z programem tworzenia polityki w zakresie środowiska i klimatu zarówno w Europie, jak i na świecie </w:t>
      </w:r>
    </w:p>
    <w:p>
      <w:pPr>
        <w:pStyle w:val="Body"/>
        <w:spacing w:after="120" w:line="276" w:lineRule="auto"/>
        <w:jc w:val="both"/>
        <w:rPr>
          <w:rFonts w:ascii="Times New Roman" w:hAnsi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>Jako strategia 7. EAP jest wewnętrznie spójny. Wyznaczono w nim program działania i stanowi on podstawę codziennej pracy Komisji w zakresie ochrony środowiska. Ma on zastosowanie do planu zarządzania strategicznego i regularnych rocznych sprawozdań z działalności, a także do nowych inicjatyw takich jak przegląd wdrażania polityki ochrony środowiska. Choć sprzyjające ramy prawne w pozytywny sposób przyczyniły się do osiągnięcia celów tematycznych, powiązania z horyzontalnymi celami priorytetowymi związanymi z wyzwaniami na poziomie lokalnym, regionalnym i globalnym są mniej oczywiste.</w:t>
      </w:r>
    </w:p>
    <w:p>
      <w:pPr>
        <w:pStyle w:val="Body"/>
        <w:spacing w:after="120" w:line="276" w:lineRule="auto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 xml:space="preserve">Jeżeli chodzi o spójność z innymi obszarami polityki i priorytetami politycznymi, istnieją pewne wyraźne (i mile widziane) powiązania między 7. EAP a dziesięcioma priorytetami Komisji, np. wspólny cel, jakim jest podejmowanie działań w dziedzinie klimatu oraz wzmacnianie pozycji UE jako podmiotu międzynarodowego. Zasadniczo 7. EAP i dziesięć priorytetów Komisji wzajemnie się wspierają – celem 7. EAP jest określenie, w jaki sposób polityka ochrony środowiska może przyczynić się do zrównoważonego wzrostu gospodarczego i tworzenia miejsc pracy. Istnieje kilka przykładów spójności między 7. EAP a innymi obszarami polityki, na przykład w sprawozdaniu krajowym w sprawie europejskiego semestru mowa jest o kwestiach środowiskowych (w szczególności o emisjach dwutlenku węgla i zanieczyszczeniu powietrza) oraz o pracach związanych ze zrównoważonymi miastami i agendą miejską. Należy jednak podjąć dalsze działania na rzecz zintegrowanego procesu kształtowania polityki. </w:t>
      </w:r>
    </w:p>
    <w:p>
      <w:pPr>
        <w:pStyle w:val="Body"/>
        <w:spacing w:after="120" w:line="276" w:lineRule="auto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 xml:space="preserve">Na przykład więcej uwagi w 7. EAP można było poświęcić kwestiom społecznym, opierając się na istniejących powiązaniach między środowiskiem a polityką społeczną, jeżeli chodzi np. o skutki dla grup szczególnie wrażliwych, miejsca pracy, włączenie społeczne oraz nierówność. </w:t>
      </w:r>
    </w:p>
    <w:p>
      <w:pPr>
        <w:pStyle w:val="Body"/>
        <w:spacing w:after="120" w:line="276" w:lineRule="auto"/>
        <w:jc w:val="both"/>
        <w:rPr>
          <w:rFonts w:ascii="Times New Roman" w:hAnsi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 xml:space="preserve">7. EAP jest w dużej mierze spójny z zobowiązaniami międzynarodowymi. Mimo że 7. EAP został przyjęty prawie dwa lata przed Agendą ONZ na rzecz zrównoważonego rozwoju 2030, wyprzedził on podejście przyjęte w celach zrównoważonego rozwoju ONZ (oraz miał na nie wypływ), zgodnie z którym gospodarczy i społeczny dobrostan zależy od zdrowej bazy zasobów naturalnych. 7. EAP można postrzegać jako jeden mechanizm służący do osiągania celów zrównoważonego rozwoju, choć silniejszy nacisk można w nim położyć na ujęte w tych celach wezwanie do „sprawiedliwej transformacji”. </w:t>
      </w:r>
    </w:p>
    <w:p>
      <w:pPr>
        <w:pStyle w:val="ListParagraph"/>
        <w:numPr>
          <w:ilvl w:val="0"/>
          <w:numId w:val="12"/>
        </w:numPr>
        <w:spacing w:after="120" w:line="276" w:lineRule="auto"/>
        <w:rPr>
          <w:b/>
          <w:bCs/>
          <w:noProof/>
          <w:color w:val="auto"/>
        </w:rPr>
      </w:pPr>
      <w:r>
        <w:rPr>
          <w:b/>
          <w:bCs/>
          <w:noProof/>
          <w:color w:val="auto"/>
        </w:rPr>
        <w:t>Wartość dodana: dzięki 7. EAP polityka w zakresie środowiska stała się bardziej skuteczna i wydajna. Zainteresowane strony przyjmują program z zadowoleniem, postrzegając go jako solidną strategię o silnych powiązaniach z krajowymi strategiami na rzecz środowiska</w:t>
      </w:r>
    </w:p>
    <w:p>
      <w:pPr>
        <w:pStyle w:val="Body"/>
        <w:spacing w:after="120" w:line="276" w:lineRule="auto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 xml:space="preserve">7. EAP wyznacza kierunek działania różnym zainteresowanym stronom na szczeblu unijnym, krajowym i lokalnym zaangażowanym w podejmowanie wyzwań środowiskowych w UE. W polityce ochrony środowiska często określane są ramy strategiczne, jednak potem odpowiedzialność za ich wdrażanie rozkłada się na wiele różnych szczebli administracji zgodnie z zasadą pomocniczości. Ten wzajemnie powiązany charakter polityki ochrony środowiska i zdecentralizowany proces podejmowania decyzji częściowo wyjaśniają opinię zainteresowanych stron, że 7. EAP jest wartościowy. </w:t>
      </w:r>
    </w:p>
    <w:p>
      <w:pPr>
        <w:pStyle w:val="Body"/>
        <w:spacing w:after="120" w:line="276" w:lineRule="auto"/>
        <w:jc w:val="both"/>
        <w:rPr>
          <w:rFonts w:ascii="Times New Roman" w:hAnsi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 xml:space="preserve">7. EAP spełnia kryteria dobrych praktyk w zakresie tworzenia strategii i jest dobrze powiązany z krajowymi strategiami na rzecz środowiska w Europie. Mimo że zainteresowane strony w dużym stopniu zgadzają się co do struktury i treści 7. EAP, skala wdrażania tego programu mogłaby zostać zwiększona poprzez zapewnienie silniejszego mechanizmu regularnej oceny sytuacji i monitorowania. </w:t>
      </w:r>
    </w:p>
    <w:p>
      <w:pPr>
        <w:pStyle w:val="Body"/>
        <w:spacing w:after="120" w:line="276" w:lineRule="auto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>
      <w:pPr>
        <w:pStyle w:val="ListParagraph"/>
        <w:numPr>
          <w:ilvl w:val="0"/>
          <w:numId w:val="11"/>
        </w:numPr>
        <w:spacing w:after="120" w:line="276" w:lineRule="auto"/>
        <w:rPr>
          <w:b/>
          <w:bCs/>
          <w:noProof/>
          <w:color w:val="auto"/>
        </w:rPr>
      </w:pPr>
      <w:r>
        <w:rPr>
          <w:b/>
          <w:bCs/>
          <w:noProof/>
          <w:color w:val="auto"/>
        </w:rPr>
        <w:t>Wnioski</w:t>
      </w:r>
    </w:p>
    <w:p>
      <w:pPr>
        <w:pStyle w:val="Body"/>
        <w:spacing w:after="120" w:line="276" w:lineRule="auto"/>
        <w:jc w:val="both"/>
        <w:rPr>
          <w:noProof/>
          <w:color w:val="auto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>Zdaniem Komisji z oceny 7. EAP wynika, że dzięki programowi łatwiejsze było wprowadzenie istotnej zmiany w tworzeniu polityki – w chwili obecnej bardziej powszechnie uznaje się, że ochrona środowiska, korzyści społeczne i zrównoważony wzrost gospodarczy idą ze sobą w parze. W ramach programu wsparciem obejmuje się istotne nowe programy działań, takie jak gospodarka o obiegu zamkniętym i cele zrównoważonego rozwoju. Opracowanie po raz pierwszy w EAP długoterminowej wizji było użytecznym narzędziem tworzenia polityki – zarówno jako uzupełnienie bardziej krótkoterminowych celów politycznych, jak i jako zbioru wskazówek, którymi wszystkie zainteresowane strony mogły się kierować w swoich działaniach. Sprzyjające ramy prawne w wyjątkowy sposób skierowały uwagę i zasoby na główne wyzwania, którym należy stawić czoła w unijnej polityce ochrony środowiska: brak wdrożenia, informacji, inwestycji i integracji. Wyniki niniejszej oceny posłużą za podstawę dla przyszłych decyzji dotyczących kolejnego programu działań w zakresie środowiska zgodnie z art. 192 ust. 3 Traktatu o funkcjonowaniu Unii Europejskiej</w:t>
      </w:r>
      <w:r>
        <w:rPr>
          <w:rStyle w:val="FootnoteReference"/>
          <w:rFonts w:ascii="Times New Roman" w:hAnsi="Times New Roman"/>
          <w:noProof/>
          <w:color w:val="auto"/>
          <w:sz w:val="24"/>
          <w:szCs w:val="24"/>
          <w:lang w:val="en-GB"/>
        </w:rPr>
        <w:footnoteReference w:id="29"/>
      </w:r>
      <w:r>
        <w:rPr>
          <w:rFonts w:ascii="Times New Roman" w:hAnsi="Times New Roman"/>
          <w:noProof/>
          <w:color w:val="auto"/>
          <w:sz w:val="24"/>
          <w:szCs w:val="24"/>
        </w:rPr>
        <w:t>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9026"/>
        <w:tab w:val="right" w:pos="9000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  <w:footnote w:id="2">
    <w:p>
      <w:pPr>
        <w:pStyle w:val="FootnoteText"/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Decyzja Parlamentu Europejskiego i Rady </w:t>
      </w:r>
      <w:hyperlink r:id="rId1" w:history="1">
        <w:r>
          <w:rPr>
            <w:rStyle w:val="Hyperlink"/>
            <w:rFonts w:ascii="Times New Roman" w:hAnsi="Times New Roman"/>
            <w:sz w:val="18"/>
            <w:szCs w:val="18"/>
          </w:rPr>
          <w:t>nr 1386/2013/UE</w:t>
        </w:r>
      </w:hyperlink>
      <w:r>
        <w:rPr>
          <w:rFonts w:ascii="Times New Roman" w:hAnsi="Times New Roman"/>
          <w:sz w:val="18"/>
          <w:szCs w:val="18"/>
        </w:rPr>
        <w:t xml:space="preserve"> z dnia 20 listopada 2013 r. w sprawie ogólnego unijnego programu działań w zakresie środowiska do 2020 r. „Dobra jakość życia z uwzględnieniem ograniczeń naszej planety”, tekst mający znaczenie dla EOG. </w:t>
      </w:r>
    </w:p>
  </w:footnote>
  <w:footnote w:id="3">
    <w:p>
      <w:pPr>
        <w:pStyle w:val="FootnoteText"/>
        <w:spacing w:after="0" w:line="240" w:lineRule="auto"/>
        <w:ind w:left="170" w:hanging="17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ab/>
      </w:r>
      <w:r>
        <w:rPr>
          <w:rFonts w:ascii="Times New Roman" w:hAnsi="Times New Roman"/>
          <w:sz w:val="18"/>
          <w:szCs w:val="18"/>
        </w:rPr>
        <w:t>„W 2050 r. obywatele cieszą się dobrą jakością życia z uwzględnieniem ekologicznych ograniczeń planety. Nasz dobrobyt i zdrowe środowisko wynikają z innowacyjnej gospodarki o obiegu zamkniętym, w której nic się nie marnuje, zasobami naturalnymi gospodaruje się w sposób zrównoważony, a różnorodność biologiczna jest chroniona, ceniona i przywracana w sposób zwiększający odporność społeczeństwa. Niskoemisyjny wzrost już dawno oddzielono od zużycia zasobów, wyznaczając drogę dla bezpiecznego i zrównoważonego społeczeństwa globalnego”.</w:t>
      </w:r>
    </w:p>
  </w:footnote>
  <w:footnote w:id="4">
    <w:p>
      <w:pPr>
        <w:pStyle w:val="FootnoteTex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COM(2015) 614 final. </w:t>
      </w:r>
    </w:p>
  </w:footnote>
  <w:footnote w:id="5">
    <w:p>
      <w:pPr>
        <w:pStyle w:val="FootnoteTex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COM(2014) 15 final.</w:t>
      </w:r>
    </w:p>
  </w:footnote>
  <w:footnote w:id="6">
    <w:p>
      <w:pPr>
        <w:pStyle w:val="FootnoteText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Zrównoważona biogospodarka dla Europy: zacieśnienie powiązań między gospodarką, społeczeństwem i środowiskiem. COM(2018) 673 final.</w:t>
      </w:r>
    </w:p>
  </w:footnote>
  <w:footnote w:id="7">
    <w:p>
      <w:pPr>
        <w:pStyle w:val="FootnoteTex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COM(2018) 97 final.</w:t>
      </w:r>
    </w:p>
  </w:footnote>
  <w:footnote w:id="8">
    <w:p>
      <w:pPr>
        <w:pStyle w:val="FootnoteText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>Prowadzone są działania w celu zmniejszenia zanieczyszczenia powietrza, gleby i wody, kompleksowej ochrony przed toksycznymi substancjami chemicznymi, kwaśnymi deszczami i kurczeniem się warstwy ozonowej, tworzone są obszary ochrony przyrody, ograniczane są emisje gazów cieplarnianych – więcej szczegółowych informacji można znaleźć w sprawozdaniu Europejskiej Agencji Środowiska dotyczącym stanu środowiska z 2015 r.:</w:t>
      </w:r>
      <w:hyperlink r:id="rId2" w:history="1">
        <w:r>
          <w:rPr>
            <w:rStyle w:val="Hyperlink"/>
            <w:rFonts w:ascii="Times New Roman" w:hAnsi="Times New Roman"/>
            <w:sz w:val="18"/>
            <w:szCs w:val="18"/>
          </w:rPr>
          <w:t>https://www.eea.europa.eu/soer-2015/synthesis/report/0c-executivesummary</w:t>
        </w:r>
      </w:hyperlink>
    </w:p>
  </w:footnote>
  <w:footnote w:id="9">
    <w:p>
      <w:pPr>
        <w:pStyle w:val="FootnoteText"/>
        <w:spacing w:after="0" w:line="240" w:lineRule="auto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  <w:rFonts w:ascii="Times New Roman" w:hAnsi="Times New Roman"/>
            <w:sz w:val="18"/>
            <w:szCs w:val="18"/>
          </w:rPr>
          <w:t>https://ec.europa.eu/clima/policies/strategies/progress_en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10">
    <w:p>
      <w:pPr>
        <w:pStyle w:val="FootnoteText"/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  <w:lang w:val="pt-PT"/>
        </w:rPr>
        <w:t xml:space="preserve"> </w:t>
      </w:r>
      <w:r>
        <w:rPr>
          <w:rFonts w:ascii="Times New Roman" w:hAnsi="Times New Roman"/>
          <w:sz w:val="18"/>
          <w:szCs w:val="18"/>
          <w:lang w:val="pt-PT"/>
        </w:rPr>
        <w:t>Zob. np. COM(2018) 773 final.</w:t>
      </w:r>
    </w:p>
  </w:footnote>
  <w:footnote w:id="11">
    <w:p>
      <w:pPr>
        <w:pStyle w:val="FootnoteText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  <w:lang w:val="pt-PT"/>
        </w:rPr>
        <w:t xml:space="preserve"> COM(2018) 773 final.</w:t>
      </w:r>
    </w:p>
  </w:footnote>
  <w:footnote w:id="12">
    <w:p>
      <w:pPr>
        <w:pStyle w:val="FootnoteText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EEA (2018): Environmental Indicator Report 2018 [Sprawozdanie na temat indeksu środowiskowego za 2018 r.].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https://www.eea.europa.eu/publications/environmental-indicator-report-2018).</w:t>
      </w:r>
    </w:p>
  </w:footnote>
  <w:footnote w:id="13">
    <w:p>
      <w:pPr>
        <w:pStyle w:val="Body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Dokument Komisji otwierający debatę w sprawie osiągania celów zrównoważonego rozwoju ONZ (30 stycznia 2019 r.): „Najpoważniejszym deficytem i naszym </w:t>
      </w:r>
      <w:r>
        <w:rPr>
          <w:rFonts w:ascii="Times New Roman" w:hAnsi="Times New Roman"/>
          <w:b/>
          <w:bCs/>
          <w:sz w:val="18"/>
          <w:szCs w:val="18"/>
        </w:rPr>
        <w:t>największym wyzwaniem w dziedzinie zrównoważonego rozwoju jest dług ekologiczny</w:t>
      </w:r>
      <w:r>
        <w:rPr>
          <w:rFonts w:ascii="Times New Roman" w:hAnsi="Times New Roman"/>
          <w:sz w:val="18"/>
          <w:szCs w:val="18"/>
        </w:rPr>
        <w:t xml:space="preserve">, który zaciągamy przez nadmierną eksploatację i wyczerpywanie zasobów naturalnych. W ten sposób możemy zmniejszyć zdolność przyszłych pokoleń do zaspokajania potrzeb </w:t>
      </w:r>
      <w:r>
        <w:rPr>
          <w:rFonts w:ascii="Times New Roman" w:hAnsi="Times New Roman"/>
          <w:b/>
          <w:bCs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 </w:t>
      </w:r>
      <w:r>
        <w:rPr>
          <w:rFonts w:ascii="Times New Roman" w:hAnsi="Times New Roman"/>
          <w:b/>
          <w:bCs/>
          <w:sz w:val="18"/>
          <w:szCs w:val="18"/>
        </w:rPr>
        <w:t>granicach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zasobów naszej planety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Wywierana w skali całego świata presja na kluczowe zasoby, począwszy od wody słodkiej po żyzną glebę, zagraża ludzkiemu przetrwaniu”.</w:t>
      </w:r>
    </w:p>
  </w:footnote>
  <w:footnote w:id="14">
    <w:p>
      <w:pPr>
        <w:pStyle w:val="FootnoteText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EEA (2018): Environmental Indicator Report 2018 [Sprawozdanie na temat indeksu środowiskowego za 2018 r.].</w:t>
      </w:r>
    </w:p>
  </w:footnote>
  <w:footnote w:id="15">
    <w:p>
      <w:pPr>
        <w:pStyle w:val="FootnoteText"/>
        <w:spacing w:after="0" w:line="240" w:lineRule="auto"/>
        <w:ind w:left="0" w:firstLine="0"/>
      </w:pPr>
      <w:r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Zob. np. Przegląd wdrażania polityki ochrony środowiska na 2019 r. </w:t>
      </w:r>
    </w:p>
  </w:footnote>
  <w:footnote w:id="16">
    <w:p>
      <w:pPr>
        <w:pStyle w:val="FootnoteTex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hyperlink r:id="rId4" w:history="1">
        <w:r>
          <w:rPr>
            <w:rStyle w:val="Hyperlink"/>
            <w:rFonts w:ascii="Times New Roman" w:hAnsi="Times New Roman"/>
            <w:sz w:val="18"/>
            <w:szCs w:val="18"/>
          </w:rPr>
          <w:t>https://ec.europa.eu/info/law/law-making-process/planning-and-proposing-law/better-regulation-why-and-how_pl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17">
    <w:p>
      <w:pPr>
        <w:pStyle w:val="FootnoteText"/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sz w:val="18"/>
            <w:szCs w:val="18"/>
          </w:rPr>
          <w:t>http://ec.europa.eu/environment/eir/index_en.htm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18">
    <w:p>
      <w:pPr>
        <w:pStyle w:val="FootnoteText"/>
        <w:spacing w:after="0" w:line="240" w:lineRule="auto"/>
        <w:ind w:left="0" w:firstLine="0"/>
        <w:jc w:val="both"/>
        <w:rPr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hyperlink r:id="rId6" w:history="1">
        <w:r>
          <w:rPr>
            <w:rStyle w:val="Hyperlink"/>
            <w:rFonts w:ascii="Times New Roman" w:hAnsi="Times New Roman"/>
            <w:sz w:val="18"/>
            <w:szCs w:val="18"/>
          </w:rPr>
          <w:t>Sprawozdanie EEA nr 30/2016</w:t>
        </w:r>
      </w:hyperlink>
      <w:r>
        <w:rPr>
          <w:rFonts w:ascii="Times New Roman" w:hAnsi="Times New Roman"/>
          <w:sz w:val="18"/>
          <w:szCs w:val="18"/>
        </w:rPr>
        <w:t>: Environmental indicator report 2016 – In support to the monitoring of the 7</w:t>
      </w:r>
      <w:r>
        <w:rPr>
          <w:rFonts w:ascii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hAnsi="Times New Roman"/>
          <w:sz w:val="18"/>
          <w:szCs w:val="18"/>
        </w:rPr>
        <w:t xml:space="preserve"> Environment Action Programme 2016 [Sprawozdanie na temat indeksu środowiskowego za 2016 r. – Wsparcie na rzecz monitorowania 7. programu działań w zakresie środowiska w 2016 r.]; </w:t>
      </w:r>
      <w:hyperlink r:id="rId7" w:history="1">
        <w:r>
          <w:rPr>
            <w:rStyle w:val="Hyperlink"/>
            <w:rFonts w:ascii="Times New Roman" w:hAnsi="Times New Roman"/>
            <w:sz w:val="18"/>
            <w:szCs w:val="18"/>
          </w:rPr>
          <w:t>Sprawozdanie EEA nr 21/2017</w:t>
        </w:r>
      </w:hyperlink>
      <w:r>
        <w:rPr>
          <w:rFonts w:ascii="Times New Roman" w:hAnsi="Times New Roman"/>
          <w:sz w:val="18"/>
          <w:szCs w:val="18"/>
        </w:rPr>
        <w:t>: Environmental indicator report 2017 – In support to the monitoring of the 7</w:t>
      </w:r>
      <w:r>
        <w:rPr>
          <w:rFonts w:ascii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hAnsi="Times New Roman"/>
          <w:sz w:val="18"/>
          <w:szCs w:val="18"/>
        </w:rPr>
        <w:t xml:space="preserve"> Environment Action Programme [Sprawozdanie na temat indeksu środowiskowego za 2017 r. – Wsparcie na rzecz monitorowania 7. programu działań w zakresie środowiska]; </w:t>
      </w:r>
      <w:hyperlink r:id="rId8" w:history="1">
        <w:r>
          <w:rPr>
            <w:rStyle w:val="Hyperlink"/>
            <w:rFonts w:ascii="Times New Roman" w:hAnsi="Times New Roman"/>
            <w:sz w:val="18"/>
            <w:szCs w:val="18"/>
          </w:rPr>
          <w:t>Sprawozdanie EEA nr 19/2018</w:t>
        </w:r>
      </w:hyperlink>
      <w:r>
        <w:rPr>
          <w:rFonts w:ascii="Times New Roman" w:hAnsi="Times New Roman"/>
          <w:sz w:val="18"/>
          <w:szCs w:val="18"/>
        </w:rPr>
        <w:t>: Environmental indicator report 2017 – In support to the monitoring of the 7</w:t>
      </w:r>
      <w:r>
        <w:rPr>
          <w:rFonts w:ascii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hAnsi="Times New Roman"/>
          <w:sz w:val="18"/>
          <w:szCs w:val="18"/>
        </w:rPr>
        <w:t xml:space="preserve"> Environment Action Programme 2018 [Sprawozdanie na temat indeksu środowiskowego za 2017 r. – Wsparcie na rzecz monitorowania 7. programu działań w zakresie środowiska w 2018 r.].</w:t>
      </w:r>
    </w:p>
  </w:footnote>
  <w:footnote w:id="19">
    <w:p>
      <w:pPr>
        <w:pStyle w:val="FootnoteText"/>
        <w:spacing w:after="0" w:line="240" w:lineRule="auto"/>
        <w:jc w:val="both"/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Zob.: </w:t>
      </w:r>
      <w:hyperlink r:id="rId9" w:history="1">
        <w:r>
          <w:rPr>
            <w:rStyle w:val="Hyperlink"/>
            <w:rFonts w:ascii="Times New Roman" w:hAnsi="Times New Roman"/>
            <w:sz w:val="18"/>
            <w:szCs w:val="18"/>
          </w:rPr>
          <w:t>http://www.europarl.europa.eu/RegData/etudes/STUD/2017/610998/EPRS_STU(2017)610998_EN.pdf</w:t>
        </w:r>
      </w:hyperlink>
      <w:r>
        <w:t xml:space="preserve"> </w:t>
      </w:r>
    </w:p>
  </w:footnote>
  <w:footnote w:id="20">
    <w:p>
      <w:pPr>
        <w:pStyle w:val="FootnoteTex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Skuteczność, wydajność, adekwatność, spójność i wartość dodana.</w:t>
      </w:r>
    </w:p>
  </w:footnote>
  <w:footnote w:id="21">
    <w:p>
      <w:pPr>
        <w:pStyle w:val="FootnoteText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1 = brak postępów w realizacji działań, 2 = niewielki postęp, 3 = pewien postęp, 4 = znaczny postęp, 5 = pełna realizacja.</w:t>
      </w:r>
    </w:p>
  </w:footnote>
  <w:footnote w:id="22">
    <w:p>
      <w:pPr>
        <w:pStyle w:val="FootnoteTex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hyperlink r:id="rId10" w:history="1">
        <w:r>
          <w:rPr>
            <w:rStyle w:val="Hyperlink"/>
            <w:rFonts w:ascii="Times New Roman" w:hAnsi="Times New Roman"/>
            <w:sz w:val="18"/>
            <w:szCs w:val="18"/>
          </w:rPr>
          <w:t>https://www.eea.europa.eu/airs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23">
    <w:p>
      <w:pPr>
        <w:pStyle w:val="FootnoteText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hyperlink r:id="rId11" w:history="1">
        <w:r>
          <w:rPr>
            <w:rStyle w:val="Hyperlink"/>
            <w:rFonts w:ascii="Times New Roman" w:hAnsi="Times New Roman"/>
            <w:sz w:val="18"/>
            <w:szCs w:val="18"/>
          </w:rPr>
          <w:t>https://sustainabledevelopment.un.org/rio20/futurewewant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24">
    <w:p>
      <w:pPr>
        <w:pStyle w:val="FootnoteTex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W załączniku 3 do sprawozdania oceniającego podsumowano wyniki badania Trinomics, które stanowiło wsparcie dla oceny 7. EAP.</w:t>
      </w:r>
    </w:p>
  </w:footnote>
  <w:footnote w:id="25">
    <w:p>
      <w:pPr>
        <w:pStyle w:val="FootnoteText"/>
        <w:spacing w:after="0" w:line="240" w:lineRule="auto"/>
        <w:ind w:left="284" w:hanging="284"/>
        <w:jc w:val="both"/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Style w:val="Strong"/>
          <w:rFonts w:ascii="Times New Roman" w:hAnsi="Times New Roman"/>
          <w:b w:val="0"/>
          <w:color w:val="444444"/>
          <w:sz w:val="18"/>
          <w:szCs w:val="18"/>
        </w:rPr>
        <w:t>Komunikat COM(2012) 95 final pt.:</w:t>
      </w:r>
      <w:r>
        <w:rPr>
          <w:rStyle w:val="Strong"/>
          <w:rFonts w:ascii="Times New Roman" w:hAnsi="Times New Roman"/>
          <w:color w:val="444444"/>
          <w:sz w:val="18"/>
          <w:szCs w:val="18"/>
        </w:rPr>
        <w:t xml:space="preserve"> </w:t>
      </w:r>
      <w:r>
        <w:rPr>
          <w:rFonts w:ascii="Times New Roman" w:hAnsi="Times New Roman"/>
          <w:color w:val="444444"/>
          <w:sz w:val="18"/>
          <w:szCs w:val="18"/>
        </w:rPr>
        <w:t>„Lepsze wykorzystanie potencjału środków ochrony środowiska UE: budowanie zaufania poprzez większą wiedzę i lepszą zdolność reakcji” – oraz trwające badanie dotyczące kosztów związanych z niewdrażaniem przepisów w zakresie ochrony środowiska.</w:t>
      </w:r>
      <w:r>
        <w:rPr>
          <w:rFonts w:ascii="Times New Roman" w:hAnsi="Times New Roman"/>
          <w:color w:val="444444"/>
        </w:rPr>
        <w:t xml:space="preserve"> </w:t>
      </w:r>
    </w:p>
  </w:footnote>
  <w:footnote w:id="26">
    <w:p>
      <w:pPr>
        <w:pStyle w:val="FootnoteTex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12" w:history="1">
        <w:r>
          <w:rPr>
            <w:rStyle w:val="Hyperlink"/>
            <w:rFonts w:ascii="Times New Roman" w:hAnsi="Times New Roman"/>
            <w:sz w:val="18"/>
            <w:szCs w:val="18"/>
          </w:rPr>
          <w:t>https://ec.europa.eu/eurostat/statistics-explained/index.php/Environmental_protection_expenditure_accounts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27">
    <w:p>
      <w:pPr>
        <w:pStyle w:val="FootnoteText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hyperlink r:id="rId13" w:history="1">
        <w:r>
          <w:rPr>
            <w:rStyle w:val="Hyperlink"/>
            <w:rFonts w:ascii="Times New Roman" w:hAnsi="Times New Roman"/>
            <w:sz w:val="18"/>
            <w:szCs w:val="18"/>
          </w:rPr>
          <w:t>https://ec.europa.eu/info/news/environmental-data-commission-welcomes-agreement-new-rules-reduce-red-tape-and-increase-transparency-citizens-2018-dec-20-0_en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28">
    <w:p>
      <w:pPr>
        <w:pStyle w:val="FootnoteText"/>
        <w:spacing w:after="0" w:line="240" w:lineRule="auto"/>
        <w:ind w:left="0" w:firstLine="0"/>
        <w:jc w:val="both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Trzy priorytety tematyczne (przyroda, gospodarka, zdrowie) w połączeniu ze sprzyjającymi ramami prawnymi w celu zwalczania największych przeszkód na drodze do osiągnięcia głównych celów w tworzeniu polityki w zakresie środowiska, a także z dwoma priorytetami horyzontalnymi (w ujęciu miejskim i międzynarodowym).</w:t>
      </w:r>
    </w:p>
  </w:footnote>
  <w:footnote w:id="29">
    <w:p>
      <w:pPr>
        <w:pStyle w:val="FootnoteText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lang w:val="en-GB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auto"/>
          <w:sz w:val="18"/>
          <w:szCs w:val="18"/>
        </w:rPr>
        <w:t>Art. 4 ust. 3 decyzji nr 1386/2013/UE: „[w] świetle tej oceny i innych stosownych zmian polityki Komisja w razie potrzeby przedstawia wniosek dotyczący 8. EAP w odpowiednim terminie umożliwiającym uniknięcie luki między 7. EAP a 8. EAP”.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Foo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B3E"/>
    <w:multiLevelType w:val="hybridMultilevel"/>
    <w:tmpl w:val="5E5C84F0"/>
    <w:numStyleLink w:val="ImportedStyle3"/>
  </w:abstractNum>
  <w:abstractNum w:abstractNumId="1">
    <w:nsid w:val="1125720E"/>
    <w:multiLevelType w:val="hybridMultilevel"/>
    <w:tmpl w:val="0562D362"/>
    <w:numStyleLink w:val="ImportedStyle4"/>
  </w:abstractNum>
  <w:abstractNum w:abstractNumId="2">
    <w:nsid w:val="11FA4ABE"/>
    <w:multiLevelType w:val="hybridMultilevel"/>
    <w:tmpl w:val="5E5C84F0"/>
    <w:styleLink w:val="ImportedStyle3"/>
    <w:lvl w:ilvl="0" w:tplc="82660D5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0C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FE35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3A7A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6F5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9A39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610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B2AA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9E96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F3B5A50"/>
    <w:multiLevelType w:val="hybridMultilevel"/>
    <w:tmpl w:val="6B84231E"/>
    <w:lvl w:ilvl="0" w:tplc="78224F14">
      <w:start w:val="1"/>
      <w:numFmt w:val="decimal"/>
      <w:lvlText w:val="%1."/>
      <w:lvlJc w:val="left"/>
      <w:pPr>
        <w:ind w:left="786" w:hanging="36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1485FA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7AF460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A00B7C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BE2274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4AF7F0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969580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6F16C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80508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6152B6E"/>
    <w:multiLevelType w:val="hybridMultilevel"/>
    <w:tmpl w:val="58CACE4E"/>
    <w:numStyleLink w:val="ImportedStyle1"/>
  </w:abstractNum>
  <w:abstractNum w:abstractNumId="5">
    <w:nsid w:val="31ED1B32"/>
    <w:multiLevelType w:val="hybridMultilevel"/>
    <w:tmpl w:val="0562D362"/>
    <w:styleLink w:val="ImportedStyle4"/>
    <w:lvl w:ilvl="0" w:tplc="E690AB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EC80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3626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DCB7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CEFD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42934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F43A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BEE7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ECED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57116FF"/>
    <w:multiLevelType w:val="hybridMultilevel"/>
    <w:tmpl w:val="2C041EEE"/>
    <w:numStyleLink w:val="ImportedStyle2"/>
  </w:abstractNum>
  <w:abstractNum w:abstractNumId="7">
    <w:nsid w:val="583D62AC"/>
    <w:multiLevelType w:val="hybridMultilevel"/>
    <w:tmpl w:val="38B60A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9D6154"/>
    <w:multiLevelType w:val="hybridMultilevel"/>
    <w:tmpl w:val="2C041EEE"/>
    <w:styleLink w:val="ImportedStyle2"/>
    <w:lvl w:ilvl="0" w:tplc="08BC6B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9862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981B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032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49A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E15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149E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5476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B4EE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8E1177D"/>
    <w:multiLevelType w:val="hybridMultilevel"/>
    <w:tmpl w:val="746E11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60461"/>
    <w:multiLevelType w:val="hybridMultilevel"/>
    <w:tmpl w:val="58CACE4E"/>
    <w:styleLink w:val="ImportedStyle1"/>
    <w:lvl w:ilvl="0" w:tplc="25AEEE12">
      <w:start w:val="1"/>
      <w:numFmt w:val="upperRoman"/>
      <w:lvlText w:val="%1."/>
      <w:lvlJc w:val="left"/>
      <w:pPr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EA699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3A7EFE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86F7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6E798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24F02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FABB5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08103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2E449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4"/>
    <w:lvlOverride w:ilvl="0">
      <w:startOverride w:val="3"/>
    </w:lvlOverride>
  </w:num>
  <w:num w:numId="6">
    <w:abstractNumId w:val="2"/>
  </w:num>
  <w:num w:numId="7">
    <w:abstractNumId w:val="0"/>
  </w:num>
  <w:num w:numId="8">
    <w:abstractNumId w:val="4"/>
    <w:lvlOverride w:ilvl="0">
      <w:startOverride w:val="4"/>
    </w:lvlOverride>
  </w:num>
  <w:num w:numId="9">
    <w:abstractNumId w:val="5"/>
  </w:num>
  <w:num w:numId="10">
    <w:abstractNumId w:val="1"/>
  </w:num>
  <w:num w:numId="11">
    <w:abstractNumId w:val="4"/>
    <w:lvlOverride w:ilvl="0">
      <w:startOverride w:val="5"/>
    </w:lvlOverride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BC597F72-0AFB-47E6-97D2-2822F3C8D44A"/>
    <w:docVar w:name="LW_COVERPAGE_TYPE" w:val="1"/>
    <w:docVar w:name="LW_CROSSREFERENCE" w:val="{SWD(2019) 181 final}"/>
    <w:docVar w:name="LW_DocType" w:val="NORMAL"/>
    <w:docVar w:name="LW_EMISSION" w:val="15.5.2019"/>
    <w:docVar w:name="LW_EMISSION_ISODATE" w:val="2019-05-15"/>
    <w:docVar w:name="LW_EMISSION_LOCATION" w:val="BRX"/>
    <w:docVar w:name="LW_EMISSION_PREFIX" w:val="Bruksela, dnia "/>
    <w:docVar w:name="LW_EMISSION_SUFFIX" w:val=" r."/>
    <w:docVar w:name="LW_ID_DOCTYPE_NONLW" w:val="CP-008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23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z oceny 7. programu dzia\u322?a\u324? w zakresie \u347?rodowiska"/>
    <w:docVar w:name="LW_TYPE.DOC.CP" w:val="SPRAWOZDANIE KOMISJI DLA PARLAMENTU EUROPEJSKIEGO, RADY, EUROPEJSKIEGO KOMITETU EKONOMICZNO-SPO\u321?ECZNEGO I KOMITETU REGIONÓW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link w:val="BodyChar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aliases w:val="1st level - Bullet List Paragraph,Lettre d'introduction,Paragrafo elenco,List Paragraph1,Medium Grid 1 - Accent 21,FooterText,Paragraphe de liste1,List Paragraph (numbered (a)),Heading 2_sj,Numbered Para 1,Dot pt,No Spacing1,Bullet 1,lp1"/>
    <w:link w:val="ListParagraphChar"/>
    <w:qFormat/>
    <w:pPr>
      <w:spacing w:after="240"/>
      <w:ind w:left="72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FootnoteText">
    <w:name w:val="footnote text"/>
    <w:aliases w:val="Fußnotentext Char,Fußnotentext Char1 Char1,Fußnotentext Char Char Char Char,Fußnotentext Char1 Char Char Char,Fußnotentext Char Char,Fußnotentext Char1 Char Char Char Char,Fußnotentext Char Char Char Char Char Char,Char,Fußnotentext Char1"/>
    <w:link w:val="FootnoteTextChar"/>
    <w:qFormat/>
    <w:pPr>
      <w:suppressAutoHyphens/>
      <w:spacing w:after="200" w:line="276" w:lineRule="auto"/>
      <w:ind w:left="283" w:hanging="283"/>
    </w:pPr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pl-P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 w:eastAsia="en-US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FootnoteReference">
    <w:name w:val="footnote reference"/>
    <w:aliases w:val="Voetnoot verwijzing,number,Footnote reference number,Footnote symbol,note TESI,-E Fußnotenzeichen,SUPERS,stylish,Footnote Reference_EP-LCA,BVI fnr,Odwołanie przypisu,Footnote Reference2,Footnote Reference Number,E FNZ,Ref,Nota,styl,nu"/>
    <w:basedOn w:val="DefaultParagraphFont"/>
    <w:qFormat/>
    <w:rPr>
      <w:vertAlign w:val="superscript"/>
    </w:rPr>
  </w:style>
  <w:style w:type="character" w:customStyle="1" w:styleId="FootnoteTextChar">
    <w:name w:val="Footnote Text Char"/>
    <w:aliases w:val="Fußnotentext Char Char1,Fußnotentext Char1 Char1 Char,Fußnotentext Char Char Char Char Char,Fußnotentext Char1 Char Char Char Char1,Fußnotentext Char Char Char,Fußnotentext Char1 Char Char Char Char Char,Char Char"/>
    <w:link w:val="FootnoteText"/>
    <w:rPr>
      <w:rFonts w:ascii="Calibri" w:eastAsia="Calibri" w:hAnsi="Calibri" w:cs="Calibri"/>
      <w:color w:val="000000"/>
      <w:u w:color="000000"/>
      <w:lang w:val="pl-PL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Theme="minorHAnsi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pl-PL"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BodyChar">
    <w:name w:val="Body Char"/>
    <w:basedOn w:val="DefaultParagraphFont"/>
    <w:link w:val="Body"/>
    <w:rPr>
      <w:rFonts w:ascii="Calibri" w:eastAsia="Calibri" w:hAnsi="Calibri" w:cs="Calibri"/>
      <w:color w:val="000000"/>
      <w:sz w:val="22"/>
      <w:szCs w:val="22"/>
      <w:u w:color="000000"/>
      <w:lang w:val="pl-PL"/>
    </w:rPr>
  </w:style>
  <w:style w:type="character" w:customStyle="1" w:styleId="FooterCoverPageChar">
    <w:name w:val="Footer Cover Page Char"/>
    <w:basedOn w:val="BodyChar"/>
    <w:link w:val="FooterCoverPage"/>
    <w:rPr>
      <w:rFonts w:ascii="Calibri" w:eastAsia="Calibri" w:hAnsi="Calibri" w:cs="Calibri"/>
      <w:color w:val="000000"/>
      <w:sz w:val="24"/>
      <w:szCs w:val="24"/>
      <w:u w:color="000000"/>
      <w:lang w:val="pl-PL" w:eastAsia="en-US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BodyChar"/>
    <w:link w:val="FooterSensitivity"/>
    <w:rPr>
      <w:rFonts w:ascii="Calibri" w:eastAsia="Calibri" w:hAnsi="Calibri" w:cs="Calibri"/>
      <w:b/>
      <w:color w:val="000000"/>
      <w:sz w:val="32"/>
      <w:szCs w:val="24"/>
      <w:u w:color="000000"/>
      <w:lang w:val="pl-PL"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BodyChar"/>
    <w:link w:val="HeaderCoverPage"/>
    <w:rPr>
      <w:rFonts w:ascii="Calibri" w:eastAsia="Calibri" w:hAnsi="Calibri" w:cs="Calibri"/>
      <w:color w:val="000000"/>
      <w:sz w:val="24"/>
      <w:szCs w:val="24"/>
      <w:u w:color="000000"/>
      <w:lang w:val="pl-PL" w:eastAsia="en-US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BodyChar"/>
    <w:link w:val="HeaderSensitivity"/>
    <w:rPr>
      <w:rFonts w:ascii="Calibri" w:eastAsia="Calibri" w:hAnsi="Calibri" w:cs="Calibri"/>
      <w:b/>
      <w:color w:val="000000"/>
      <w:sz w:val="32"/>
      <w:szCs w:val="24"/>
      <w:u w:color="000000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pl-PL" w:eastAsia="en-US"/>
    </w:rPr>
  </w:style>
  <w:style w:type="character" w:customStyle="1" w:styleId="ListParagraphChar">
    <w:name w:val="List Paragraph Char"/>
    <w:aliases w:val="1st level - Bullet List Paragraph Char,Lettre d'introduction Char,Paragrafo elenco Char,List Paragraph1 Char,Medium Grid 1 - Accent 21 Char,FooterText Char,Paragraphe de liste1 Char,List Paragraph (numbered (a)) Char,Dot pt Char"/>
    <w:basedOn w:val="DefaultParagraphFont"/>
    <w:link w:val="ListParagraph"/>
    <w:qFormat/>
    <w:locked/>
    <w:rPr>
      <w:rFonts w:eastAsia="Times New Roman"/>
      <w:color w:val="000000"/>
      <w:sz w:val="24"/>
      <w:szCs w:val="24"/>
      <w:u w:color="000000"/>
      <w:lang w:val="pl-PL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link w:val="BodyChar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aliases w:val="1st level - Bullet List Paragraph,Lettre d'introduction,Paragrafo elenco,List Paragraph1,Medium Grid 1 - Accent 21,FooterText,Paragraphe de liste1,List Paragraph (numbered (a)),Heading 2_sj,Numbered Para 1,Dot pt,No Spacing1,Bullet 1,lp1"/>
    <w:link w:val="ListParagraphChar"/>
    <w:qFormat/>
    <w:pPr>
      <w:spacing w:after="240"/>
      <w:ind w:left="72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FootnoteText">
    <w:name w:val="footnote text"/>
    <w:aliases w:val="Fußnotentext Char,Fußnotentext Char1 Char1,Fußnotentext Char Char Char Char,Fußnotentext Char1 Char Char Char,Fußnotentext Char Char,Fußnotentext Char1 Char Char Char Char,Fußnotentext Char Char Char Char Char Char,Char,Fußnotentext Char1"/>
    <w:link w:val="FootnoteTextChar"/>
    <w:qFormat/>
    <w:pPr>
      <w:suppressAutoHyphens/>
      <w:spacing w:after="200" w:line="276" w:lineRule="auto"/>
      <w:ind w:left="283" w:hanging="283"/>
    </w:pPr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pl-P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 w:eastAsia="en-US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FootnoteReference">
    <w:name w:val="footnote reference"/>
    <w:aliases w:val="Voetnoot verwijzing,number,Footnote reference number,Footnote symbol,note TESI,-E Fußnotenzeichen,SUPERS,stylish,Footnote Reference_EP-LCA,BVI fnr,Odwołanie przypisu,Footnote Reference2,Footnote Reference Number,E FNZ,Ref,Nota,styl,nu"/>
    <w:basedOn w:val="DefaultParagraphFont"/>
    <w:qFormat/>
    <w:rPr>
      <w:vertAlign w:val="superscript"/>
    </w:rPr>
  </w:style>
  <w:style w:type="character" w:customStyle="1" w:styleId="FootnoteTextChar">
    <w:name w:val="Footnote Text Char"/>
    <w:aliases w:val="Fußnotentext Char Char1,Fußnotentext Char1 Char1 Char,Fußnotentext Char Char Char Char Char,Fußnotentext Char1 Char Char Char Char1,Fußnotentext Char Char Char,Fußnotentext Char1 Char Char Char Char Char,Char Char"/>
    <w:link w:val="FootnoteText"/>
    <w:rPr>
      <w:rFonts w:ascii="Calibri" w:eastAsia="Calibri" w:hAnsi="Calibri" w:cs="Calibri"/>
      <w:color w:val="000000"/>
      <w:u w:color="000000"/>
      <w:lang w:val="pl-PL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Theme="minorHAnsi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pl-PL"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BodyChar">
    <w:name w:val="Body Char"/>
    <w:basedOn w:val="DefaultParagraphFont"/>
    <w:link w:val="Body"/>
    <w:rPr>
      <w:rFonts w:ascii="Calibri" w:eastAsia="Calibri" w:hAnsi="Calibri" w:cs="Calibri"/>
      <w:color w:val="000000"/>
      <w:sz w:val="22"/>
      <w:szCs w:val="22"/>
      <w:u w:color="000000"/>
      <w:lang w:val="pl-PL"/>
    </w:rPr>
  </w:style>
  <w:style w:type="character" w:customStyle="1" w:styleId="FooterCoverPageChar">
    <w:name w:val="Footer Cover Page Char"/>
    <w:basedOn w:val="BodyChar"/>
    <w:link w:val="FooterCoverPage"/>
    <w:rPr>
      <w:rFonts w:ascii="Calibri" w:eastAsia="Calibri" w:hAnsi="Calibri" w:cs="Calibri"/>
      <w:color w:val="000000"/>
      <w:sz w:val="24"/>
      <w:szCs w:val="24"/>
      <w:u w:color="000000"/>
      <w:lang w:val="pl-PL" w:eastAsia="en-US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BodyChar"/>
    <w:link w:val="FooterSensitivity"/>
    <w:rPr>
      <w:rFonts w:ascii="Calibri" w:eastAsia="Calibri" w:hAnsi="Calibri" w:cs="Calibri"/>
      <w:b/>
      <w:color w:val="000000"/>
      <w:sz w:val="32"/>
      <w:szCs w:val="24"/>
      <w:u w:color="000000"/>
      <w:lang w:val="pl-PL"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BodyChar"/>
    <w:link w:val="HeaderCoverPage"/>
    <w:rPr>
      <w:rFonts w:ascii="Calibri" w:eastAsia="Calibri" w:hAnsi="Calibri" w:cs="Calibri"/>
      <w:color w:val="000000"/>
      <w:sz w:val="24"/>
      <w:szCs w:val="24"/>
      <w:u w:color="000000"/>
      <w:lang w:val="pl-PL" w:eastAsia="en-US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BodyChar"/>
    <w:link w:val="HeaderSensitivity"/>
    <w:rPr>
      <w:rFonts w:ascii="Calibri" w:eastAsia="Calibri" w:hAnsi="Calibri" w:cs="Calibri"/>
      <w:b/>
      <w:color w:val="000000"/>
      <w:sz w:val="32"/>
      <w:szCs w:val="24"/>
      <w:u w:color="000000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pl-PL" w:eastAsia="en-US"/>
    </w:rPr>
  </w:style>
  <w:style w:type="character" w:customStyle="1" w:styleId="ListParagraphChar">
    <w:name w:val="List Paragraph Char"/>
    <w:aliases w:val="1st level - Bullet List Paragraph Char,Lettre d'introduction Char,Paragrafo elenco Char,List Paragraph1 Char,Medium Grid 1 - Accent 21 Char,FooterText Char,Paragraphe de liste1 Char,List Paragraph (numbered (a)) Char,Dot pt Char"/>
    <w:basedOn w:val="DefaultParagraphFont"/>
    <w:link w:val="ListParagraph"/>
    <w:qFormat/>
    <w:locked/>
    <w:rPr>
      <w:rFonts w:eastAsia="Times New Roman"/>
      <w:color w:val="000000"/>
      <w:sz w:val="24"/>
      <w:szCs w:val="24"/>
      <w:u w:color="000000"/>
      <w:lang w:val="pl-PL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a.europa.eu/publications/environmental-indicator-report-2018" TargetMode="External"/><Relationship Id="rId13" Type="http://schemas.openxmlformats.org/officeDocument/2006/relationships/hyperlink" Target="https://ec.europa.eu/info/news/environmental-data-commission-welcomes-agreement-new-rules-reduce-red-tape-and-increase-transparency-citizens-2018-dec-20-0_en" TargetMode="External"/><Relationship Id="rId3" Type="http://schemas.openxmlformats.org/officeDocument/2006/relationships/hyperlink" Target="https://ec.europa.eu/clima/policies/strategies/progress_en" TargetMode="External"/><Relationship Id="rId7" Type="http://schemas.openxmlformats.org/officeDocument/2006/relationships/hyperlink" Target="https://www.eea.europa.eu/publications/environmental-indicator-report-2017" TargetMode="External"/><Relationship Id="rId12" Type="http://schemas.openxmlformats.org/officeDocument/2006/relationships/hyperlink" Target="https://ec.europa.eu/eurostat/statistics-explained/index.php/Environmental_protection_expenditure_accounts" TargetMode="External"/><Relationship Id="rId2" Type="http://schemas.openxmlformats.org/officeDocument/2006/relationships/hyperlink" Target="https://www.eea.europa.eu/soer-2015/synthesis/report/0c-executivesummary" TargetMode="External"/><Relationship Id="rId1" Type="http://schemas.openxmlformats.org/officeDocument/2006/relationships/hyperlink" Target="https://eur-lex.europa.eu/eli/dec/2013/1386/oj" TargetMode="External"/><Relationship Id="rId6" Type="http://schemas.openxmlformats.org/officeDocument/2006/relationships/hyperlink" Target="https://www.eea.europa.eu/publications/environmental-indicator-report-2016" TargetMode="External"/><Relationship Id="rId11" Type="http://schemas.openxmlformats.org/officeDocument/2006/relationships/hyperlink" Target="https://sustainabledevelopment.un.org/rio20/futurewewant" TargetMode="External"/><Relationship Id="rId5" Type="http://schemas.openxmlformats.org/officeDocument/2006/relationships/hyperlink" Target="http://ec.europa.eu/environment/eir/index_en.htm" TargetMode="External"/><Relationship Id="rId10" Type="http://schemas.openxmlformats.org/officeDocument/2006/relationships/hyperlink" Target="https://www.eea.europa.eu/airs" TargetMode="External"/><Relationship Id="rId4" Type="http://schemas.openxmlformats.org/officeDocument/2006/relationships/hyperlink" Target="https://ec.europa.eu/info/law/law-making-process/planning-and-proposing-law/better-regulation-why-and-how_pl" TargetMode="External"/><Relationship Id="rId9" Type="http://schemas.openxmlformats.org/officeDocument/2006/relationships/hyperlink" Target="http://www.europarl.europa.eu/RegData/etudes/STUD/2017/610998/EPRS_STU(2017)610998_EN.pdf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A06621F-6C2B-405B-BE99-37D816A4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2965</Words>
  <Characters>19156</Characters>
  <Application>Microsoft Office Word</Application>
  <DocSecurity>0</DocSecurity>
  <Lines>304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DIGIT/C6</cp:lastModifiedBy>
  <cp:revision>28</cp:revision>
  <cp:lastPrinted>2019-04-03T09:01:00Z</cp:lastPrinted>
  <dcterms:created xsi:type="dcterms:W3CDTF">2019-04-09T09:40:00Z</dcterms:created>
  <dcterms:modified xsi:type="dcterms:W3CDTF">2019-05-06T15:01:00Z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6.0.1, Build 20180503</vt:lpwstr>
  </property>
</Properties>
</file>