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87333A7B-6022-4EDF-A994-05858BDD9F0A" style="width:450.8pt;height:293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spacing w:after="60" w:line="240" w:lineRule="auto"/>
        <w:jc w:val="center"/>
        <w:rPr>
          <w:rFonts w:ascii="Times New Roman Bold" w:eastAsia="Calibri" w:hAnsi="Times New Roman Bold" w:cs="Times New Roman"/>
          <w:b/>
          <w:smallCaps/>
          <w:noProof/>
          <w:sz w:val="24"/>
          <w:szCs w:val="24"/>
        </w:rPr>
      </w:pPr>
      <w:bookmarkStart w:id="1" w:name="_GoBack"/>
      <w:bookmarkEnd w:id="1"/>
      <w:r>
        <w:rPr>
          <w:rFonts w:ascii="Times New Roman Bold" w:hAnsi="Times New Roman Bold"/>
          <w:b/>
          <w:smallCaps/>
          <w:noProof/>
          <w:sz w:val="24"/>
        </w:rPr>
        <w:lastRenderedPageBreak/>
        <w:t>SPOLEČNÁ ZPRÁVA EVROPSKÉMU PARLAMENTU A RADĚ</w:t>
      </w:r>
    </w:p>
    <w:p>
      <w:pPr>
        <w:spacing w:after="60" w:line="240" w:lineRule="auto"/>
        <w:jc w:val="center"/>
        <w:rPr>
          <w:rFonts w:ascii="Times New Roman Bold" w:eastAsia="Calibri" w:hAnsi="Times New Roman Bold" w:cs="Times New Roman"/>
          <w:b/>
          <w:smallCaps/>
          <w:noProof/>
          <w:sz w:val="24"/>
          <w:szCs w:val="24"/>
        </w:rPr>
      </w:pPr>
      <w:r>
        <w:rPr>
          <w:rFonts w:ascii="Times New Roman Bold" w:hAnsi="Times New Roman Bold"/>
          <w:b/>
          <w:smallCaps/>
          <w:noProof/>
          <w:sz w:val="24"/>
        </w:rPr>
        <w:t>Zvláštní administrativní oblast Macao: Výroční zpráva za rok 2018</w:t>
      </w:r>
    </w:p>
    <w:p>
      <w:pPr>
        <w:keepNext/>
        <w:tabs>
          <w:tab w:val="left" w:pos="850"/>
        </w:tabs>
        <w:spacing w:before="360" w:after="120" w:line="240" w:lineRule="auto"/>
        <w:ind w:left="850" w:hanging="850"/>
        <w:jc w:val="both"/>
        <w:outlineLvl w:val="0"/>
        <w:rPr>
          <w:rFonts w:ascii="Times New Roman" w:eastAsia="Times New Roman" w:hAnsi="Times New Roman" w:cs="Times New Roman"/>
          <w:b/>
          <w:smallCaps/>
          <w:noProof/>
          <w:sz w:val="24"/>
          <w:szCs w:val="24"/>
        </w:rPr>
      </w:pPr>
    </w:p>
    <w:p>
      <w:pPr>
        <w:spacing w:after="240"/>
        <w:jc w:val="both"/>
        <w:rPr>
          <w:rFonts w:ascii="Times New Roman" w:eastAsia="Calibri" w:hAnsi="Times New Roman" w:cs="Times New Roman"/>
          <w:b/>
          <w:noProof/>
          <w:sz w:val="24"/>
          <w:szCs w:val="24"/>
        </w:rPr>
      </w:pPr>
      <w:r>
        <w:rPr>
          <w:rFonts w:ascii="Times New Roman" w:hAnsi="Times New Roman"/>
          <w:b/>
          <w:noProof/>
          <w:sz w:val="24"/>
        </w:rPr>
        <w:t>Shrnutí</w:t>
      </w:r>
    </w:p>
    <w:p>
      <w:pPr>
        <w:spacing w:after="240" w:line="240" w:lineRule="auto"/>
        <w:jc w:val="both"/>
        <w:rPr>
          <w:rFonts w:ascii="Times New Roman" w:eastAsia="Calibri" w:hAnsi="Times New Roman" w:cs="Times New Roman"/>
          <w:noProof/>
          <w:sz w:val="24"/>
          <w:szCs w:val="24"/>
        </w:rPr>
      </w:pPr>
      <w:r>
        <w:rPr>
          <w:rFonts w:ascii="Times New Roman" w:hAnsi="Times New Roman"/>
          <w:noProof/>
          <w:sz w:val="24"/>
        </w:rPr>
        <w:t>Od předání Macaa Čínské lidové republice v roce 1999 Evropská unie a její členské státy pozorně sledují politický a ekonomický vývoj ve Zvláštní administrativní oblasti (ZAO) Macao, která se řídí zásadou „jedna země, dva systémy“. Evropská unie uznává politiku „jedné Číny“ a podporuje zásadu „jedna země, dva systémy“ a její uplatňování.</w:t>
      </w:r>
    </w:p>
    <w:p>
      <w:pPr>
        <w:spacing w:after="240" w:line="240" w:lineRule="auto"/>
        <w:jc w:val="both"/>
        <w:rPr>
          <w:rFonts w:ascii="Times New Roman" w:eastAsia="Calibri" w:hAnsi="Times New Roman" w:cs="Times New Roman"/>
          <w:noProof/>
          <w:sz w:val="24"/>
          <w:szCs w:val="24"/>
        </w:rPr>
      </w:pPr>
      <w:r>
        <w:rPr>
          <w:rFonts w:ascii="Times New Roman" w:hAnsi="Times New Roman"/>
          <w:noProof/>
          <w:sz w:val="24"/>
        </w:rPr>
        <w:t>Tato výroční zpráva o vývoji v Macau je vydána v souladu se závazkem, který byl dán Evropskému parlamentu v roce 1997.</w:t>
      </w:r>
    </w:p>
    <w:p>
      <w:pPr>
        <w:spacing w:after="240" w:line="240" w:lineRule="auto"/>
        <w:jc w:val="both"/>
        <w:rPr>
          <w:rFonts w:ascii="Times New Roman" w:eastAsia="Calibri" w:hAnsi="Times New Roman" w:cs="Times New Roman"/>
          <w:noProof/>
          <w:sz w:val="24"/>
          <w:szCs w:val="24"/>
        </w:rPr>
      </w:pPr>
      <w:r>
        <w:rPr>
          <w:rFonts w:ascii="Times New Roman" w:hAnsi="Times New Roman"/>
          <w:noProof/>
          <w:sz w:val="24"/>
        </w:rPr>
        <w:t xml:space="preserve">Zásada „jedna země, dva systémy“ se v Macau nadále uplatňovala i v roce 2018 a těžila z ní nejen tato ZAO, ale i celá Čína a mezinárodní společenství. </w:t>
      </w:r>
    </w:p>
    <w:p>
      <w:pPr>
        <w:spacing w:after="240" w:line="240" w:lineRule="auto"/>
        <w:jc w:val="both"/>
        <w:rPr>
          <w:rFonts w:ascii="Times New Roman" w:eastAsia="Calibri" w:hAnsi="Times New Roman" w:cs="Times New Roman"/>
          <w:noProof/>
          <w:sz w:val="24"/>
          <w:szCs w:val="24"/>
        </w:rPr>
      </w:pPr>
      <w:r>
        <w:rPr>
          <w:rFonts w:ascii="Times New Roman" w:hAnsi="Times New Roman"/>
          <w:noProof/>
          <w:sz w:val="24"/>
        </w:rPr>
        <w:t>Zásady právního státu a nezávislost soudnictví jsou dodržovány, jak je vidět v případě soudních řízení proti opozičnímu zákonodárci Sulu Sou. Obecně jsou respektována také práva a základní svobody.</w:t>
      </w:r>
    </w:p>
    <w:p>
      <w:pPr>
        <w:spacing w:after="240" w:line="240" w:lineRule="auto"/>
        <w:jc w:val="both"/>
        <w:rPr>
          <w:rFonts w:ascii="Times New Roman" w:eastAsia="Calibri" w:hAnsi="Times New Roman" w:cs="Times New Roman"/>
          <w:noProof/>
          <w:sz w:val="24"/>
          <w:szCs w:val="24"/>
        </w:rPr>
      </w:pPr>
      <w:r>
        <w:rPr>
          <w:rFonts w:ascii="Times New Roman" w:hAnsi="Times New Roman"/>
          <w:noProof/>
          <w:sz w:val="24"/>
        </w:rPr>
        <w:t>I když jsou občanské svobody chráněny macajským základním zákonem, politická opozice je slabá a občanská společnost se příliš neprojevuje. Macajský základní zákon ani jiné legislativní akty nestanoví možnost zavedení všeobecného volebního práva. Evropská unie přesto vybízí macajské orgány, aby vytvořily podmínky pro větší zapojení veřejnosti do volby předsedy vlády a zákonodárného shromáždění této Zvláštní administrativní oblasti. Tím by se zvýšila jejich legitimita, vzrostla by podpora ze strany veřejnosti a posílila by se správa věcí veřejných.</w:t>
      </w:r>
    </w:p>
    <w:p>
      <w:pPr>
        <w:spacing w:after="240" w:line="240" w:lineRule="auto"/>
        <w:jc w:val="both"/>
        <w:rPr>
          <w:rFonts w:ascii="Times New Roman" w:eastAsia="Calibri" w:hAnsi="Times New Roman" w:cs="Times New Roman"/>
          <w:noProof/>
          <w:sz w:val="24"/>
          <w:szCs w:val="24"/>
        </w:rPr>
      </w:pPr>
      <w:r>
        <w:rPr>
          <w:rFonts w:ascii="Times New Roman" w:hAnsi="Times New Roman"/>
          <w:noProof/>
          <w:sz w:val="24"/>
        </w:rPr>
        <w:t>V roce 2018 obdrželo Macao během všeobecného pravidelného přezkumu týkajícího se Číny, jež se uskutečnil v listopadu v Ženevě, dvě doporučení: jedno se týká ochrany migrujících pracovníků a druhé diskriminace osob LGBTI. Problematickou záležitostí zůstává obchodování s lidmi.</w:t>
      </w:r>
    </w:p>
    <w:p>
      <w:pPr>
        <w:spacing w:after="240" w:line="240" w:lineRule="auto"/>
        <w:jc w:val="both"/>
        <w:rPr>
          <w:rFonts w:ascii="Times New Roman" w:eastAsia="Calibri" w:hAnsi="Times New Roman" w:cs="Times New Roman"/>
          <w:noProof/>
          <w:sz w:val="24"/>
          <w:szCs w:val="24"/>
        </w:rPr>
      </w:pPr>
      <w:r>
        <w:rPr>
          <w:rFonts w:ascii="Times New Roman" w:hAnsi="Times New Roman"/>
          <w:noProof/>
          <w:sz w:val="24"/>
        </w:rPr>
        <w:t>V roce 2018 macajské orgány přijaly nebo</w:t>
      </w:r>
      <w:r>
        <w:rPr>
          <w:rFonts w:ascii="Calibri" w:hAnsi="Calibri"/>
          <w:noProof/>
        </w:rPr>
        <w:t xml:space="preserve"> </w:t>
      </w:r>
      <w:r>
        <w:rPr>
          <w:rFonts w:ascii="Times New Roman" w:hAnsi="Times New Roman"/>
          <w:noProof/>
          <w:sz w:val="24"/>
        </w:rPr>
        <w:t xml:space="preserve">oznámily několik iniciativ na posílení národní bezpečnosti, což politiku ZAO přiblížilo názorům na pevnině: </w:t>
      </w:r>
      <w:r>
        <w:rPr>
          <w:rFonts w:ascii="Times New Roman" w:hAnsi="Times New Roman"/>
          <w:noProof/>
          <w:color w:val="000000"/>
          <w:sz w:val="24"/>
        </w:rPr>
        <w:t xml:space="preserve">zákonodárné shromáždění </w:t>
      </w:r>
      <w:r>
        <w:rPr>
          <w:rFonts w:ascii="Times New Roman" w:hAnsi="Times New Roman"/>
          <w:noProof/>
          <w:sz w:val="24"/>
        </w:rPr>
        <w:t>schválilo změnu, která brání zahraničním soudcům v rozhodování o otázkách národní bezpečnosti, byl přijat zákon o národní hymně a oznámeny plány na změnu vnitrostátních právních předpisů v oblasti bezpečnosti.</w:t>
      </w:r>
    </w:p>
    <w:p>
      <w:pPr>
        <w:spacing w:after="240" w:line="240" w:lineRule="auto"/>
        <w:jc w:val="both"/>
        <w:rPr>
          <w:rFonts w:ascii="Times New Roman" w:eastAsia="Calibri" w:hAnsi="Times New Roman" w:cs="Times New Roman"/>
          <w:noProof/>
          <w:sz w:val="24"/>
          <w:szCs w:val="24"/>
        </w:rPr>
      </w:pPr>
      <w:r>
        <w:rPr>
          <w:rFonts w:ascii="Times New Roman" w:hAnsi="Times New Roman"/>
          <w:noProof/>
          <w:sz w:val="24"/>
        </w:rPr>
        <w:t>Macajské sdělovací prostředky navzdory obavám ze vzrůstající autocenzury stále vyjadřovaly širokou škálu názorů.</w:t>
      </w:r>
    </w:p>
    <w:p>
      <w:pPr>
        <w:spacing w:after="240" w:line="240" w:lineRule="auto"/>
        <w:jc w:val="both"/>
        <w:rPr>
          <w:rFonts w:ascii="Times New Roman" w:eastAsia="Calibri" w:hAnsi="Times New Roman" w:cs="Times New Roman"/>
          <w:noProof/>
          <w:sz w:val="24"/>
          <w:szCs w:val="24"/>
        </w:rPr>
      </w:pPr>
      <w:r>
        <w:rPr>
          <w:rFonts w:ascii="Times New Roman" w:hAnsi="Times New Roman"/>
          <w:noProof/>
          <w:sz w:val="24"/>
        </w:rPr>
        <w:t>Macajské ekonomice se v roce 2018 dařilo dobře: vykazovala značný růst, stimulovaný odvětvími hazardních her a cestovního ruchu, velmi nízkou nezaměstnanost a zdravou fiskální pozici. Nicméně cíl diverzifikace hospodářství, k němuž se vláda zavázala, ani zdaleka není splněn. Pouze 6,8 % příjmů kasin v Macau pochází z jiných zdrojů než z hazardních her.</w:t>
      </w:r>
    </w:p>
    <w:p>
      <w:pPr>
        <w:spacing w:after="240" w:line="240" w:lineRule="auto"/>
        <w:jc w:val="both"/>
        <w:rPr>
          <w:rFonts w:ascii="Times New Roman" w:eastAsia="Calibri" w:hAnsi="Times New Roman" w:cs="Times New Roman"/>
          <w:noProof/>
          <w:color w:val="000000"/>
          <w:sz w:val="24"/>
          <w:szCs w:val="24"/>
        </w:rPr>
      </w:pPr>
      <w:r>
        <w:rPr>
          <w:rFonts w:ascii="Times New Roman" w:hAnsi="Times New Roman"/>
          <w:noProof/>
          <w:color w:val="000000"/>
          <w:sz w:val="24"/>
        </w:rPr>
        <w:t>V říjnu 2018 byl otevřen a veřejnosti zpřístupněn most mezi Hongkongem, Ču-chajem a Macaem. Tento významný projekt infrastruktury spojuje město Ču-chaj s Hongkongem a Macaem a jeho délka, která se táhne jak nad mořem, tak pod ním, činí 42 kilometrů (55 km i s přístupovými silnicemi). Tento most umožňuje lepší spojení mezi městy v „širším okolí zálivu“ (</w:t>
      </w:r>
      <w:r>
        <w:rPr>
          <w:rFonts w:ascii="Times New Roman" w:hAnsi="Times New Roman"/>
          <w:i/>
          <w:noProof/>
          <w:color w:val="000000"/>
          <w:sz w:val="24"/>
        </w:rPr>
        <w:t>Greater Bay Area</w:t>
      </w:r>
      <w:r>
        <w:rPr>
          <w:rFonts w:ascii="Times New Roman" w:hAnsi="Times New Roman"/>
          <w:noProof/>
          <w:color w:val="000000"/>
          <w:sz w:val="24"/>
        </w:rPr>
        <w:t>), přispívá k větší integraci s pevninou a současně s sebou nese nové příležitosti a výzvy.</w:t>
      </w:r>
    </w:p>
    <w:p>
      <w:pPr>
        <w:spacing w:after="240" w:line="240" w:lineRule="auto"/>
        <w:jc w:val="both"/>
        <w:rPr>
          <w:rFonts w:ascii="Times New Roman" w:eastAsia="Calibri" w:hAnsi="Times New Roman" w:cs="Times New Roman"/>
          <w:noProof/>
          <w:sz w:val="24"/>
          <w:szCs w:val="24"/>
        </w:rPr>
      </w:pPr>
      <w:r>
        <w:rPr>
          <w:rFonts w:ascii="Times New Roman" w:hAnsi="Times New Roman"/>
          <w:noProof/>
          <w:sz w:val="24"/>
        </w:rPr>
        <w:t>Obchodní vztahy mezi Evropskou unií a Macaem byly i nadále pevné a spolupráce probíhala na dobré úrovni.</w:t>
      </w:r>
    </w:p>
    <w:p>
      <w:pPr>
        <w:spacing w:after="240" w:line="240" w:lineRule="auto"/>
        <w:jc w:val="both"/>
        <w:rPr>
          <w:rFonts w:ascii="Times New Roman" w:eastAsia="Times New Roman" w:hAnsi="Times New Roman" w:cs="Times New Roman"/>
          <w:b/>
          <w:noProof/>
          <w:sz w:val="24"/>
          <w:szCs w:val="24"/>
        </w:rPr>
      </w:pPr>
      <w:r>
        <w:rPr>
          <w:rFonts w:ascii="Times New Roman" w:hAnsi="Times New Roman"/>
          <w:b/>
          <w:noProof/>
          <w:sz w:val="24"/>
        </w:rPr>
        <w:t>Politický vývoj</w:t>
      </w:r>
    </w:p>
    <w:p>
      <w:pPr>
        <w:spacing w:after="240" w:line="240" w:lineRule="auto"/>
        <w:jc w:val="both"/>
        <w:rPr>
          <w:rFonts w:ascii="Times New Roman" w:eastAsia="Calibri" w:hAnsi="Times New Roman" w:cs="Times New Roman"/>
          <w:noProof/>
          <w:sz w:val="24"/>
          <w:szCs w:val="24"/>
        </w:rPr>
      </w:pPr>
      <w:r>
        <w:rPr>
          <w:rFonts w:ascii="Times New Roman" w:hAnsi="Times New Roman"/>
          <w:noProof/>
          <w:sz w:val="24"/>
        </w:rPr>
        <w:t>V květnu 2018 byl za protestní účast na nezákonném shromáždění v roce 2016 odsouzen prodemokratický opoziční zákonodárce Sulu Sou. Od prosince 2017 byl postaven mimo službu v zákonodárném shromáždění. Státní zástupce pro Sulu Sou a Scotta Chianga, spřízněného aktivistu proti establishmentu, požadoval trest odnětí svobody za zvláště závažnou neposlušnost, ale soud rozhodl, že odnětí svobody není opodstatněné, jelikož šlo o nenásilný a krátký protest. V případě, že by byl Soulu Sou odsouzen k trestu odnětí svobody na více než 30 dnů, byl by vyloučen ze zákonodárného shromáždění, což by ještě více oslabilo již tak mírnou opozici. Sulu Sou se mohl po vydání rozhodnutí soudu znovu ujmout svých povinností jako zákonodárce. Návrhy státního zástupce byly kritizovány jako politicky motivované; rozhodnutí soudu je nicméně vyjádřením nezávislosti soudnictví.</w:t>
      </w:r>
    </w:p>
    <w:p>
      <w:pPr>
        <w:spacing w:after="240" w:line="240" w:lineRule="auto"/>
        <w:jc w:val="both"/>
        <w:rPr>
          <w:rFonts w:ascii="Times New Roman" w:eastAsia="Calibri" w:hAnsi="Times New Roman" w:cs="Times New Roman"/>
          <w:noProof/>
          <w:sz w:val="24"/>
          <w:szCs w:val="24"/>
        </w:rPr>
      </w:pPr>
      <w:r>
        <w:rPr>
          <w:rFonts w:ascii="Times New Roman" w:hAnsi="Times New Roman"/>
          <w:noProof/>
          <w:sz w:val="24"/>
        </w:rPr>
        <w:t>V březnu vláda oznámila záměr změnit svůj zákon o národní bezpečnosti, aby „jej uvedla do souladu s moderní společností“. Mezi záležitostmi, které vyžadují naléhavé změny, byly uvedeny postupy pro sběr důkazů v trestním vyšetřování a zvláštní pravidla pro donucovací opatření v oblasti sběru důkazů.</w:t>
      </w:r>
    </w:p>
    <w:p>
      <w:pPr>
        <w:spacing w:after="240" w:line="240" w:lineRule="auto"/>
        <w:jc w:val="both"/>
        <w:rPr>
          <w:rFonts w:ascii="Times New Roman" w:eastAsia="Calibri" w:hAnsi="Times New Roman" w:cs="Times New Roman"/>
          <w:noProof/>
          <w:sz w:val="24"/>
          <w:szCs w:val="24"/>
        </w:rPr>
      </w:pPr>
      <w:r>
        <w:rPr>
          <w:rFonts w:ascii="Times New Roman" w:hAnsi="Times New Roman"/>
          <w:noProof/>
          <w:color w:val="000000"/>
          <w:sz w:val="24"/>
        </w:rPr>
        <w:t xml:space="preserve">Dne 3. července zákonodárné shromáždění </w:t>
      </w:r>
      <w:r>
        <w:rPr>
          <w:rFonts w:ascii="Times New Roman" w:hAnsi="Times New Roman"/>
          <w:noProof/>
          <w:sz w:val="24"/>
        </w:rPr>
        <w:t xml:space="preserve">schválilo změnu, která brání zahraničním soudcům v rozhodování o otázkách národní bezpečnosti. Definice národní bezpečnosti je široká a v mnoha případech ji tedy lze použít k vyloučení zahraničních soudců. Úřady uvedly, že změna byla nezbytná na ochranu základních zájmů státu. Toto rozhodnutí bylo významným krokem zpět od stávajícího smíšeného právního systému, který Macau umožňuje využít odborných znalostí zahraničních soudců. Podle oficiálních údajů má 10 z 49 soudců v Macau cizí státní občanství, většinou portugalské. </w:t>
      </w:r>
    </w:p>
    <w:p>
      <w:pPr>
        <w:spacing w:after="240" w:line="240" w:lineRule="auto"/>
        <w:jc w:val="both"/>
        <w:rPr>
          <w:rFonts w:ascii="Times New Roman" w:eastAsia="Calibri" w:hAnsi="Times New Roman" w:cs="Times New Roman"/>
          <w:noProof/>
          <w:sz w:val="24"/>
          <w:szCs w:val="24"/>
        </w:rPr>
      </w:pPr>
      <w:r>
        <w:rPr>
          <w:rFonts w:ascii="Times New Roman" w:hAnsi="Times New Roman"/>
          <w:noProof/>
          <w:sz w:val="24"/>
        </w:rPr>
        <w:t>Právní poradci – veteráni – portugalského původu byli vyloučení ze zákonodárného shromáždění v srpnu 2018. Měli dočasné smlouvy, nicméně toto náhlé rozhodnutí vzbudilo znepokojení občanské společnosti, pokud jde o sílící snahy o upozadění portugalské/zahraniční odbornosti ve prospěch čínské odbornosti.</w:t>
      </w:r>
    </w:p>
    <w:p>
      <w:pPr>
        <w:spacing w:after="240" w:line="240" w:lineRule="auto"/>
        <w:jc w:val="both"/>
        <w:rPr>
          <w:rFonts w:ascii="Times New Roman" w:eastAsia="Calibri" w:hAnsi="Times New Roman" w:cs="Times New Roman"/>
          <w:noProof/>
          <w:color w:val="000000"/>
          <w:sz w:val="24"/>
          <w:szCs w:val="24"/>
        </w:rPr>
      </w:pPr>
      <w:r>
        <w:rPr>
          <w:rFonts w:ascii="Times New Roman" w:hAnsi="Times New Roman"/>
          <w:noProof/>
          <w:sz w:val="24"/>
        </w:rPr>
        <w:t>Dne 14. srpna přijalo Macao zákon o národní hymně, který stanoví pokutu pro jednotlivce, kteří vůči hymně vyjadřují neúctu. Zákon rovněž zahrnuje výuku o historii hymny ve školních osnovách.</w:t>
      </w:r>
    </w:p>
    <w:p>
      <w:pPr>
        <w:spacing w:after="240" w:line="240" w:lineRule="auto"/>
        <w:jc w:val="both"/>
        <w:rPr>
          <w:rFonts w:ascii="Times New Roman" w:eastAsia="Calibri" w:hAnsi="Times New Roman" w:cs="Times New Roman"/>
          <w:noProof/>
          <w:sz w:val="24"/>
          <w:szCs w:val="24"/>
        </w:rPr>
      </w:pPr>
      <w:r>
        <w:rPr>
          <w:rFonts w:ascii="Times New Roman" w:hAnsi="Times New Roman"/>
          <w:noProof/>
          <w:sz w:val="24"/>
        </w:rPr>
        <w:t>V březnu 2018 organizátoři macajského literárního festivalu zrušili účast spisovatelů Junga Changa, Sukiho Kima a Jamese Churche poté, co byli neformálně informováni o tom, že těmto spisovatelům nelze zaručit vstup do Macaa. PEN Hong Kong</w:t>
      </w:r>
      <w:r>
        <w:rPr>
          <w:rFonts w:ascii="Times New Roman" w:hAnsi="Times New Roman"/>
          <w:noProof/>
          <w:sz w:val="24"/>
          <w:vertAlign w:val="superscript"/>
        </w:rPr>
        <w:footnoteReference w:id="1"/>
      </w:r>
      <w:r>
        <w:rPr>
          <w:rFonts w:ascii="Times New Roman" w:hAnsi="Times New Roman"/>
          <w:noProof/>
          <w:sz w:val="24"/>
        </w:rPr>
        <w:t xml:space="preserve"> vydal prohlášení, v němž vyjádřil pohoršení nad tímto „cenzurujícím a autoritativním krokem“. Tento incident je třeba vnímat v kontextu řady zákazů vstupu do Macaa adresovaných zahraničním novinářům a politickým aktivistům v roce 2017. Jako důvod odepření vstupu byla uváděna národní bezpečnost. Přestože imigrační orgány mají pravomoc odepřít vstup na území ZAO, nedostatečná transparentnost v těchto případech naznačuje znepokojivý trend směrem k politické cenzuře.</w:t>
      </w:r>
    </w:p>
    <w:p>
      <w:pPr>
        <w:spacing w:after="240" w:line="240" w:lineRule="auto"/>
        <w:jc w:val="both"/>
        <w:rPr>
          <w:rFonts w:ascii="Times New Roman" w:eastAsia="Times New Roman" w:hAnsi="Times New Roman" w:cs="Times New Roman"/>
          <w:b/>
          <w:noProof/>
          <w:sz w:val="24"/>
          <w:szCs w:val="24"/>
        </w:rPr>
      </w:pPr>
      <w:r>
        <w:rPr>
          <w:rFonts w:ascii="Times New Roman" w:hAnsi="Times New Roman"/>
          <w:b/>
          <w:noProof/>
          <w:sz w:val="24"/>
        </w:rPr>
        <w:t>Rovné příležitosti, práva a svobody</w:t>
      </w:r>
    </w:p>
    <w:p>
      <w:pPr>
        <w:spacing w:after="240" w:line="240" w:lineRule="auto"/>
        <w:jc w:val="both"/>
        <w:rPr>
          <w:rFonts w:ascii="Times New Roman" w:eastAsia="Calibri" w:hAnsi="Times New Roman" w:cs="Times New Roman"/>
          <w:noProof/>
          <w:sz w:val="24"/>
          <w:szCs w:val="24"/>
        </w:rPr>
      </w:pPr>
      <w:r>
        <w:rPr>
          <w:rFonts w:ascii="Times New Roman" w:hAnsi="Times New Roman"/>
          <w:noProof/>
          <w:sz w:val="24"/>
        </w:rPr>
        <w:t>Práva a základní svobody lidu Macaa byly i nadále obecně dodržovány a právní stát byl potvrzen v zásadě „jedna země, dva systémy“, která je zakotvená v základním zákoně Macaa.</w:t>
      </w:r>
    </w:p>
    <w:p>
      <w:pPr>
        <w:spacing w:after="240" w:line="240" w:lineRule="auto"/>
        <w:jc w:val="both"/>
        <w:rPr>
          <w:rFonts w:ascii="Calibri" w:eastAsia="Calibri" w:hAnsi="Calibri" w:cs="Times New Roman"/>
          <w:noProof/>
        </w:rPr>
      </w:pPr>
      <w:r>
        <w:rPr>
          <w:rFonts w:ascii="Times New Roman" w:hAnsi="Times New Roman"/>
          <w:noProof/>
          <w:color w:val="000000"/>
          <w:sz w:val="24"/>
        </w:rPr>
        <w:t>Macao nemá zavedený nezávislý orgán pro lidská práva,</w:t>
      </w:r>
      <w:r>
        <w:rPr>
          <w:rFonts w:ascii="Times New Roman" w:hAnsi="Times New Roman"/>
          <w:noProof/>
          <w:sz w:val="24"/>
        </w:rPr>
        <w:t xml:space="preserve"> přestože</w:t>
      </w:r>
      <w:r>
        <w:rPr>
          <w:rFonts w:ascii="Times New Roman" w:hAnsi="Times New Roman"/>
          <w:noProof/>
          <w:color w:val="000000"/>
          <w:sz w:val="24"/>
        </w:rPr>
        <w:t xml:space="preserve"> Výbor OSN proti mučení vydal v prosinci 2015 doporučení tento orgán zřídit.</w:t>
      </w:r>
    </w:p>
    <w:p>
      <w:pPr>
        <w:spacing w:after="240" w:line="240" w:lineRule="auto"/>
        <w:jc w:val="both"/>
        <w:rPr>
          <w:rFonts w:ascii="Times New Roman" w:eastAsia="Calibri" w:hAnsi="Times New Roman" w:cs="Times New Roman"/>
          <w:noProof/>
          <w:color w:val="000000"/>
          <w:sz w:val="24"/>
          <w:szCs w:val="24"/>
        </w:rPr>
      </w:pPr>
      <w:r>
        <w:rPr>
          <w:rFonts w:ascii="Times New Roman" w:hAnsi="Times New Roman"/>
          <w:b/>
          <w:noProof/>
          <w:color w:val="000000"/>
          <w:sz w:val="24"/>
        </w:rPr>
        <w:t>Všeobecný pravidelný přezkum</w:t>
      </w:r>
      <w:r>
        <w:rPr>
          <w:rFonts w:ascii="Times New Roman" w:hAnsi="Times New Roman"/>
          <w:noProof/>
          <w:color w:val="000000"/>
          <w:sz w:val="24"/>
        </w:rPr>
        <w:t xml:space="preserve"> Číny z listopadu 2018 obsahoval kapitolu o Macau. Dvě země, z nichž jedna je členským státem EU, vydaly doporučení pro Macao: jedna požadovala ratifikaci Mezinárodní úmluvy o ochraně práv všech migrujících pracovníků a členů jejich rodin, druhá zavedení právních předpisů na ochranu proti diskriminaci všech marginalizovaných skupin, včetně osob LGBTI.</w:t>
      </w:r>
    </w:p>
    <w:p>
      <w:pPr>
        <w:spacing w:after="240" w:line="240" w:lineRule="auto"/>
        <w:jc w:val="both"/>
        <w:rPr>
          <w:rFonts w:ascii="Times New Roman" w:eastAsia="Calibri" w:hAnsi="Times New Roman" w:cs="Times New Roman"/>
          <w:noProof/>
          <w:sz w:val="24"/>
          <w:szCs w:val="24"/>
        </w:rPr>
      </w:pPr>
      <w:r>
        <w:rPr>
          <w:rFonts w:ascii="Times New Roman" w:hAnsi="Times New Roman"/>
          <w:noProof/>
          <w:sz w:val="24"/>
        </w:rPr>
        <w:t>V předchozích zprávách EU rovněž vyjádřila obavy z diskriminace na základě sexuální orientace a genderové identity. Tyto obavy jsou zvlášť silné v oblasti zaměstnání, vzdělávání a zdravotní péče. Vztahy mezi osobami stejného pohlaví doposud nebyly zahrnuty do zákona, který kvalifikuje domácí násilí jako trestný čin. Výbor OSN pro hospodářská, sociální a kulturní práva také vyzval Macao, aby přijalo komplexní právní úpravu pro boj proti diskriminaci.</w:t>
      </w:r>
    </w:p>
    <w:p>
      <w:pPr>
        <w:spacing w:after="240" w:line="240" w:lineRule="auto"/>
        <w:jc w:val="both"/>
        <w:rPr>
          <w:rFonts w:ascii="Times New Roman" w:eastAsia="Calibri" w:hAnsi="Times New Roman" w:cs="Times New Roman"/>
          <w:noProof/>
          <w:sz w:val="24"/>
          <w:szCs w:val="24"/>
        </w:rPr>
      </w:pPr>
      <w:r>
        <w:rPr>
          <w:rFonts w:ascii="Times New Roman" w:hAnsi="Times New Roman"/>
          <w:b/>
          <w:noProof/>
          <w:sz w:val="24"/>
        </w:rPr>
        <w:t>Svoboda tisku</w:t>
      </w:r>
      <w:r>
        <w:rPr>
          <w:rFonts w:ascii="Times New Roman" w:hAnsi="Times New Roman"/>
          <w:noProof/>
          <w:sz w:val="24"/>
        </w:rPr>
        <w:t xml:space="preserve"> je dodržována. Zdá se ale, že zejména ve sdělovacích prostředcích v čínském jazyce a při podávání zpráv o čínských záležitostech existuje určitá míra autocenzury. Nevládní organizace a aktivisté z řad novinářů na autocenzuru dále poukazují. Další překážkou svobody tisku je obtížný přístup ke zdrojům a získávání úplných informací od úřadů.</w:t>
      </w:r>
    </w:p>
    <w:p>
      <w:pPr>
        <w:spacing w:after="240" w:line="240" w:lineRule="auto"/>
        <w:jc w:val="both"/>
        <w:rPr>
          <w:rFonts w:ascii="Times New Roman" w:eastAsia="PMingLiU" w:hAnsi="Times New Roman" w:cs="Times New Roman"/>
          <w:noProof/>
          <w:sz w:val="24"/>
          <w:szCs w:val="24"/>
        </w:rPr>
      </w:pPr>
      <w:r>
        <w:rPr>
          <w:rFonts w:ascii="Times New Roman" w:hAnsi="Times New Roman"/>
          <w:b/>
          <w:noProof/>
          <w:sz w:val="24"/>
        </w:rPr>
        <w:t>Obchodování s lidmi</w:t>
      </w:r>
      <w:r>
        <w:rPr>
          <w:rFonts w:ascii="Times New Roman" w:hAnsi="Times New Roman"/>
          <w:noProof/>
          <w:sz w:val="24"/>
        </w:rPr>
        <w:t xml:space="preserve"> je i nadále v Macau problémem. Macao má zákon o boji proti obchodování s lidmi, je ho však třeba důrazněji prosazovat. Počet trestně stíhaných a odsouzených za obchodování s lidmi zůstává navzdory velkému množství stížností nízký. V roce 2018 vyslaly macajské orgány zástupce na sedmou ministerskou konferenci a zasedání vysokých úředníků, tzv. proces z Bali, čímž vyjádřili svou ochotu dále se zapojovat do mezinárodní spolupráce v boji proti obchodování s lidmi. Během výročního zasedání Smíšeného výboru EU-Macao v březnu se Macao zavázalo ke spolupráci s EU v oblasti boje proti obchodování s lidmi. Evropská unie je připravena obnovit výměnu a spolupráci s Macaem s cílem poskytnout Macau technické znalosti o osvědčených postupech pro řešení tohoto celosvětového problému.</w:t>
      </w:r>
    </w:p>
    <w:p>
      <w:pPr>
        <w:spacing w:before="100" w:beforeAutospacing="1" w:after="240" w:line="240" w:lineRule="auto"/>
        <w:jc w:val="both"/>
        <w:rPr>
          <w:rFonts w:ascii="Times New Roman" w:eastAsia="Calibri" w:hAnsi="Times New Roman" w:cs="Times New Roman"/>
          <w:noProof/>
          <w:sz w:val="24"/>
          <w:szCs w:val="24"/>
        </w:rPr>
      </w:pPr>
      <w:r>
        <w:rPr>
          <w:rFonts w:ascii="Times New Roman" w:hAnsi="Times New Roman"/>
          <w:noProof/>
          <w:color w:val="000000"/>
          <w:sz w:val="24"/>
        </w:rPr>
        <w:t xml:space="preserve">Macajští občané se dále těší </w:t>
      </w:r>
      <w:r>
        <w:rPr>
          <w:rFonts w:ascii="Times New Roman" w:hAnsi="Times New Roman"/>
          <w:b/>
          <w:noProof/>
          <w:color w:val="000000"/>
          <w:sz w:val="24"/>
        </w:rPr>
        <w:t>svobodě shromažďování</w:t>
      </w:r>
      <w:r>
        <w:rPr>
          <w:rFonts w:ascii="Times New Roman" w:hAnsi="Times New Roman"/>
          <w:noProof/>
          <w:color w:val="000000"/>
          <w:sz w:val="24"/>
        </w:rPr>
        <w:t xml:space="preserve">, jak prokazuje například tichá demonstrace na náměstí Nebeského klidu dne 4. června nebo prosazování pracovních práv. </w:t>
      </w:r>
      <w:r>
        <w:rPr>
          <w:rFonts w:ascii="Times New Roman" w:hAnsi="Times New Roman"/>
          <w:noProof/>
          <w:sz w:val="24"/>
        </w:rPr>
        <w:t>V září byl schválen nový zákon o demonstracích a shromažďování, podle něhož musí demonstranti demonstrace namísto u úřadu pro občanské a komunální záležitosti oznamovat na policii.</w:t>
      </w:r>
    </w:p>
    <w:p>
      <w:pPr>
        <w:spacing w:after="240" w:line="240" w:lineRule="auto"/>
        <w:jc w:val="both"/>
        <w:rPr>
          <w:rFonts w:ascii="Times New Roman" w:eastAsia="PMingLiU" w:hAnsi="Times New Roman" w:cs="Times New Roman"/>
          <w:noProof/>
          <w:sz w:val="24"/>
          <w:szCs w:val="24"/>
        </w:rPr>
      </w:pPr>
      <w:r>
        <w:rPr>
          <w:rFonts w:ascii="Times New Roman" w:hAnsi="Times New Roman"/>
          <w:b/>
          <w:noProof/>
          <w:kern w:val="2"/>
          <w:sz w:val="24"/>
        </w:rPr>
        <w:t>Svobodu sdružování a kolektivního vyjednávání</w:t>
      </w:r>
      <w:r>
        <w:rPr>
          <w:rFonts w:ascii="Times New Roman" w:hAnsi="Times New Roman"/>
          <w:noProof/>
          <w:kern w:val="2"/>
          <w:sz w:val="24"/>
        </w:rPr>
        <w:t>, jak je zakotvena v úmluvách Mezinárodní organizace práce (MOP), zatím Macao neprosazuje účinně. Evropská unie vybízí Macao, aby přijalo nezbytná opatření, která povedou k naplnění úmluv MOP. V Macau je minimální mzda stanovena jen pro pracovníky v oblasti úklidu a bezpečnosti. Vláda má v úmyslu zavést v roce 2019 minimální mzdu pro všechny pracovníky.</w:t>
      </w:r>
    </w:p>
    <w:p>
      <w:pPr>
        <w:spacing w:after="240" w:line="240" w:lineRule="auto"/>
        <w:jc w:val="both"/>
        <w:rPr>
          <w:rFonts w:ascii="Times New Roman" w:eastAsia="Calibri" w:hAnsi="Times New Roman" w:cs="Times New Roman"/>
          <w:noProof/>
          <w:sz w:val="24"/>
          <w:szCs w:val="24"/>
        </w:rPr>
      </w:pPr>
      <w:r>
        <w:rPr>
          <w:rFonts w:ascii="Times New Roman" w:hAnsi="Times New Roman"/>
          <w:noProof/>
          <w:sz w:val="24"/>
        </w:rPr>
        <w:t>Obavy vyvolává hospodářská a sociální nerovnost. Neexistuje oficiální míra chudoby. Vláda tvrdí, že v chudobě žije pouze 2,3 % macajského obyvatelstva, ale organizace občanské společnosti odhadují, že se tento podíl blíží 10 %. Výbor OSN pro odstranění rasové diskriminace v září uvedl, že potřeba snížení chudoby vzbuzuje znepokojení. Výbor důrazně vyzval vládu, aby přijala kroky k odstranění hospodářských rozdílů mezi etniky a aby poskytla statistické ukazatele o hospodářských, sociálních a kulturních právech a o účinnosti zavedených opatření.</w:t>
      </w:r>
    </w:p>
    <w:p>
      <w:pPr>
        <w:spacing w:after="240" w:line="240" w:lineRule="auto"/>
        <w:jc w:val="both"/>
        <w:rPr>
          <w:rFonts w:ascii="Times New Roman" w:eastAsia="Calibri" w:hAnsi="Times New Roman" w:cs="Times New Roman"/>
          <w:noProof/>
          <w:sz w:val="24"/>
          <w:szCs w:val="24"/>
        </w:rPr>
      </w:pPr>
      <w:r>
        <w:rPr>
          <w:rFonts w:ascii="Times New Roman" w:hAnsi="Times New Roman"/>
          <w:noProof/>
          <w:sz w:val="24"/>
        </w:rPr>
        <w:t>Macao pokračuje v boji</w:t>
      </w:r>
      <w:r>
        <w:rPr>
          <w:rFonts w:ascii="Times New Roman" w:hAnsi="Times New Roman"/>
          <w:b/>
          <w:noProof/>
          <w:sz w:val="24"/>
        </w:rPr>
        <w:t xml:space="preserve"> </w:t>
      </w:r>
      <w:r>
        <w:rPr>
          <w:rFonts w:ascii="Times New Roman" w:hAnsi="Times New Roman"/>
          <w:noProof/>
          <w:sz w:val="24"/>
        </w:rPr>
        <w:t>proti</w:t>
      </w:r>
      <w:r>
        <w:rPr>
          <w:rFonts w:ascii="Times New Roman" w:hAnsi="Times New Roman"/>
          <w:b/>
          <w:noProof/>
          <w:sz w:val="24"/>
        </w:rPr>
        <w:t xml:space="preserve"> korupci</w:t>
      </w:r>
      <w:bookmarkStart w:id="2" w:name="_Toc452459974"/>
      <w:r>
        <w:rPr>
          <w:rFonts w:ascii="Times New Roman" w:hAnsi="Times New Roman"/>
          <w:b/>
          <w:noProof/>
          <w:sz w:val="24"/>
        </w:rPr>
        <w:t xml:space="preserve"> </w:t>
      </w:r>
      <w:r>
        <w:rPr>
          <w:rFonts w:ascii="Times New Roman" w:hAnsi="Times New Roman"/>
          <w:noProof/>
          <w:sz w:val="24"/>
        </w:rPr>
        <w:t>a nevyhýbá se případům týkajícím se vysoce postavených osob. V roce 2018 byla zahájena vyšetřování předsedy macajského institutu pro podporu obchodu a investic a vedoucího penzijního fondu, což je dokladem odhodlání vlády uplatňovat nulovou toleranci vůči korupci státních zaměstnanců.</w:t>
      </w:r>
    </w:p>
    <w:bookmarkEnd w:id="2"/>
    <w:p>
      <w:pPr>
        <w:spacing w:after="240" w:line="240" w:lineRule="auto"/>
        <w:jc w:val="both"/>
        <w:rPr>
          <w:rFonts w:ascii="Times New Roman" w:eastAsia="Times New Roman" w:hAnsi="Times New Roman" w:cs="Times New Roman"/>
          <w:b/>
          <w:noProof/>
          <w:sz w:val="24"/>
          <w:szCs w:val="24"/>
        </w:rPr>
      </w:pPr>
      <w:r>
        <w:rPr>
          <w:rFonts w:ascii="Times New Roman" w:hAnsi="Times New Roman"/>
          <w:b/>
          <w:noProof/>
          <w:sz w:val="24"/>
        </w:rPr>
        <w:t>Hospodářský vývoj</w:t>
      </w:r>
    </w:p>
    <w:p>
      <w:pPr>
        <w:autoSpaceDE w:val="0"/>
        <w:autoSpaceDN w:val="0"/>
        <w:adjustRightInd w:val="0"/>
        <w:spacing w:after="24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Oproti 9,7 % v roce 2017 vzrostl macajský HDP v roce 2018 meziročně o </w:t>
      </w:r>
      <w:r>
        <w:rPr>
          <w:rFonts w:ascii="Times New Roman" w:hAnsi="Times New Roman"/>
          <w:noProof/>
          <w:sz w:val="24"/>
        </w:rPr>
        <w:t>4,7 %</w:t>
      </w:r>
      <w:r>
        <w:rPr>
          <w:rFonts w:ascii="Times New Roman" w:hAnsi="Times New Roman"/>
          <w:noProof/>
          <w:sz w:val="24"/>
          <w:vertAlign w:val="superscript"/>
        </w:rPr>
        <w:footnoteReference w:id="2"/>
      </w:r>
      <w:r>
        <w:rPr>
          <w:noProof/>
        </w:rPr>
        <w:t>.</w:t>
      </w:r>
      <w:r>
        <w:rPr>
          <w:rFonts w:ascii="Times New Roman" w:hAnsi="Times New Roman"/>
          <w:noProof/>
          <w:color w:val="000000" w:themeColor="text1"/>
          <w:sz w:val="24"/>
        </w:rPr>
        <w:t xml:space="preserve"> Intenzivní růst v roce 2017 přišel po významném propadu v předchozích letech, kdy odvětví hazardních her hluboce zasáhla protikorupční kampaň na pevninské Číně. V roce 2018 MMF zařadil Macao jako čtvrtou nejbohatší zemi na světě, pokud jde o HDP na obyvatele. </w:t>
      </w:r>
    </w:p>
    <w:p>
      <w:pPr>
        <w:autoSpaceDE w:val="0"/>
        <w:autoSpaceDN w:val="0"/>
        <w:adjustRightInd w:val="0"/>
        <w:spacing w:after="24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Vláda provádí dlouhodobou strategii pro diverzifikaci hospodářství, nicméně Macao je i nadále ve velké míře závislé na odvětví hazardních her a cestovního ruchu. Ekonomický růst v letech 2017 a 2018 zapříčinilo oživení herního průmyslu a setrvalý příliv turistů. V roce 2018 vstoupilo na jeho území 35,8 milionu návštěvníků, což je o 9,8 % více než v 2017. Příjmy z hazardních her vzrostly o 14 %, takže činily 303 miliardy MOP (přibližně 33 miliardy EUR).</w:t>
      </w:r>
    </w:p>
    <w:p>
      <w:pPr>
        <w:autoSpaceDE w:val="0"/>
        <w:autoSpaceDN w:val="0"/>
        <w:adjustRightInd w:val="0"/>
        <w:spacing w:after="24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Macao má plnou zaměstnanost a do značné míry závisí na zahraničních pracovnících a odbornících</w:t>
      </w:r>
      <w:r>
        <w:rPr>
          <w:rFonts w:ascii="Times New Roman" w:hAnsi="Times New Roman"/>
          <w:noProof/>
          <w:color w:val="000000" w:themeColor="text1"/>
          <w:sz w:val="24"/>
          <w:vertAlign w:val="superscript"/>
        </w:rPr>
        <w:footnoteReference w:id="3"/>
      </w:r>
      <w:r>
        <w:rPr>
          <w:rFonts w:ascii="Times New Roman" w:hAnsi="Times New Roman"/>
          <w:noProof/>
          <w:color w:val="000000" w:themeColor="text1"/>
          <w:sz w:val="24"/>
        </w:rPr>
        <w:t>. V posledních 7 letech (a to i během hospodářského útlumu v období 2014–2016) je míra nezaměstnanosti trvale nižší než 2 % a rok 2018 nebyl výjimkou. Inflace se zvýšila z 1,2 % v roce 2017 na 3,0 % v roce 2018.</w:t>
      </w:r>
    </w:p>
    <w:p>
      <w:pPr>
        <w:autoSpaceDE w:val="0"/>
        <w:autoSpaceDN w:val="0"/>
        <w:adjustRightInd w:val="0"/>
        <w:spacing w:after="240" w:line="240" w:lineRule="auto"/>
        <w:jc w:val="both"/>
        <w:rPr>
          <w:rFonts w:ascii="Times New Roman" w:hAnsi="Times New Roman" w:cs="Times New Roman"/>
          <w:noProof/>
          <w:color w:val="984806" w:themeColor="accent6" w:themeShade="80"/>
          <w:sz w:val="24"/>
          <w:szCs w:val="24"/>
        </w:rPr>
      </w:pPr>
      <w:r>
        <w:rPr>
          <w:rFonts w:ascii="Times New Roman" w:hAnsi="Times New Roman"/>
          <w:noProof/>
          <w:color w:val="000000" w:themeColor="text1"/>
          <w:sz w:val="24"/>
        </w:rPr>
        <w:t xml:space="preserve">Přestože jsou čísla o růstu za rok 2018 celkově dobrá, hospodářství během toho roku zpomalilo z </w:t>
      </w:r>
      <w:r>
        <w:rPr>
          <w:rFonts w:ascii="Times New Roman" w:hAnsi="Times New Roman"/>
          <w:noProof/>
          <w:sz w:val="24"/>
        </w:rPr>
        <w:t xml:space="preserve">7,6 % v jeho první polovině na 2,0 % v polovině druhé. </w:t>
      </w:r>
      <w:r>
        <w:rPr>
          <w:rFonts w:ascii="Times New Roman" w:hAnsi="Times New Roman"/>
          <w:noProof/>
          <w:color w:val="000000" w:themeColor="text1"/>
          <w:sz w:val="24"/>
        </w:rPr>
        <w:t>Zpomalení bylo způsobeno poklesem investic (zejména investic do stavebnictví) a zpomalením v růstu vývozu služeb (zejména vývozu her).</w:t>
      </w:r>
    </w:p>
    <w:p>
      <w:pPr>
        <w:autoSpaceDE w:val="0"/>
        <w:autoSpaceDN w:val="0"/>
        <w:adjustRightInd w:val="0"/>
        <w:spacing w:after="24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Dne 15. listopadu přednesl macajský předseda vlády Fernando Chui Sai On svůj poslední </w:t>
      </w:r>
      <w:r>
        <w:rPr>
          <w:rFonts w:ascii="Times New Roman" w:hAnsi="Times New Roman"/>
          <w:b/>
          <w:noProof/>
          <w:color w:val="000000" w:themeColor="text1"/>
          <w:sz w:val="24"/>
        </w:rPr>
        <w:t>programový projev</w:t>
      </w:r>
      <w:r>
        <w:rPr>
          <w:rFonts w:ascii="Times New Roman" w:hAnsi="Times New Roman"/>
          <w:noProof/>
          <w:color w:val="000000" w:themeColor="text1"/>
          <w:sz w:val="24"/>
        </w:rPr>
        <w:t xml:space="preserve"> v této funkci.</w:t>
      </w:r>
      <w:r>
        <w:rPr>
          <w:rFonts w:ascii="Times New Roman" w:hAnsi="Times New Roman"/>
          <w:b/>
          <w:noProof/>
          <w:color w:val="000000" w:themeColor="text1"/>
          <w:sz w:val="24"/>
        </w:rPr>
        <w:t xml:space="preserve"> </w:t>
      </w:r>
      <w:r>
        <w:rPr>
          <w:rFonts w:ascii="Times New Roman" w:hAnsi="Times New Roman"/>
          <w:noProof/>
          <w:color w:val="000000" w:themeColor="text1"/>
          <w:sz w:val="24"/>
        </w:rPr>
        <w:t>Prvořadým cílem zůstává konsolidace odvětví cestovního ruchu a hazardních her, což jsou macajská hlavní průmyslová odvětví. Prioritami jsou regulace, fiskalizace a podpora konkurenceschopnosti. Macao bude pokračovat ve snaze o diverzifikaci hospodářství: na základě svých stávajících hlavních průmyslových odvětví a s využitím existující infrastruktury bude usilovat o růst svého odvětví pořádání konferencí a výstav, o podporu kreativních odvětví a o rozvoj specializovaných finančních podniků. Vláda rovněž slíbila, že usnadní inovace a podpoří malé a střední podniky tím, že zavede pobídky pro podnikání a sníží daně. Vláda již 12. rokem provádí balíček finančních dotací, včetně hotovostních dávek, aby zlepšila životní podmínky obyvatel.</w:t>
      </w:r>
    </w:p>
    <w:p>
      <w:pPr>
        <w:autoSpaceDE w:val="0"/>
        <w:autoSpaceDN w:val="0"/>
        <w:adjustRightInd w:val="0"/>
        <w:spacing w:after="24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Fiskální situace Macaa v roce 2018 byla i nadále dobrá. ZAO disponuje značnými rezervami a její rozpočtový účet konzistentně vykazuje přebytky. </w:t>
      </w:r>
      <w:r>
        <w:rPr>
          <w:rFonts w:ascii="Times New Roman" w:hAnsi="Times New Roman"/>
          <w:noProof/>
          <w:sz w:val="24"/>
        </w:rPr>
        <w:t>Na konci září 2018</w:t>
      </w:r>
      <w:r>
        <w:rPr>
          <w:rFonts w:ascii="Times New Roman" w:hAnsi="Times New Roman"/>
          <w:noProof/>
          <w:color w:val="000000" w:themeColor="text1"/>
          <w:sz w:val="24"/>
        </w:rPr>
        <w:t xml:space="preserve"> činily vládní finanční rezervy zhruba 554,9 miliardy MOP (60,4 miliardy EUR).</w:t>
      </w:r>
    </w:p>
    <w:p>
      <w:pPr>
        <w:autoSpaceDE w:val="0"/>
        <w:autoSpaceDN w:val="0"/>
        <w:adjustRightInd w:val="0"/>
        <w:spacing w:after="240" w:line="240" w:lineRule="auto"/>
        <w:jc w:val="both"/>
        <w:rPr>
          <w:rFonts w:ascii="Times New Roman" w:hAnsi="Times New Roman" w:cs="Times New Roman"/>
          <w:noProof/>
          <w:color w:val="000000" w:themeColor="text1"/>
          <w:sz w:val="24"/>
          <w:szCs w:val="24"/>
        </w:rPr>
      </w:pPr>
      <w:r>
        <w:rPr>
          <w:rFonts w:ascii="Times New Roman" w:hAnsi="Times New Roman"/>
          <w:b/>
          <w:noProof/>
          <w:color w:val="000000" w:themeColor="text1"/>
          <w:sz w:val="24"/>
        </w:rPr>
        <w:t>Diverzifikace</w:t>
      </w:r>
      <w:r>
        <w:rPr>
          <w:rFonts w:ascii="Times New Roman" w:hAnsi="Times New Roman"/>
          <w:noProof/>
          <w:color w:val="000000" w:themeColor="text1"/>
          <w:sz w:val="24"/>
        </w:rPr>
        <w:t xml:space="preserve"> macajského hospodářství zůstává dlouhodobým cílem. Jedním z cílů stanovených úřady v pětiletém plánu rozvoje Macaa 2016–2020 je zvýšit do roku 2020 v příjmech provozovatelů kasin na 9 % podíl příjmů z jiných zdrojů, než jsou hazardní hry. Tento cíl se však podle zprávy statistického úřadu o hospodářské diverzifikaci, která byla zveřejněna na konci prosince 2018, jeví stále více nedosažitelný. Rok 2017 byl z hlediska hospodářské diverzifikace zklamáním, neboť pouze 6,8 % příjmů kasin pocházelo z jiných zdrojů, než jsou hazardní hry, tedy méně než v roce 2016, kdy tento podíl činil 7,4 %.</w:t>
      </w:r>
    </w:p>
    <w:p>
      <w:pPr>
        <w:autoSpaceDE w:val="0"/>
        <w:autoSpaceDN w:val="0"/>
        <w:adjustRightInd w:val="0"/>
        <w:spacing w:after="240" w:line="240" w:lineRule="auto"/>
        <w:jc w:val="both"/>
        <w:rPr>
          <w:rFonts w:ascii="Times New Roman" w:eastAsia="Calibri" w:hAnsi="Times New Roman" w:cs="Times New Roman"/>
          <w:noProof/>
          <w:color w:val="000000" w:themeColor="text1"/>
          <w:sz w:val="24"/>
          <w:szCs w:val="24"/>
        </w:rPr>
      </w:pPr>
      <w:r>
        <w:rPr>
          <w:rFonts w:ascii="Times New Roman" w:hAnsi="Times New Roman"/>
          <w:noProof/>
          <w:color w:val="000000" w:themeColor="text1"/>
          <w:sz w:val="24"/>
        </w:rPr>
        <w:t xml:space="preserve">Co se týče </w:t>
      </w:r>
      <w:r>
        <w:rPr>
          <w:rFonts w:ascii="Times New Roman" w:hAnsi="Times New Roman"/>
          <w:b/>
          <w:noProof/>
          <w:color w:val="000000" w:themeColor="text1"/>
          <w:sz w:val="24"/>
        </w:rPr>
        <w:t>ochrany životního prostředí</w:t>
      </w:r>
      <w:r>
        <w:rPr>
          <w:rFonts w:ascii="Times New Roman" w:hAnsi="Times New Roman"/>
          <w:noProof/>
          <w:color w:val="000000" w:themeColor="text1"/>
          <w:sz w:val="24"/>
        </w:rPr>
        <w:t>, navrhl ve svém letošním programovém projevu macajský předseda vlády vybudovat zařízení pro prvotní zpracování papírového, plastového a kovového odpadu před vývozem a dále vybudovat centralizované zařízení pro nakládání s potravinovým odpadem. Macajský předseda vlády také oznámil cíle, jako je instalovat 200 nabíječek pro vozidla s elektrickým pohonem, zavést stroje na recyklaci plastových lahví a dokončit právní předpisy omezující používání plastových sáčků.</w:t>
      </w:r>
    </w:p>
    <w:p>
      <w:pPr>
        <w:autoSpaceDE w:val="0"/>
        <w:autoSpaceDN w:val="0"/>
        <w:adjustRightInd w:val="0"/>
        <w:spacing w:after="240" w:line="240" w:lineRule="auto"/>
        <w:jc w:val="both"/>
        <w:rPr>
          <w:rFonts w:ascii="Times New Roman" w:hAnsi="Times New Roman" w:cs="Times New Roman"/>
          <w:noProof/>
          <w:color w:val="000000" w:themeColor="text1"/>
          <w:sz w:val="24"/>
          <w:szCs w:val="24"/>
        </w:rPr>
      </w:pPr>
      <w:r>
        <w:rPr>
          <w:rFonts w:ascii="Times New Roman" w:hAnsi="Times New Roman"/>
          <w:b/>
          <w:noProof/>
          <w:color w:val="000000" w:themeColor="text1"/>
          <w:sz w:val="24"/>
        </w:rPr>
        <w:t>Regionální spolupráce</w:t>
      </w:r>
    </w:p>
    <w:p>
      <w:pPr>
        <w:autoSpaceDE w:val="0"/>
        <w:autoSpaceDN w:val="0"/>
        <w:adjustRightInd w:val="0"/>
        <w:spacing w:after="240" w:line="240" w:lineRule="auto"/>
        <w:jc w:val="both"/>
        <w:rPr>
          <w:rFonts w:ascii="Times New Roman" w:hAnsi="Times New Roman" w:cs="Times New Roman"/>
          <w:b/>
          <w:noProof/>
          <w:color w:val="000000" w:themeColor="text1"/>
          <w:sz w:val="24"/>
          <w:szCs w:val="24"/>
        </w:rPr>
      </w:pPr>
      <w:r>
        <w:rPr>
          <w:rFonts w:ascii="Times New Roman" w:hAnsi="Times New Roman"/>
          <w:noProof/>
          <w:color w:val="000000" w:themeColor="text1"/>
          <w:sz w:val="24"/>
        </w:rPr>
        <w:t xml:space="preserve">Macajské a čínské ministerstvo obchodu podepsaly dne 12. prosince dohodu o obchodu se zbožím v rámci </w:t>
      </w:r>
      <w:r>
        <w:rPr>
          <w:rFonts w:ascii="Times New Roman" w:hAnsi="Times New Roman"/>
          <w:b/>
          <w:noProof/>
          <w:color w:val="000000" w:themeColor="text1"/>
          <w:sz w:val="24"/>
        </w:rPr>
        <w:t>Dohody o užším ekonomickém partnerství (CEPA)</w:t>
      </w:r>
      <w:r>
        <w:rPr>
          <w:rFonts w:ascii="Times New Roman" w:hAnsi="Times New Roman"/>
          <w:noProof/>
          <w:color w:val="000000" w:themeColor="text1"/>
          <w:sz w:val="24"/>
        </w:rPr>
        <w:t xml:space="preserve"> mezi pevninskou Čínou a Macaem. Tato nová dohoda, která se má provádět od 1. ledna 2019, stanoví pravidla původu a flexibilnější metody pro stanovování původu u všech výrobků klasifikovaných podle pevných sazebních kódů. Dále zlepšuje také úroveň zjednodušení celního odbavení pro obchod se zbožím. Zvláštní kapitola je věnována oblasti zálivu Kuang-tung – Hongkong – Macao, přičemž cílem je pilotní provádění opatření pro celní odbavení zboží v oblasti zálivu.</w:t>
      </w:r>
    </w:p>
    <w:p>
      <w:pPr>
        <w:autoSpaceDE w:val="0"/>
        <w:autoSpaceDN w:val="0"/>
        <w:adjustRightInd w:val="0"/>
        <w:spacing w:after="240" w:line="240" w:lineRule="auto"/>
        <w:jc w:val="both"/>
        <w:rPr>
          <w:rFonts w:ascii="Times New Roman" w:hAnsi="Times New Roman" w:cs="Times New Roman"/>
          <w:noProof/>
          <w:color w:val="000000" w:themeColor="text1"/>
          <w:sz w:val="24"/>
          <w:szCs w:val="24"/>
        </w:rPr>
      </w:pPr>
      <w:r>
        <w:rPr>
          <w:rFonts w:ascii="Times New Roman" w:hAnsi="Times New Roman"/>
          <w:b/>
          <w:noProof/>
          <w:color w:val="000000" w:themeColor="text1"/>
          <w:sz w:val="24"/>
        </w:rPr>
        <w:t>Most mezi Hongkongem, Ču-chajem a Macaem</w:t>
      </w:r>
      <w:r>
        <w:rPr>
          <w:rFonts w:ascii="Times New Roman" w:hAnsi="Times New Roman"/>
          <w:noProof/>
          <w:color w:val="000000" w:themeColor="text1"/>
          <w:sz w:val="24"/>
        </w:rPr>
        <w:t xml:space="preserve"> — nejdelší námořní most na světě – byl otevřen v říjnu. Tento most zkrátí cestu mezi Macaem a Hongkongem a bude hrát významnou úlohu při integraci širšího okolí zálivu (</w:t>
      </w:r>
      <w:r>
        <w:rPr>
          <w:rFonts w:ascii="Times New Roman" w:hAnsi="Times New Roman"/>
          <w:i/>
          <w:noProof/>
          <w:color w:val="000000" w:themeColor="text1"/>
          <w:sz w:val="24"/>
        </w:rPr>
        <w:t>Greater Bay Area, GBA</w:t>
      </w:r>
      <w:r>
        <w:rPr>
          <w:rFonts w:ascii="Times New Roman" w:hAnsi="Times New Roman"/>
          <w:noProof/>
          <w:color w:val="000000" w:themeColor="text1"/>
          <w:sz w:val="24"/>
        </w:rPr>
        <w:t xml:space="preserve">). </w:t>
      </w:r>
    </w:p>
    <w:p>
      <w:pPr>
        <w:autoSpaceDE w:val="0"/>
        <w:autoSpaceDN w:val="0"/>
        <w:adjustRightInd w:val="0"/>
        <w:spacing w:after="24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Macao je ekonomickým mostem mezi Čínou a portugalsky mluvícími zeměmi. V tomto ohledu navrhuje programový projev z roku 2019 zřídit platformu pro peněžní služby mezi Čínou a portugalsky mluvícími zeměmi a rozvíjet pozici Macaa jako clearingového centra pro renminbi pro portugalsky mluvící země.</w:t>
      </w:r>
    </w:p>
    <w:p>
      <w:pPr>
        <w:autoSpaceDE w:val="0"/>
        <w:autoSpaceDN w:val="0"/>
        <w:adjustRightInd w:val="0"/>
        <w:spacing w:after="24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V plánu pro širší okolí zálivu zveřejněném v únoru bylo Macao označeno jako jedno ze čtyř hlavních měst (společně s Hongkongem, Šen-čenem a Kuang-čou), které bude hrát klíčovou úlohu při rozvoji regionu. Podle plánu má sice Macao dále diverzifikovat své hospodářství, ale zároveň má upevňovat své postavení světového centra cestovního ruchu a rekreace a obslužné platformy pro obchodní a hospodářskou spolupráci mezi Čínou a lusofonními zeměmi. </w:t>
      </w:r>
    </w:p>
    <w:p>
      <w:pPr>
        <w:autoSpaceDE w:val="0"/>
        <w:autoSpaceDN w:val="0"/>
        <w:adjustRightInd w:val="0"/>
        <w:spacing w:after="240" w:line="240" w:lineRule="auto"/>
        <w:jc w:val="both"/>
        <w:rPr>
          <w:rFonts w:ascii="Times New Roman" w:hAnsi="Times New Roman" w:cs="Times New Roman"/>
          <w:b/>
          <w:bCs/>
          <w:noProof/>
          <w:color w:val="000000" w:themeColor="text1"/>
          <w:sz w:val="24"/>
          <w:szCs w:val="24"/>
        </w:rPr>
      </w:pPr>
      <w:r>
        <w:rPr>
          <w:rFonts w:ascii="Times New Roman" w:hAnsi="Times New Roman"/>
          <w:b/>
          <w:noProof/>
          <w:color w:val="000000" w:themeColor="text1"/>
          <w:sz w:val="24"/>
        </w:rPr>
        <w:t>Dvoustranné vztahy mezi EU a Macaem</w:t>
      </w:r>
    </w:p>
    <w:p>
      <w:pPr>
        <w:autoSpaceDE w:val="0"/>
        <w:autoSpaceDN w:val="0"/>
        <w:adjustRightInd w:val="0"/>
        <w:spacing w:after="24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V roce 2018 byla Evropská unie druhým největším zdrojem dovozu do Macaa po pevninské Číně a její podíl na celkovém dovozu do ZAO činil 25 %. Zároveň však do EU směřovalo méně než 1,7 % macajského vývozu zboží. Tato tržní nerovnováha měla za následek dlouhodobý obchodní přebytek ve prospěch EU. Důvodem je, že poptávka po dovozu v Macau se po léta zvyšuje, přičemž místní zpracovatelský sektor postupně upadá a nyní už nedosahuje ani 1 % HDP.</w:t>
      </w:r>
    </w:p>
    <w:p>
      <w:pPr>
        <w:autoSpaceDE w:val="0"/>
        <w:autoSpaceDN w:val="0"/>
        <w:adjustRightInd w:val="0"/>
        <w:spacing w:after="24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Dvoustranný</w:t>
      </w:r>
      <w:r>
        <w:rPr>
          <w:rFonts w:ascii="Times New Roman" w:hAnsi="Times New Roman"/>
          <w:b/>
          <w:noProof/>
          <w:color w:val="000000" w:themeColor="text1"/>
          <w:sz w:val="24"/>
        </w:rPr>
        <w:t xml:space="preserve"> obchod se zbožím</w:t>
      </w:r>
      <w:r>
        <w:rPr>
          <w:rFonts w:ascii="Times New Roman" w:hAnsi="Times New Roman"/>
          <w:noProof/>
          <w:color w:val="000000" w:themeColor="text1"/>
          <w:sz w:val="24"/>
        </w:rPr>
        <w:t xml:space="preserve"> v roce 2018 vzrostl o 29,5 % na celkových 963 milionů EUR. Vývoz EU do Macaa dosáhl v roce 2018 hodnoty 852 milionů EUR, meziroční nárůst o 36,1 % znamenal obchodní přebytek ve výši 741 milionů EUR. Macao představuje rostoucí trh pro evropské luxusní zboží. Obchodní příležitosti v herním průmyslu a v odvětví cestovního ruchu jsou středobodem obchodních vztahů mezi EU a Macaem. Mezi hlavní vývozní produkty Evropské unie patřily luxusní kožené výrobky, oblečení, hodinky a šperky, potraviny a nápoje a automobily.</w:t>
      </w:r>
    </w:p>
    <w:p>
      <w:pPr>
        <w:autoSpaceDE w:val="0"/>
        <w:autoSpaceDN w:val="0"/>
        <w:adjustRightInd w:val="0"/>
        <w:spacing w:after="24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S ohledem na to, že se v Macau zvyšuje počet projektů infrastruktury, může být z pohledu společností z EU zajímavé i </w:t>
      </w:r>
      <w:r>
        <w:rPr>
          <w:rFonts w:ascii="Times New Roman" w:hAnsi="Times New Roman"/>
          <w:b/>
          <w:noProof/>
          <w:color w:val="000000" w:themeColor="text1"/>
          <w:sz w:val="24"/>
        </w:rPr>
        <w:t>zadávání veřejných zakázek</w:t>
      </w:r>
      <w:r>
        <w:rPr>
          <w:rFonts w:ascii="Times New Roman" w:hAnsi="Times New Roman"/>
          <w:noProof/>
          <w:color w:val="000000" w:themeColor="text1"/>
          <w:sz w:val="24"/>
        </w:rPr>
        <w:t xml:space="preserve"> v oblasti dopravy, energetiky a stavebnictví. V porovnání s ostatními velkými investory (Hongkong, Čína a USA) jsou však přímé investice společností z EU v Macau i nadále skromné. Nejvýznamnějším investorem EU v Macau bylo Portugalsko, jehož investice (9 miliard MOP) představovaly 3,7 % celkového objemu přímých zahraničních investic roku 2017.</w:t>
      </w:r>
    </w:p>
    <w:p>
      <w:pPr>
        <w:autoSpaceDE w:val="0"/>
        <w:autoSpaceDN w:val="0"/>
        <w:adjustRightInd w:val="0"/>
        <w:spacing w:after="24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Programový projev macajského předsedy vlády na rok 2019 výslovně zdůrazňuje zájem o posílení hospodářských vztahů s EU s použitím Portugalska jako vstupního bodu.</w:t>
      </w:r>
    </w:p>
    <w:p>
      <w:pPr>
        <w:autoSpaceDE w:val="0"/>
        <w:autoSpaceDN w:val="0"/>
        <w:adjustRightInd w:val="0"/>
        <w:spacing w:after="24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Dne 23. března se v Macau konalo </w:t>
      </w:r>
      <w:r>
        <w:rPr>
          <w:rFonts w:ascii="Times New Roman" w:hAnsi="Times New Roman"/>
          <w:b/>
          <w:noProof/>
          <w:color w:val="000000" w:themeColor="text1"/>
          <w:sz w:val="24"/>
        </w:rPr>
        <w:t>22. zasedání Smíšeného výboru EU-Macao</w:t>
      </w:r>
      <w:r>
        <w:rPr>
          <w:rFonts w:ascii="Times New Roman" w:hAnsi="Times New Roman"/>
          <w:noProof/>
          <w:color w:val="000000" w:themeColor="text1"/>
          <w:sz w:val="24"/>
        </w:rPr>
        <w:t>. Strany zhodnotily zejména monitorování závazků zrealizované EU v roce 2018, pokud jde o dobrou správu daní, přijatých Macaem. Macao bylo zprvu zahrnuto do seznamu EU z prosince 2017 obsahujícího 17 nespolupracujících daňových jurisdikcí, ale bylo odstraněno v lednu 2018 v reakci na závazky přijaté vládou Macaa s cílem splnit požadavky EU do konce roku 2018. EU během procesu monitorování přivítala, že Čínská lidová republika rozšířila působnost Úmluvy o vzájemné správní pomoci v daňových záležitostech na ZAO Macao a že ZAO Macao aktivovala nezbytné dohody pro výměnu informací. EU také podpořila posouzení OECD týkající se daňového režimu, který poskytuje výhody „offshorovým společnostem“, v návaznosti na úpravy tohoto režimu, které ZAO Macao provedla v prosinci 2018 za účelem splnění požadavků OECD. Rada Evropské unie se na tomto základě v březnu 2019 dohodla na tom, že Macao splnilo své stávající závazky ohledně řádné správy daní. Dialog se ZAO Macao o provádění minimálních norem G20 proti erozi základu daně a přesouvání zisku bude pokračovat v roce 2019.</w:t>
      </w:r>
    </w:p>
    <w:p>
      <w:pPr>
        <w:autoSpaceDE w:val="0"/>
        <w:autoSpaceDN w:val="0"/>
        <w:adjustRightInd w:val="0"/>
        <w:spacing w:after="240" w:line="240" w:lineRule="auto"/>
        <w:jc w:val="both"/>
        <w:rPr>
          <w:rFonts w:ascii="Times New Roman" w:eastAsia="Calibri" w:hAnsi="Times New Roman" w:cs="Times New Roman"/>
          <w:noProof/>
          <w:sz w:val="24"/>
          <w:szCs w:val="24"/>
        </w:rPr>
      </w:pPr>
      <w:r>
        <w:rPr>
          <w:rFonts w:ascii="Times New Roman" w:hAnsi="Times New Roman"/>
          <w:noProof/>
          <w:sz w:val="24"/>
        </w:rPr>
        <w:t>EU vzala na vědomí ambice ZAO Macao stát se centrem tradiční čínské medicíny. EU a Macao se dohodly, že uspořádají výměnu informací na odborné úrovni o regulačním režimu EU pro tradiční rostlinné léčivé přípravky. Obě strany se rovněž dohodly na tom, že budou pokračovat v prověřování možností spolupráce v oblasti životního prostředí a ekologických technologií, zejména na Macajském mezinárodním fóru a výstavě o environmentální spolupráci. Pokud jde o cestovní ruch, diskutovaly strany o tom, jak posílit toky a výměnu turistů.</w:t>
      </w:r>
    </w:p>
    <w:p>
      <w:pPr>
        <w:spacing w:after="240" w:line="240" w:lineRule="auto"/>
        <w:jc w:val="both"/>
        <w:rPr>
          <w:rFonts w:ascii="Times New Roman" w:eastAsia="Calibri" w:hAnsi="Times New Roman" w:cs="Times New Roman"/>
          <w:noProof/>
          <w:color w:val="000000" w:themeColor="text1"/>
          <w:sz w:val="24"/>
          <w:szCs w:val="24"/>
        </w:rPr>
      </w:pPr>
      <w:r>
        <w:rPr>
          <w:rFonts w:ascii="Times New Roman" w:hAnsi="Times New Roman"/>
          <w:noProof/>
          <w:color w:val="000000" w:themeColor="text1"/>
          <w:sz w:val="24"/>
        </w:rPr>
        <w:t xml:space="preserve">Jako každoročně </w:t>
      </w:r>
      <w:r>
        <w:rPr>
          <w:rFonts w:ascii="Times New Roman" w:hAnsi="Times New Roman"/>
          <w:b/>
          <w:noProof/>
          <w:color w:val="000000" w:themeColor="text1"/>
          <w:sz w:val="24"/>
        </w:rPr>
        <w:t>Macajsko-evropská obchodní komora (MECC)</w:t>
      </w:r>
      <w:r>
        <w:rPr>
          <w:rFonts w:ascii="Times New Roman" w:hAnsi="Times New Roman"/>
          <w:b/>
          <w:noProof/>
          <w:color w:val="000000" w:themeColor="text1"/>
          <w:sz w:val="24"/>
          <w:vertAlign w:val="superscript"/>
        </w:rPr>
        <w:footnoteReference w:id="4"/>
      </w:r>
      <w:r>
        <w:rPr>
          <w:rFonts w:ascii="Times New Roman" w:hAnsi="Times New Roman"/>
          <w:noProof/>
          <w:color w:val="000000" w:themeColor="text1"/>
          <w:sz w:val="24"/>
        </w:rPr>
        <w:t xml:space="preserve"> a </w:t>
      </w:r>
      <w:r>
        <w:rPr>
          <w:rFonts w:ascii="Times New Roman" w:hAnsi="Times New Roman"/>
          <w:b/>
          <w:noProof/>
          <w:color w:val="000000" w:themeColor="text1"/>
          <w:sz w:val="24"/>
        </w:rPr>
        <w:t>Evropská obchodní komora v Hongkongu</w:t>
      </w:r>
      <w:r>
        <w:rPr>
          <w:rFonts w:ascii="Times New Roman" w:hAnsi="Times New Roman"/>
          <w:noProof/>
          <w:color w:val="000000" w:themeColor="text1"/>
          <w:sz w:val="24"/>
        </w:rPr>
        <w:t xml:space="preserve"> i v roce 2018 společně koordinovaly hojnou evropskou účast na březnovém Macajském mezinárodním fóru a výstavě o environmentální spolupráci a na říjnovém Macajském mezinárodním obchodním a investičním veletrhu.</w:t>
      </w:r>
    </w:p>
    <w:p>
      <w:pPr>
        <w:spacing w:after="240" w:line="240" w:lineRule="auto"/>
        <w:jc w:val="both"/>
        <w:rPr>
          <w:rFonts w:ascii="Times New Roman" w:hAnsi="Times New Roman" w:cs="Times New Roman"/>
          <w:noProof/>
          <w:color w:val="000000" w:themeColor="text1"/>
          <w:sz w:val="24"/>
          <w:szCs w:val="24"/>
        </w:rPr>
      </w:pPr>
      <w:r>
        <w:rPr>
          <w:rFonts w:ascii="Times New Roman" w:hAnsi="Times New Roman"/>
          <w:b/>
          <w:noProof/>
          <w:color w:val="000000" w:themeColor="text1"/>
          <w:sz w:val="24"/>
        </w:rPr>
        <w:t>Cestovní ruch</w:t>
      </w:r>
      <w:r>
        <w:rPr>
          <w:rFonts w:ascii="Times New Roman" w:hAnsi="Times New Roman"/>
          <w:noProof/>
          <w:color w:val="000000" w:themeColor="text1"/>
          <w:sz w:val="24"/>
        </w:rPr>
        <w:t xml:space="preserve"> byl v roce 2018 pro dvoustranné vztahy mimořádně důležitý, jelikož byl uvedený rok </w:t>
      </w:r>
      <w:r>
        <w:rPr>
          <w:rFonts w:ascii="Times New Roman" w:hAnsi="Times New Roman"/>
          <w:b/>
          <w:noProof/>
          <w:color w:val="000000" w:themeColor="text1"/>
          <w:sz w:val="24"/>
        </w:rPr>
        <w:t>rokem cestovního ruchu mezi EU a Čínou</w:t>
      </w:r>
      <w:r>
        <w:rPr>
          <w:rFonts w:ascii="Times New Roman" w:hAnsi="Times New Roman"/>
          <w:noProof/>
          <w:color w:val="000000" w:themeColor="text1"/>
          <w:sz w:val="24"/>
        </w:rPr>
        <w:t xml:space="preserve">. Ikonická macajská věž byla na Den Evropy zahalena do modré barvy vlajky EU. Dne 23. října Macao uspořádalo </w:t>
      </w:r>
      <w:r>
        <w:rPr>
          <w:rFonts w:ascii="Times New Roman" w:hAnsi="Times New Roman"/>
          <w:b/>
          <w:noProof/>
          <w:color w:val="000000" w:themeColor="text1"/>
          <w:sz w:val="24"/>
        </w:rPr>
        <w:t>7. světové fórum ekonomiky cestovního ruchu</w:t>
      </w:r>
      <w:r>
        <w:rPr>
          <w:rFonts w:ascii="Times New Roman" w:hAnsi="Times New Roman"/>
          <w:noProof/>
          <w:color w:val="000000" w:themeColor="text1"/>
          <w:sz w:val="24"/>
        </w:rPr>
        <w:t>, s Evropskou unií coby partnerským regionem a Kuang-tungem coby partnerskou provincií. EU byla na fóru reprezentována formou pavilonu, uspořádala akci zaměřenou na navazování obchodních styků a její účast byla viditelná.</w:t>
      </w:r>
    </w:p>
    <w:p>
      <w:pPr>
        <w:spacing w:after="240" w:line="240" w:lineRule="auto"/>
        <w:jc w:val="both"/>
        <w:rPr>
          <w:rFonts w:ascii="Times New Roman" w:eastAsia="Calibri" w:hAnsi="Times New Roman" w:cs="Times New Roman"/>
          <w:noProof/>
          <w:color w:val="000000"/>
          <w:sz w:val="24"/>
          <w:szCs w:val="24"/>
        </w:rPr>
      </w:pPr>
      <w:r>
        <w:rPr>
          <w:rFonts w:ascii="Times New Roman" w:hAnsi="Times New Roman"/>
          <w:noProof/>
          <w:sz w:val="24"/>
        </w:rPr>
        <w:t xml:space="preserve">EU a Macao mají dva vlajkové projekty, které dále dobře fungují: jednak v oblasti právních záležitostí, a jednak v oblasti přípravy tlumočníků. Zaprvé, </w:t>
      </w:r>
      <w:r>
        <w:rPr>
          <w:rFonts w:ascii="Times New Roman" w:hAnsi="Times New Roman"/>
          <w:b/>
          <w:noProof/>
          <w:sz w:val="24"/>
        </w:rPr>
        <w:t>třetí program spolupráce Macao-EU v právní oblasti</w:t>
      </w:r>
      <w:r>
        <w:rPr>
          <w:rFonts w:ascii="Times New Roman" w:hAnsi="Times New Roman"/>
          <w:noProof/>
          <w:sz w:val="24"/>
        </w:rPr>
        <w:t xml:space="preserve"> přispívá k modernizaci a rozvoji právního systému ZAO Macao. Zadruhé, od roku 2006 běží </w:t>
      </w:r>
      <w:r>
        <w:rPr>
          <w:rFonts w:ascii="Times New Roman" w:hAnsi="Times New Roman"/>
          <w:b/>
          <w:noProof/>
          <w:sz w:val="24"/>
        </w:rPr>
        <w:t>program odborné přípravy v oblasti konferenčního tlumočení v čínštině a portugalštině</w:t>
      </w:r>
      <w:r>
        <w:rPr>
          <w:rFonts w:ascii="Times New Roman" w:hAnsi="Times New Roman"/>
          <w:noProof/>
          <w:sz w:val="24"/>
        </w:rPr>
        <w:t xml:space="preserve">, na němž spolupracuje Evropská komise a úřad veřejné správy a veřejné služby Macaa, jako reakce na poptávku po kvalifikovaných tlumočnících v obou jazycích. Dosud bylo vyškoleno 97 macajských tlumočníků a většina z nich v současnosti pracuje ve veřejné správě. Od roku 2010 provozuje </w:t>
      </w:r>
      <w:r>
        <w:rPr>
          <w:rFonts w:ascii="Times New Roman" w:hAnsi="Times New Roman"/>
          <w:noProof/>
          <w:color w:val="000000"/>
          <w:sz w:val="24"/>
        </w:rPr>
        <w:t>Macajský polytechnický institut (MPI) ve spolupráci s Evropskou komisí vzdělávací program určený univerzitním učitelům tlumočnictví a profesionálním tlumočníkům z Macaa a pevninské Číny</w:t>
      </w:r>
      <w:r>
        <w:rPr>
          <w:rFonts w:ascii="Times New Roman" w:hAnsi="Times New Roman"/>
          <w:noProof/>
          <w:sz w:val="24"/>
        </w:rPr>
        <w:t xml:space="preserve">. Na </w:t>
      </w:r>
      <w:r>
        <w:rPr>
          <w:rFonts w:ascii="Times New Roman" w:hAnsi="Times New Roman"/>
          <w:b/>
          <w:noProof/>
          <w:sz w:val="24"/>
        </w:rPr>
        <w:t>Akademický program Evropské unie v Macau</w:t>
      </w:r>
      <w:r>
        <w:rPr>
          <w:rFonts w:ascii="Times New Roman" w:hAnsi="Times New Roman"/>
          <w:noProof/>
          <w:sz w:val="24"/>
        </w:rPr>
        <w:t xml:space="preserve"> navázaly činnosti v rámci projektu Jean Monnet. Výše popsané činnosti přispívají k lepšímu porozumění EU v Macau.</w:t>
      </w:r>
    </w:p>
    <w:p>
      <w:pPr>
        <w:jc w:val="both"/>
        <w:rPr>
          <w:noProof/>
        </w:rPr>
      </w:pPr>
      <w:r>
        <w:rPr>
          <w:rFonts w:ascii="Times New Roman" w:hAnsi="Times New Roman"/>
          <w:noProof/>
          <w:color w:val="000000"/>
          <w:sz w:val="24"/>
        </w:rPr>
        <w:t xml:space="preserve">V návaznosti na zasedání Smíšeného výboru EU-Macao v roce 2015 byl zřízen mechanismus spolufinancování v rámci programu </w:t>
      </w:r>
      <w:r>
        <w:rPr>
          <w:rFonts w:ascii="Times New Roman" w:hAnsi="Times New Roman"/>
          <w:b/>
          <w:noProof/>
          <w:color w:val="000000"/>
          <w:sz w:val="24"/>
        </w:rPr>
        <w:t>Horizont 2020</w:t>
      </w:r>
      <w:r>
        <w:rPr>
          <w:rFonts w:ascii="Times New Roman" w:hAnsi="Times New Roman"/>
          <w:noProof/>
          <w:color w:val="000000"/>
          <w:sz w:val="24"/>
        </w:rPr>
        <w:t xml:space="preserve"> a EU v roce 2018 uspořádala informativní schůzku s cílem podpořit účast. Financování pro úspěšné projektové účastníky v rámci programu Horizon 2020 z Macaa poskytuje jednostranně macajský fond pro rozvoj vědy a techniky. Za poslední 2 roky však fond obdržel pouze jednu žádost, která nebyla vybrána.  Do konce roku 2018 se žádné subjekty z Macaa programu Horizont 2020 nezúčastnily.</w:t>
      </w:r>
    </w:p>
    <w:sectPr>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3119914"/>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rStyle w:val="FootnoteReference"/>
        </w:rPr>
        <w:footnoteRef/>
      </w:r>
      <w:r>
        <w:t xml:space="preserve"> http://www.penhongkong.org/about/</w:t>
      </w:r>
    </w:p>
  </w:footnote>
  <w:footnote w:id="2">
    <w:p>
      <w:pPr>
        <w:pStyle w:val="FootnoteText"/>
        <w:rPr>
          <w:sz w:val="13"/>
        </w:rPr>
      </w:pPr>
      <w:r>
        <w:rPr>
          <w:rStyle w:val="FootnoteReference"/>
          <w:sz w:val="13"/>
        </w:rPr>
        <w:footnoteRef/>
      </w:r>
      <w:r>
        <w:rPr>
          <w:sz w:val="13"/>
        </w:rPr>
        <w:t xml:space="preserve"> Zdroj: není-li uvedeno jinak, všechny makroekonomické ukazatele pocházejí od Úřadu pro statistiku a sčítání lidu při vládě ZAO Macao.</w:t>
      </w:r>
    </w:p>
  </w:footnote>
  <w:footnote w:id="3">
    <w:p>
      <w:pPr>
        <w:pStyle w:val="FootnoteText"/>
        <w:rPr>
          <w:sz w:val="13"/>
        </w:rPr>
      </w:pPr>
      <w:r>
        <w:rPr>
          <w:rStyle w:val="FootnoteReference"/>
          <w:sz w:val="13"/>
        </w:rPr>
        <w:footnoteRef/>
      </w:r>
      <w:r>
        <w:rPr>
          <w:sz w:val="13"/>
        </w:rPr>
        <w:t xml:space="preserve"> Přes 40 % macajské pracovní síly představovali v roce 2017 zahraniční pracovníci, zhruba dvě třetiny z nich pocházely z pevninské Číny.</w:t>
      </w:r>
    </w:p>
  </w:footnote>
  <w:footnote w:id="4">
    <w:p>
      <w:pPr>
        <w:pStyle w:val="Default"/>
        <w:rPr>
          <w:color w:val="auto"/>
          <w:sz w:val="23"/>
          <w:szCs w:val="23"/>
        </w:rPr>
      </w:pPr>
      <w:r>
        <w:rPr>
          <w:rStyle w:val="FootnoteReference"/>
          <w:sz w:val="13"/>
        </w:rPr>
        <w:footnoteRef/>
      </w:r>
      <w:r>
        <w:rPr>
          <w:sz w:val="13"/>
        </w:rPr>
        <w:t xml:space="preserve"> Macajsko-evropská obchodní komora je hybridní organizace, mezi jejíž členy patří jak přímo společnosti, tak i vnitrostátní komory zemí EU.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87333A7B-6022-4EDF-A994-05858BDD9F0A"/>
    <w:docVar w:name="LW_COVERPAGE_TYPE" w:val="1"/>
    <w:docVar w:name="LW_CROSSREFERENCE" w:val="&lt;UNUSED&gt;"/>
    <w:docVar w:name="LW_DocType" w:val="NORMAL"/>
    <w:docVar w:name="LW_EMISSION" w:val="8.5.2019"/>
    <w:docVar w:name="LW_EMISSION_ISODATE" w:val="2019-05-08"/>
    <w:docVar w:name="LW_EMISSION_LOCATION" w:val="BRX"/>
    <w:docVar w:name="LW_EMISSION_PREFIX" w:val="V Bruselu dne "/>
    <w:docVar w:name="LW_EMISSION_SUFFIX" w:val=" "/>
    <w:docVar w:name="LW_ID_DOCTYPE_NONLW" w:val="CP-018"/>
    <w:docVar w:name="LW_LANGUE" w:val="CS"/>
    <w:docVar w:name="LW_LEVEL_OF_SENSITIVITY" w:val="Standard treatment"/>
    <w:docVar w:name="LW_NOM.INST" w:val="EVROPSKÁ KOMISE"/>
    <w:docVar w:name="LW_NOM.INST_JOINTDOC" w:val="VYSOKÁ P\u344?EDSTAVITELKA _x000b_UNIE PRO ZAHRANI\u268?NÍ_x000b_V\u282?CI A BEZPE\u268?NOSTNÍ _x000b_POLITIKU"/>
    <w:docVar w:name="LW_PART_NBR" w:val="1"/>
    <w:docVar w:name="LW_PART_NBR_TOTAL" w:val="1"/>
    <w:docVar w:name="LW_REF.INST.NEW" w:val="JOIN"/>
    <w:docVar w:name="LW_REF.INST.NEW_ADOPTED" w:val="final"/>
    <w:docVar w:name="LW_REF.INST.NEW_TEXT" w:val="(2019) 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Zvlá\u353?tní administrativní oblast Macao: výro\u269?ní zpráva za rok 2018"/>
    <w:docVar w:name="LW_TYPE.DOC.CP" w:val="SPOLE\u268?NÁ ZPRÁVA EVROPSKÉMU PARLAMENTU A RAD\u282?"/>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uiPriority w:val="99"/>
    <w:rPr>
      <w:shd w:val="clear" w:color="auto" w:fill="auto"/>
      <w:vertAlign w:val="superscript"/>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uiPriority w:val="99"/>
    <w:rPr>
      <w:shd w:val="clear" w:color="auto" w:fill="auto"/>
      <w:vertAlign w:val="superscript"/>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1D3E1-F8C6-41DC-817C-A650E6998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3108</Words>
  <Characters>17903</Characters>
  <Application>Microsoft Office Word</Application>
  <DocSecurity>0</DocSecurity>
  <Lines>279</Lines>
  <Paragraphs>66</Paragraphs>
  <ScaleCrop>false</ScaleCrop>
  <Manager/>
  <Company/>
  <LinksUpToDate>false</LinksUpToDate>
  <CharactersWithSpaces>20945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15</cp:revision>
  <dcterms:created xsi:type="dcterms:W3CDTF">2019-04-01T10:00:00Z</dcterms:created>
  <dcterms:modified xsi:type="dcterms:W3CDTF">2019-05-08T15:20:00Z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