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3FE9486-0DA7-4F08-A095-3AAE276F38D6" style="width:450.75pt;height:348.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KOMISIJOS ATASKAITA TARYBAI IR EUROPOS PARLAMENTUI</w:t>
      </w:r>
    </w:p>
    <w:p>
      <w:pPr>
        <w:jc w:val="center"/>
        <w:rPr>
          <w:b/>
          <w:noProof/>
        </w:rPr>
      </w:pPr>
      <w:r>
        <w:rPr>
          <w:b/>
          <w:noProof/>
        </w:rPr>
        <w:t>dėl Tarybos reglamento Nr. 495/77 su paskutiniais pakeitimais, padarytais Reglamentu Nr. 1945/2006 (dėl budėjimo), Tarybos reglamento Nr. 858/2004 (dėl ypač sunkių darbo sąlygų) ir Tarybos reglamento Nr. 300/76 su paskutiniais pakeitimais, padarytais Reglamentu Nr. 1873/2006 (dėl nepertraukiamo arba pamaininio darbo), taikymo institucijose 2017 metais</w:t>
      </w:r>
    </w:p>
    <w:p>
      <w:pPr>
        <w:jc w:val="center"/>
        <w:rPr>
          <w:b/>
          <w:noProof/>
        </w:rPr>
      </w:pPr>
    </w:p>
    <w:p>
      <w:pPr>
        <w:pStyle w:val="ManualHeading1"/>
        <w:rPr>
          <w:noProof/>
        </w:rPr>
      </w:pPr>
      <w:r>
        <w:t>1.</w:t>
      </w:r>
      <w:r>
        <w:tab/>
      </w:r>
      <w:r>
        <w:rPr>
          <w:noProof/>
        </w:rPr>
        <w:t>Įvadas</w:t>
      </w:r>
    </w:p>
    <w:p>
      <w:pPr>
        <w:rPr>
          <w:noProof/>
        </w:rPr>
      </w:pPr>
      <w:r>
        <w:rPr>
          <w:noProof/>
        </w:rPr>
        <w:t>Pagal Tarybos reglamentą dėl budėjimo (Nr. 495/77) ir Tarybos reglamentą dėl ypač sunkių darbo sąlygų (Nr. 858/2004) Komisija privalo kiekvienais metais pateikti Tarybai ataskaitą, kurioje nurodomas kiekvienos kategorijos pareigūnų ir kitų tarnautojų, gavusių šiuose reglamentuose nurodytas išmokas, skaičius ir bendros su tuo susijusios išlaidos.</w:t>
      </w:r>
    </w:p>
    <w:p>
      <w:pPr>
        <w:rPr>
          <w:noProof/>
        </w:rPr>
      </w:pPr>
      <w:r>
        <w:rPr>
          <w:noProof/>
        </w:rPr>
        <w:t>Ši 2017 m. ataskaita parengta remiantis ją rengiant turėtais naujausiais išsamiais visų tų metų duomenimis. Joje aprėpiamos visos institucijos ir siekiant išsamumo, be kita ko, pateikiama panaši informacija apie nepertraukiamą arba pamaininį darbą (Tarybos reglamentas Nr. 300/76).</w:t>
      </w:r>
    </w:p>
    <w:p>
      <w:pPr>
        <w:pStyle w:val="ManualHeading1"/>
        <w:rPr>
          <w:bCs/>
          <w:noProof/>
        </w:rPr>
      </w:pPr>
      <w:r>
        <w:t>2.</w:t>
      </w:r>
      <w:r>
        <w:tab/>
      </w:r>
      <w:r>
        <w:rPr>
          <w:noProof/>
        </w:rPr>
        <w:t>Išmokos už budėjimus</w:t>
      </w:r>
    </w:p>
    <w:p>
      <w:pPr>
        <w:rPr>
          <w:noProof/>
        </w:rPr>
      </w:pPr>
      <w:r>
        <w:rPr>
          <w:noProof/>
        </w:rPr>
        <w:t>Šių išmokų teisinis pagrindas – Tarnybos nuostatų 55 ir 56b straipsniai ir 1977 m. kovo 8 d. Tarybos reglamentas Nr. 495/77 su paskutiniais pakeitimais, padarytais 2006 m. gruodžio 11 d. Tarybos reglamentu Nr. 1945/2006.</w:t>
      </w:r>
    </w:p>
    <w:p>
      <w:pPr>
        <w:spacing w:after="0"/>
        <w:rPr>
          <w:noProof/>
        </w:rPr>
      </w:pPr>
      <w:r>
        <w:rPr>
          <w:noProof/>
        </w:rPr>
        <w:t xml:space="preserve">Išmokos mokamos tik tiems pareigūnams ir kitiems tarnautojams, kuriems atlyginimas mokamas iš </w:t>
      </w:r>
      <w:r>
        <w:rPr>
          <w:i/>
          <w:noProof/>
        </w:rPr>
        <w:t>asignavimų moksliniams tyrimams</w:t>
      </w:r>
      <w:r>
        <w:rPr>
          <w:noProof/>
        </w:rPr>
        <w:t xml:space="preserve"> ir kurie:</w:t>
      </w:r>
    </w:p>
    <w:p>
      <w:pPr>
        <w:pStyle w:val="Tiret1"/>
        <w:numPr>
          <w:ilvl w:val="0"/>
          <w:numId w:val="24"/>
        </w:numPr>
        <w:spacing w:before="0" w:after="0"/>
        <w:ind w:left="1418"/>
        <w:rPr>
          <w:noProof/>
        </w:rPr>
      </w:pPr>
      <w:r>
        <w:rPr>
          <w:noProof/>
        </w:rPr>
        <w:t xml:space="preserve">dirba Jungtinio tyrimų centro (JRC) padalinyje arba </w:t>
      </w:r>
    </w:p>
    <w:p>
      <w:pPr>
        <w:pStyle w:val="Tiret1"/>
        <w:numPr>
          <w:ilvl w:val="0"/>
          <w:numId w:val="25"/>
        </w:numPr>
        <w:spacing w:before="0" w:after="0"/>
        <w:ind w:left="1418"/>
        <w:rPr>
          <w:noProof/>
        </w:rPr>
      </w:pPr>
      <w:r>
        <w:rPr>
          <w:noProof/>
        </w:rPr>
        <w:t>dalyvauja netiesioginėje veikloje arba</w:t>
      </w:r>
    </w:p>
    <w:p>
      <w:pPr>
        <w:spacing w:after="0"/>
        <w:rPr>
          <w:noProof/>
        </w:rPr>
      </w:pPr>
      <w:r>
        <w:rPr>
          <w:noProof/>
        </w:rPr>
        <w:t xml:space="preserve">kuriems atlyginimas mokamas iš </w:t>
      </w:r>
      <w:r>
        <w:rPr>
          <w:i/>
          <w:noProof/>
        </w:rPr>
        <w:t>veiklos asignavimų</w:t>
      </w:r>
      <w:r>
        <w:rPr>
          <w:noProof/>
        </w:rPr>
        <w:t xml:space="preserve"> ir kurie dirba:</w:t>
      </w:r>
    </w:p>
    <w:p>
      <w:pPr>
        <w:pStyle w:val="Tiret1"/>
        <w:numPr>
          <w:ilvl w:val="0"/>
          <w:numId w:val="25"/>
        </w:numPr>
        <w:spacing w:before="0" w:after="0"/>
        <w:ind w:left="1418"/>
        <w:rPr>
          <w:noProof/>
        </w:rPr>
      </w:pPr>
      <w:r>
        <w:rPr>
          <w:noProof/>
        </w:rPr>
        <w:t>su technine įranga arba ją prižiūri,</w:t>
      </w:r>
    </w:p>
    <w:p>
      <w:pPr>
        <w:pStyle w:val="Tiret1"/>
        <w:numPr>
          <w:ilvl w:val="0"/>
          <w:numId w:val="25"/>
        </w:numPr>
        <w:spacing w:before="0" w:after="0"/>
        <w:ind w:left="1418"/>
        <w:rPr>
          <w:noProof/>
        </w:rPr>
      </w:pPr>
      <w:r>
        <w:rPr>
          <w:noProof/>
        </w:rPr>
        <w:t>saugos tarnyboje,</w:t>
      </w:r>
    </w:p>
    <w:p>
      <w:pPr>
        <w:pStyle w:val="Tiret1"/>
        <w:numPr>
          <w:ilvl w:val="0"/>
          <w:numId w:val="25"/>
        </w:numPr>
        <w:spacing w:before="0" w:after="0"/>
        <w:ind w:left="1418"/>
        <w:rPr>
          <w:noProof/>
        </w:rPr>
      </w:pPr>
      <w:r>
        <w:rPr>
          <w:noProof/>
        </w:rPr>
        <w:t>informacinių ir ryšių technologijų (IRT) tarnyboje,</w:t>
      </w:r>
    </w:p>
    <w:p>
      <w:pPr>
        <w:pStyle w:val="Tiret1"/>
        <w:numPr>
          <w:ilvl w:val="0"/>
          <w:numId w:val="25"/>
        </w:numPr>
        <w:spacing w:before="0" w:after="0"/>
        <w:ind w:left="1418"/>
        <w:rPr>
          <w:noProof/>
        </w:rPr>
      </w:pPr>
      <w:r>
        <w:rPr>
          <w:noProof/>
        </w:rPr>
        <w:t>tarnyboje, teikiančioje paramą pagal bendrą užsienio ir saugumo politiką (BUSP) ir (arba) bendrą saugumo ir gynybos politiką (BSGP) vykdomoms operacijoms arba nepaprastosios padėties ir krizių koordinavimo priemonėms, arba</w:t>
      </w:r>
    </w:p>
    <w:p>
      <w:pPr>
        <w:pStyle w:val="Tiret1"/>
        <w:numPr>
          <w:ilvl w:val="0"/>
          <w:numId w:val="25"/>
        </w:numPr>
        <w:spacing w:before="0"/>
        <w:rPr>
          <w:noProof/>
        </w:rPr>
      </w:pPr>
      <w:r>
        <w:rPr>
          <w:noProof/>
        </w:rPr>
        <w:t>užtikrina mechanizmo, sukurto, kad visą parą be poilsio dienų būtų teikiama pagalba valstybėms narėms, veikimą teikdami neatidėliotinų atvejų ir krizės koordinavimo pagalbą, arba dirba tarnybose, kurios, kaip pasitvirtino, privalo vykdyti užduotis, kad užtikrintų mechanizmo, kuriuo teikiama pagalba valstybėms narėms, veikimą.</w:t>
      </w:r>
    </w:p>
    <w:p>
      <w:pPr>
        <w:rPr>
          <w:noProof/>
        </w:rPr>
      </w:pPr>
      <w:r>
        <w:rPr>
          <w:noProof/>
        </w:rPr>
        <w:t>Išmokos už budėjimus išreiškiamos balais. Už kiekvieną faktinio budėjimo valandą skiriami tokie balai:</w:t>
      </w:r>
    </w:p>
    <w:p>
      <w:pPr>
        <w:pStyle w:val="Tiret1"/>
        <w:numPr>
          <w:ilvl w:val="0"/>
          <w:numId w:val="25"/>
        </w:numPr>
        <w:spacing w:before="0" w:after="0"/>
        <w:ind w:left="1418"/>
        <w:rPr>
          <w:noProof/>
        </w:rPr>
      </w:pPr>
      <w:r>
        <w:rPr>
          <w:noProof/>
        </w:rPr>
        <w:t>budėjimas namuose darbo dieną – 2,15 balo,</w:t>
      </w:r>
    </w:p>
    <w:p>
      <w:pPr>
        <w:pStyle w:val="Tiret1"/>
        <w:numPr>
          <w:ilvl w:val="0"/>
          <w:numId w:val="25"/>
        </w:numPr>
        <w:spacing w:before="0" w:after="0"/>
        <w:ind w:left="1418"/>
        <w:rPr>
          <w:noProof/>
        </w:rPr>
      </w:pPr>
      <w:r>
        <w:rPr>
          <w:noProof/>
        </w:rPr>
        <w:t>budėjimas namuose savaitgaliais ir švenčių dienomis – 4,3 balo,</w:t>
      </w:r>
    </w:p>
    <w:p>
      <w:pPr>
        <w:pStyle w:val="Tiret1"/>
        <w:numPr>
          <w:ilvl w:val="0"/>
          <w:numId w:val="25"/>
        </w:numPr>
        <w:spacing w:before="0" w:after="0"/>
        <w:ind w:left="1418"/>
        <w:rPr>
          <w:noProof/>
        </w:rPr>
      </w:pPr>
      <w:r>
        <w:rPr>
          <w:noProof/>
        </w:rPr>
        <w:t>budėjimas darbo vietoje darbo dieną – 11 balų,</w:t>
      </w:r>
    </w:p>
    <w:p>
      <w:pPr>
        <w:pStyle w:val="Tiret1"/>
        <w:numPr>
          <w:ilvl w:val="0"/>
          <w:numId w:val="25"/>
        </w:numPr>
        <w:spacing w:before="0" w:after="0"/>
        <w:ind w:left="1418"/>
        <w:rPr>
          <w:noProof/>
        </w:rPr>
      </w:pPr>
      <w:r>
        <w:rPr>
          <w:noProof/>
        </w:rPr>
        <w:t>budėjimas darbo vietoje savaitgaliais ir švenčių dienomis – 22 balai.</w:t>
      </w:r>
    </w:p>
    <w:p>
      <w:pPr>
        <w:rPr>
          <w:noProof/>
        </w:rPr>
      </w:pPr>
      <w:r>
        <w:rPr>
          <w:noProof/>
        </w:rPr>
        <w:t>Kiekvienas balas lygus 0,032 % 1 lygio 1 pakopos pareigūno bazinio darbo užmokesčio (= 0,92 EUR 2017 m.).</w:t>
      </w:r>
    </w:p>
    <w:p>
      <w:pPr>
        <w:spacing w:after="0"/>
        <w:rPr>
          <w:noProof/>
        </w:rPr>
      </w:pPr>
      <w:r>
        <w:rPr>
          <w:noProof/>
        </w:rPr>
        <w:t>Toliau nurodyta, kiek išmokų 2017 m. skyrė kiekviena institucija.</w:t>
      </w:r>
    </w:p>
    <w:p>
      <w:pPr>
        <w:spacing w:before="0" w:after="0"/>
        <w:rPr>
          <w:noProof/>
        </w:rPr>
      </w:pPr>
    </w:p>
    <w:p>
      <w:pPr>
        <w:pStyle w:val="ManualHeading2"/>
        <w:rPr>
          <w:bCs/>
          <w:noProof/>
        </w:rPr>
      </w:pPr>
      <w:r>
        <w:t>2.1.</w:t>
      </w:r>
      <w:r>
        <w:tab/>
      </w:r>
      <w:r>
        <w:rPr>
          <w:noProof/>
        </w:rPr>
        <w:t>Gavėjų (pareigūnų, laikinųjų darbuotojų, sutartininkų) skaičius</w:t>
      </w:r>
      <w:r>
        <w:rPr>
          <w:rStyle w:val="FootnoteReference"/>
          <w:noProof/>
        </w:rPr>
        <w:footnoteReference w:id="1"/>
      </w:r>
    </w:p>
    <w:tbl>
      <w:tblPr>
        <w:tblW w:w="9420" w:type="dxa"/>
        <w:tblInd w:w="93" w:type="dxa"/>
        <w:tblLook w:val="0000" w:firstRow="0" w:lastRow="0" w:firstColumn="0" w:lastColumn="0" w:noHBand="0" w:noVBand="0"/>
      </w:tblPr>
      <w:tblGrid>
        <w:gridCol w:w="2664"/>
        <w:gridCol w:w="828"/>
        <w:gridCol w:w="973"/>
        <w:gridCol w:w="957"/>
        <w:gridCol w:w="960"/>
        <w:gridCol w:w="960"/>
        <w:gridCol w:w="960"/>
        <w:gridCol w:w="1118"/>
      </w:tblGrid>
      <w:tr>
        <w:trPr>
          <w:trHeight w:val="51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AD</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SC-AST</w:t>
            </w:r>
          </w:p>
        </w:tc>
        <w:tc>
          <w:tcPr>
            <w:tcW w:w="3840" w:type="dxa"/>
            <w:gridSpan w:val="4"/>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Sutartininkai</w:t>
            </w:r>
          </w:p>
        </w:tc>
        <w:tc>
          <w:tcPr>
            <w:tcW w:w="11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346"/>
        </w:trPr>
        <w:tc>
          <w:tcPr>
            <w:tcW w:w="268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75"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noProof/>
                <w:sz w:val="20"/>
              </w:rPr>
              <w:t>I PG</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noProof/>
                <w:sz w:val="20"/>
              </w:rPr>
              <w:t>II PG</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noProof/>
                <w:sz w:val="20"/>
              </w:rPr>
              <w:t xml:space="preserve">III PG </w:t>
            </w:r>
          </w:p>
        </w:tc>
        <w:tc>
          <w:tcPr>
            <w:tcW w:w="960" w:type="dxa"/>
            <w:tcBorders>
              <w:top w:val="nil"/>
              <w:left w:val="nil"/>
              <w:bottom w:val="single" w:sz="4" w:space="0" w:color="auto"/>
              <w:right w:val="single" w:sz="4" w:space="0" w:color="auto"/>
            </w:tcBorders>
            <w:shd w:val="clear" w:color="auto" w:fill="auto"/>
            <w:vAlign w:val="center"/>
          </w:tcPr>
          <w:p>
            <w:pPr>
              <w:spacing w:before="0" w:after="0"/>
              <w:rPr>
                <w:rFonts w:ascii="Arial" w:hAnsi="Arial" w:cs="Arial"/>
                <w:b/>
                <w:bCs/>
                <w:noProof/>
                <w:sz w:val="20"/>
                <w:szCs w:val="20"/>
              </w:rPr>
            </w:pPr>
            <w:r>
              <w:rPr>
                <w:rFonts w:ascii="Arial" w:hAnsi="Arial"/>
                <w:b/>
                <w:noProof/>
                <w:sz w:val="20"/>
              </w:rPr>
              <w:t>IV PG</w:t>
            </w:r>
          </w:p>
        </w:tc>
        <w:tc>
          <w:tcPr>
            <w:tcW w:w="1125"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Komisija</w:t>
            </w:r>
          </w:p>
        </w:tc>
        <w:tc>
          <w:tcPr>
            <w:tcW w:w="80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110,33</w:t>
            </w:r>
          </w:p>
        </w:tc>
        <w:tc>
          <w:tcPr>
            <w:tcW w:w="975"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205,33</w:t>
            </w:r>
          </w:p>
        </w:tc>
        <w:tc>
          <w:tcPr>
            <w:tcW w:w="960" w:type="dxa"/>
            <w:tcBorders>
              <w:top w:val="nil"/>
              <w:left w:val="nil"/>
              <w:bottom w:val="single" w:sz="4" w:space="0" w:color="auto"/>
              <w:right w:val="nil"/>
            </w:tcBorders>
            <w:shd w:val="clear" w:color="auto" w:fill="FFFFFF"/>
            <w:vAlign w:val="center"/>
          </w:tcPr>
          <w:p>
            <w:pPr>
              <w:spacing w:before="0" w:after="0"/>
              <w:jc w:val="right"/>
              <w:rPr>
                <w:rFonts w:ascii="Arial" w:hAnsi="Arial" w:cs="Arial"/>
                <w:noProof/>
                <w:sz w:val="20"/>
                <w:szCs w:val="20"/>
              </w:rPr>
            </w:pPr>
            <w:r>
              <w:rPr>
                <w:rFonts w:ascii="Arial" w:hAnsi="Arial"/>
                <w:noProof/>
                <w:sz w:val="20"/>
              </w:rPr>
              <w:t>49,33</w:t>
            </w:r>
          </w:p>
        </w:tc>
        <w:tc>
          <w:tcPr>
            <w:tcW w:w="96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10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16</w:t>
            </w:r>
          </w:p>
        </w:tc>
        <w:tc>
          <w:tcPr>
            <w:tcW w:w="960" w:type="dxa"/>
            <w:tcBorders>
              <w:top w:val="nil"/>
              <w:left w:val="nil"/>
              <w:bottom w:val="single" w:sz="4" w:space="0" w:color="auto"/>
              <w:right w:val="nil"/>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3</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rPr>
              <w:t>394</w:t>
            </w:r>
          </w:p>
        </w:tc>
      </w:tr>
      <w:tr>
        <w:trPr>
          <w:trHeight w:val="166"/>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80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43</w:t>
            </w:r>
          </w:p>
        </w:tc>
        <w:tc>
          <w:tcPr>
            <w:tcW w:w="975"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88</w:t>
            </w:r>
          </w:p>
        </w:tc>
        <w:tc>
          <w:tcPr>
            <w:tcW w:w="960" w:type="dxa"/>
            <w:tcBorders>
              <w:top w:val="nil"/>
              <w:left w:val="nil"/>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17</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1</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2</w:t>
            </w:r>
          </w:p>
        </w:tc>
        <w:tc>
          <w:tcPr>
            <w:tcW w:w="960" w:type="dxa"/>
            <w:tcBorders>
              <w:top w:val="nil"/>
              <w:left w:val="single" w:sz="4" w:space="0" w:color="auto"/>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1</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noProof/>
                <w:color w:val="808080"/>
                <w:sz w:val="20"/>
              </w:rPr>
              <w:t>152</w:t>
            </w:r>
          </w:p>
        </w:tc>
      </w:tr>
      <w:tr>
        <w:trPr>
          <w:trHeight w:val="154"/>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Taryba</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11</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57</w:t>
            </w:r>
          </w:p>
        </w:tc>
        <w:tc>
          <w:tcPr>
            <w:tcW w:w="96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3</w:t>
            </w:r>
          </w:p>
        </w:tc>
        <w:tc>
          <w:tcPr>
            <w:tcW w:w="96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rPr>
              <w:t>71</w:t>
            </w:r>
          </w:p>
        </w:tc>
      </w:tr>
      <w:tr>
        <w:trPr>
          <w:trHeight w:val="154"/>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Parlamentas</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0</w:t>
            </w:r>
          </w:p>
        </w:tc>
      </w:tr>
      <w:tr>
        <w:trPr>
          <w:trHeight w:val="262"/>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Teisingumo Teismas</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7</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16</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24</w:t>
            </w:r>
          </w:p>
        </w:tc>
      </w:tr>
      <w:tr>
        <w:trPr>
          <w:trHeight w:val="214"/>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Audito Rūmai</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14</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single" w:sz="4" w:space="0" w:color="auto"/>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b/>
                <w:noProof/>
                <w:sz w:val="20"/>
                <w:szCs w:val="20"/>
              </w:rPr>
            </w:pPr>
            <w:r>
              <w:rPr>
                <w:rFonts w:ascii="Arial" w:hAnsi="Arial"/>
                <w:b/>
                <w:noProof/>
                <w:sz w:val="20"/>
              </w:rPr>
              <w:t>14</w:t>
            </w:r>
          </w:p>
        </w:tc>
      </w:tr>
      <w:tr>
        <w:trPr>
          <w:trHeight w:val="214"/>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EESRK</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2</w:t>
            </w:r>
          </w:p>
        </w:tc>
      </w:tr>
      <w:tr>
        <w:trPr>
          <w:trHeight w:val="202"/>
        </w:trPr>
        <w:tc>
          <w:tcPr>
            <w:tcW w:w="268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RK</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0</w:t>
            </w: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EDAPP</w:t>
            </w:r>
          </w:p>
        </w:tc>
        <w:tc>
          <w:tcPr>
            <w:tcW w:w="80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0</w:t>
            </w:r>
          </w:p>
        </w:tc>
      </w:tr>
      <w:tr>
        <w:trPr>
          <w:trHeight w:val="178"/>
        </w:trPr>
        <w:tc>
          <w:tcPr>
            <w:tcW w:w="268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Ombudsmenas</w:t>
            </w:r>
          </w:p>
        </w:tc>
        <w:tc>
          <w:tcPr>
            <w:tcW w:w="80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75"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0</w:t>
            </w:r>
          </w:p>
        </w:tc>
      </w:tr>
      <w:tr>
        <w:trPr>
          <w:trHeight w:val="166"/>
        </w:trPr>
        <w:tc>
          <w:tcPr>
            <w:tcW w:w="2680" w:type="dxa"/>
            <w:tcBorders>
              <w:top w:val="nil"/>
              <w:left w:val="single" w:sz="4" w:space="0" w:color="auto"/>
              <w:bottom w:val="single" w:sz="2"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EIVT</w:t>
            </w:r>
          </w:p>
        </w:tc>
        <w:tc>
          <w:tcPr>
            <w:tcW w:w="80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6</w:t>
            </w:r>
          </w:p>
        </w:tc>
        <w:tc>
          <w:tcPr>
            <w:tcW w:w="975"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9</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5" w:type="dxa"/>
            <w:tcBorders>
              <w:top w:val="single" w:sz="8" w:space="0" w:color="auto"/>
              <w:left w:val="single" w:sz="8" w:space="0" w:color="auto"/>
              <w:bottom w:val="single" w:sz="2" w:space="0" w:color="auto"/>
              <w:right w:val="single" w:sz="8" w:space="0" w:color="auto"/>
            </w:tcBorders>
            <w:shd w:val="clear" w:color="auto" w:fill="FFFFFF"/>
            <w:vAlign w:val="center"/>
          </w:tcPr>
          <w:p>
            <w:pPr>
              <w:spacing w:before="0" w:after="0"/>
              <w:jc w:val="right"/>
              <w:rPr>
                <w:rFonts w:ascii="Arial" w:hAnsi="Arial" w:cs="Arial"/>
                <w:noProof/>
                <w:sz w:val="20"/>
                <w:szCs w:val="20"/>
              </w:rPr>
            </w:pPr>
            <w:r>
              <w:rPr>
                <w:rFonts w:ascii="Arial" w:hAnsi="Arial"/>
                <w:b/>
                <w:noProof/>
                <w:sz w:val="20"/>
              </w:rPr>
              <w:t>15</w:t>
            </w:r>
          </w:p>
        </w:tc>
      </w:tr>
      <w:tr>
        <w:trPr>
          <w:trHeight w:val="330"/>
        </w:trPr>
        <w:tc>
          <w:tcPr>
            <w:tcW w:w="268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Iš viso</w:t>
            </w:r>
          </w:p>
        </w:tc>
        <w:tc>
          <w:tcPr>
            <w:tcW w:w="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134,33</w:t>
            </w:r>
          </w:p>
        </w:tc>
        <w:tc>
          <w:tcPr>
            <w:tcW w:w="97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292,33</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67,33</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10</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17</w:t>
            </w:r>
          </w:p>
        </w:tc>
        <w:tc>
          <w:tcPr>
            <w:tcW w:w="9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3</w:t>
            </w:r>
          </w:p>
        </w:tc>
        <w:tc>
          <w:tcPr>
            <w:tcW w:w="112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524</w:t>
            </w:r>
          </w:p>
        </w:tc>
      </w:tr>
    </w:tbl>
    <w:p>
      <w:pPr>
        <w:pStyle w:val="Heading2"/>
        <w:numPr>
          <w:ilvl w:val="0"/>
          <w:numId w:val="0"/>
        </w:numPr>
        <w:spacing w:before="0" w:after="0"/>
        <w:rPr>
          <w:noProof/>
        </w:rPr>
      </w:pPr>
    </w:p>
    <w:p>
      <w:pPr>
        <w:pStyle w:val="ManualHeading2"/>
        <w:rPr>
          <w:noProof/>
        </w:rPr>
      </w:pPr>
      <w:r>
        <w:t>2.2.</w:t>
      </w:r>
      <w:r>
        <w:tab/>
      </w:r>
      <w:r>
        <w:rPr>
          <w:noProof/>
        </w:rPr>
        <w:t>Gavėjų skaičius pagal budėjimo tipą</w:t>
      </w:r>
    </w:p>
    <w:tbl>
      <w:tblPr>
        <w:tblW w:w="8900" w:type="dxa"/>
        <w:tblInd w:w="93" w:type="dxa"/>
        <w:tblLook w:val="0000" w:firstRow="0" w:lastRow="0" w:firstColumn="0" w:lastColumn="0" w:noHBand="0" w:noVBand="0"/>
      </w:tblPr>
      <w:tblGrid>
        <w:gridCol w:w="2860"/>
        <w:gridCol w:w="1120"/>
        <w:gridCol w:w="1720"/>
        <w:gridCol w:w="2080"/>
        <w:gridCol w:w="1120"/>
      </w:tblGrid>
      <w:tr>
        <w:trPr>
          <w:trHeight w:val="51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Namuose</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Namuose ir darbo vietoje</w:t>
            </w:r>
          </w:p>
        </w:tc>
        <w:tc>
          <w:tcPr>
            <w:tcW w:w="208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Darbo vietoje</w:t>
            </w:r>
          </w:p>
        </w:tc>
        <w:tc>
          <w:tcPr>
            <w:tcW w:w="112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230"/>
        </w:trPr>
        <w:tc>
          <w:tcPr>
            <w:tcW w:w="286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1720"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2080" w:type="dxa"/>
            <w:vMerge/>
            <w:tcBorders>
              <w:top w:val="single" w:sz="4" w:space="0" w:color="auto"/>
              <w:left w:val="single" w:sz="4" w:space="0" w:color="auto"/>
              <w:bottom w:val="single" w:sz="4" w:space="0" w:color="000000"/>
              <w:right w:val="single" w:sz="8" w:space="0" w:color="auto"/>
            </w:tcBorders>
            <w:vAlign w:val="center"/>
          </w:tcPr>
          <w:p>
            <w:pPr>
              <w:spacing w:before="0" w:after="0"/>
              <w:jc w:val="left"/>
              <w:rPr>
                <w:rFonts w:ascii="Arial" w:hAnsi="Arial" w:cs="Arial"/>
                <w:b/>
                <w:bCs/>
                <w:noProof/>
                <w:sz w:val="20"/>
                <w:szCs w:val="20"/>
              </w:rPr>
            </w:pPr>
          </w:p>
        </w:tc>
        <w:tc>
          <w:tcPr>
            <w:tcW w:w="1120"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74"/>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Komisija</w:t>
            </w:r>
          </w:p>
        </w:tc>
        <w:tc>
          <w:tcPr>
            <w:tcW w:w="112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379</w:t>
            </w:r>
          </w:p>
        </w:tc>
        <w:tc>
          <w:tcPr>
            <w:tcW w:w="1720" w:type="dxa"/>
            <w:tcBorders>
              <w:top w:val="nil"/>
              <w:left w:val="nil"/>
              <w:bottom w:val="single" w:sz="4" w:space="0" w:color="auto"/>
              <w:right w:val="single" w:sz="4" w:space="0" w:color="auto"/>
            </w:tcBorders>
            <w:shd w:val="clear" w:color="auto" w:fill="FFFFFF"/>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FFFFFF"/>
            <w:vAlign w:val="center"/>
          </w:tcPr>
          <w:p>
            <w:pPr>
              <w:spacing w:before="0" w:after="0"/>
              <w:jc w:val="right"/>
              <w:rPr>
                <w:rFonts w:ascii="Arial" w:hAnsi="Arial" w:cs="Arial"/>
                <w:noProof/>
                <w:sz w:val="20"/>
                <w:szCs w:val="20"/>
              </w:rPr>
            </w:pPr>
            <w:r>
              <w:rPr>
                <w:rFonts w:ascii="Arial" w:hAnsi="Arial"/>
                <w:noProof/>
                <w:sz w:val="20"/>
              </w:rPr>
              <w:t>15</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394</w:t>
            </w:r>
          </w:p>
        </w:tc>
      </w:tr>
      <w:tr>
        <w:trPr>
          <w:trHeight w:val="214"/>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112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138</w:t>
            </w:r>
          </w:p>
        </w:tc>
        <w:tc>
          <w:tcPr>
            <w:tcW w:w="1720" w:type="dxa"/>
            <w:tcBorders>
              <w:top w:val="nil"/>
              <w:left w:val="nil"/>
              <w:bottom w:val="single" w:sz="4" w:space="0" w:color="auto"/>
              <w:right w:val="single" w:sz="4"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2080" w:type="dxa"/>
            <w:tcBorders>
              <w:top w:val="nil"/>
              <w:left w:val="nil"/>
              <w:bottom w:val="single" w:sz="4" w:space="0" w:color="auto"/>
              <w:right w:val="nil"/>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14</w:t>
            </w:r>
          </w:p>
        </w:tc>
        <w:tc>
          <w:tcPr>
            <w:tcW w:w="1120" w:type="dxa"/>
            <w:tcBorders>
              <w:top w:val="single" w:sz="8"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noProof/>
                <w:color w:val="808080"/>
                <w:sz w:val="20"/>
              </w:rPr>
              <w:t>152</w:t>
            </w:r>
          </w:p>
        </w:tc>
      </w:tr>
      <w:tr>
        <w:trPr>
          <w:trHeight w:val="214"/>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Taryba</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71</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71</w:t>
            </w:r>
          </w:p>
        </w:tc>
      </w:tr>
      <w:tr>
        <w:trPr>
          <w:trHeight w:val="202"/>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Parlamentas</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r>
      <w:tr>
        <w:trPr>
          <w:trHeight w:val="178"/>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Teisingumo Teismas</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24</w:t>
            </w:r>
          </w:p>
        </w:tc>
      </w:tr>
      <w:tr>
        <w:trPr>
          <w:trHeight w:val="178"/>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Audito Rūmai</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14</w:t>
            </w:r>
          </w:p>
        </w:tc>
      </w:tr>
      <w:tr>
        <w:trPr>
          <w:trHeight w:val="166"/>
        </w:trPr>
        <w:tc>
          <w:tcPr>
            <w:tcW w:w="2860" w:type="dxa"/>
            <w:tcBorders>
              <w:top w:val="nil"/>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EESRK</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w:t>
            </w:r>
          </w:p>
        </w:tc>
      </w:tr>
      <w:tr>
        <w:trPr>
          <w:trHeight w:val="154"/>
        </w:trPr>
        <w:tc>
          <w:tcPr>
            <w:tcW w:w="2860" w:type="dxa"/>
            <w:tcBorders>
              <w:top w:val="nil"/>
              <w:left w:val="single" w:sz="4" w:space="0" w:color="auto"/>
              <w:bottom w:val="single" w:sz="4" w:space="0" w:color="auto"/>
              <w:right w:val="single" w:sz="4"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RK</w:t>
            </w:r>
          </w:p>
        </w:tc>
        <w:tc>
          <w:tcPr>
            <w:tcW w:w="11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4</w:t>
            </w:r>
          </w:p>
        </w:tc>
        <w:tc>
          <w:tcPr>
            <w:tcW w:w="1720" w:type="dxa"/>
            <w:tcBorders>
              <w:top w:val="nil"/>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nil"/>
              <w:left w:val="nil"/>
              <w:bottom w:val="single" w:sz="4"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4</w:t>
            </w:r>
          </w:p>
        </w:tc>
      </w:tr>
      <w:tr>
        <w:trPr>
          <w:trHeight w:val="154"/>
        </w:trPr>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EDAPP</w:t>
            </w:r>
          </w:p>
        </w:tc>
        <w:tc>
          <w:tcPr>
            <w:tcW w:w="112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72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single" w:sz="4" w:space="0" w:color="auto"/>
              <w:left w:val="nil"/>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r>
      <w:tr>
        <w:trPr>
          <w:trHeight w:val="262"/>
        </w:trPr>
        <w:tc>
          <w:tcPr>
            <w:tcW w:w="286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Ombudsmenas</w:t>
            </w:r>
          </w:p>
        </w:tc>
        <w:tc>
          <w:tcPr>
            <w:tcW w:w="112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720" w:type="dxa"/>
            <w:tcBorders>
              <w:top w:val="single" w:sz="4" w:space="0" w:color="auto"/>
              <w:left w:val="nil"/>
              <w:bottom w:val="nil"/>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single" w:sz="4" w:space="0" w:color="auto"/>
              <w:left w:val="nil"/>
              <w:bottom w:val="nil"/>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r>
      <w:tr>
        <w:trPr>
          <w:trHeight w:val="214"/>
        </w:trPr>
        <w:tc>
          <w:tcPr>
            <w:tcW w:w="2860" w:type="dxa"/>
            <w:tcBorders>
              <w:top w:val="nil"/>
              <w:left w:val="single" w:sz="4" w:space="0" w:color="auto"/>
              <w:bottom w:val="single" w:sz="2"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EIVT</w:t>
            </w:r>
          </w:p>
        </w:tc>
        <w:tc>
          <w:tcPr>
            <w:tcW w:w="112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15</w:t>
            </w:r>
          </w:p>
        </w:tc>
        <w:tc>
          <w:tcPr>
            <w:tcW w:w="1720" w:type="dxa"/>
            <w:tcBorders>
              <w:top w:val="single" w:sz="4" w:space="0" w:color="auto"/>
              <w:left w:val="nil"/>
              <w:bottom w:val="single" w:sz="2"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80" w:type="dxa"/>
            <w:tcBorders>
              <w:top w:val="single" w:sz="4" w:space="0" w:color="auto"/>
              <w:left w:val="nil"/>
              <w:bottom w:val="single" w:sz="2" w:space="0" w:color="auto"/>
              <w:right w:val="nil"/>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120" w:type="dxa"/>
            <w:tcBorders>
              <w:top w:val="single" w:sz="8" w:space="0" w:color="auto"/>
              <w:left w:val="single" w:sz="8" w:space="0" w:color="auto"/>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b/>
                <w:noProof/>
                <w:sz w:val="20"/>
              </w:rPr>
              <w:t>15</w:t>
            </w:r>
          </w:p>
        </w:tc>
      </w:tr>
      <w:tr>
        <w:trPr>
          <w:trHeight w:val="330"/>
        </w:trPr>
        <w:tc>
          <w:tcPr>
            <w:tcW w:w="286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Iš viso</w:t>
            </w:r>
          </w:p>
        </w:tc>
        <w:tc>
          <w:tcPr>
            <w:tcW w:w="11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509</w:t>
            </w:r>
          </w:p>
        </w:tc>
        <w:tc>
          <w:tcPr>
            <w:tcW w:w="17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0</w:t>
            </w:r>
          </w:p>
        </w:tc>
        <w:tc>
          <w:tcPr>
            <w:tcW w:w="208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15</w:t>
            </w:r>
          </w:p>
        </w:tc>
        <w:tc>
          <w:tcPr>
            <w:tcW w:w="11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524</w:t>
            </w:r>
          </w:p>
        </w:tc>
      </w:tr>
    </w:tbl>
    <w:p>
      <w:pPr>
        <w:pStyle w:val="ManualHeading2"/>
        <w:rPr>
          <w:noProof/>
        </w:rPr>
      </w:pPr>
      <w:r>
        <w:t>2.3.</w:t>
      </w:r>
      <w:r>
        <w:tab/>
      </w:r>
      <w:r>
        <w:rPr>
          <w:noProof/>
        </w:rPr>
        <w:t>Gavėjų skaičius pagal įdarbinimo vietą</w:t>
      </w:r>
    </w:p>
    <w:tbl>
      <w:tblPr>
        <w:tblW w:w="9975" w:type="dxa"/>
        <w:tblInd w:w="93" w:type="dxa"/>
        <w:tblLayout w:type="fixed"/>
        <w:tblLook w:val="0000" w:firstRow="0" w:lastRow="0" w:firstColumn="0" w:lastColumn="0" w:noHBand="0" w:noVBand="0"/>
      </w:tblPr>
      <w:tblGrid>
        <w:gridCol w:w="2036"/>
        <w:gridCol w:w="824"/>
        <w:gridCol w:w="1216"/>
        <w:gridCol w:w="1484"/>
        <w:gridCol w:w="1056"/>
        <w:gridCol w:w="718"/>
        <w:gridCol w:w="961"/>
        <w:gridCol w:w="840"/>
        <w:gridCol w:w="840"/>
      </w:tblGrid>
      <w:tr>
        <w:trPr>
          <w:trHeight w:val="645"/>
        </w:trPr>
        <w:tc>
          <w:tcPr>
            <w:tcW w:w="2036" w:type="dxa"/>
            <w:tcBorders>
              <w:top w:val="single" w:sz="4" w:space="0" w:color="auto"/>
              <w:left w:val="single" w:sz="4" w:space="0" w:color="auto"/>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824"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JRC</w:t>
            </w:r>
          </w:p>
        </w:tc>
        <w:tc>
          <w:tcPr>
            <w:tcW w:w="121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Netiesioginė veikla</w:t>
            </w:r>
          </w:p>
        </w:tc>
        <w:tc>
          <w:tcPr>
            <w:tcW w:w="1484"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Techninė įranga</w:t>
            </w:r>
          </w:p>
        </w:tc>
        <w:tc>
          <w:tcPr>
            <w:tcW w:w="1056"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Sauga</w:t>
            </w:r>
          </w:p>
        </w:tc>
        <w:tc>
          <w:tcPr>
            <w:tcW w:w="718"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IRT</w:t>
            </w:r>
          </w:p>
        </w:tc>
        <w:tc>
          <w:tcPr>
            <w:tcW w:w="961"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BUSP / BSGP</w:t>
            </w:r>
          </w:p>
        </w:tc>
        <w:tc>
          <w:tcPr>
            <w:tcW w:w="840" w:type="dxa"/>
            <w:tcBorders>
              <w:top w:val="single" w:sz="8" w:space="0" w:color="auto"/>
              <w:left w:val="nil"/>
              <w:bottom w:val="single" w:sz="4"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noProof/>
                <w:sz w:val="20"/>
              </w:rPr>
              <w:t>VN 24/7</w:t>
            </w:r>
          </w:p>
        </w:tc>
        <w:tc>
          <w:tcPr>
            <w:tcW w:w="84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274"/>
        </w:trPr>
        <w:tc>
          <w:tcPr>
            <w:tcW w:w="2036" w:type="dxa"/>
            <w:tcBorders>
              <w:top w:val="single" w:sz="4" w:space="0" w:color="auto"/>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rPr>
              <w:t>Komisija</w:t>
            </w:r>
          </w:p>
        </w:tc>
        <w:tc>
          <w:tcPr>
            <w:tcW w:w="824"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152</w:t>
            </w:r>
          </w:p>
        </w:tc>
        <w:tc>
          <w:tcPr>
            <w:tcW w:w="121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3</w:t>
            </w:r>
          </w:p>
        </w:tc>
        <w:tc>
          <w:tcPr>
            <w:tcW w:w="1484"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72</w:t>
            </w:r>
          </w:p>
        </w:tc>
        <w:tc>
          <w:tcPr>
            <w:tcW w:w="1056"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39</w:t>
            </w:r>
          </w:p>
        </w:tc>
        <w:tc>
          <w:tcPr>
            <w:tcW w:w="718"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83</w:t>
            </w:r>
          </w:p>
        </w:tc>
        <w:tc>
          <w:tcPr>
            <w:tcW w:w="961" w:type="dxa"/>
            <w:tcBorders>
              <w:top w:val="single" w:sz="4" w:space="0" w:color="auto"/>
              <w:left w:val="nil"/>
              <w:bottom w:val="single" w:sz="4" w:space="0" w:color="auto"/>
              <w:right w:val="single" w:sz="4" w:space="0" w:color="auto"/>
            </w:tcBorders>
            <w:shd w:val="clear" w:color="auto" w:fill="FFFFFF"/>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shd w:val="clear" w:color="auto" w:fill="FFFFFF"/>
          </w:tcPr>
          <w:p>
            <w:pPr>
              <w:spacing w:before="0" w:after="0"/>
              <w:jc w:val="right"/>
              <w:rPr>
                <w:rFonts w:ascii="Arial" w:hAnsi="Arial" w:cs="Arial"/>
                <w:noProof/>
                <w:sz w:val="20"/>
                <w:szCs w:val="20"/>
              </w:rPr>
            </w:pPr>
            <w:r>
              <w:rPr>
                <w:rFonts w:ascii="Arial" w:hAnsi="Arial"/>
                <w:noProof/>
                <w:sz w:val="20"/>
              </w:rPr>
              <w:t>45</w:t>
            </w:r>
          </w:p>
        </w:tc>
        <w:tc>
          <w:tcPr>
            <w:tcW w:w="840" w:type="dxa"/>
            <w:tcBorders>
              <w:top w:val="single" w:sz="8" w:space="0" w:color="auto"/>
              <w:left w:val="single" w:sz="8" w:space="0" w:color="auto"/>
              <w:bottom w:val="single" w:sz="8" w:space="0" w:color="auto"/>
              <w:right w:val="single" w:sz="8" w:space="0" w:color="auto"/>
            </w:tcBorders>
            <w:shd w:val="clear" w:color="auto" w:fill="FFFFFF"/>
          </w:tcPr>
          <w:p>
            <w:pPr>
              <w:spacing w:before="0" w:after="0"/>
              <w:jc w:val="right"/>
              <w:rPr>
                <w:rFonts w:ascii="Arial" w:hAnsi="Arial" w:cs="Arial"/>
                <w:b/>
                <w:noProof/>
                <w:sz w:val="20"/>
                <w:szCs w:val="20"/>
              </w:rPr>
            </w:pPr>
            <w:r>
              <w:rPr>
                <w:rFonts w:ascii="Arial" w:hAnsi="Arial"/>
                <w:b/>
                <w:noProof/>
                <w:sz w:val="20"/>
              </w:rPr>
              <w:t>394</w:t>
            </w:r>
          </w:p>
        </w:tc>
      </w:tr>
      <w:tr>
        <w:trPr>
          <w:trHeight w:val="214"/>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824"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152</w:t>
            </w:r>
          </w:p>
        </w:tc>
        <w:tc>
          <w:tcPr>
            <w:tcW w:w="121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1484"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1056"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718"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961" w:type="dxa"/>
            <w:tcBorders>
              <w:top w:val="nil"/>
              <w:left w:val="nil"/>
              <w:bottom w:val="single" w:sz="4" w:space="0" w:color="auto"/>
              <w:right w:val="single" w:sz="4"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840" w:type="dxa"/>
            <w:tcBorders>
              <w:top w:val="single" w:sz="4" w:space="0" w:color="auto"/>
              <w:left w:val="single" w:sz="4" w:space="0" w:color="auto"/>
              <w:bottom w:val="single" w:sz="4" w:space="0" w:color="auto"/>
              <w:right w:val="single" w:sz="8" w:space="0" w:color="auto"/>
            </w:tcBorders>
            <w:shd w:val="clear" w:color="auto" w:fill="FFFFFF"/>
          </w:tcPr>
          <w:p>
            <w:pPr>
              <w:spacing w:before="0" w:after="0"/>
              <w:rPr>
                <w:rFonts w:ascii="Arial" w:hAnsi="Arial" w:cs="Arial"/>
                <w:i/>
                <w:iCs/>
                <w:noProof/>
                <w:color w:val="808080"/>
                <w:sz w:val="20"/>
                <w:szCs w:val="20"/>
              </w:rPr>
            </w:pPr>
            <w:r>
              <w:rPr>
                <w:rFonts w:ascii="Arial" w:hAnsi="Arial"/>
                <w:i/>
                <w:noProof/>
                <w:color w:val="808080"/>
                <w:sz w:val="20"/>
              </w:rPr>
              <w:t>0</w:t>
            </w:r>
          </w:p>
        </w:tc>
        <w:tc>
          <w:tcPr>
            <w:tcW w:w="840" w:type="dxa"/>
            <w:tcBorders>
              <w:top w:val="single" w:sz="8" w:space="0" w:color="auto"/>
              <w:left w:val="single" w:sz="8" w:space="0" w:color="auto"/>
              <w:bottom w:val="single" w:sz="8" w:space="0" w:color="auto"/>
              <w:right w:val="single" w:sz="8" w:space="0" w:color="auto"/>
            </w:tcBorders>
            <w:shd w:val="clear" w:color="auto" w:fill="FFFFFF"/>
          </w:tcPr>
          <w:p>
            <w:pPr>
              <w:spacing w:before="0" w:after="0"/>
              <w:rPr>
                <w:rFonts w:ascii="Arial" w:hAnsi="Arial" w:cs="Arial"/>
                <w:b/>
                <w:i/>
                <w:iCs/>
                <w:noProof/>
                <w:color w:val="808080"/>
                <w:sz w:val="20"/>
                <w:szCs w:val="20"/>
              </w:rPr>
            </w:pPr>
            <w:r>
              <w:rPr>
                <w:rFonts w:ascii="Arial" w:hAnsi="Arial"/>
                <w:b/>
                <w:i/>
                <w:noProof/>
                <w:color w:val="808080"/>
                <w:sz w:val="20"/>
              </w:rPr>
              <w:t>152</w:t>
            </w:r>
          </w:p>
        </w:tc>
      </w:tr>
      <w:tr>
        <w:trPr>
          <w:trHeight w:val="202"/>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rPr>
              <w:t>Taryba</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19</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45</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7</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71</w:t>
            </w:r>
          </w:p>
        </w:tc>
      </w:tr>
      <w:tr>
        <w:trPr>
          <w:trHeight w:val="202"/>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rPr>
              <w:t>Parlamentas</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r>
      <w:tr>
        <w:trPr>
          <w:trHeight w:val="178"/>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rPr>
              <w:t>Teisingumo Teismas</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14</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10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24</w:t>
            </w:r>
          </w:p>
        </w:tc>
      </w:tr>
      <w:tr>
        <w:trPr>
          <w:trHeight w:val="166"/>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rPr>
              <w:t>Audito Rūmai</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14</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14</w:t>
            </w:r>
          </w:p>
        </w:tc>
      </w:tr>
      <w:tr>
        <w:trPr>
          <w:trHeight w:val="166"/>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rPr>
              <w:t>EESRK</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2</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2</w:t>
            </w:r>
          </w:p>
        </w:tc>
      </w:tr>
      <w:tr>
        <w:trPr>
          <w:trHeight w:val="154"/>
        </w:trPr>
        <w:tc>
          <w:tcPr>
            <w:tcW w:w="2036" w:type="dxa"/>
            <w:tcBorders>
              <w:top w:val="nil"/>
              <w:left w:val="single" w:sz="4" w:space="0" w:color="auto"/>
              <w:bottom w:val="single" w:sz="4" w:space="0" w:color="auto"/>
              <w:right w:val="single" w:sz="4" w:space="0" w:color="auto"/>
            </w:tcBorders>
            <w:shd w:val="clear" w:color="auto" w:fill="auto"/>
          </w:tcPr>
          <w:p>
            <w:pPr>
              <w:spacing w:before="0" w:after="0"/>
              <w:jc w:val="left"/>
              <w:rPr>
                <w:rFonts w:ascii="Arial" w:hAnsi="Arial" w:cs="Arial"/>
                <w:noProof/>
                <w:sz w:val="20"/>
                <w:szCs w:val="20"/>
              </w:rPr>
            </w:pPr>
            <w:r>
              <w:rPr>
                <w:rFonts w:ascii="Arial" w:hAnsi="Arial"/>
                <w:noProof/>
                <w:sz w:val="20"/>
              </w:rPr>
              <w:t>RK</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4</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4</w:t>
            </w:r>
          </w:p>
        </w:tc>
      </w:tr>
      <w:tr>
        <w:trPr>
          <w:trHeight w:val="142"/>
        </w:trPr>
        <w:tc>
          <w:tcPr>
            <w:tcW w:w="2036" w:type="dxa"/>
            <w:tcBorders>
              <w:top w:val="nil"/>
              <w:left w:val="single" w:sz="4" w:space="0" w:color="auto"/>
              <w:bottom w:val="single" w:sz="4"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rPr>
              <w:t>EDAPP</w:t>
            </w:r>
          </w:p>
        </w:tc>
        <w:tc>
          <w:tcPr>
            <w:tcW w:w="82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718"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nil"/>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r>
      <w:tr>
        <w:trPr>
          <w:trHeight w:val="142"/>
        </w:trPr>
        <w:tc>
          <w:tcPr>
            <w:tcW w:w="2036" w:type="dxa"/>
            <w:tcBorders>
              <w:top w:val="single" w:sz="4" w:space="0" w:color="auto"/>
              <w:left w:val="single" w:sz="4" w:space="0" w:color="auto"/>
              <w:bottom w:val="nil"/>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rPr>
              <w:t>Ombudsmenas</w:t>
            </w:r>
          </w:p>
        </w:tc>
        <w:tc>
          <w:tcPr>
            <w:tcW w:w="824"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718"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961" w:type="dxa"/>
            <w:tcBorders>
              <w:top w:val="single" w:sz="4" w:space="0" w:color="auto"/>
              <w:left w:val="nil"/>
              <w:bottom w:val="single" w:sz="4"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4"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r>
      <w:tr>
        <w:trPr>
          <w:trHeight w:val="118"/>
        </w:trPr>
        <w:tc>
          <w:tcPr>
            <w:tcW w:w="2036" w:type="dxa"/>
            <w:tcBorders>
              <w:top w:val="single" w:sz="4" w:space="0" w:color="auto"/>
              <w:left w:val="single" w:sz="4" w:space="0" w:color="auto"/>
              <w:bottom w:val="single" w:sz="2" w:space="0" w:color="auto"/>
              <w:right w:val="single" w:sz="4" w:space="0" w:color="auto"/>
            </w:tcBorders>
            <w:shd w:val="clear" w:color="auto" w:fill="FFFFFF"/>
          </w:tcPr>
          <w:p>
            <w:pPr>
              <w:spacing w:before="0" w:after="0"/>
              <w:jc w:val="left"/>
              <w:rPr>
                <w:rFonts w:ascii="Arial" w:hAnsi="Arial" w:cs="Arial"/>
                <w:noProof/>
                <w:sz w:val="20"/>
                <w:szCs w:val="20"/>
              </w:rPr>
            </w:pPr>
            <w:r>
              <w:rPr>
                <w:rFonts w:ascii="Arial" w:hAnsi="Arial"/>
                <w:noProof/>
                <w:sz w:val="20"/>
              </w:rPr>
              <w:t>EIVT</w:t>
            </w:r>
          </w:p>
        </w:tc>
        <w:tc>
          <w:tcPr>
            <w:tcW w:w="824"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21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484"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0</w:t>
            </w:r>
          </w:p>
        </w:tc>
        <w:tc>
          <w:tcPr>
            <w:tcW w:w="1056"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3</w:t>
            </w:r>
          </w:p>
        </w:tc>
        <w:tc>
          <w:tcPr>
            <w:tcW w:w="718"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9</w:t>
            </w:r>
          </w:p>
        </w:tc>
        <w:tc>
          <w:tcPr>
            <w:tcW w:w="961" w:type="dxa"/>
            <w:tcBorders>
              <w:top w:val="single" w:sz="4" w:space="0" w:color="auto"/>
              <w:left w:val="nil"/>
              <w:bottom w:val="single" w:sz="2" w:space="0" w:color="auto"/>
              <w:right w:val="single" w:sz="4" w:space="0" w:color="auto"/>
            </w:tcBorders>
            <w:shd w:val="clear" w:color="auto" w:fill="auto"/>
          </w:tcPr>
          <w:p>
            <w:pPr>
              <w:spacing w:before="0" w:after="0"/>
              <w:jc w:val="right"/>
              <w:rPr>
                <w:rFonts w:ascii="Arial" w:hAnsi="Arial" w:cs="Arial"/>
                <w:noProof/>
                <w:sz w:val="20"/>
                <w:szCs w:val="20"/>
              </w:rPr>
            </w:pPr>
            <w:r>
              <w:rPr>
                <w:rFonts w:ascii="Arial" w:hAnsi="Arial"/>
                <w:noProof/>
                <w:sz w:val="20"/>
              </w:rPr>
              <w:t>3</w:t>
            </w:r>
          </w:p>
        </w:tc>
        <w:tc>
          <w:tcPr>
            <w:tcW w:w="840" w:type="dxa"/>
            <w:tcBorders>
              <w:top w:val="single" w:sz="4" w:space="0" w:color="auto"/>
              <w:left w:val="single" w:sz="4" w:space="0" w:color="auto"/>
              <w:bottom w:val="single" w:sz="2" w:space="0" w:color="auto"/>
              <w:right w:val="single" w:sz="8" w:space="0" w:color="auto"/>
            </w:tcBorders>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15</w:t>
            </w:r>
          </w:p>
        </w:tc>
      </w:tr>
      <w:tr>
        <w:trPr>
          <w:trHeight w:val="330"/>
        </w:trPr>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iCs/>
                <w:noProof/>
                <w:sz w:val="20"/>
                <w:szCs w:val="20"/>
              </w:rPr>
            </w:pPr>
            <w:r>
              <w:rPr>
                <w:rFonts w:ascii="Arial" w:hAnsi="Arial"/>
                <w:b/>
                <w:noProof/>
                <w:sz w:val="20"/>
              </w:rPr>
              <w:t>Iš viso</w:t>
            </w:r>
          </w:p>
        </w:tc>
        <w:tc>
          <w:tcPr>
            <w:tcW w:w="824"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152</w:t>
            </w:r>
          </w:p>
        </w:tc>
        <w:tc>
          <w:tcPr>
            <w:tcW w:w="121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3</w:t>
            </w:r>
          </w:p>
        </w:tc>
        <w:tc>
          <w:tcPr>
            <w:tcW w:w="1484"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86</w:t>
            </w:r>
          </w:p>
        </w:tc>
        <w:tc>
          <w:tcPr>
            <w:tcW w:w="1056"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91</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137</w:t>
            </w:r>
          </w:p>
        </w:tc>
        <w:tc>
          <w:tcPr>
            <w:tcW w:w="961"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10</w:t>
            </w:r>
          </w:p>
        </w:tc>
        <w:tc>
          <w:tcPr>
            <w:tcW w:w="84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noProof/>
                <w:sz w:val="20"/>
              </w:rPr>
              <w:t>45</w:t>
            </w:r>
          </w:p>
        </w:tc>
        <w:tc>
          <w:tcPr>
            <w:tcW w:w="84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noProof/>
                <w:sz w:val="20"/>
              </w:rPr>
              <w:t>524</w:t>
            </w:r>
          </w:p>
        </w:tc>
      </w:tr>
    </w:tbl>
    <w:p>
      <w:pPr>
        <w:pStyle w:val="Heading1"/>
        <w:numPr>
          <w:ilvl w:val="0"/>
          <w:numId w:val="0"/>
        </w:numPr>
        <w:spacing w:before="0" w:after="0"/>
        <w:ind w:left="850"/>
        <w:rPr>
          <w:bCs w:val="0"/>
          <w:smallCaps w:val="0"/>
          <w:noProof/>
          <w:szCs w:val="24"/>
        </w:rPr>
      </w:pPr>
    </w:p>
    <w:p>
      <w:pPr>
        <w:pStyle w:val="ManualHeading1"/>
        <w:rPr>
          <w:bCs/>
          <w:noProof/>
        </w:rPr>
      </w:pPr>
      <w:r>
        <w:t>3.</w:t>
      </w:r>
      <w:r>
        <w:tab/>
      </w:r>
      <w:r>
        <w:rPr>
          <w:noProof/>
        </w:rPr>
        <w:t>Išmokos už ypač sunkias darbo sąlygas</w:t>
      </w:r>
    </w:p>
    <w:p>
      <w:pPr>
        <w:rPr>
          <w:noProof/>
        </w:rPr>
      </w:pPr>
      <w:r>
        <w:rPr>
          <w:noProof/>
        </w:rPr>
        <w:t>Šių išmokų teisinis pagrindas – Tarnybos nuostatų 56c straipsnis ir 2004 m. balandžio 29 d. Tarybos reglamentas Nr. 858/2004, pakeitęs Tarybos reglamentą Nr. 1799/72.</w:t>
      </w:r>
      <w:r>
        <w:rPr>
          <w:noProof/>
        </w:rPr>
        <w:tab/>
      </w:r>
    </w:p>
    <w:p>
      <w:pPr>
        <w:rPr>
          <w:noProof/>
        </w:rPr>
      </w:pPr>
      <w:r>
        <w:rPr>
          <w:noProof/>
        </w:rPr>
        <w:t>Išmoka už ypač sunkias darbo sąlygas išreiškiama balais, kurie suteikiami už kiekvieną faktinio darbo valandą atsižvelgiant į skirtingas konkrečias darbo sąlygas, susijusias su asmens apsauga, darbo vieta ir darbo pobūdžiu. Balų skaičius svyruoja nuo 2 (pavyzdžiui, kai vidutinis garso lygis viršija 85 decibelus) iki 50 (kai pareigūnas privalo dėvėti apsauginį priešgaisrinį kostiumą su deguonies balionu). Kiekvienas balas lygus 0,032 % 1 lygio 1 pakopos pareigūno bazinio darbo užmokesčio (= 0,92 EUR 2017 m.).</w:t>
      </w:r>
    </w:p>
    <w:p>
      <w:pPr>
        <w:spacing w:before="0" w:after="0"/>
        <w:rPr>
          <w:noProof/>
        </w:rPr>
      </w:pPr>
    </w:p>
    <w:p>
      <w:pPr>
        <w:pStyle w:val="ManualHeading2"/>
        <w:rPr>
          <w:bCs/>
          <w:noProof/>
        </w:rPr>
      </w:pPr>
      <w:r>
        <w:t>3.1.</w:t>
      </w:r>
      <w:r>
        <w:tab/>
      </w:r>
      <w:r>
        <w:rPr>
          <w:noProof/>
        </w:rPr>
        <w:t>Gavėjų (pareigūnų, laikinųjų darbuotojų, sutartininkų) skaičius</w:t>
      </w:r>
    </w:p>
    <w:tbl>
      <w:tblPr>
        <w:tblW w:w="9100" w:type="dxa"/>
        <w:tblInd w:w="93" w:type="dxa"/>
        <w:tblLook w:val="0000" w:firstRow="0" w:lastRow="0" w:firstColumn="0" w:lastColumn="0" w:noHBand="0" w:noVBand="0"/>
      </w:tblPr>
      <w:tblGrid>
        <w:gridCol w:w="2295"/>
        <w:gridCol w:w="960"/>
        <w:gridCol w:w="960"/>
        <w:gridCol w:w="840"/>
        <w:gridCol w:w="960"/>
        <w:gridCol w:w="1080"/>
        <w:gridCol w:w="1045"/>
        <w:gridCol w:w="960"/>
      </w:tblGrid>
      <w:tr>
        <w:trPr>
          <w:trHeight w:val="330"/>
        </w:trPr>
        <w:tc>
          <w:tcPr>
            <w:tcW w:w="229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AD</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SC-AST</w:t>
            </w:r>
          </w:p>
        </w:tc>
        <w:tc>
          <w:tcPr>
            <w:tcW w:w="3925" w:type="dxa"/>
            <w:gridSpan w:val="4"/>
            <w:tcBorders>
              <w:top w:val="single" w:sz="8" w:space="0" w:color="auto"/>
              <w:left w:val="nil"/>
              <w:bottom w:val="single" w:sz="4"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Sutartininkai</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330"/>
        </w:trPr>
        <w:tc>
          <w:tcPr>
            <w:tcW w:w="2295"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tcPr>
          <w:p>
            <w:pPr>
              <w:spacing w:before="0" w:after="0"/>
              <w:jc w:val="left"/>
              <w:rPr>
                <w:rFonts w:ascii="Arial" w:hAnsi="Arial" w:cs="Arial"/>
                <w:b/>
                <w:bCs/>
                <w:noProof/>
                <w:sz w:val="20"/>
                <w:szCs w:val="20"/>
              </w:rPr>
            </w:pPr>
          </w:p>
        </w:tc>
        <w:tc>
          <w:tcPr>
            <w:tcW w:w="84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 PG</w:t>
            </w:r>
          </w:p>
        </w:tc>
        <w:tc>
          <w:tcPr>
            <w:tcW w:w="96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II PG</w:t>
            </w:r>
          </w:p>
        </w:tc>
        <w:tc>
          <w:tcPr>
            <w:tcW w:w="1080"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III PG</w:t>
            </w:r>
          </w:p>
        </w:tc>
        <w:tc>
          <w:tcPr>
            <w:tcW w:w="1045" w:type="dxa"/>
            <w:tcBorders>
              <w:top w:val="nil"/>
              <w:left w:val="nil"/>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IV PG</w:t>
            </w:r>
          </w:p>
        </w:tc>
        <w:tc>
          <w:tcPr>
            <w:tcW w:w="960"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Komisija</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33</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155</w:t>
            </w:r>
          </w:p>
        </w:tc>
        <w:tc>
          <w:tcPr>
            <w:tcW w:w="84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25</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222</w:t>
            </w:r>
          </w:p>
        </w:tc>
      </w:tr>
      <w:tr>
        <w:trPr>
          <w:trHeight w:val="315"/>
        </w:trPr>
        <w:tc>
          <w:tcPr>
            <w:tcW w:w="2295" w:type="dxa"/>
            <w:tcBorders>
              <w:top w:val="nil"/>
              <w:left w:val="single" w:sz="8" w:space="0" w:color="auto"/>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33</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149</w:t>
            </w:r>
          </w:p>
        </w:tc>
        <w:tc>
          <w:tcPr>
            <w:tcW w:w="84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16</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1</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045" w:type="dxa"/>
            <w:tcBorders>
              <w:top w:val="nil"/>
              <w:left w:val="nil"/>
              <w:bottom w:val="single" w:sz="4" w:space="0" w:color="auto"/>
              <w:right w:val="single" w:sz="8" w:space="0" w:color="auto"/>
            </w:tcBorders>
            <w:shd w:val="clear" w:color="auto" w:fill="auto"/>
            <w:noWrap/>
            <w:vAlign w:val="center"/>
          </w:tcPr>
          <w:p>
            <w:pPr>
              <w:spacing w:before="0" w:after="0"/>
              <w:jc w:val="left"/>
              <w:rPr>
                <w:rFonts w:ascii="Arial" w:hAnsi="Arial" w:cs="Arial"/>
                <w:i/>
                <w:iCs/>
                <w:noProof/>
                <w:color w:val="808080"/>
                <w:sz w:val="20"/>
                <w:szCs w:val="20"/>
              </w:rPr>
            </w:pPr>
            <w:r>
              <w:rPr>
                <w:rFonts w:ascii="Arial" w:hAnsi="Arial"/>
                <w:i/>
                <w:noProof/>
                <w:color w:val="808080"/>
                <w:sz w:val="20"/>
              </w:rPr>
              <w:t>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left"/>
              <w:rPr>
                <w:rFonts w:ascii="Arial" w:hAnsi="Arial" w:cs="Arial"/>
                <w:b/>
                <w:i/>
                <w:iCs/>
                <w:noProof/>
                <w:color w:val="808080"/>
                <w:sz w:val="20"/>
                <w:szCs w:val="20"/>
              </w:rPr>
            </w:pPr>
            <w:r>
              <w:rPr>
                <w:rFonts w:ascii="Arial" w:hAnsi="Arial"/>
                <w:b/>
                <w:i/>
                <w:noProof/>
                <w:color w:val="808080"/>
                <w:sz w:val="20"/>
              </w:rPr>
              <w:t>207</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Taryba</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6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Parlamentas</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5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Teisingumo Teismas</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Audito Rūmai</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42"/>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EESRK</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214"/>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RK</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EDAPP</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106"/>
        </w:trPr>
        <w:tc>
          <w:tcPr>
            <w:tcW w:w="2295" w:type="dxa"/>
            <w:tcBorders>
              <w:top w:val="nil"/>
              <w:left w:val="single" w:sz="8"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Ombudsmenas</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nil"/>
              <w:left w:val="nil"/>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8" w:space="0" w:color="auto"/>
              <w:left w:val="single" w:sz="8" w:space="0" w:color="auto"/>
              <w:bottom w:val="single" w:sz="4" w:space="0" w:color="auto"/>
              <w:right w:val="single" w:sz="8"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94"/>
        </w:trPr>
        <w:tc>
          <w:tcPr>
            <w:tcW w:w="2295"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EIVT</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84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1045"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c>
          <w:tcPr>
            <w:tcW w:w="960" w:type="dxa"/>
            <w:tcBorders>
              <w:top w:val="single" w:sz="4" w:space="0" w:color="auto"/>
              <w:left w:val="single" w:sz="4" w:space="0" w:color="auto"/>
              <w:bottom w:val="single" w:sz="2" w:space="0" w:color="auto"/>
              <w:right w:val="single" w:sz="4" w:space="0" w:color="auto"/>
            </w:tcBorders>
            <w:shd w:val="clear" w:color="auto" w:fill="auto"/>
            <w:noWrap/>
          </w:tcPr>
          <w:p>
            <w:pPr>
              <w:spacing w:before="0" w:after="0"/>
              <w:jc w:val="right"/>
              <w:rPr>
                <w:rFonts w:ascii="Arial" w:hAnsi="Arial" w:cs="Arial"/>
                <w:noProof/>
                <w:sz w:val="20"/>
                <w:szCs w:val="20"/>
              </w:rPr>
            </w:pPr>
            <w:r>
              <w:rPr>
                <w:rFonts w:ascii="Arial" w:hAnsi="Arial"/>
                <w:noProof/>
                <w:sz w:val="20"/>
              </w:rPr>
              <w:t>0</w:t>
            </w:r>
          </w:p>
        </w:tc>
      </w:tr>
      <w:tr>
        <w:trPr>
          <w:trHeight w:val="324"/>
        </w:trPr>
        <w:tc>
          <w:tcPr>
            <w:tcW w:w="229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noProof/>
                <w:sz w:val="20"/>
              </w:rPr>
              <w:t>Iš viso</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33</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155</w:t>
            </w: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25</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1</w:t>
            </w:r>
          </w:p>
        </w:tc>
        <w:tc>
          <w:tcPr>
            <w:tcW w:w="108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0</w:t>
            </w:r>
          </w:p>
        </w:tc>
        <w:tc>
          <w:tcPr>
            <w:tcW w:w="104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8</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noProof/>
                <w:sz w:val="20"/>
                <w:szCs w:val="20"/>
              </w:rPr>
            </w:pPr>
            <w:r>
              <w:rPr>
                <w:rFonts w:ascii="Arial" w:hAnsi="Arial"/>
                <w:b/>
                <w:noProof/>
                <w:sz w:val="20"/>
              </w:rPr>
              <w:t>222</w:t>
            </w:r>
          </w:p>
        </w:tc>
      </w:tr>
    </w:tbl>
    <w:p>
      <w:pPr>
        <w:pStyle w:val="ManualHeading1"/>
        <w:rPr>
          <w:bCs/>
          <w:noProof/>
        </w:rPr>
      </w:pPr>
      <w:r>
        <w:t>4.</w:t>
      </w:r>
      <w:r>
        <w:tab/>
      </w:r>
      <w:r>
        <w:rPr>
          <w:noProof/>
        </w:rPr>
        <w:t>Išmokos už nepertraukiamą arba pamaininį darbą</w:t>
      </w:r>
    </w:p>
    <w:p>
      <w:pPr>
        <w:spacing w:after="0"/>
        <w:rPr>
          <w:noProof/>
        </w:rPr>
      </w:pPr>
      <w:r>
        <w:rPr>
          <w:noProof/>
        </w:rPr>
        <w:t>Šių išmokų teisinis pagrindas – Tarnybos nuostatų 56a straipsnis ir 1976 m. vasario 9 d. Tarybos reglamentas Nr. 300/76 su paskutiniais pakeitimais, padarytais 2006 m. gruodžio 11 d. Tarybos reglamentu Nr. 1873/2006.</w:t>
      </w:r>
    </w:p>
    <w:p>
      <w:pPr>
        <w:spacing w:after="0"/>
        <w:rPr>
          <w:noProof/>
        </w:rPr>
      </w:pPr>
      <w:r>
        <w:rPr>
          <w:noProof/>
        </w:rPr>
        <w:t xml:space="preserve">Išmokos mokamos tik tiems pareigūnams ir kitiems tarnautojams, kuriems atlyginimas mokamas iš </w:t>
      </w:r>
      <w:r>
        <w:rPr>
          <w:i/>
          <w:noProof/>
        </w:rPr>
        <w:t>asignavimų moksliniams tyrimams</w:t>
      </w:r>
      <w:r>
        <w:rPr>
          <w:noProof/>
        </w:rPr>
        <w:t xml:space="preserve"> ir kurie:</w:t>
      </w:r>
    </w:p>
    <w:p>
      <w:pPr>
        <w:pStyle w:val="Tiret1"/>
        <w:numPr>
          <w:ilvl w:val="0"/>
          <w:numId w:val="25"/>
        </w:numPr>
        <w:tabs>
          <w:tab w:val="clear" w:pos="1417"/>
          <w:tab w:val="num" w:pos="720"/>
        </w:tabs>
        <w:spacing w:before="0" w:after="0"/>
        <w:ind w:left="720" w:hanging="360"/>
        <w:rPr>
          <w:noProof/>
        </w:rPr>
      </w:pPr>
      <w:r>
        <w:rPr>
          <w:noProof/>
        </w:rPr>
        <w:t>dirba Jungtinio tyrimų centro (JRC) padalinyje arba</w:t>
      </w:r>
    </w:p>
    <w:p>
      <w:pPr>
        <w:pStyle w:val="Tiret1"/>
        <w:numPr>
          <w:ilvl w:val="0"/>
          <w:numId w:val="25"/>
        </w:numPr>
        <w:tabs>
          <w:tab w:val="clear" w:pos="1417"/>
          <w:tab w:val="num" w:pos="720"/>
        </w:tabs>
        <w:spacing w:before="0" w:after="0"/>
        <w:ind w:left="720" w:hanging="360"/>
        <w:rPr>
          <w:noProof/>
        </w:rPr>
      </w:pPr>
      <w:r>
        <w:rPr>
          <w:noProof/>
        </w:rPr>
        <w:t xml:space="preserve">dalyvauja netiesioginėje veikloje arba </w:t>
      </w:r>
    </w:p>
    <w:p>
      <w:pPr>
        <w:spacing w:before="0" w:after="0"/>
        <w:rPr>
          <w:noProof/>
        </w:rPr>
      </w:pPr>
      <w:r>
        <w:rPr>
          <w:noProof/>
        </w:rPr>
        <w:t xml:space="preserve">kuriems atlyginimas mokamas iš </w:t>
      </w:r>
      <w:r>
        <w:rPr>
          <w:i/>
          <w:noProof/>
        </w:rPr>
        <w:t>veiklos asignavimų</w:t>
      </w:r>
      <w:r>
        <w:rPr>
          <w:noProof/>
        </w:rPr>
        <w:t xml:space="preserve"> ir kurie dirba:</w:t>
      </w:r>
    </w:p>
    <w:p>
      <w:pPr>
        <w:pStyle w:val="Tiret1"/>
        <w:numPr>
          <w:ilvl w:val="0"/>
          <w:numId w:val="25"/>
        </w:numPr>
        <w:tabs>
          <w:tab w:val="clear" w:pos="1417"/>
          <w:tab w:val="num" w:pos="720"/>
        </w:tabs>
        <w:spacing w:before="0" w:after="0"/>
        <w:ind w:left="720" w:hanging="360"/>
        <w:rPr>
          <w:noProof/>
        </w:rPr>
      </w:pPr>
      <w:r>
        <w:rPr>
          <w:noProof/>
        </w:rPr>
        <w:t>informacinių ir ryšių technologijų (IRT) tarnyboje,</w:t>
      </w:r>
    </w:p>
    <w:p>
      <w:pPr>
        <w:pStyle w:val="Tiret1"/>
        <w:numPr>
          <w:ilvl w:val="0"/>
          <w:numId w:val="25"/>
        </w:numPr>
        <w:tabs>
          <w:tab w:val="clear" w:pos="1417"/>
          <w:tab w:val="num" w:pos="720"/>
        </w:tabs>
        <w:spacing w:before="0" w:after="0"/>
        <w:ind w:left="720" w:hanging="360"/>
        <w:rPr>
          <w:noProof/>
        </w:rPr>
      </w:pPr>
      <w:r>
        <w:rPr>
          <w:noProof/>
        </w:rPr>
        <w:t>saugos tarnyboje,</w:t>
      </w:r>
    </w:p>
    <w:p>
      <w:pPr>
        <w:pStyle w:val="Tiret1"/>
        <w:numPr>
          <w:ilvl w:val="0"/>
          <w:numId w:val="25"/>
        </w:numPr>
        <w:tabs>
          <w:tab w:val="clear" w:pos="1417"/>
          <w:tab w:val="num" w:pos="720"/>
        </w:tabs>
        <w:spacing w:before="0" w:after="0"/>
        <w:ind w:left="720" w:hanging="360"/>
        <w:rPr>
          <w:noProof/>
        </w:rPr>
      </w:pPr>
      <w:r>
        <w:rPr>
          <w:noProof/>
        </w:rPr>
        <w:t>telefono komutatoriaus arba informacijos tarnyboje arba priimamajame,</w:t>
      </w:r>
    </w:p>
    <w:p>
      <w:pPr>
        <w:pStyle w:val="Tiret1"/>
        <w:numPr>
          <w:ilvl w:val="0"/>
          <w:numId w:val="25"/>
        </w:numPr>
        <w:tabs>
          <w:tab w:val="clear" w:pos="1417"/>
          <w:tab w:val="num" w:pos="720"/>
        </w:tabs>
        <w:spacing w:before="0" w:after="0"/>
        <w:ind w:left="720" w:hanging="360"/>
        <w:rPr>
          <w:noProof/>
        </w:rPr>
      </w:pPr>
      <w:r>
        <w:rPr>
          <w:noProof/>
        </w:rPr>
        <w:t>tarnyboje, teikiančioje paramą pagal bendrą užsienio ir saugumo politiką (BUSP) ir (arba) bendrą saugumo ir gynybos politiką (BSGP) vykdomoms operacijoms arba nepaprastosios padėties ir krizių koordinavimo priemonėms,</w:t>
      </w:r>
    </w:p>
    <w:p>
      <w:pPr>
        <w:pStyle w:val="Tiret1"/>
        <w:numPr>
          <w:ilvl w:val="0"/>
          <w:numId w:val="25"/>
        </w:numPr>
        <w:tabs>
          <w:tab w:val="clear" w:pos="1417"/>
          <w:tab w:val="num" w:pos="720"/>
        </w:tabs>
        <w:spacing w:before="0" w:after="0"/>
        <w:ind w:left="720" w:hanging="360"/>
        <w:rPr>
          <w:noProof/>
        </w:rPr>
      </w:pPr>
      <w:r>
        <w:rPr>
          <w:noProof/>
        </w:rPr>
        <w:t>tarnyboje, kurioje teikiama neatidėliotinų atvejų ir krizių koordinavimo pagalba, arba</w:t>
      </w:r>
    </w:p>
    <w:p>
      <w:pPr>
        <w:pStyle w:val="Tiret1"/>
        <w:numPr>
          <w:ilvl w:val="0"/>
          <w:numId w:val="25"/>
        </w:numPr>
        <w:tabs>
          <w:tab w:val="clear" w:pos="1417"/>
          <w:tab w:val="num" w:pos="720"/>
        </w:tabs>
        <w:spacing w:before="0" w:after="0"/>
        <w:ind w:left="720" w:hanging="360"/>
        <w:rPr>
          <w:noProof/>
        </w:rPr>
      </w:pPr>
      <w:r>
        <w:rPr>
          <w:noProof/>
        </w:rPr>
        <w:t>su technine įranga arba ją prižiūri.</w:t>
      </w:r>
    </w:p>
    <w:p>
      <w:pPr>
        <w:spacing w:after="0"/>
        <w:rPr>
          <w:noProof/>
        </w:rPr>
      </w:pPr>
      <w:r>
        <w:rPr>
          <w:noProof/>
        </w:rPr>
        <w:t>Toliau nurodyta, kiek išmokų 2017 m. skyrė kiekviena institucija.</w:t>
      </w:r>
    </w:p>
    <w:p>
      <w:pPr>
        <w:spacing w:before="0" w:after="0"/>
        <w:rPr>
          <w:noProof/>
        </w:rPr>
      </w:pPr>
    </w:p>
    <w:p>
      <w:pPr>
        <w:pStyle w:val="ManualHeading2"/>
        <w:rPr>
          <w:bCs/>
          <w:noProof/>
        </w:rPr>
      </w:pPr>
      <w:r>
        <w:t>4.1.</w:t>
      </w:r>
      <w:r>
        <w:tab/>
      </w:r>
      <w:r>
        <w:rPr>
          <w:noProof/>
        </w:rPr>
        <w:t>Gavėjų (pareigūnų, laikinųjų darbuotojų, sutartininkų) skaičius</w:t>
      </w:r>
    </w:p>
    <w:tbl>
      <w:tblPr>
        <w:tblW w:w="9314" w:type="dxa"/>
        <w:tblInd w:w="93" w:type="dxa"/>
        <w:tblLook w:val="0000" w:firstRow="0" w:lastRow="0" w:firstColumn="0" w:lastColumn="0" w:noHBand="0" w:noVBand="0"/>
      </w:tblPr>
      <w:tblGrid>
        <w:gridCol w:w="2658"/>
        <w:gridCol w:w="954"/>
        <w:gridCol w:w="954"/>
        <w:gridCol w:w="954"/>
        <w:gridCol w:w="954"/>
        <w:gridCol w:w="954"/>
        <w:gridCol w:w="835"/>
        <w:gridCol w:w="1051"/>
      </w:tblGrid>
      <w:tr>
        <w:trPr>
          <w:trHeight w:val="255"/>
        </w:trPr>
        <w:tc>
          <w:tcPr>
            <w:tcW w:w="2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AD</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SC-AST</w:t>
            </w:r>
          </w:p>
        </w:tc>
        <w:tc>
          <w:tcPr>
            <w:tcW w:w="3697" w:type="dxa"/>
            <w:gridSpan w:val="4"/>
            <w:tcBorders>
              <w:top w:val="single" w:sz="4" w:space="0" w:color="auto"/>
              <w:left w:val="nil"/>
              <w:bottom w:val="single" w:sz="4" w:space="0" w:color="auto"/>
              <w:right w:val="single" w:sz="8" w:space="0" w:color="auto"/>
            </w:tcBorders>
            <w:shd w:val="clear" w:color="auto" w:fill="auto"/>
            <w:noWrap/>
            <w:vAlign w:val="bottom"/>
          </w:tcPr>
          <w:p>
            <w:pPr>
              <w:spacing w:before="0" w:after="0"/>
              <w:jc w:val="center"/>
              <w:rPr>
                <w:rFonts w:ascii="Arial" w:hAnsi="Arial" w:cs="Arial"/>
                <w:b/>
                <w:bCs/>
                <w:noProof/>
                <w:sz w:val="20"/>
                <w:szCs w:val="20"/>
              </w:rPr>
            </w:pPr>
            <w:r>
              <w:rPr>
                <w:rFonts w:ascii="Arial" w:hAnsi="Arial"/>
                <w:b/>
                <w:noProof/>
                <w:sz w:val="20"/>
              </w:rPr>
              <w:t>Sutartininkai</w:t>
            </w:r>
          </w:p>
        </w:tc>
        <w:tc>
          <w:tcPr>
            <w:tcW w:w="105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 xml:space="preserve">Iš viso </w:t>
            </w:r>
          </w:p>
        </w:tc>
      </w:tr>
      <w:tr>
        <w:trPr>
          <w:trHeight w:val="466"/>
        </w:trPr>
        <w:tc>
          <w:tcPr>
            <w:tcW w:w="2658"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tcPr>
          <w:p>
            <w:pPr>
              <w:spacing w:before="0" w:after="0"/>
              <w:jc w:val="left"/>
              <w:rPr>
                <w:rFonts w:ascii="Arial" w:hAnsi="Arial" w:cs="Arial"/>
                <w:b/>
                <w:bCs/>
                <w:noProof/>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 PG</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II PG</w:t>
            </w:r>
          </w:p>
        </w:tc>
        <w:tc>
          <w:tcPr>
            <w:tcW w:w="954" w:type="dxa"/>
            <w:tcBorders>
              <w:top w:val="single" w:sz="4" w:space="0" w:color="auto"/>
              <w:left w:val="nil"/>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III PG</w:t>
            </w:r>
          </w:p>
        </w:tc>
        <w:tc>
          <w:tcPr>
            <w:tcW w:w="835" w:type="dxa"/>
            <w:tcBorders>
              <w:top w:val="single" w:sz="4" w:space="0" w:color="auto"/>
              <w:left w:val="nil"/>
              <w:bottom w:val="single" w:sz="4" w:space="0" w:color="auto"/>
              <w:right w:val="single" w:sz="8"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IV PG</w:t>
            </w:r>
          </w:p>
        </w:tc>
        <w:tc>
          <w:tcPr>
            <w:tcW w:w="1051"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Komisija</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75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18</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114</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22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1</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b/>
                <w:i/>
                <w:iCs/>
                <w:noProof/>
                <w:color w:val="808080"/>
                <w:sz w:val="20"/>
                <w:szCs w:val="20"/>
              </w:rPr>
            </w:pPr>
            <w:r>
              <w:rPr>
                <w:rFonts w:ascii="Arial" w:hAnsi="Arial"/>
                <w:b/>
                <w:i/>
                <w:noProof/>
                <w:color w:val="808080"/>
                <w:sz w:val="20"/>
              </w:rPr>
              <w:t>29</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Taryba</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76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9</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85</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Parlamentas</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45</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516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7</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581</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Teisingumo Teismas</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0</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Audito Rūmai</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16</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16</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EESRK</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2</w:t>
            </w:r>
          </w:p>
        </w:tc>
      </w:tr>
      <w:tr>
        <w:trPr>
          <w:trHeight w:val="255"/>
        </w:trPr>
        <w:tc>
          <w:tcPr>
            <w:tcW w:w="2658"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RK</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3</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w:t>
            </w:r>
          </w:p>
        </w:tc>
        <w:tc>
          <w:tcPr>
            <w:tcW w:w="835" w:type="dxa"/>
            <w:tcBorders>
              <w:top w:val="nil"/>
              <w:left w:val="nil"/>
              <w:bottom w:val="single" w:sz="4"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4</w:t>
            </w:r>
          </w:p>
        </w:tc>
      </w:tr>
      <w:tr>
        <w:trPr>
          <w:trHeight w:val="262"/>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EDAPP</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0</w:t>
            </w:r>
          </w:p>
        </w:tc>
      </w:tr>
      <w:tr>
        <w:trPr>
          <w:trHeight w:val="270"/>
        </w:trPr>
        <w:tc>
          <w:tcPr>
            <w:tcW w:w="265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Ombudsmenas</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single" w:sz="4" w:space="0" w:color="auto"/>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4"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0</w:t>
            </w:r>
          </w:p>
        </w:tc>
      </w:tr>
      <w:tr>
        <w:trPr>
          <w:trHeight w:val="270"/>
        </w:trPr>
        <w:tc>
          <w:tcPr>
            <w:tcW w:w="2658"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EIVT</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37</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w:t>
            </w:r>
          </w:p>
        </w:tc>
        <w:tc>
          <w:tcPr>
            <w:tcW w:w="954"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835" w:type="dxa"/>
            <w:tcBorders>
              <w:top w:val="single" w:sz="4" w:space="0" w:color="auto"/>
              <w:left w:val="nil"/>
              <w:bottom w:val="single" w:sz="2" w:space="0" w:color="auto"/>
              <w:right w:val="single" w:sz="8"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51"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noProof/>
                <w:sz w:val="20"/>
                <w:szCs w:val="20"/>
              </w:rPr>
            </w:pPr>
            <w:r>
              <w:rPr>
                <w:rFonts w:ascii="Arial" w:hAnsi="Arial"/>
                <w:b/>
                <w:noProof/>
                <w:sz w:val="20"/>
              </w:rPr>
              <w:t>38</w:t>
            </w:r>
          </w:p>
        </w:tc>
      </w:tr>
      <w:tr>
        <w:trPr>
          <w:trHeight w:val="324"/>
        </w:trPr>
        <w:tc>
          <w:tcPr>
            <w:tcW w:w="2658"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Cs/>
                <w:noProof/>
                <w:sz w:val="20"/>
                <w:szCs w:val="20"/>
              </w:rPr>
            </w:pPr>
            <w:r>
              <w:rPr>
                <w:rFonts w:ascii="Arial" w:hAnsi="Arial"/>
                <w:b/>
                <w:noProof/>
                <w:sz w:val="20"/>
              </w:rPr>
              <w:t>Iš viso</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3</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238</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550</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30</w:t>
            </w:r>
          </w:p>
        </w:tc>
        <w:tc>
          <w:tcPr>
            <w:tcW w:w="95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16</w:t>
            </w:r>
          </w:p>
        </w:tc>
        <w:tc>
          <w:tcPr>
            <w:tcW w:w="83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3</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840</w:t>
            </w:r>
          </w:p>
        </w:tc>
      </w:tr>
    </w:tbl>
    <w:p>
      <w:pPr>
        <w:pStyle w:val="Heading2"/>
        <w:numPr>
          <w:ilvl w:val="0"/>
          <w:numId w:val="0"/>
        </w:numPr>
        <w:spacing w:before="0" w:after="0"/>
        <w:ind w:left="850"/>
        <w:rPr>
          <w:noProof/>
        </w:rPr>
      </w:pPr>
    </w:p>
    <w:p>
      <w:pPr>
        <w:spacing w:after="0"/>
        <w:rPr>
          <w:noProof/>
        </w:rPr>
      </w:pPr>
      <w:r>
        <w:rPr>
          <w:noProof/>
        </w:rPr>
        <w:br w:type="page"/>
        <w:t>Numatyti keturi mėnesinės išmokos dydžiai (2017 m. duomenys):</w:t>
      </w:r>
    </w:p>
    <w:p>
      <w:pPr>
        <w:pStyle w:val="Tiret1"/>
        <w:numPr>
          <w:ilvl w:val="0"/>
          <w:numId w:val="25"/>
        </w:numPr>
        <w:tabs>
          <w:tab w:val="clear" w:pos="1417"/>
          <w:tab w:val="num" w:pos="720"/>
        </w:tabs>
        <w:spacing w:before="0" w:after="0"/>
        <w:ind w:left="720" w:hanging="360"/>
        <w:rPr>
          <w:noProof/>
        </w:rPr>
      </w:pPr>
      <w:r>
        <w:rPr>
          <w:noProof/>
        </w:rPr>
        <w:t>1 dydis. Darbas dviem pamainomis, išskyrus savaitgalius ir švenčių dienas – 413,61 EUR;</w:t>
      </w:r>
    </w:p>
    <w:p>
      <w:pPr>
        <w:pStyle w:val="Tiret1"/>
        <w:numPr>
          <w:ilvl w:val="0"/>
          <w:numId w:val="25"/>
        </w:numPr>
        <w:tabs>
          <w:tab w:val="clear" w:pos="1417"/>
          <w:tab w:val="num" w:pos="720"/>
        </w:tabs>
        <w:spacing w:before="0" w:after="0"/>
        <w:ind w:left="720" w:right="-287" w:hanging="360"/>
        <w:rPr>
          <w:noProof/>
        </w:rPr>
      </w:pPr>
      <w:r>
        <w:rPr>
          <w:noProof/>
        </w:rPr>
        <w:t>2 dydis. Darbas dviem pamainomis, įskaitant naktis, savaitgalius ir švenčių dienas – 624,28 EUR;</w:t>
      </w:r>
    </w:p>
    <w:p>
      <w:pPr>
        <w:pStyle w:val="Tiret1"/>
        <w:numPr>
          <w:ilvl w:val="0"/>
          <w:numId w:val="25"/>
        </w:numPr>
        <w:tabs>
          <w:tab w:val="clear" w:pos="1417"/>
          <w:tab w:val="num" w:pos="720"/>
        </w:tabs>
        <w:spacing w:before="0" w:after="0"/>
        <w:ind w:left="720" w:hanging="360"/>
        <w:rPr>
          <w:noProof/>
        </w:rPr>
      </w:pPr>
      <w:r>
        <w:rPr>
          <w:noProof/>
        </w:rPr>
        <w:t>3 dydis. Darbas visą parą, išskyrus savaitgalius ir švenčių dienas – 682,57 EUR;</w:t>
      </w:r>
    </w:p>
    <w:p>
      <w:pPr>
        <w:pStyle w:val="Tiret1"/>
        <w:numPr>
          <w:ilvl w:val="0"/>
          <w:numId w:val="25"/>
        </w:numPr>
        <w:tabs>
          <w:tab w:val="clear" w:pos="1417"/>
          <w:tab w:val="num" w:pos="720"/>
        </w:tabs>
        <w:spacing w:before="0" w:after="0"/>
        <w:ind w:left="720" w:hanging="360"/>
        <w:rPr>
          <w:noProof/>
        </w:rPr>
      </w:pPr>
      <w:r>
        <w:rPr>
          <w:noProof/>
        </w:rPr>
        <w:t>4 dydis. Darbas visą parą, įskaitant savaitgalius – 930,56 EUR.</w:t>
      </w:r>
    </w:p>
    <w:p>
      <w:pPr>
        <w:pStyle w:val="Tiret1"/>
        <w:numPr>
          <w:ilvl w:val="0"/>
          <w:numId w:val="0"/>
        </w:numPr>
        <w:spacing w:before="0" w:after="0"/>
        <w:ind w:left="720"/>
        <w:rPr>
          <w:noProof/>
        </w:rPr>
      </w:pPr>
    </w:p>
    <w:p>
      <w:pPr>
        <w:pStyle w:val="ManualHeading2"/>
        <w:rPr>
          <w:noProof/>
        </w:rPr>
      </w:pPr>
      <w:r>
        <w:t>4.2.</w:t>
      </w:r>
      <w:r>
        <w:tab/>
      </w:r>
      <w:r>
        <w:rPr>
          <w:noProof/>
        </w:rPr>
        <w:t>Gavėjų skaičius pagal išmokos dydį</w:t>
      </w:r>
    </w:p>
    <w:tbl>
      <w:tblPr>
        <w:tblW w:w="9735" w:type="dxa"/>
        <w:tblInd w:w="93" w:type="dxa"/>
        <w:tblLook w:val="0000" w:firstRow="0" w:lastRow="0" w:firstColumn="0" w:lastColumn="0" w:noHBand="0" w:noVBand="0"/>
      </w:tblPr>
      <w:tblGrid>
        <w:gridCol w:w="3620"/>
        <w:gridCol w:w="1371"/>
        <w:gridCol w:w="1316"/>
        <w:gridCol w:w="1371"/>
        <w:gridCol w:w="1371"/>
        <w:gridCol w:w="1215"/>
      </w:tblGrid>
      <w:tr>
        <w:trPr>
          <w:trHeight w:val="322"/>
        </w:trPr>
        <w:tc>
          <w:tcPr>
            <w:tcW w:w="36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pPr>
              <w:spacing w:before="0" w:after="0"/>
              <w:jc w:val="center"/>
              <w:rPr>
                <w:rFonts w:ascii="Arial" w:hAnsi="Arial" w:cs="Arial"/>
                <w:b/>
                <w:noProof/>
                <w:sz w:val="20"/>
                <w:szCs w:val="20"/>
              </w:rPr>
            </w:pPr>
            <w:r>
              <w:rPr>
                <w:rFonts w:ascii="Arial" w:hAnsi="Arial"/>
                <w:b/>
                <w:noProof/>
                <w:sz w:val="20"/>
              </w:rPr>
              <w:t>Institucija</w:t>
            </w:r>
          </w:p>
        </w:tc>
        <w:tc>
          <w:tcPr>
            <w:tcW w:w="1215"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rPr>
              <w:t>1 dydis</w:t>
            </w:r>
          </w:p>
        </w:tc>
        <w:tc>
          <w:tcPr>
            <w:tcW w:w="1276"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rPr>
              <w:t>2 dydis</w:t>
            </w:r>
          </w:p>
        </w:tc>
        <w:tc>
          <w:tcPr>
            <w:tcW w:w="1275" w:type="dxa"/>
            <w:tcBorders>
              <w:top w:val="single" w:sz="8" w:space="0" w:color="auto"/>
              <w:left w:val="nil"/>
              <w:bottom w:val="single" w:sz="4" w:space="0" w:color="auto"/>
              <w:right w:val="single" w:sz="4" w:space="0" w:color="auto"/>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rPr>
              <w:t>3 dydis</w:t>
            </w:r>
          </w:p>
        </w:tc>
        <w:tc>
          <w:tcPr>
            <w:tcW w:w="1134" w:type="dxa"/>
            <w:tcBorders>
              <w:top w:val="single" w:sz="8" w:space="0" w:color="auto"/>
              <w:left w:val="nil"/>
              <w:bottom w:val="single" w:sz="4" w:space="0" w:color="auto"/>
              <w:right w:val="nil"/>
            </w:tcBorders>
            <w:shd w:val="clear" w:color="auto" w:fill="auto"/>
            <w:noWrap/>
            <w:vAlign w:val="bottom"/>
          </w:tcPr>
          <w:p>
            <w:pPr>
              <w:spacing w:before="0" w:after="0"/>
              <w:jc w:val="center"/>
              <w:rPr>
                <w:rFonts w:ascii="Arial" w:hAnsi="Arial" w:cs="Arial"/>
                <w:b/>
                <w:noProof/>
                <w:sz w:val="20"/>
                <w:szCs w:val="20"/>
              </w:rPr>
            </w:pPr>
            <w:r>
              <w:rPr>
                <w:rFonts w:ascii="Arial" w:hAnsi="Arial"/>
                <w:b/>
                <w:noProof/>
                <w:sz w:val="20"/>
              </w:rPr>
              <w:t>4 dydis</w:t>
            </w:r>
          </w:p>
        </w:tc>
        <w:tc>
          <w:tcPr>
            <w:tcW w:w="121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526"/>
        </w:trPr>
        <w:tc>
          <w:tcPr>
            <w:tcW w:w="3620" w:type="dxa"/>
            <w:vMerge/>
            <w:tcBorders>
              <w:top w:val="single" w:sz="8" w:space="0" w:color="auto"/>
              <w:left w:val="single" w:sz="8" w:space="0" w:color="auto"/>
              <w:bottom w:val="single" w:sz="8" w:space="0" w:color="000000"/>
              <w:right w:val="single" w:sz="4" w:space="0" w:color="auto"/>
            </w:tcBorders>
            <w:vAlign w:val="center"/>
          </w:tcPr>
          <w:p>
            <w:pPr>
              <w:spacing w:before="0" w:after="0"/>
              <w:jc w:val="left"/>
              <w:rPr>
                <w:rFonts w:ascii="Arial" w:hAnsi="Arial" w:cs="Arial"/>
                <w:noProof/>
                <w:sz w:val="20"/>
                <w:szCs w:val="20"/>
              </w:rPr>
            </w:pPr>
          </w:p>
        </w:tc>
        <w:tc>
          <w:tcPr>
            <w:tcW w:w="1215"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413,61 EUR </w:t>
            </w:r>
          </w:p>
        </w:tc>
        <w:tc>
          <w:tcPr>
            <w:tcW w:w="1276"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624,28 EUR</w:t>
            </w:r>
          </w:p>
        </w:tc>
        <w:tc>
          <w:tcPr>
            <w:tcW w:w="1275" w:type="dxa"/>
            <w:tcBorders>
              <w:top w:val="nil"/>
              <w:left w:val="nil"/>
              <w:bottom w:val="single" w:sz="8" w:space="0" w:color="auto"/>
              <w:right w:val="single" w:sz="4" w:space="0" w:color="auto"/>
            </w:tcBorders>
            <w:shd w:val="clear" w:color="auto" w:fill="auto"/>
            <w:noWrap/>
            <w:vAlign w:val="center"/>
          </w:tcPr>
          <w:p>
            <w:pPr>
              <w:spacing w:before="0" w:after="0"/>
              <w:jc w:val="center"/>
              <w:rPr>
                <w:rFonts w:ascii="Arial" w:hAnsi="Arial" w:cs="Arial"/>
                <w:noProof/>
                <w:sz w:val="20"/>
                <w:szCs w:val="20"/>
              </w:rPr>
            </w:pPr>
            <w:r>
              <w:rPr>
                <w:noProof/>
                <w:sz w:val="22"/>
              </w:rPr>
              <w:t>682,57 EUR </w:t>
            </w:r>
          </w:p>
        </w:tc>
        <w:tc>
          <w:tcPr>
            <w:tcW w:w="1134" w:type="dxa"/>
            <w:tcBorders>
              <w:top w:val="nil"/>
              <w:left w:val="nil"/>
              <w:bottom w:val="single" w:sz="8" w:space="0" w:color="auto"/>
              <w:right w:val="nil"/>
            </w:tcBorders>
            <w:shd w:val="clear" w:color="auto" w:fill="auto"/>
            <w:noWrap/>
            <w:vAlign w:val="center"/>
          </w:tcPr>
          <w:p>
            <w:pPr>
              <w:spacing w:before="0" w:after="0"/>
              <w:jc w:val="center"/>
              <w:rPr>
                <w:rFonts w:ascii="Arial" w:hAnsi="Arial" w:cs="Arial"/>
                <w:noProof/>
                <w:sz w:val="20"/>
                <w:szCs w:val="20"/>
              </w:rPr>
            </w:pPr>
            <w:r>
              <w:rPr>
                <w:noProof/>
                <w:sz w:val="22"/>
              </w:rPr>
              <w:t>930,56 EUR </w:t>
            </w:r>
          </w:p>
        </w:tc>
        <w:tc>
          <w:tcPr>
            <w:tcW w:w="1215" w:type="dxa"/>
            <w:vMerge/>
            <w:tcBorders>
              <w:top w:val="single" w:sz="8" w:space="0" w:color="auto"/>
              <w:left w:val="single" w:sz="8" w:space="0" w:color="auto"/>
              <w:bottom w:val="single" w:sz="8" w:space="0" w:color="auto"/>
              <w:right w:val="single" w:sz="8" w:space="0" w:color="auto"/>
            </w:tcBorders>
            <w:vAlign w:val="center"/>
          </w:tcPr>
          <w:p>
            <w:pPr>
              <w:spacing w:before="0" w:after="0"/>
              <w:jc w:val="left"/>
              <w:rPr>
                <w:rFonts w:ascii="Arial" w:hAnsi="Arial" w:cs="Arial"/>
                <w:b/>
                <w:bCs/>
                <w:noProof/>
                <w:sz w:val="20"/>
                <w:szCs w:val="20"/>
              </w:rPr>
            </w:pP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Komisija</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23</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83</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114</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8</w:t>
            </w:r>
          </w:p>
        </w:tc>
        <w:tc>
          <w:tcPr>
            <w:tcW w:w="1134" w:type="dxa"/>
            <w:tcBorders>
              <w:top w:val="nil"/>
              <w:left w:val="nil"/>
              <w:bottom w:val="single" w:sz="4" w:space="0" w:color="auto"/>
              <w:right w:val="nil"/>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21</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29</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Taryba</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32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53</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85</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Parlamentas</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307</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205</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69</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581</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Teisingumo Teismas</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0</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Audito Rūmai</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14</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16</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EESRK</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2</w:t>
            </w:r>
          </w:p>
        </w:tc>
      </w:tr>
      <w:tr>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RK</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4</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4</w:t>
            </w:r>
          </w:p>
        </w:tc>
      </w:tr>
      <w:tr>
        <w:trPr>
          <w:trHeight w:val="262"/>
        </w:trPr>
        <w:tc>
          <w:tcPr>
            <w:tcW w:w="3620" w:type="dxa"/>
            <w:tcBorders>
              <w:top w:val="nil"/>
              <w:left w:val="single" w:sz="4" w:space="0" w:color="auto"/>
              <w:bottom w:val="single" w:sz="4" w:space="0" w:color="auto"/>
              <w:right w:val="single" w:sz="4" w:space="0" w:color="auto"/>
            </w:tcBorders>
            <w:shd w:val="clear" w:color="auto" w:fill="auto"/>
            <w:vAlign w:val="bottom"/>
          </w:tcPr>
          <w:p>
            <w:pPr>
              <w:spacing w:before="0" w:after="0"/>
              <w:jc w:val="left"/>
              <w:rPr>
                <w:rFonts w:ascii="Arial" w:hAnsi="Arial" w:cs="Arial"/>
                <w:noProof/>
                <w:sz w:val="20"/>
                <w:szCs w:val="20"/>
              </w:rPr>
            </w:pPr>
            <w:r>
              <w:rPr>
                <w:rFonts w:ascii="Arial" w:hAnsi="Arial"/>
                <w:noProof/>
                <w:sz w:val="20"/>
              </w:rPr>
              <w:t>EDAPP</w:t>
            </w:r>
          </w:p>
        </w:tc>
        <w:tc>
          <w:tcPr>
            <w:tcW w:w="121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276"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0</w:t>
            </w:r>
          </w:p>
        </w:tc>
      </w:tr>
      <w:tr>
        <w:trPr>
          <w:trHeight w:val="27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Ombudsmenas</w:t>
            </w:r>
          </w:p>
        </w:tc>
        <w:tc>
          <w:tcPr>
            <w:tcW w:w="121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6"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4"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0</w:t>
            </w:r>
          </w:p>
        </w:tc>
      </w:tr>
      <w:tr>
        <w:trPr>
          <w:trHeight w:val="270"/>
        </w:trPr>
        <w:tc>
          <w:tcPr>
            <w:tcW w:w="3620"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EIVT</w:t>
            </w:r>
          </w:p>
        </w:tc>
        <w:tc>
          <w:tcPr>
            <w:tcW w:w="1215"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27</w:t>
            </w:r>
          </w:p>
        </w:tc>
        <w:tc>
          <w:tcPr>
            <w:tcW w:w="1276"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75"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134" w:type="dxa"/>
            <w:tcBorders>
              <w:top w:val="nil"/>
              <w:left w:val="nil"/>
              <w:bottom w:val="single" w:sz="2" w:space="0" w:color="auto"/>
              <w:right w:val="nil"/>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11</w:t>
            </w:r>
          </w:p>
        </w:tc>
        <w:tc>
          <w:tcPr>
            <w:tcW w:w="1215" w:type="dxa"/>
            <w:tcBorders>
              <w:top w:val="single" w:sz="8" w:space="0" w:color="auto"/>
              <w:left w:val="single" w:sz="8" w:space="0" w:color="auto"/>
              <w:bottom w:val="single" w:sz="2" w:space="0" w:color="auto"/>
              <w:right w:val="single" w:sz="8" w:space="0" w:color="auto"/>
            </w:tcBorders>
            <w:shd w:val="clear" w:color="auto" w:fill="auto"/>
            <w:noWrap/>
            <w:vAlign w:val="bottom"/>
          </w:tcPr>
          <w:p>
            <w:pPr>
              <w:spacing w:before="0" w:after="0"/>
              <w:jc w:val="right"/>
              <w:rPr>
                <w:rFonts w:ascii="Arial" w:hAnsi="Arial" w:cs="Arial"/>
                <w:b/>
                <w:bCs/>
                <w:noProof/>
                <w:sz w:val="20"/>
                <w:szCs w:val="20"/>
              </w:rPr>
            </w:pPr>
            <w:r>
              <w:rPr>
                <w:rFonts w:ascii="Arial" w:hAnsi="Arial"/>
                <w:b/>
                <w:noProof/>
                <w:sz w:val="20"/>
              </w:rPr>
              <w:t>38</w:t>
            </w:r>
          </w:p>
        </w:tc>
      </w:tr>
      <w:tr>
        <w:trPr>
          <w:trHeight w:val="372"/>
        </w:trPr>
        <w:tc>
          <w:tcPr>
            <w:tcW w:w="36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i/>
                <w:iCs/>
                <w:noProof/>
                <w:sz w:val="20"/>
                <w:szCs w:val="20"/>
              </w:rPr>
            </w:pPr>
            <w:r>
              <w:rPr>
                <w:rFonts w:ascii="Arial" w:hAnsi="Arial"/>
                <w:b/>
                <w:noProof/>
                <w:sz w:val="20"/>
              </w:rPr>
              <w:t>Iš viso</w:t>
            </w:r>
          </w:p>
        </w:tc>
        <w:tc>
          <w:tcPr>
            <w:tcW w:w="121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397</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205</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8</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230</w:t>
            </w:r>
          </w:p>
        </w:tc>
        <w:tc>
          <w:tcPr>
            <w:tcW w:w="1215"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840</w:t>
            </w:r>
          </w:p>
        </w:tc>
      </w:tr>
    </w:tbl>
    <w:p>
      <w:pPr>
        <w:pStyle w:val="Heading2"/>
        <w:numPr>
          <w:ilvl w:val="0"/>
          <w:numId w:val="0"/>
        </w:numPr>
        <w:ind w:left="850"/>
        <w:rPr>
          <w:noProof/>
        </w:rPr>
      </w:pPr>
    </w:p>
    <w:p>
      <w:pPr>
        <w:pStyle w:val="ManualHeading2"/>
        <w:rPr>
          <w:noProof/>
        </w:rPr>
      </w:pPr>
      <w:r>
        <w:t>4.3.</w:t>
      </w:r>
      <w:r>
        <w:tab/>
      </w:r>
      <w:r>
        <w:rPr>
          <w:noProof/>
        </w:rPr>
        <w:t>Gavėjų skaičius pagal įdarbinimo vietą</w:t>
      </w:r>
    </w:p>
    <w:tbl>
      <w:tblPr>
        <w:tblW w:w="10920" w:type="dxa"/>
        <w:tblInd w:w="-852" w:type="dxa"/>
        <w:tblLayout w:type="fixed"/>
        <w:tblLook w:val="0000" w:firstRow="0" w:lastRow="0" w:firstColumn="0" w:lastColumn="0" w:noHBand="0" w:noVBand="0"/>
      </w:tblPr>
      <w:tblGrid>
        <w:gridCol w:w="1920"/>
        <w:gridCol w:w="720"/>
        <w:gridCol w:w="1200"/>
        <w:gridCol w:w="720"/>
        <w:gridCol w:w="1080"/>
        <w:gridCol w:w="1303"/>
        <w:gridCol w:w="960"/>
        <w:gridCol w:w="977"/>
        <w:gridCol w:w="1080"/>
        <w:gridCol w:w="960"/>
      </w:tblGrid>
      <w:tr>
        <w:trPr>
          <w:trHeight w:val="8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72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JRC</w:t>
            </w:r>
          </w:p>
        </w:tc>
        <w:tc>
          <w:tcPr>
            <w:tcW w:w="120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Neatidėliotinų atvejų /</w:t>
            </w:r>
          </w:p>
          <w:p>
            <w:pPr>
              <w:spacing w:before="0" w:after="0"/>
              <w:jc w:val="center"/>
              <w:rPr>
                <w:rFonts w:ascii="Arial" w:hAnsi="Arial" w:cs="Arial"/>
                <w:b/>
                <w:bCs/>
                <w:noProof/>
                <w:sz w:val="20"/>
                <w:szCs w:val="20"/>
              </w:rPr>
            </w:pPr>
            <w:r>
              <w:rPr>
                <w:rFonts w:ascii="Arial" w:hAnsi="Arial"/>
                <w:b/>
                <w:noProof/>
                <w:sz w:val="20"/>
              </w:rPr>
              <w:t>krizių</w:t>
            </w:r>
            <w:r>
              <w:rPr>
                <w:rFonts w:ascii="Arial" w:hAnsi="Arial" w:cs="Arial"/>
                <w:b/>
                <w:bCs/>
                <w:noProof/>
                <w:sz w:val="20"/>
                <w:szCs w:val="20"/>
              </w:rPr>
              <w:br/>
            </w:r>
            <w:r>
              <w:rPr>
                <w:rFonts w:ascii="Arial" w:hAnsi="Arial"/>
                <w:b/>
                <w:noProof/>
                <w:sz w:val="20"/>
              </w:rPr>
              <w:t>koordinavimas</w:t>
            </w:r>
          </w:p>
        </w:tc>
        <w:tc>
          <w:tcPr>
            <w:tcW w:w="72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IRT</w:t>
            </w:r>
          </w:p>
        </w:tc>
        <w:tc>
          <w:tcPr>
            <w:tcW w:w="108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Sauga</w:t>
            </w:r>
          </w:p>
        </w:tc>
        <w:tc>
          <w:tcPr>
            <w:tcW w:w="1303"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Komutatorius /</w:t>
            </w:r>
            <w:r>
              <w:rPr>
                <w:rFonts w:ascii="Arial" w:hAnsi="Arial" w:cs="Arial"/>
                <w:b/>
                <w:bCs/>
                <w:noProof/>
                <w:sz w:val="20"/>
                <w:szCs w:val="20"/>
              </w:rPr>
              <w:br/>
            </w:r>
            <w:r>
              <w:rPr>
                <w:rFonts w:ascii="Arial" w:hAnsi="Arial"/>
                <w:b/>
                <w:noProof/>
                <w:sz w:val="20"/>
              </w:rPr>
              <w:t>priimamasis</w:t>
            </w:r>
          </w:p>
        </w:tc>
        <w:tc>
          <w:tcPr>
            <w:tcW w:w="960" w:type="dxa"/>
            <w:tcBorders>
              <w:top w:val="single" w:sz="4" w:space="0" w:color="auto"/>
              <w:left w:val="nil"/>
              <w:bottom w:val="single" w:sz="4" w:space="0" w:color="auto"/>
              <w:right w:val="single" w:sz="4" w:space="0" w:color="auto"/>
            </w:tcBorders>
            <w:shd w:val="clear" w:color="auto" w:fill="auto"/>
          </w:tcPr>
          <w:p>
            <w:pPr>
              <w:spacing w:before="0" w:after="0"/>
              <w:jc w:val="center"/>
              <w:rPr>
                <w:rFonts w:ascii="Arial" w:hAnsi="Arial" w:cs="Arial"/>
                <w:b/>
                <w:bCs/>
                <w:noProof/>
                <w:sz w:val="20"/>
                <w:szCs w:val="20"/>
              </w:rPr>
            </w:pPr>
            <w:r>
              <w:rPr>
                <w:rFonts w:ascii="Arial" w:hAnsi="Arial"/>
                <w:b/>
                <w:noProof/>
                <w:sz w:val="20"/>
              </w:rPr>
              <w:t>BUSP /</w:t>
            </w:r>
            <w:r>
              <w:rPr>
                <w:rFonts w:ascii="Arial" w:hAnsi="Arial" w:cs="Arial"/>
                <w:b/>
                <w:bCs/>
                <w:noProof/>
                <w:sz w:val="20"/>
                <w:szCs w:val="20"/>
              </w:rPr>
              <w:br/>
            </w:r>
            <w:r>
              <w:rPr>
                <w:rFonts w:ascii="Arial" w:hAnsi="Arial"/>
                <w:b/>
                <w:noProof/>
                <w:sz w:val="20"/>
              </w:rPr>
              <w:t>BSGP</w:t>
            </w:r>
          </w:p>
        </w:tc>
        <w:tc>
          <w:tcPr>
            <w:tcW w:w="977" w:type="dxa"/>
            <w:tcBorders>
              <w:top w:val="single" w:sz="4" w:space="0" w:color="auto"/>
              <w:left w:val="single" w:sz="4" w:space="0" w:color="auto"/>
              <w:bottom w:val="single" w:sz="4" w:space="0" w:color="auto"/>
              <w:right w:val="single" w:sz="8" w:space="0" w:color="auto"/>
            </w:tcBorders>
          </w:tcPr>
          <w:p>
            <w:pPr>
              <w:spacing w:before="0" w:after="0"/>
              <w:jc w:val="center"/>
              <w:rPr>
                <w:rFonts w:ascii="Arial" w:hAnsi="Arial" w:cs="Arial"/>
                <w:b/>
                <w:bCs/>
                <w:noProof/>
                <w:sz w:val="20"/>
                <w:szCs w:val="20"/>
              </w:rPr>
            </w:pPr>
            <w:r>
              <w:rPr>
                <w:rFonts w:ascii="Arial" w:hAnsi="Arial"/>
                <w:b/>
                <w:noProof/>
                <w:sz w:val="20"/>
              </w:rPr>
              <w:t>Techninė įranga</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center"/>
              <w:rPr>
                <w:rFonts w:ascii="Arial" w:hAnsi="Arial" w:cs="Arial"/>
                <w:b/>
                <w:bCs/>
                <w:noProof/>
                <w:sz w:val="20"/>
                <w:szCs w:val="20"/>
              </w:rPr>
            </w:pPr>
            <w:r>
              <w:rPr>
                <w:rFonts w:ascii="Arial" w:hAnsi="Arial"/>
                <w:b/>
                <w:noProof/>
                <w:sz w:val="20"/>
              </w:rPr>
              <w:t>Individuali veikla</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Komisija</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29</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22</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54</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1</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114</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29</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left"/>
              <w:rPr>
                <w:rFonts w:ascii="Arial" w:hAnsi="Arial" w:cs="Arial"/>
                <w:i/>
                <w:iCs/>
                <w:noProof/>
                <w:color w:val="808080"/>
                <w:sz w:val="20"/>
                <w:szCs w:val="20"/>
              </w:rPr>
            </w:pPr>
            <w:r>
              <w:rPr>
                <w:rFonts w:ascii="Arial" w:hAnsi="Arial"/>
                <w:i/>
                <w:noProof/>
                <w:color w:val="808080"/>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b/>
                <w:i/>
                <w:iCs/>
                <w:noProof/>
                <w:color w:val="808080"/>
                <w:sz w:val="20"/>
                <w:szCs w:val="20"/>
              </w:rPr>
            </w:pPr>
            <w:r>
              <w:rPr>
                <w:rFonts w:ascii="Arial" w:hAnsi="Arial"/>
                <w:b/>
                <w:i/>
                <w:noProof/>
                <w:color w:val="808080"/>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left"/>
              <w:rPr>
                <w:rFonts w:ascii="Arial" w:hAnsi="Arial" w:cs="Arial"/>
                <w:b/>
                <w:i/>
                <w:iCs/>
                <w:noProof/>
                <w:color w:val="808080"/>
                <w:sz w:val="20"/>
                <w:szCs w:val="20"/>
              </w:rPr>
            </w:pPr>
            <w:r>
              <w:rPr>
                <w:rFonts w:ascii="Arial" w:hAnsi="Arial"/>
                <w:b/>
                <w:i/>
                <w:noProof/>
                <w:color w:val="808080"/>
                <w:sz w:val="20"/>
              </w:rPr>
              <w:t>29</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Taryba</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85</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85</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Parlamentas</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417</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164</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581</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Teisingumo Teismas</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Audito Rūmai</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13</w:t>
            </w:r>
          </w:p>
        </w:tc>
        <w:tc>
          <w:tcPr>
            <w:tcW w:w="1303"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3</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rPr>
              <w:t>16</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EESRK</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2</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2</w:t>
            </w:r>
          </w:p>
        </w:tc>
      </w:tr>
      <w:tr>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RK</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4</w:t>
            </w:r>
          </w:p>
        </w:tc>
        <w:tc>
          <w:tcPr>
            <w:tcW w:w="1303"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4</w:t>
            </w:r>
          </w:p>
        </w:tc>
      </w:tr>
      <w:tr>
        <w:trPr>
          <w:trHeight w:val="283"/>
        </w:trPr>
        <w:tc>
          <w:tcPr>
            <w:tcW w:w="1920" w:type="dxa"/>
            <w:tcBorders>
              <w:top w:val="nil"/>
              <w:left w:val="single" w:sz="4" w:space="0" w:color="auto"/>
              <w:bottom w:val="single" w:sz="4" w:space="0" w:color="auto"/>
              <w:right w:val="single" w:sz="4" w:space="0" w:color="auto"/>
            </w:tcBorders>
            <w:shd w:val="clear" w:color="auto" w:fill="auto"/>
            <w:noWrap/>
            <w:vAlign w:val="center"/>
          </w:tcPr>
          <w:p>
            <w:pPr>
              <w:spacing w:before="0" w:after="0"/>
              <w:jc w:val="left"/>
              <w:rPr>
                <w:rFonts w:ascii="Arial" w:hAnsi="Arial" w:cs="Arial"/>
                <w:noProof/>
                <w:sz w:val="20"/>
                <w:szCs w:val="20"/>
              </w:rPr>
            </w:pPr>
            <w:r>
              <w:rPr>
                <w:rFonts w:ascii="Arial" w:hAnsi="Arial"/>
                <w:noProof/>
                <w:sz w:val="20"/>
              </w:rPr>
              <w:t>EDAPP</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1303"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center"/>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center"/>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vAlign w:val="center"/>
          </w:tcPr>
          <w:p>
            <w:pPr>
              <w:spacing w:before="0" w:after="0"/>
              <w:jc w:val="right"/>
              <w:rPr>
                <w:rFonts w:ascii="Arial" w:hAnsi="Arial" w:cs="Arial"/>
                <w:b/>
                <w:noProof/>
                <w:sz w:val="20"/>
                <w:szCs w:val="20"/>
              </w:rPr>
            </w:pPr>
            <w:r>
              <w:rPr>
                <w:rFonts w:ascii="Arial" w:hAnsi="Arial"/>
                <w:b/>
                <w:noProof/>
                <w:sz w:val="20"/>
              </w:rPr>
              <w:t>0</w:t>
            </w:r>
          </w:p>
        </w:tc>
      </w:tr>
      <w:tr>
        <w:trPr>
          <w:trHeight w:val="270"/>
        </w:trPr>
        <w:tc>
          <w:tcPr>
            <w:tcW w:w="1920" w:type="dxa"/>
            <w:tcBorders>
              <w:top w:val="single" w:sz="4" w:space="0" w:color="auto"/>
              <w:left w:val="single" w:sz="4" w:space="0" w:color="auto"/>
              <w:bottom w:val="nil"/>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Ombudsmenas</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303" w:type="dxa"/>
            <w:tcBorders>
              <w:top w:val="single" w:sz="4" w:space="0" w:color="auto"/>
              <w:left w:val="nil"/>
              <w:bottom w:val="nil"/>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4"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77" w:type="dxa"/>
            <w:tcBorders>
              <w:top w:val="single" w:sz="4" w:space="0" w:color="auto"/>
              <w:left w:val="single" w:sz="4" w:space="0" w:color="auto"/>
              <w:bottom w:val="single" w:sz="4"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8"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r>
      <w:tr>
        <w:trPr>
          <w:trHeight w:val="270"/>
        </w:trPr>
        <w:tc>
          <w:tcPr>
            <w:tcW w:w="1920" w:type="dxa"/>
            <w:tcBorders>
              <w:top w:val="single" w:sz="4" w:space="0" w:color="auto"/>
              <w:left w:val="single" w:sz="4" w:space="0" w:color="auto"/>
              <w:bottom w:val="single" w:sz="2" w:space="0" w:color="auto"/>
              <w:right w:val="single" w:sz="4" w:space="0" w:color="auto"/>
            </w:tcBorders>
            <w:shd w:val="clear" w:color="auto" w:fill="auto"/>
            <w:noWrap/>
            <w:vAlign w:val="bottom"/>
          </w:tcPr>
          <w:p>
            <w:pPr>
              <w:spacing w:before="0" w:after="0"/>
              <w:jc w:val="left"/>
              <w:rPr>
                <w:rFonts w:ascii="Arial" w:hAnsi="Arial" w:cs="Arial"/>
                <w:noProof/>
                <w:sz w:val="20"/>
                <w:szCs w:val="20"/>
              </w:rPr>
            </w:pPr>
            <w:r>
              <w:rPr>
                <w:rFonts w:ascii="Arial" w:hAnsi="Arial"/>
                <w:noProof/>
                <w:sz w:val="20"/>
              </w:rPr>
              <w:t>EIVT</w:t>
            </w:r>
          </w:p>
        </w:tc>
        <w:tc>
          <w:tcPr>
            <w:tcW w:w="72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120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72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11</w:t>
            </w:r>
          </w:p>
        </w:tc>
        <w:tc>
          <w:tcPr>
            <w:tcW w:w="108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16</w:t>
            </w:r>
          </w:p>
        </w:tc>
        <w:tc>
          <w:tcPr>
            <w:tcW w:w="1303" w:type="dxa"/>
            <w:tcBorders>
              <w:top w:val="single" w:sz="4" w:space="0" w:color="auto"/>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0</w:t>
            </w:r>
          </w:p>
        </w:tc>
        <w:tc>
          <w:tcPr>
            <w:tcW w:w="960" w:type="dxa"/>
            <w:tcBorders>
              <w:top w:val="nil"/>
              <w:left w:val="nil"/>
              <w:bottom w:val="single" w:sz="2" w:space="0" w:color="auto"/>
              <w:right w:val="single" w:sz="4" w:space="0" w:color="auto"/>
            </w:tcBorders>
            <w:shd w:val="clear" w:color="auto" w:fill="auto"/>
            <w:noWrap/>
            <w:vAlign w:val="bottom"/>
          </w:tcPr>
          <w:p>
            <w:pPr>
              <w:spacing w:before="0" w:after="0"/>
              <w:jc w:val="right"/>
              <w:rPr>
                <w:rFonts w:ascii="Arial" w:hAnsi="Arial" w:cs="Arial"/>
                <w:noProof/>
                <w:sz w:val="20"/>
                <w:szCs w:val="20"/>
              </w:rPr>
            </w:pPr>
            <w:r>
              <w:rPr>
                <w:rFonts w:ascii="Arial" w:hAnsi="Arial"/>
                <w:noProof/>
                <w:sz w:val="20"/>
              </w:rPr>
              <w:t>11</w:t>
            </w:r>
          </w:p>
        </w:tc>
        <w:tc>
          <w:tcPr>
            <w:tcW w:w="977" w:type="dxa"/>
            <w:tcBorders>
              <w:top w:val="single" w:sz="4" w:space="0" w:color="auto"/>
              <w:left w:val="single" w:sz="4" w:space="0" w:color="auto"/>
              <w:bottom w:val="single" w:sz="2" w:space="0" w:color="auto"/>
              <w:right w:val="single" w:sz="8" w:space="0" w:color="auto"/>
            </w:tcBorders>
            <w:vAlign w:val="bottom"/>
          </w:tcPr>
          <w:p>
            <w:pPr>
              <w:spacing w:before="0" w:after="0"/>
              <w:jc w:val="right"/>
              <w:rPr>
                <w:rFonts w:ascii="Arial" w:hAnsi="Arial" w:cs="Arial"/>
                <w:noProof/>
                <w:sz w:val="20"/>
                <w:szCs w:val="20"/>
              </w:rPr>
            </w:pPr>
            <w:r>
              <w:rPr>
                <w:rFonts w:ascii="Arial" w:hAnsi="Arial"/>
                <w:noProof/>
                <w:sz w:val="20"/>
              </w:rPr>
              <w:t>0</w:t>
            </w:r>
          </w:p>
        </w:tc>
        <w:tc>
          <w:tcPr>
            <w:tcW w:w="1080"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0</w:t>
            </w:r>
          </w:p>
        </w:tc>
        <w:tc>
          <w:tcPr>
            <w:tcW w:w="960" w:type="dxa"/>
            <w:tcBorders>
              <w:top w:val="single" w:sz="8" w:space="0" w:color="auto"/>
              <w:left w:val="single" w:sz="8" w:space="0" w:color="auto"/>
              <w:bottom w:val="single" w:sz="2" w:space="0" w:color="auto"/>
              <w:right w:val="single" w:sz="8" w:space="0" w:color="auto"/>
            </w:tcBorders>
          </w:tcPr>
          <w:p>
            <w:pPr>
              <w:spacing w:before="0" w:after="0"/>
              <w:jc w:val="right"/>
              <w:rPr>
                <w:rFonts w:ascii="Arial" w:hAnsi="Arial" w:cs="Arial"/>
                <w:b/>
                <w:noProof/>
                <w:sz w:val="20"/>
                <w:szCs w:val="20"/>
              </w:rPr>
            </w:pPr>
            <w:r>
              <w:rPr>
                <w:rFonts w:ascii="Arial" w:hAnsi="Arial"/>
                <w:b/>
                <w:noProof/>
                <w:sz w:val="20"/>
              </w:rPr>
              <w:t>38</w:t>
            </w:r>
          </w:p>
        </w:tc>
      </w:tr>
      <w:tr>
        <w:trPr>
          <w:trHeight w:val="396"/>
        </w:trPr>
        <w:tc>
          <w:tcPr>
            <w:tcW w:w="19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Iš viso</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29</w:t>
            </w:r>
          </w:p>
        </w:tc>
        <w:tc>
          <w:tcPr>
            <w:tcW w:w="120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8</w:t>
            </w:r>
          </w:p>
        </w:tc>
        <w:tc>
          <w:tcPr>
            <w:tcW w:w="72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33</w:t>
            </w:r>
          </w:p>
        </w:tc>
        <w:tc>
          <w:tcPr>
            <w:tcW w:w="108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591</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167</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center"/>
          </w:tcPr>
          <w:p>
            <w:pPr>
              <w:spacing w:before="0" w:after="0"/>
              <w:jc w:val="right"/>
              <w:rPr>
                <w:rFonts w:ascii="Arial" w:hAnsi="Arial" w:cs="Arial"/>
                <w:b/>
                <w:bCs/>
                <w:noProof/>
                <w:sz w:val="20"/>
                <w:szCs w:val="20"/>
              </w:rPr>
            </w:pPr>
            <w:r>
              <w:rPr>
                <w:rFonts w:ascii="Arial" w:hAnsi="Arial"/>
                <w:b/>
                <w:noProof/>
                <w:sz w:val="20"/>
              </w:rPr>
              <w:t>11</w:t>
            </w:r>
          </w:p>
        </w:tc>
        <w:tc>
          <w:tcPr>
            <w:tcW w:w="977"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noProof/>
                <w:sz w:val="20"/>
              </w:rPr>
              <w:t>1</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noProof/>
                <w:sz w:val="20"/>
              </w:rPr>
              <w:t>0</w:t>
            </w:r>
          </w:p>
        </w:tc>
        <w:tc>
          <w:tcPr>
            <w:tcW w:w="960" w:type="dxa"/>
            <w:tcBorders>
              <w:top w:val="single" w:sz="2" w:space="0" w:color="auto"/>
              <w:left w:val="single" w:sz="2" w:space="0" w:color="auto"/>
              <w:bottom w:val="single" w:sz="2" w:space="0" w:color="auto"/>
              <w:right w:val="single" w:sz="2" w:space="0" w:color="auto"/>
            </w:tcBorders>
            <w:vAlign w:val="center"/>
          </w:tcPr>
          <w:p>
            <w:pPr>
              <w:spacing w:before="0" w:after="0"/>
              <w:jc w:val="right"/>
              <w:rPr>
                <w:rFonts w:ascii="Arial" w:hAnsi="Arial" w:cs="Arial"/>
                <w:b/>
                <w:bCs/>
                <w:noProof/>
                <w:sz w:val="20"/>
                <w:szCs w:val="20"/>
              </w:rPr>
            </w:pPr>
            <w:r>
              <w:rPr>
                <w:rFonts w:ascii="Arial" w:hAnsi="Arial"/>
                <w:b/>
                <w:noProof/>
                <w:sz w:val="20"/>
              </w:rPr>
              <w:t>840</w:t>
            </w:r>
          </w:p>
        </w:tc>
      </w:tr>
    </w:tbl>
    <w:p>
      <w:pPr>
        <w:pStyle w:val="Heading1"/>
        <w:numPr>
          <w:ilvl w:val="0"/>
          <w:numId w:val="0"/>
        </w:numPr>
        <w:spacing w:before="0" w:after="0"/>
        <w:rPr>
          <w:rFonts w:ascii="Arial" w:hAnsi="Arial" w:cs="Arial"/>
          <w:bCs w:val="0"/>
          <w:smallCaps w:val="0"/>
          <w:noProof/>
          <w:sz w:val="20"/>
          <w:szCs w:val="20"/>
        </w:rPr>
      </w:pPr>
    </w:p>
    <w:p>
      <w:pPr>
        <w:rPr>
          <w:noProof/>
        </w:rPr>
      </w:pPr>
    </w:p>
    <w:p>
      <w:pPr>
        <w:pStyle w:val="ManualHeading1"/>
        <w:rPr>
          <w:bCs/>
          <w:noProof/>
        </w:rPr>
      </w:pPr>
      <w:r>
        <w:t>5.</w:t>
      </w:r>
      <w:r>
        <w:tab/>
      </w:r>
      <w:r>
        <w:rPr>
          <w:noProof/>
        </w:rPr>
        <w:t>Susijusios institucijos ir priežastys</w:t>
      </w:r>
    </w:p>
    <w:p>
      <w:pPr>
        <w:rPr>
          <w:noProof/>
        </w:rPr>
      </w:pPr>
      <w:r>
        <w:rPr>
          <w:noProof/>
        </w:rPr>
        <w:t xml:space="preserve">Budėjimą ir nepertraukiamą arba pamaininį darbą užtikrina ir teisės aktuose numatytas išmokas skiria Taryba, Komisija, EIVT, Europos Parlamentas, Teisingumo Teismas ir Audito Rūmai. </w:t>
      </w:r>
    </w:p>
    <w:p>
      <w:pPr>
        <w:rPr>
          <w:noProof/>
        </w:rPr>
      </w:pPr>
      <w:r>
        <w:rPr>
          <w:noProof/>
        </w:rPr>
        <w:t>2017 m. Regionų komitetas ir Europos ekonomikos ir socialinių reikalų komitetas pradėjo taikyti bendrą budėjimo ir nepertraukiamo arba pamaininio darbo tvarką.</w:t>
      </w:r>
    </w:p>
    <w:p>
      <w:pPr>
        <w:rPr>
          <w:noProof/>
        </w:rPr>
      </w:pPr>
      <w:r>
        <w:rPr>
          <w:noProof/>
        </w:rPr>
        <w:t>Kol kas išmokas už ypač sunkias darbo sąlygas (JRC ir Infrastruktūros ir logistikos biure Briuselyje (OIB)) skiria tik Komisija.</w:t>
      </w:r>
    </w:p>
    <w:p>
      <w:pPr>
        <w:spacing w:before="0" w:after="0"/>
        <w:ind w:left="851"/>
        <w:jc w:val="left"/>
        <w:rPr>
          <w:noProof/>
        </w:rPr>
      </w:pPr>
    </w:p>
    <w:p>
      <w:pPr>
        <w:pStyle w:val="ManualHeading2"/>
        <w:rPr>
          <w:bCs/>
          <w:noProof/>
        </w:rPr>
      </w:pPr>
      <w:r>
        <w:t>5.1.</w:t>
      </w:r>
      <w:r>
        <w:tab/>
      </w:r>
      <w:r>
        <w:rPr>
          <w:noProof/>
        </w:rPr>
        <w:t>Budėjimo priežastys</w:t>
      </w:r>
    </w:p>
    <w:p>
      <w:pPr>
        <w:rPr>
          <w:noProof/>
        </w:rPr>
      </w:pPr>
      <w:r>
        <w:rPr>
          <w:b/>
          <w:i/>
          <w:noProof/>
        </w:rPr>
        <w:t>Komisija</w:t>
      </w:r>
      <w:r>
        <w:rPr>
          <w:noProof/>
        </w:rPr>
        <w:tab/>
      </w:r>
      <w:r>
        <w:rPr>
          <w:noProof/>
        </w:rPr>
        <w:tab/>
      </w:r>
      <w:r>
        <w:rPr>
          <w:b/>
          <w:i/>
          <w:noProof/>
        </w:rPr>
        <w:br/>
      </w:r>
      <w:r>
        <w:rPr>
          <w:noProof/>
        </w:rPr>
        <w:t>2017 m. Komisija skyrė išmokas už budėjimą 394 darbuotojams (2016 m. – 350). Maždaug 40 % (152) dirba viename iš tyrimų centrų. Budėjimo priežastys, kaip ir ankstesniais metais, daugiausia susijusios su sauga ir apsauga (apsauga nuo gaisro, radiacijos lygio stebėjimas, radiacinė sauga ir kt.). Dažniausiai Jungtinio tyrimų centro darbuotojai budi namuose, išskyrus Isprą ir Karlsrūhę (ten dėl užduočių pobūdžio budima darbo vietoje arba namuose).</w:t>
      </w:r>
    </w:p>
    <w:p>
      <w:pPr>
        <w:spacing w:after="0"/>
        <w:rPr>
          <w:noProof/>
        </w:rPr>
      </w:pPr>
      <w:r>
        <w:rPr>
          <w:noProof/>
        </w:rPr>
        <w:t xml:space="preserve">Kituose Komisijos generaliniuose direktoratuose, palyginti su 2016 m., padėtis liko beveik nepakitusi. Budėjimas buvo vykdomas visų pirma saugos, techninės įrangos ir IT paslaugų srityse. Vis dėlto pastebima, kad išaugo gavėjų skaičius visą parą be poilsio dienų valstybėms narėms teikiamos pagalbos srityje (2017 m. – 45 darbuotojai, 2016 m. – 32), visų pirma Europos civilinės saugos ir humanitarinės pagalbos operacijų GD, kuris užtikrina tikralaikę incidentų stebėseną ir skubią pagalbą nelaimės atveju visame pasaulyje bet kuriuo metu. </w:t>
      </w:r>
    </w:p>
    <w:p>
      <w:pPr>
        <w:rPr>
          <w:noProof/>
        </w:rPr>
      </w:pPr>
      <w:r>
        <w:rPr>
          <w:b/>
          <w:i/>
          <w:noProof/>
        </w:rPr>
        <w:t>Taryba.</w:t>
      </w:r>
      <w:r>
        <w:rPr>
          <w:noProof/>
        </w:rPr>
        <w:t xml:space="preserve"> 2017 m. Taryba skyrė išmokas už budėjimą 71 darbuotojui (2016 m. – 62). Užtikrinamos tokios trys paslaugos šiose srityse: 1) informacinės ir ryšių technologijos (IRT) užtikrina reagavimą siekiant apsaugoti tinkamą informacinių ir ryšių tinklų veikimą; 2) saugos ir (arba) saugumo paslaugos skirtos nedelsiant reaguoti į bet kokius incidentus, galinčius turėti įtakos TGS personalui ir ES Tarybos ar Europos Vadovų Tarybos veiklai, taip pat visą parą be poilsio dienų padėti misijose esantiems apsaugos pareigūnams; 3) skubių pareiškimų redagavimo, skelbimo internete ir platinimo paslaugos užtikrina greitą pirmininkaujančios valstybės narės ir Europos Vadovų Tarybos pirmininko pareiškimų BUSP ir (arba) BSGP klausimais paskelbimą. 2017 m. darbuotojai budėjo tik namuose. </w:t>
      </w:r>
    </w:p>
    <w:p>
      <w:pPr>
        <w:rPr>
          <w:noProof/>
        </w:rPr>
      </w:pPr>
      <w:r>
        <w:rPr>
          <w:b/>
          <w:i/>
          <w:noProof/>
        </w:rPr>
        <w:t>Audito rūmai.</w:t>
      </w:r>
      <w:r>
        <w:rPr>
          <w:noProof/>
        </w:rPr>
        <w:t xml:space="preserve"> </w:t>
      </w:r>
      <w:r>
        <w:rPr>
          <w:noProof/>
          <w:color w:val="222222"/>
        </w:rPr>
        <w:t>2011 m. pradėjus taikyti saugos ir apsaugos paslaugų mėnesinio planavimo tvarką, 2017 m. namuose budėjo 14 darbuotojų (2016 m. – 10). Šie darbuotojai visus metus nepertraukiamai užtikrina pastatų ir juose dirbančių asmenų apsaugą</w:t>
      </w:r>
      <w:r>
        <w:rPr>
          <w:noProof/>
        </w:rPr>
        <w:t>.</w:t>
      </w:r>
    </w:p>
    <w:p>
      <w:pPr>
        <w:rPr>
          <w:noProof/>
          <w:color w:val="222222"/>
        </w:rPr>
      </w:pPr>
      <w:r>
        <w:rPr>
          <w:b/>
          <w:i/>
          <w:noProof/>
        </w:rPr>
        <w:t>EIVT</w:t>
      </w:r>
      <w:r>
        <w:rPr>
          <w:noProof/>
        </w:rPr>
        <w:t xml:space="preserve">. 2017 m. EIVT skyrė išmokas už budėjimą namuose 15 darbuotojų (2016 m. – 16) 3 srityse: 1) apsaugos paslaugų, </w:t>
      </w:r>
      <w:r>
        <w:rPr>
          <w:noProof/>
          <w:color w:val="222222"/>
        </w:rPr>
        <w:t>skirtų EIVT darbuotojams, lankytojams ir Briuselyje esančioms patalpoms bei materialiajam turtui, taip pat įslaptintai informacijai (pagrindinėje buveinėje ir delegacijose) nepertraukiamai saugoti; 2) </w:t>
      </w:r>
      <w:r>
        <w:rPr>
          <w:noProof/>
        </w:rPr>
        <w:t xml:space="preserve">paramos BUSP ir BSGP siekiant </w:t>
      </w:r>
      <w:r>
        <w:rPr>
          <w:noProof/>
          <w:color w:val="222222"/>
        </w:rPr>
        <w:t>visą parą be poilsio dienų stebėti įvykius pasaulyje, reaguoti į krizes, incidentus, kritinius įvykius, konkrečias ar skubias situacijas, teikti pagalbą vyriausiajam įgaliotiniui ir kitoms ES institucijoms, palengvinti EIVT krizių platformos posėdžių rengimą ne įprastinėmis darbo valandomis; 3) </w:t>
      </w:r>
      <w:r>
        <w:rPr>
          <w:noProof/>
        </w:rPr>
        <w:t xml:space="preserve">informacinių ir ryšių technologijų padedant </w:t>
      </w:r>
      <w:r>
        <w:rPr>
          <w:noProof/>
          <w:color w:val="222222"/>
        </w:rPr>
        <w:t>COMCEN (Ryšių centrui), kuris teikia įslaptintos informacijos perdavimo visiems EIVT darbuotojams paslaugas, taip pat paslaugas Tarybos generaliniam sekretoriatui užtikrindamas greitą skubios įslaptintos informacijos apdorojimą.</w:t>
      </w:r>
    </w:p>
    <w:p>
      <w:pPr>
        <w:rPr>
          <w:noProof/>
        </w:rPr>
      </w:pPr>
      <w:r>
        <w:rPr>
          <w:b/>
          <w:i/>
          <w:noProof/>
        </w:rPr>
        <w:t xml:space="preserve">Teisingumo Teismas. </w:t>
      </w:r>
      <w:r>
        <w:rPr>
          <w:noProof/>
        </w:rPr>
        <w:t xml:space="preserve">2017 m. Teisingumo Teismas skyrė išmokas už budėjimą namuose 24 darbuotojams. Šis budėjimas Infrastruktūros generalinio direktorato imtas taikyti 2014 m. lapkričio mėn. Pastatų priežiūros direkcija </w:t>
      </w:r>
      <w:r>
        <w:rPr>
          <w:noProof/>
          <w:color w:val="222222"/>
        </w:rPr>
        <w:t xml:space="preserve">atsako už institucijos apsaugą, gaisro prevenciją ir darbuotojų saugą bei sveikatą. Šiai direkcijai priklauso trys skyriai, atsakingi už naujus darbus, pastatų priežiūrą ir apsaugą. </w:t>
      </w:r>
    </w:p>
    <w:p>
      <w:pPr>
        <w:rPr>
          <w:noProof/>
        </w:rPr>
      </w:pPr>
      <w:r>
        <w:rPr>
          <w:b/>
          <w:i/>
          <w:noProof/>
        </w:rPr>
        <w:t>RK ir EESRK.</w:t>
      </w:r>
      <w:r>
        <w:rPr>
          <w:noProof/>
        </w:rPr>
        <w:t xml:space="preserve"> </w:t>
      </w:r>
      <w:r>
        <w:rPr>
          <w:noProof/>
          <w:color w:val="222222"/>
        </w:rPr>
        <w:t>2017 m. kovo 1 d. RK ir EESRK pradėjo taikyti bendrą budėjimo apsaugos srityje tvarką, kuria siekiama užtikrinti, kad su apsaugos darbuotojais būtų galima susisiekti bet kuriuo metu ir jie galėtų nedelsdami reaguoti, kai incidentas įvyksta ne institucijos darbo valandomis. 2017 m. namuose budėjo 4 RK ir 2 EESRK darbuotojai.</w:t>
      </w:r>
    </w:p>
    <w:p>
      <w:pPr>
        <w:spacing w:before="0" w:after="0"/>
        <w:ind w:left="851"/>
        <w:jc w:val="left"/>
        <w:rPr>
          <w:noProof/>
        </w:rPr>
      </w:pPr>
    </w:p>
    <w:p>
      <w:pPr>
        <w:pStyle w:val="ManualHeading2"/>
        <w:rPr>
          <w:bCs/>
          <w:noProof/>
        </w:rPr>
      </w:pPr>
      <w:r>
        <w:t>5.2.</w:t>
      </w:r>
      <w:r>
        <w:tab/>
      </w:r>
      <w:r>
        <w:rPr>
          <w:noProof/>
        </w:rPr>
        <w:t>Išmokų už ypač sunkias darbo sąlygas skyrimo priežastys</w:t>
      </w:r>
    </w:p>
    <w:p>
      <w:pPr>
        <w:rPr>
          <w:noProof/>
        </w:rPr>
      </w:pPr>
      <w:r>
        <w:rPr>
          <w:b/>
          <w:i/>
          <w:noProof/>
        </w:rPr>
        <w:t>Komisija</w:t>
      </w:r>
      <w:r>
        <w:rPr>
          <w:i/>
          <w:noProof/>
        </w:rPr>
        <w:t xml:space="preserve">. </w:t>
      </w:r>
      <w:r>
        <w:rPr>
          <w:noProof/>
        </w:rPr>
        <w:t>2017 m. Komisija buvo vienintelė institucija, skyrusi šias išmokas. Be šia galimybe jau pasinaudojusio Jungtinio tyrimų centro, 2008 m. viename iš savo skyrių (kopijavimo skyriuje) ja pradėjo naudotis Infrastruktūros ir logistikos biuras Briuselyje (OIB).</w:t>
      </w:r>
    </w:p>
    <w:p>
      <w:pPr>
        <w:spacing w:after="0"/>
        <w:rPr>
          <w:noProof/>
        </w:rPr>
      </w:pPr>
      <w:r>
        <w:rPr>
          <w:noProof/>
        </w:rPr>
        <w:t>2017 m. visos ypač sunkiomis sąlygomis išdirbtos valandos pasiskirstė taip:</w:t>
      </w:r>
    </w:p>
    <w:p>
      <w:pPr>
        <w:pStyle w:val="Text1"/>
        <w:numPr>
          <w:ilvl w:val="0"/>
          <w:numId w:val="29"/>
        </w:numPr>
        <w:spacing w:before="0" w:after="0"/>
        <w:ind w:left="360"/>
        <w:rPr>
          <w:noProof/>
        </w:rPr>
      </w:pPr>
      <w:r>
        <w:rPr>
          <w:noProof/>
        </w:rPr>
        <w:t>63 598,72 val. – asmens apsauga (pvz., specialių nepatogių apsauginių drabužių dėvėjimas),</w:t>
      </w:r>
    </w:p>
    <w:p>
      <w:pPr>
        <w:pStyle w:val="Text1"/>
        <w:numPr>
          <w:ilvl w:val="0"/>
          <w:numId w:val="29"/>
        </w:numPr>
        <w:spacing w:before="0" w:after="0"/>
        <w:ind w:left="360"/>
        <w:rPr>
          <w:noProof/>
        </w:rPr>
      </w:pPr>
      <w:r>
        <w:rPr>
          <w:noProof/>
        </w:rPr>
        <w:t>115 068,21 val. – darbo vieta (pvz., didelis triukšmo lygis, pavojingos vietos) ir</w:t>
      </w:r>
    </w:p>
    <w:p>
      <w:pPr>
        <w:pStyle w:val="Text1"/>
        <w:numPr>
          <w:ilvl w:val="0"/>
          <w:numId w:val="29"/>
        </w:numPr>
        <w:spacing w:before="0"/>
        <w:ind w:left="360"/>
        <w:jc w:val="left"/>
        <w:rPr>
          <w:noProof/>
        </w:rPr>
      </w:pPr>
      <w:r>
        <w:rPr>
          <w:noProof/>
        </w:rPr>
        <w:t>12 803,10 val. – darbo pobūdis (pvz., darbas su ėdžiosiomis medžiagomis).</w:t>
      </w:r>
    </w:p>
    <w:p>
      <w:pPr>
        <w:pStyle w:val="Text1"/>
        <w:spacing w:before="0" w:after="0"/>
        <w:ind w:left="851"/>
        <w:jc w:val="left"/>
        <w:rPr>
          <w:noProof/>
        </w:rPr>
      </w:pPr>
    </w:p>
    <w:p>
      <w:pPr>
        <w:pStyle w:val="ManualHeading2"/>
        <w:rPr>
          <w:noProof/>
        </w:rPr>
      </w:pPr>
      <w:r>
        <w:t>5.3.</w:t>
      </w:r>
      <w:r>
        <w:tab/>
      </w:r>
      <w:r>
        <w:rPr>
          <w:noProof/>
        </w:rPr>
        <w:t>Nepertraukiamo arba pamaininio darbo priežastys</w:t>
      </w:r>
    </w:p>
    <w:p>
      <w:pPr>
        <w:rPr>
          <w:noProof/>
        </w:rPr>
      </w:pPr>
      <w:r>
        <w:rPr>
          <w:b/>
          <w:i/>
          <w:noProof/>
        </w:rPr>
        <w:t>Komisija.</w:t>
      </w:r>
      <w:r>
        <w:rPr>
          <w:noProof/>
        </w:rPr>
        <w:t xml:space="preserve"> Komisijoje tokį darbo režimą dažniausiai turi taikyti Jungtinis tyrimų centras (iš esmės dėl užduočių pobūdžio) ir Žmogiškųjų išteklių ir saugumo GD (apsaugos ir prevencijos tarnyba) (2017 m. atitinkamai 29 ir 46 asmenys). </w:t>
      </w:r>
    </w:p>
    <w:p>
      <w:pPr>
        <w:spacing w:after="0"/>
        <w:rPr>
          <w:noProof/>
        </w:rPr>
      </w:pPr>
      <w:r>
        <w:rPr>
          <w:noProof/>
        </w:rPr>
        <w:t>2017 m. kituose generaliniuose direktoratuose (veiklos biudžetas) pamaininį darbą dirbo 39 asmenys šiose srityse:</w:t>
      </w:r>
    </w:p>
    <w:p>
      <w:pPr>
        <w:pStyle w:val="Tiret1"/>
        <w:numPr>
          <w:ilvl w:val="0"/>
          <w:numId w:val="25"/>
        </w:numPr>
        <w:spacing w:before="0" w:after="0"/>
        <w:ind w:left="1418"/>
        <w:rPr>
          <w:noProof/>
        </w:rPr>
      </w:pPr>
      <w:r>
        <w:rPr>
          <w:noProof/>
        </w:rPr>
        <w:t>saugos ir prevencijos – 8 (OIL),</w:t>
      </w:r>
    </w:p>
    <w:p>
      <w:pPr>
        <w:pStyle w:val="Tiret1"/>
        <w:numPr>
          <w:ilvl w:val="0"/>
          <w:numId w:val="25"/>
        </w:numPr>
        <w:spacing w:before="0" w:after="0"/>
        <w:ind w:left="1418"/>
        <w:rPr>
          <w:noProof/>
        </w:rPr>
      </w:pPr>
      <w:r>
        <w:rPr>
          <w:noProof/>
        </w:rPr>
        <w:t>techninės įrangos – 1 (OP),</w:t>
      </w:r>
    </w:p>
    <w:p>
      <w:pPr>
        <w:pStyle w:val="Tiret1"/>
        <w:numPr>
          <w:ilvl w:val="0"/>
          <w:numId w:val="25"/>
        </w:numPr>
        <w:spacing w:before="0" w:after="0"/>
        <w:ind w:left="1418"/>
        <w:rPr>
          <w:noProof/>
        </w:rPr>
      </w:pPr>
      <w:r>
        <w:rPr>
          <w:noProof/>
        </w:rPr>
        <w:t>informacinių ir ryšių technologijų (IRT) – 22 (Komunikacijos GD),</w:t>
      </w:r>
    </w:p>
    <w:p>
      <w:pPr>
        <w:pStyle w:val="Tiret1"/>
        <w:numPr>
          <w:ilvl w:val="0"/>
          <w:numId w:val="25"/>
        </w:numPr>
        <w:spacing w:before="0" w:after="0"/>
        <w:ind w:left="1418"/>
        <w:rPr>
          <w:noProof/>
        </w:rPr>
      </w:pPr>
      <w:r>
        <w:rPr>
          <w:noProof/>
        </w:rPr>
        <w:t>pagalbos valstybėms narėms – 8 (Humanitarinės pagalbos ir civilinės saugos GD).</w:t>
      </w:r>
    </w:p>
    <w:p>
      <w:pPr>
        <w:rPr>
          <w:noProof/>
        </w:rPr>
      </w:pPr>
      <w:r>
        <w:rPr>
          <w:noProof/>
        </w:rPr>
        <w:t>Komunikacijos GD 2015 m. įsteigė pamaininį budėjimą, kad būtų galima atlikti spaudos apžvalgą, skirtą Pirmininkui, Komisijos narių kolegijai ir atstovo spaudai tarnybai.</w:t>
      </w:r>
    </w:p>
    <w:p>
      <w:pPr>
        <w:rPr>
          <w:noProof/>
        </w:rPr>
      </w:pPr>
      <w:r>
        <w:rPr>
          <w:noProof/>
        </w:rPr>
        <w:t>Nepertraukiamas Humanitarinės pagalbos ir civilinės saugos GD darbas vykdomas nuo 2013 m., kai buvo įsteigtas Stebėsenos ir informacijos centras, kurio paskirtis – teikti pagalbą valstybėms narėms ir Komisijai nelaimių atveju.</w:t>
      </w:r>
    </w:p>
    <w:p>
      <w:pPr>
        <w:spacing w:before="0"/>
        <w:rPr>
          <w:noProof/>
        </w:rPr>
      </w:pPr>
      <w:r>
        <w:rPr>
          <w:noProof/>
        </w:rPr>
        <w:t>Komisija moka visų keturių dydžių (išmokų tipų) išmokas, o 4 dydžio išmokos (už nepertraukiamą darbą) dažniausiai skiriamos saugos tarnybose.</w:t>
      </w:r>
    </w:p>
    <w:p>
      <w:pPr>
        <w:shd w:val="clear" w:color="auto" w:fill="FFFFFF"/>
        <w:rPr>
          <w:noProof/>
        </w:rPr>
      </w:pPr>
      <w:r>
        <w:rPr>
          <w:b/>
          <w:i/>
          <w:noProof/>
        </w:rPr>
        <w:t>Taryba.</w:t>
      </w:r>
      <w:r>
        <w:rPr>
          <w:noProof/>
        </w:rPr>
        <w:t xml:space="preserve"> Taryboje veikia pamaininio darbo sistema, kuri reikalinga siekiant užtikrinti už prevenciją ir abiejų institucijų pastatų ir juose dirbančių asmenų saugumą atsakingų tarnybų veiklos tęstinumą.</w:t>
      </w:r>
    </w:p>
    <w:p>
      <w:pPr>
        <w:shd w:val="clear" w:color="auto" w:fill="FFFFFF"/>
        <w:rPr>
          <w:noProof/>
        </w:rPr>
      </w:pPr>
      <w:r>
        <w:rPr>
          <w:noProof/>
        </w:rPr>
        <w:t xml:space="preserve">A generaliniame direktorate padaryta pertvarka siekiant optimizuoti vietoje dirbančių darbuotojų veiklą. Prevencijos tarnyba įtraukta į Saugumo tarnybą, nes visus 2017 metus jų užduotims atlikti reikėjo nepertraukiamo darbo režimo (4 priemoka). Kaip ir ankstesniais metais, kitoms įvairius saugumo aspektus užtikrinančioms tarnyboms buvo reikalingas pamaininis (1 priemoka) ir nepertraukiamas (4 priemoka) darbas. </w:t>
      </w:r>
    </w:p>
    <w:p>
      <w:pPr>
        <w:shd w:val="clear" w:color="auto" w:fill="FFFFFF"/>
        <w:rPr>
          <w:noProof/>
        </w:rPr>
      </w:pPr>
      <w:r>
        <w:rPr>
          <w:noProof/>
        </w:rPr>
        <w:t>Dėl šių tarnybų, kuriose dirba AST pareigūnai ir sutartininkai (II PG), reorganizavimo 2017 m. išmokų nepadaugėjo (85), palyginti su 2016 m. (86).</w:t>
      </w:r>
    </w:p>
    <w:p>
      <w:pPr>
        <w:shd w:val="clear" w:color="auto" w:fill="FFFFFF"/>
        <w:rPr>
          <w:noProof/>
          <w:color w:val="222222"/>
        </w:rPr>
      </w:pPr>
      <w:r>
        <w:rPr>
          <w:b/>
          <w:i/>
          <w:noProof/>
        </w:rPr>
        <w:t>Europos Parlamentas.</w:t>
      </w:r>
      <w:r>
        <w:rPr>
          <w:noProof/>
        </w:rPr>
        <w:t xml:space="preserve"> 2017 m. Europos Parlamentas išmokas už nepertraukiamą arba pamaininį darbą mokėjo už: 1) saugos ir saugumo užtikrinimo </w:t>
      </w:r>
      <w:r>
        <w:rPr>
          <w:noProof/>
          <w:color w:val="222222"/>
        </w:rPr>
        <w:t xml:space="preserve">3 darbo vietose – Briuselyje, Strasbūre ir Liuksemburge, paslaugas; </w:t>
      </w:r>
      <w:r>
        <w:rPr>
          <w:noProof/>
        </w:rPr>
        <w:t xml:space="preserve">2) lankytojų sutikimo, apsaugos ir tikrinimo paslaugas (Parlamentariume, Europos istorijos namuose (nuo 2017 m.), Sporto centre (nuo 2017 m.)), taip pat per </w:t>
      </w:r>
      <w:r>
        <w:rPr>
          <w:noProof/>
          <w:color w:val="222222"/>
        </w:rPr>
        <w:t xml:space="preserve">telefono komutatorių įvairiomis kalbomis teikiamas paslaugas, tokias kaip gaunamų ir siunčiamų skambučių valdymas, kontaktinės informacijos (telefono ir fakso numerių, elektroninio pašto adreso ir biuro adreso) teikimas, informacijos apie Europos Parlamento posėdžius ir pastatus teikimas. </w:t>
      </w:r>
    </w:p>
    <w:p>
      <w:pPr>
        <w:shd w:val="clear" w:color="auto" w:fill="FFFFFF"/>
        <w:rPr>
          <w:noProof/>
        </w:rPr>
      </w:pPr>
      <w:r>
        <w:rPr>
          <w:noProof/>
        </w:rPr>
        <w:t>Taikomas darbo tipas – tai dviejų pamainų sistema (1 išmokos dydis), dviejų pamainų darbas, įskaitant darbą naktimis, savaitgaliais ir švenčių dienomis (2 išmokos dydis), arba nepertraukiamas darbas visą parą (4 išmokos dydis). 2017 m. išmokas gavo 581 darbuotojas (2016 m. – 570).</w:t>
      </w:r>
    </w:p>
    <w:p>
      <w:pPr>
        <w:rPr>
          <w:noProof/>
        </w:rPr>
      </w:pPr>
      <w:r>
        <w:rPr>
          <w:b/>
          <w:i/>
          <w:noProof/>
        </w:rPr>
        <w:t>Audito rūmai.</w:t>
      </w:r>
      <w:r>
        <w:rPr>
          <w:noProof/>
        </w:rPr>
        <w:t xml:space="preserve"> Nuo 2011 m. Audito Rūmai užtikrina nepertraukiamą arba pamaininį darbą saugos ir telefono ryšio (priimamasis) srityse. Nepertraukiamas arba pamaininis darbas – tai dviejų pamainų darbas (1 išmokos dydis) arba nepertraukiamas darbas visą parą (4 išmokos dydis). 2017 m. išmokas gavo 16 darbuotojų (2016 m. – 14).</w:t>
      </w:r>
    </w:p>
    <w:p>
      <w:pPr>
        <w:rPr>
          <w:noProof/>
        </w:rPr>
      </w:pPr>
      <w:r>
        <w:rPr>
          <w:b/>
          <w:i/>
          <w:noProof/>
        </w:rPr>
        <w:t>EIVT</w:t>
      </w:r>
      <w:r>
        <w:rPr>
          <w:noProof/>
        </w:rPr>
        <w:t xml:space="preserve">. 2017 m. EIVT skyrė 38 išmokas už nepertraukiamą arba pamaininį darbą, kuriuo buvo siekiama </w:t>
      </w:r>
      <w:r>
        <w:rPr>
          <w:noProof/>
          <w:color w:val="222222"/>
        </w:rPr>
        <w:t>visą parą be poilsio dienų užtikrinti politiškai reikšmingų įvykių ar situacijų stebėseną, vertinimą ir informavimą apie tuos įvykius, taip pat teikti įslaptintos informacijos perdavimo visiems EIVT darbuotojams, vyriausiajam įgaliotiniui ir kitoms ES institucijoms (Europos Komisijai, Tarybos generaliniam sekretoriatui, ES agentūroms, ES valstybėms narėms) paslaugas.</w:t>
      </w:r>
    </w:p>
    <w:p>
      <w:pPr>
        <w:rPr>
          <w:noProof/>
        </w:rPr>
      </w:pPr>
      <w:r>
        <w:rPr>
          <w:noProof/>
          <w:color w:val="222222"/>
        </w:rPr>
        <w:t>EIVT dažniausiai taiko du išmokų tipus, t. y. 1 ir 4 išmokos dydžius. Gavėjų skaičius nepakito</w:t>
      </w:r>
      <w:r>
        <w:rPr>
          <w:noProof/>
        </w:rPr>
        <w:t xml:space="preserve">. </w:t>
      </w:r>
    </w:p>
    <w:p>
      <w:pPr>
        <w:rPr>
          <w:noProof/>
        </w:rPr>
      </w:pPr>
      <w:r>
        <w:rPr>
          <w:b/>
          <w:i/>
          <w:noProof/>
        </w:rPr>
        <w:t>RK ir EESRK</w:t>
      </w:r>
      <w:r>
        <w:rPr>
          <w:noProof/>
        </w:rPr>
        <w:t>. 2017 m. kovo 1 d. RK ir EESRK nustatė bendrą pamaininio darbo tvarką, skirtą nuolatinės apsaugos paslaugų poreikiui tenkinti. RK išmokas moka 4 gavėjams (1 išmokos dydis), o EESRK – 2 gavėjams (1 išmokos dydis).</w:t>
      </w:r>
    </w:p>
    <w:p>
      <w:pPr>
        <w:pStyle w:val="ManualHeading1"/>
        <w:rPr>
          <w:bCs/>
          <w:noProof/>
        </w:rPr>
      </w:pPr>
      <w:r>
        <w:t>6.</w:t>
      </w:r>
      <w:r>
        <w:tab/>
      </w:r>
      <w:r>
        <w:rPr>
          <w:noProof/>
        </w:rPr>
        <w:t>Biudžeto išlaidos pagal institucijas ir išmokas (EUR)</w:t>
      </w:r>
    </w:p>
    <w:tbl>
      <w:tblPr>
        <w:tblW w:w="9615" w:type="dxa"/>
        <w:tblInd w:w="93" w:type="dxa"/>
        <w:tblLook w:val="0000" w:firstRow="0" w:lastRow="0" w:firstColumn="0" w:lastColumn="0" w:noHBand="0" w:noVBand="0"/>
      </w:tblPr>
      <w:tblGrid>
        <w:gridCol w:w="2055"/>
        <w:gridCol w:w="1920"/>
        <w:gridCol w:w="1800"/>
        <w:gridCol w:w="2040"/>
        <w:gridCol w:w="1800"/>
      </w:tblGrid>
      <w:tr>
        <w:trPr>
          <w:trHeight w:val="645"/>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Institucija</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Nepertraukiamas arba pamaininis darbas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Budėjimas</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Ypač sunkios darbo sąlygos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center"/>
              <w:rPr>
                <w:rFonts w:ascii="Arial" w:hAnsi="Arial" w:cs="Arial"/>
                <w:b/>
                <w:bCs/>
                <w:noProof/>
                <w:sz w:val="20"/>
                <w:szCs w:val="20"/>
              </w:rPr>
            </w:pPr>
            <w:r>
              <w:rPr>
                <w:rFonts w:ascii="Arial" w:hAnsi="Arial"/>
                <w:b/>
                <w:noProof/>
                <w:sz w:val="20"/>
              </w:rPr>
              <w:t>Iš viso</w:t>
            </w:r>
          </w:p>
        </w:tc>
      </w:tr>
      <w:tr>
        <w:trPr>
          <w:trHeight w:val="33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0" w:after="0"/>
              <w:jc w:val="left"/>
              <w:rPr>
                <w:rFonts w:ascii="Arial" w:hAnsi="Arial" w:cs="Arial"/>
                <w:noProof/>
                <w:sz w:val="20"/>
                <w:szCs w:val="20"/>
              </w:rPr>
            </w:pPr>
            <w:r>
              <w:rPr>
                <w:rFonts w:ascii="Arial" w:hAnsi="Arial"/>
                <w:noProof/>
                <w:sz w:val="20"/>
              </w:rPr>
              <w:t>Komisija</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1 016 105,21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1 357 562,14</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622 521,54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2 996 188,89</w:t>
            </w:r>
          </w:p>
        </w:tc>
      </w:tr>
      <w:tr>
        <w:trPr>
          <w:trHeight w:val="330"/>
        </w:trPr>
        <w:tc>
          <w:tcPr>
            <w:tcW w:w="2055" w:type="dxa"/>
            <w:tcBorders>
              <w:top w:val="single" w:sz="4" w:space="0" w:color="auto"/>
              <w:left w:val="single" w:sz="8" w:space="0" w:color="auto"/>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iš jų JRC</w:t>
            </w:r>
          </w:p>
        </w:tc>
        <w:tc>
          <w:tcPr>
            <w:tcW w:w="192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260 638,58</w:t>
            </w:r>
          </w:p>
        </w:tc>
        <w:tc>
          <w:tcPr>
            <w:tcW w:w="180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543 164,63</w:t>
            </w:r>
          </w:p>
        </w:tc>
        <w:tc>
          <w:tcPr>
            <w:tcW w:w="204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i/>
                <w:iCs/>
                <w:noProof/>
                <w:color w:val="808080"/>
                <w:sz w:val="20"/>
                <w:szCs w:val="20"/>
              </w:rPr>
            </w:pPr>
            <w:r>
              <w:rPr>
                <w:rFonts w:ascii="Arial" w:hAnsi="Arial"/>
                <w:i/>
                <w:noProof/>
                <w:color w:val="808080"/>
                <w:sz w:val="20"/>
              </w:rPr>
              <w:t>595 924,90</w:t>
            </w:r>
          </w:p>
        </w:tc>
        <w:tc>
          <w:tcPr>
            <w:tcW w:w="1800" w:type="dxa"/>
            <w:tcBorders>
              <w:top w:val="single" w:sz="4" w:space="0" w:color="auto"/>
              <w:left w:val="nil"/>
              <w:bottom w:val="single" w:sz="8" w:space="0" w:color="auto"/>
              <w:right w:val="single" w:sz="8" w:space="0" w:color="auto"/>
            </w:tcBorders>
            <w:shd w:val="clear" w:color="auto" w:fill="FFFFFF"/>
            <w:vAlign w:val="center"/>
          </w:tcPr>
          <w:p>
            <w:pPr>
              <w:spacing w:before="0" w:after="0"/>
              <w:jc w:val="left"/>
              <w:rPr>
                <w:rFonts w:ascii="Arial" w:hAnsi="Arial" w:cs="Arial"/>
                <w:b/>
                <w:i/>
                <w:iCs/>
                <w:noProof/>
                <w:color w:val="808080"/>
                <w:sz w:val="20"/>
                <w:szCs w:val="20"/>
              </w:rPr>
            </w:pPr>
            <w:r>
              <w:rPr>
                <w:rFonts w:ascii="Arial" w:hAnsi="Arial"/>
                <w:b/>
                <w:i/>
                <w:noProof/>
                <w:color w:val="808080"/>
                <w:sz w:val="20"/>
              </w:rPr>
              <w:t>1 399 728,11</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Taryba</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672 443,72</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201 886,92</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874 330,64</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Parlamentas</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3 717 011,75</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3 717 011,75</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Teisingumo Teismas</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60 811,47</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60 811,47</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Audito Rūmai</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149 853,04</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14 806,32</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164 659,36</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EESRK</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8 223,32</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8 223,32</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RK</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16 446,64</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11 773,65</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28 220,29</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EDAPP</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0</w:t>
            </w:r>
          </w:p>
        </w:tc>
      </w:tr>
      <w:tr>
        <w:trPr>
          <w:trHeight w:val="330"/>
        </w:trPr>
        <w:tc>
          <w:tcPr>
            <w:tcW w:w="2055" w:type="dxa"/>
            <w:tcBorders>
              <w:top w:val="nil"/>
              <w:left w:val="single" w:sz="8" w:space="0" w:color="auto"/>
              <w:bottom w:val="single" w:sz="8"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Ombudsmenas</w:t>
            </w:r>
          </w:p>
        </w:tc>
        <w:tc>
          <w:tcPr>
            <w:tcW w:w="192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204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8"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0</w:t>
            </w:r>
          </w:p>
        </w:tc>
      </w:tr>
      <w:tr>
        <w:trPr>
          <w:trHeight w:val="330"/>
        </w:trPr>
        <w:tc>
          <w:tcPr>
            <w:tcW w:w="2055" w:type="dxa"/>
            <w:tcBorders>
              <w:top w:val="nil"/>
              <w:left w:val="single" w:sz="8" w:space="0" w:color="auto"/>
              <w:bottom w:val="single" w:sz="2" w:space="0" w:color="auto"/>
              <w:right w:val="single" w:sz="8" w:space="0" w:color="auto"/>
            </w:tcBorders>
            <w:shd w:val="clear" w:color="auto" w:fill="auto"/>
            <w:vAlign w:val="center"/>
          </w:tcPr>
          <w:p>
            <w:pPr>
              <w:spacing w:before="0" w:after="0"/>
              <w:jc w:val="left"/>
              <w:rPr>
                <w:rFonts w:ascii="Arial" w:hAnsi="Arial" w:cs="Arial"/>
                <w:noProof/>
                <w:sz w:val="20"/>
                <w:szCs w:val="20"/>
              </w:rPr>
            </w:pPr>
            <w:r>
              <w:rPr>
                <w:rFonts w:ascii="Arial" w:hAnsi="Arial"/>
                <w:noProof/>
                <w:sz w:val="20"/>
              </w:rPr>
              <w:t>EIVT</w:t>
            </w:r>
          </w:p>
        </w:tc>
        <w:tc>
          <w:tcPr>
            <w:tcW w:w="192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211 538,69</w:t>
            </w:r>
          </w:p>
        </w:tc>
        <w:tc>
          <w:tcPr>
            <w:tcW w:w="180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57 982,14</w:t>
            </w:r>
          </w:p>
        </w:tc>
        <w:tc>
          <w:tcPr>
            <w:tcW w:w="204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noProof/>
                <w:sz w:val="20"/>
                <w:szCs w:val="20"/>
              </w:rPr>
            </w:pPr>
            <w:r>
              <w:rPr>
                <w:rFonts w:ascii="Arial" w:hAnsi="Arial"/>
                <w:noProof/>
                <w:sz w:val="20"/>
              </w:rPr>
              <w:t>0</w:t>
            </w:r>
          </w:p>
        </w:tc>
        <w:tc>
          <w:tcPr>
            <w:tcW w:w="1800" w:type="dxa"/>
            <w:tcBorders>
              <w:top w:val="nil"/>
              <w:left w:val="nil"/>
              <w:bottom w:val="single" w:sz="2" w:space="0" w:color="auto"/>
              <w:right w:val="single" w:sz="8" w:space="0" w:color="auto"/>
            </w:tcBorders>
            <w:shd w:val="clear" w:color="auto" w:fill="auto"/>
            <w:vAlign w:val="center"/>
          </w:tcPr>
          <w:p>
            <w:pPr>
              <w:spacing w:before="0" w:after="0"/>
              <w:jc w:val="right"/>
              <w:rPr>
                <w:rFonts w:ascii="Arial" w:hAnsi="Arial" w:cs="Arial"/>
                <w:b/>
                <w:noProof/>
                <w:sz w:val="20"/>
                <w:szCs w:val="20"/>
              </w:rPr>
            </w:pPr>
            <w:r>
              <w:rPr>
                <w:rFonts w:ascii="Arial" w:hAnsi="Arial"/>
                <w:b/>
                <w:noProof/>
                <w:sz w:val="20"/>
              </w:rPr>
              <w:t>269 520,83</w:t>
            </w:r>
          </w:p>
        </w:tc>
      </w:tr>
      <w:tr>
        <w:trPr>
          <w:trHeight w:val="492"/>
        </w:trPr>
        <w:tc>
          <w:tcPr>
            <w:tcW w:w="2055"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Iš viso</w:t>
            </w:r>
          </w:p>
        </w:tc>
        <w:tc>
          <w:tcPr>
            <w:tcW w:w="192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5 791 622,37</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1 704 822,64</w:t>
            </w:r>
          </w:p>
        </w:tc>
        <w:tc>
          <w:tcPr>
            <w:tcW w:w="204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622 521,54</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pPr>
              <w:spacing w:before="0" w:after="0"/>
              <w:jc w:val="right"/>
              <w:rPr>
                <w:rFonts w:ascii="Arial" w:hAnsi="Arial" w:cs="Arial"/>
                <w:b/>
                <w:bCs/>
                <w:noProof/>
                <w:sz w:val="20"/>
                <w:szCs w:val="20"/>
              </w:rPr>
            </w:pPr>
            <w:r>
              <w:rPr>
                <w:rFonts w:ascii="Arial" w:hAnsi="Arial"/>
                <w:b/>
                <w:noProof/>
                <w:sz w:val="20"/>
              </w:rPr>
              <w:t>8 118 966,55</w:t>
            </w:r>
          </w:p>
        </w:tc>
      </w:tr>
    </w:tbl>
    <w:p>
      <w:pPr>
        <w:rPr>
          <w:noProof/>
        </w:rPr>
      </w:pPr>
      <w:r>
        <w:rPr>
          <w:noProof/>
        </w:rPr>
        <w:t>2017 m. visos ES institucijos visų trijų kategorijų išmokoms išleido 8 118 966,55 EUR (2016 m. – 7 364 776,86 EUR</w:t>
      </w:r>
      <w:bookmarkStart w:id="2" w:name="_CopyToNewDocument_"/>
      <w:bookmarkEnd w:id="2"/>
      <w:r>
        <w:rPr>
          <w:noProof/>
        </w:rPr>
        <w:t xml:space="preserve">). </w:t>
      </w: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ListParagraph"/>
        <w:ind w:left="0"/>
        <w:rPr>
          <w:lang w:val="fr-BE"/>
        </w:rPr>
      </w:pPr>
      <w:r>
        <w:rPr>
          <w:rStyle w:val="FootnoteReference"/>
          <w:sz w:val="20"/>
        </w:rPr>
        <w:footnoteRef/>
      </w:r>
      <w:r>
        <w:rPr>
          <w:sz w:val="20"/>
        </w:rPr>
        <w:t xml:space="preserve"> OLAF budinčios saugos tarnybos komanda budi 24 valandas per parą ir 7 dienas per savaitę: 0,33 AD / 0,33 SC-AST / 0,33 I PG (iš viso – vienas gavėjas). </w:t>
      </w:r>
      <w:r>
        <w:rPr>
          <w:sz w:val="20"/>
          <w:szCs w:val="20"/>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1664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30D8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807A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FCEA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DCA3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82E7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04D12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EAE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8D241E"/>
    <w:multiLevelType w:val="hybridMultilevel"/>
    <w:tmpl w:val="074EA930"/>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3">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4">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6">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9">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4">
    <w:nsid w:val="6CFA7791"/>
    <w:multiLevelType w:val="hybridMultilevel"/>
    <w:tmpl w:val="159690E8"/>
    <w:lvl w:ilvl="0" w:tplc="2544F1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7"/>
  </w:num>
  <w:num w:numId="2">
    <w:abstractNumId w:val="11"/>
  </w:num>
  <w:num w:numId="3">
    <w:abstractNumId w:val="20"/>
  </w:num>
  <w:num w:numId="4">
    <w:abstractNumId w:val="19"/>
  </w:num>
  <w:num w:numId="5">
    <w:abstractNumId w:val="16"/>
  </w:num>
  <w:num w:numId="6">
    <w:abstractNumId w:val="23"/>
  </w:num>
  <w:num w:numId="7">
    <w:abstractNumId w:val="26"/>
  </w:num>
  <w:num w:numId="8">
    <w:abstractNumId w:val="25"/>
  </w:num>
  <w:num w:numId="9">
    <w:abstractNumId w:val="27"/>
  </w:num>
  <w:num w:numId="10">
    <w:abstractNumId w:val="13"/>
  </w:num>
  <w:num w:numId="11">
    <w:abstractNumId w:val="12"/>
  </w:num>
  <w:num w:numId="12">
    <w:abstractNumId w:val="21"/>
  </w:num>
  <w:num w:numId="13">
    <w:abstractNumId w:val="14"/>
  </w:num>
  <w:num w:numId="14">
    <w:abstractNumId w:val="18"/>
  </w:num>
  <w:num w:numId="15">
    <w:abstractNumId w:val="6"/>
  </w:num>
  <w:num w:numId="16">
    <w:abstractNumId w:val="2"/>
  </w:num>
  <w:num w:numId="17">
    <w:abstractNumId w:val="1"/>
  </w:num>
  <w:num w:numId="18">
    <w:abstractNumId w:val="0"/>
  </w:num>
  <w:num w:numId="19">
    <w:abstractNumId w:val="7"/>
  </w:num>
  <w:num w:numId="20">
    <w:abstractNumId w:val="5"/>
  </w:num>
  <w:num w:numId="21">
    <w:abstractNumId w:val="4"/>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5"/>
  </w:num>
  <w:num w:numId="26">
    <w:abstractNumId w:val="22"/>
  </w:num>
  <w:num w:numId="27">
    <w:abstractNumId w:val="24"/>
  </w:num>
  <w:num w:numId="28">
    <w:abstractNumId w:val="24"/>
  </w:num>
  <w:num w:numId="2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921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23FE9486-0DA7-4F08-A095-3AAE276F38D6"/>
    <w:docVar w:name="LW_COVERPAGE_TYPE" w:val="1"/>
    <w:docVar w:name="LW_CROSSREFERENCE" w:val="&lt;UNUSED&gt;"/>
    <w:docVar w:name="LW_DocType" w:val="NORMAL"/>
    <w:docVar w:name="LW_EMISSION" w:val="2019 05 08"/>
    <w:docVar w:name="LW_EMISSION_ISODATE" w:val="2019-05-08"/>
    <w:docVar w:name="LW_EMISSION_LOCATION" w:val="BRX"/>
    <w:docVar w:name="LW_EMISSION_PREFIX" w:val="Briuselis, "/>
    <w:docVar w:name="LW_EMISSION_SUFFIX" w:val=" "/>
    <w:docVar w:name="LW_ID_DOCTYPE_NONLW" w:val="CP-005"/>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u279?l Tarybos reglamento Nr. 495/77 su paskutiniais pakeitimais, padarytais Reglamentu Nr. 1945/2006 (d\u279?l bud\u279?jimo), Tarybos reglamento Nr. 858/2004 (d\u279?l ypa\u269? sunki\u371? darbo s\u261?lyg\u371?) ir Tarybos reglamento Nr. 300/76 su paskutiniais pakeitimais, padarytais Reglamentu Nr. 1873/2006 (d\u279?l nepertraukiamo arba pamaininio darbo), taikymo institucijose 2017 metais"/>
    <w:docVar w:name="LW_TYPE.DOC.CP" w:val="KOMISIJOS ATASKAITA TARYBAI IR EUROPOS PARLAMENTU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link w:val="Heading1Char"/>
    <w:uiPriority w:val="9"/>
    <w:qFormat/>
    <w:pPr>
      <w:keepNext/>
      <w:numPr>
        <w:numId w:val="7"/>
      </w:numPr>
      <w:spacing w:before="360"/>
      <w:outlineLvl w:val="0"/>
    </w:pPr>
    <w:rPr>
      <w:b/>
      <w:bCs/>
      <w:smallCaps/>
      <w:szCs w:val="32"/>
    </w:rPr>
  </w:style>
  <w:style w:type="paragraph" w:styleId="Heading2">
    <w:name w:val="heading 2"/>
    <w:basedOn w:val="Normal"/>
    <w:next w:val="Normal"/>
    <w:link w:val="Heading2Char"/>
    <w:uiPriority w:val="9"/>
    <w:qFormat/>
    <w:pPr>
      <w:keepNext/>
      <w:numPr>
        <w:ilvl w:val="1"/>
        <w:numId w:val="7"/>
      </w:numPr>
      <w:outlineLvl w:val="1"/>
    </w:pPr>
    <w:rPr>
      <w:b/>
      <w:bCs/>
      <w:iCs/>
      <w:szCs w:val="28"/>
    </w:rPr>
  </w:style>
  <w:style w:type="paragraph" w:styleId="Heading3">
    <w:name w:val="heading 3"/>
    <w:basedOn w:val="Normal"/>
    <w:next w:val="Normal"/>
    <w:link w:val="Heading3Char"/>
    <w:uiPriority w:val="9"/>
    <w:qFormat/>
    <w:pPr>
      <w:keepNext/>
      <w:numPr>
        <w:ilvl w:val="2"/>
        <w:numId w:val="7"/>
      </w:numPr>
      <w:outlineLvl w:val="2"/>
    </w:pPr>
    <w:rPr>
      <w:bCs/>
      <w:i/>
      <w:szCs w:val="26"/>
    </w:rPr>
  </w:style>
  <w:style w:type="paragraph" w:styleId="Heading4">
    <w:name w:val="heading 4"/>
    <w:basedOn w:val="Normal"/>
    <w:next w:val="Normal"/>
    <w:link w:val="Heading4Char"/>
    <w:uiPriority w:val="9"/>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character" w:styleId="FootnoteReference">
    <w:name w:val="footnote reference"/>
    <w:uiPriority w:val="99"/>
    <w:semiHidden/>
    <w:rPr>
      <w:shd w:val="clear" w:color="auto" w:fill="auto"/>
      <w:vertAlign w:val="superscript"/>
    </w:rPr>
  </w:style>
  <w:style w:type="paragraph" w:styleId="FootnoteText">
    <w:name w:val="footnote text"/>
    <w:basedOn w:val="Normal"/>
    <w:link w:val="FootnoteTextChar"/>
    <w:uiPriority w:val="99"/>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unhideWhenUsed/>
    <w:pPr>
      <w:tabs>
        <w:tab w:val="center" w:pos="4535"/>
        <w:tab w:val="right" w:pos="9071"/>
      </w:tabs>
      <w:spacing w:before="0"/>
    </w:pPr>
    <w:rPr>
      <w:rFonts w:eastAsia="Calibri"/>
      <w:szCs w:val="22"/>
    </w:rPr>
  </w:style>
  <w:style w:type="paragraph" w:customStyle="1" w:styleId="HeaderLandscape">
    <w:name w:val="HeaderLandscape"/>
    <w:basedOn w:val="Normal"/>
    <w:pPr>
      <w:tabs>
        <w:tab w:val="center" w:pos="7285"/>
        <w:tab w:val="right" w:pos="14003"/>
      </w:tabs>
      <w:spacing w:before="0"/>
    </w:pPr>
    <w:rPr>
      <w:rFonts w:eastAsia="Calibri"/>
      <w:szCs w:val="22"/>
    </w:r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semiHidden/>
    <w:pPr>
      <w:tabs>
        <w:tab w:val="right" w:leader="dot" w:pos="9071"/>
      </w:tabs>
      <w:spacing w:before="60"/>
      <w:ind w:left="850" w:hanging="850"/>
      <w:jc w:val="left"/>
    </w:pPr>
  </w:style>
  <w:style w:type="paragraph" w:styleId="TOC2">
    <w:name w:val="toc 2"/>
    <w:basedOn w:val="Normal"/>
    <w:next w:val="Normal"/>
    <w:uiPriority w:val="39"/>
    <w:semiHidden/>
    <w:pPr>
      <w:tabs>
        <w:tab w:val="right" w:leader="dot" w:pos="9071"/>
      </w:tabs>
      <w:spacing w:before="60"/>
      <w:ind w:left="850" w:hanging="850"/>
      <w:jc w:val="left"/>
    </w:pPr>
  </w:style>
  <w:style w:type="paragraph" w:styleId="TOC3">
    <w:name w:val="toc 3"/>
    <w:basedOn w:val="Normal"/>
    <w:next w:val="Normal"/>
    <w:uiPriority w:val="39"/>
    <w:semiHidden/>
    <w:pPr>
      <w:tabs>
        <w:tab w:val="right" w:leader="dot" w:pos="9071"/>
      </w:tabs>
      <w:spacing w:before="60"/>
      <w:ind w:left="850" w:hanging="850"/>
      <w:jc w:val="left"/>
    </w:pPr>
  </w:style>
  <w:style w:type="paragraph" w:styleId="TOC4">
    <w:name w:val="toc 4"/>
    <w:basedOn w:val="Normal"/>
    <w:next w:val="Normal"/>
    <w:uiPriority w:val="39"/>
    <w:semiHidden/>
    <w:pPr>
      <w:tabs>
        <w:tab w:val="right" w:leader="dot" w:pos="9071"/>
      </w:tabs>
      <w:spacing w:before="60"/>
      <w:ind w:left="850" w:hanging="850"/>
      <w:jc w:val="left"/>
    </w:pPr>
  </w:style>
  <w:style w:type="paragraph" w:styleId="TOC5">
    <w:name w:val="toc 5"/>
    <w:basedOn w:val="Normal"/>
    <w:next w:val="Normal"/>
    <w:uiPriority w:val="39"/>
    <w:semiHidden/>
    <w:pPr>
      <w:tabs>
        <w:tab w:val="right" w:leader="dot" w:pos="9071"/>
      </w:tabs>
      <w:spacing w:before="300"/>
      <w:jc w:val="left"/>
    </w:pPr>
  </w:style>
  <w:style w:type="paragraph" w:styleId="TOC6">
    <w:name w:val="toc 6"/>
    <w:basedOn w:val="Normal"/>
    <w:next w:val="Normal"/>
    <w:uiPriority w:val="39"/>
    <w:semiHidden/>
    <w:pPr>
      <w:tabs>
        <w:tab w:val="right" w:leader="dot" w:pos="9071"/>
      </w:tabs>
      <w:spacing w:before="240"/>
      <w:jc w:val="left"/>
    </w:pPr>
  </w:style>
  <w:style w:type="paragraph" w:styleId="TOC7">
    <w:name w:val="toc 7"/>
    <w:basedOn w:val="Normal"/>
    <w:next w:val="Normal"/>
    <w:uiPriority w:val="39"/>
    <w:semiHidden/>
    <w:pPr>
      <w:tabs>
        <w:tab w:val="right" w:leader="dot" w:pos="9071"/>
      </w:tabs>
      <w:spacing w:before="180"/>
      <w:jc w:val="left"/>
    </w:pPr>
  </w:style>
  <w:style w:type="paragraph" w:styleId="TOC8">
    <w:name w:val="toc 8"/>
    <w:basedOn w:val="Normal"/>
    <w:next w:val="Normal"/>
    <w:uiPriority w:val="39"/>
    <w:semiHidden/>
    <w:pPr>
      <w:tabs>
        <w:tab w:val="right" w:leader="dot" w:pos="9071"/>
      </w:tabs>
      <w:jc w:val="left"/>
    </w:pPr>
  </w:style>
  <w:style w:type="paragraph" w:styleId="TOC9">
    <w:name w:val="toc 9"/>
    <w:basedOn w:val="Normal"/>
    <w:next w:val="Normal"/>
    <w:uiPriority w:val="39"/>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Caption">
    <w:name w:val="caption"/>
    <w:basedOn w:val="Normal"/>
    <w:next w:val="Normal"/>
    <w:qFormat/>
    <w:rPr>
      <w:b/>
      <w:bCs/>
      <w:sz w:val="20"/>
      <w:szCs w:val="20"/>
    </w:rPr>
  </w:style>
  <w:style w:type="paragraph" w:styleId="TableofFigures">
    <w:name w:val="table of figures"/>
    <w:basedOn w:val="Normal"/>
    <w:next w:val="Normal"/>
    <w:rPr>
      <w:szCs w:val="22"/>
    </w:rPr>
  </w:style>
  <w:style w:type="character" w:styleId="CommentReference">
    <w:name w:val="annotation reference"/>
    <w:rPr>
      <w:sz w:val="16"/>
      <w:szCs w:val="16"/>
      <w:shd w:val="clear" w:color="auto" w:fill="auto"/>
    </w:rPr>
  </w:style>
  <w:style w:type="paragraph" w:styleId="ListNumber">
    <w:name w:val="List Number"/>
    <w:basedOn w:val="Normal"/>
    <w:pPr>
      <w:numPr>
        <w:numId w:val="15"/>
      </w:numPr>
    </w:pPr>
    <w:rPr>
      <w:szCs w:val="22"/>
    </w:rPr>
  </w:style>
  <w:style w:type="paragraph" w:styleId="ListNumber2">
    <w:name w:val="List Number 2"/>
    <w:basedOn w:val="Normal"/>
    <w:pPr>
      <w:numPr>
        <w:numId w:val="16"/>
      </w:numPr>
    </w:pPr>
    <w:rPr>
      <w:szCs w:val="22"/>
    </w:rPr>
  </w:style>
  <w:style w:type="paragraph" w:styleId="ListNumber3">
    <w:name w:val="List Number 3"/>
    <w:basedOn w:val="Normal"/>
    <w:pPr>
      <w:numPr>
        <w:numId w:val="17"/>
      </w:numPr>
    </w:pPr>
    <w:rPr>
      <w:szCs w:val="22"/>
    </w:rPr>
  </w:style>
  <w:style w:type="paragraph" w:styleId="ListNumber4">
    <w:name w:val="List Number 4"/>
    <w:basedOn w:val="Normal"/>
    <w:pPr>
      <w:numPr>
        <w:numId w:val="18"/>
      </w:numPr>
    </w:pPr>
    <w:rPr>
      <w:szCs w:val="22"/>
    </w:rPr>
  </w:style>
  <w:style w:type="paragraph" w:styleId="ListBullet">
    <w:name w:val="List Bullet"/>
    <w:basedOn w:val="Normal"/>
    <w:pPr>
      <w:numPr>
        <w:numId w:val="19"/>
      </w:numPr>
    </w:pPr>
    <w:rPr>
      <w:szCs w:val="22"/>
    </w:rPr>
  </w:style>
  <w:style w:type="paragraph" w:styleId="ListBullet2">
    <w:name w:val="List Bullet 2"/>
    <w:basedOn w:val="Normal"/>
    <w:pPr>
      <w:numPr>
        <w:numId w:val="20"/>
      </w:numPr>
    </w:pPr>
    <w:rPr>
      <w:szCs w:val="22"/>
    </w:rPr>
  </w:style>
  <w:style w:type="paragraph" w:styleId="ListBullet3">
    <w:name w:val="List Bullet 3"/>
    <w:basedOn w:val="Normal"/>
    <w:pPr>
      <w:numPr>
        <w:numId w:val="21"/>
      </w:numPr>
    </w:pPr>
    <w:rPr>
      <w:szCs w:val="22"/>
    </w:rPr>
  </w:style>
  <w:style w:type="paragraph" w:styleId="ListBullet4">
    <w:name w:val="List Bullet 4"/>
    <w:basedOn w:val="Normal"/>
    <w:pPr>
      <w:numPr>
        <w:numId w:val="22"/>
      </w:numPr>
    </w:pPr>
    <w:rPr>
      <w:szCs w:val="22"/>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val="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val="lt-LT"/>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val="lt-LT"/>
    </w:rPr>
  </w:style>
  <w:style w:type="character" w:styleId="FollowedHyperlink">
    <w:name w:val="FollowedHyperlink"/>
    <w:rPr>
      <w:color w:val="800080"/>
      <w:u w:val="single"/>
      <w:shd w:val="clear" w:color="auto" w:fill="auto"/>
    </w:rPr>
  </w:style>
  <w:style w:type="character" w:styleId="PageNumber">
    <w:name w:val="page number"/>
    <w:rPr>
      <w:shd w:val="clear" w:color="auto" w:fill="auto"/>
    </w:rPr>
  </w:style>
  <w:style w:type="paragraph" w:styleId="Revision">
    <w:name w:val="Revision"/>
    <w:hidden/>
    <w:uiPriority w:val="99"/>
    <w:semiHidden/>
    <w:pPr>
      <w:spacing w:after="200" w:line="276" w:lineRule="auto"/>
    </w:pPr>
    <w:rPr>
      <w:sz w:val="24"/>
      <w:szCs w:val="24"/>
    </w:rPr>
  </w:style>
  <w:style w:type="character" w:customStyle="1" w:styleId="HeaderChar">
    <w:name w:val="Header Char"/>
    <w:link w:val="Header"/>
    <w:uiPriority w:val="99"/>
    <w:rPr>
      <w:rFonts w:eastAsia="Calibri"/>
      <w:sz w:val="24"/>
      <w:szCs w:val="22"/>
      <w:lang w:eastAsia="lt-LT"/>
    </w:rPr>
  </w:style>
  <w:style w:type="character" w:customStyle="1" w:styleId="FooterChar">
    <w:name w:val="Footer Char"/>
    <w:link w:val="Footer"/>
    <w:uiPriority w:val="99"/>
    <w:rPr>
      <w:rFonts w:eastAsia="Calibri"/>
      <w:sz w:val="24"/>
      <w:szCs w:val="22"/>
      <w:lang w:eastAsia="lt-LT"/>
    </w:rPr>
  </w:style>
  <w:style w:type="character" w:customStyle="1" w:styleId="FootnoteTextChar">
    <w:name w:val="Footnote Text Char"/>
    <w:link w:val="FootnoteText"/>
    <w:uiPriority w:val="99"/>
    <w:semiHidden/>
    <w:rPr>
      <w:lang w:eastAsia="lt-LT"/>
    </w:rPr>
  </w:style>
  <w:style w:type="character" w:customStyle="1" w:styleId="Heading1Char">
    <w:name w:val="Heading 1 Char"/>
    <w:link w:val="Heading1"/>
    <w:uiPriority w:val="9"/>
    <w:rPr>
      <w:b/>
      <w:bCs/>
      <w:smallCaps/>
      <w:sz w:val="24"/>
      <w:szCs w:val="32"/>
      <w:lang w:eastAsia="lt-LT"/>
    </w:rPr>
  </w:style>
  <w:style w:type="character" w:customStyle="1" w:styleId="Heading2Char">
    <w:name w:val="Heading 2 Char"/>
    <w:link w:val="Heading2"/>
    <w:uiPriority w:val="9"/>
    <w:rPr>
      <w:b/>
      <w:bCs/>
      <w:iCs/>
      <w:sz w:val="24"/>
      <w:szCs w:val="28"/>
      <w:lang w:eastAsia="lt-LT"/>
    </w:rPr>
  </w:style>
  <w:style w:type="character" w:customStyle="1" w:styleId="Heading3Char">
    <w:name w:val="Heading 3 Char"/>
    <w:link w:val="Heading3"/>
    <w:uiPriority w:val="9"/>
    <w:rPr>
      <w:bCs/>
      <w:i/>
      <w:sz w:val="24"/>
      <w:szCs w:val="26"/>
      <w:lang w:eastAsia="lt-LT"/>
    </w:rPr>
  </w:style>
  <w:style w:type="character" w:customStyle="1" w:styleId="Heading4Char">
    <w:name w:val="Heading 4 Char"/>
    <w:link w:val="Heading4"/>
    <w:uiPriority w:val="9"/>
    <w:rPr>
      <w:bCs/>
      <w:sz w:val="24"/>
      <w:szCs w:val="28"/>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Pr>
      <w:b/>
      <w:sz w:val="24"/>
      <w:szCs w:val="24"/>
      <w:shd w:val="clear" w:color="auto" w:fill="auto"/>
      <w:lang w:eastAsia="lt-LT"/>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ListParagraph">
    <w:name w:val="List Paragraph"/>
    <w:basedOn w:val="Normal"/>
    <w:uiPriority w:val="34"/>
    <w:qFormat/>
    <w:pPr>
      <w:spacing w:before="0" w:after="0"/>
      <w:ind w:left="720"/>
      <w:jc w:val="left"/>
    </w:pPr>
    <w:rPr>
      <w:rFonts w:ascii="Calibri" w:eastAsia="Calibri" w:hAnsi="Calibri" w:cs="Calibri"/>
      <w:sz w:val="22"/>
      <w:szCs w:val="22"/>
    </w:rPr>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357">
      <w:bodyDiv w:val="1"/>
      <w:marLeft w:val="0"/>
      <w:marRight w:val="0"/>
      <w:marTop w:val="0"/>
      <w:marBottom w:val="0"/>
      <w:divBdr>
        <w:top w:val="none" w:sz="0" w:space="0" w:color="auto"/>
        <w:left w:val="none" w:sz="0" w:space="0" w:color="auto"/>
        <w:bottom w:val="none" w:sz="0" w:space="0" w:color="auto"/>
        <w:right w:val="none" w:sz="0" w:space="0" w:color="auto"/>
      </w:divBdr>
    </w:div>
    <w:div w:id="1666660806">
      <w:bodyDiv w:val="1"/>
      <w:marLeft w:val="0"/>
      <w:marRight w:val="0"/>
      <w:marTop w:val="0"/>
      <w:marBottom w:val="0"/>
      <w:divBdr>
        <w:top w:val="none" w:sz="0" w:space="0" w:color="auto"/>
        <w:left w:val="none" w:sz="0" w:space="0" w:color="auto"/>
        <w:bottom w:val="none" w:sz="0" w:space="0" w:color="auto"/>
        <w:right w:val="none" w:sz="0" w:space="0" w:color="auto"/>
      </w:divBdr>
      <w:divsChild>
        <w:div w:id="117720648">
          <w:marLeft w:val="0"/>
          <w:marRight w:val="0"/>
          <w:marTop w:val="0"/>
          <w:marBottom w:val="0"/>
          <w:divBdr>
            <w:top w:val="none" w:sz="0" w:space="0" w:color="auto"/>
            <w:left w:val="none" w:sz="0" w:space="0" w:color="auto"/>
            <w:bottom w:val="none" w:sz="0" w:space="0" w:color="auto"/>
            <w:right w:val="none" w:sz="0" w:space="0" w:color="auto"/>
          </w:divBdr>
          <w:divsChild>
            <w:div w:id="1264916332">
              <w:marLeft w:val="0"/>
              <w:marRight w:val="0"/>
              <w:marTop w:val="0"/>
              <w:marBottom w:val="0"/>
              <w:divBdr>
                <w:top w:val="none" w:sz="0" w:space="0" w:color="auto"/>
                <w:left w:val="none" w:sz="0" w:space="0" w:color="auto"/>
                <w:bottom w:val="none" w:sz="0" w:space="0" w:color="auto"/>
                <w:right w:val="none" w:sz="0" w:space="0" w:color="auto"/>
              </w:divBdr>
              <w:divsChild>
                <w:div w:id="1444567839">
                  <w:marLeft w:val="0"/>
                  <w:marRight w:val="0"/>
                  <w:marTop w:val="0"/>
                  <w:marBottom w:val="0"/>
                  <w:divBdr>
                    <w:top w:val="none" w:sz="0" w:space="0" w:color="auto"/>
                    <w:left w:val="none" w:sz="0" w:space="0" w:color="auto"/>
                    <w:bottom w:val="none" w:sz="0" w:space="0" w:color="auto"/>
                    <w:right w:val="none" w:sz="0" w:space="0" w:color="auto"/>
                  </w:divBdr>
                  <w:divsChild>
                    <w:div w:id="1741975158">
                      <w:marLeft w:val="0"/>
                      <w:marRight w:val="0"/>
                      <w:marTop w:val="0"/>
                      <w:marBottom w:val="0"/>
                      <w:divBdr>
                        <w:top w:val="none" w:sz="0" w:space="0" w:color="auto"/>
                        <w:left w:val="none" w:sz="0" w:space="0" w:color="auto"/>
                        <w:bottom w:val="none" w:sz="0" w:space="0" w:color="auto"/>
                        <w:right w:val="none" w:sz="0" w:space="0" w:color="auto"/>
                      </w:divBdr>
                      <w:divsChild>
                        <w:div w:id="1530727975">
                          <w:marLeft w:val="0"/>
                          <w:marRight w:val="0"/>
                          <w:marTop w:val="0"/>
                          <w:marBottom w:val="0"/>
                          <w:divBdr>
                            <w:top w:val="none" w:sz="0" w:space="0" w:color="auto"/>
                            <w:left w:val="none" w:sz="0" w:space="0" w:color="auto"/>
                            <w:bottom w:val="none" w:sz="0" w:space="0" w:color="auto"/>
                            <w:right w:val="none" w:sz="0" w:space="0" w:color="auto"/>
                          </w:divBdr>
                          <w:divsChild>
                            <w:div w:id="1939678887">
                              <w:marLeft w:val="0"/>
                              <w:marRight w:val="0"/>
                              <w:marTop w:val="0"/>
                              <w:marBottom w:val="0"/>
                              <w:divBdr>
                                <w:top w:val="none" w:sz="0" w:space="0" w:color="auto"/>
                                <w:left w:val="none" w:sz="0" w:space="0" w:color="auto"/>
                                <w:bottom w:val="none" w:sz="0" w:space="0" w:color="auto"/>
                                <w:right w:val="none" w:sz="0" w:space="0" w:color="auto"/>
                              </w:divBdr>
                              <w:divsChild>
                                <w:div w:id="1345520029">
                                  <w:marLeft w:val="0"/>
                                  <w:marRight w:val="0"/>
                                  <w:marTop w:val="0"/>
                                  <w:marBottom w:val="0"/>
                                  <w:divBdr>
                                    <w:top w:val="none" w:sz="0" w:space="0" w:color="auto"/>
                                    <w:left w:val="none" w:sz="0" w:space="0" w:color="auto"/>
                                    <w:bottom w:val="none" w:sz="0" w:space="0" w:color="auto"/>
                                    <w:right w:val="none" w:sz="0" w:space="0" w:color="auto"/>
                                  </w:divBdr>
                                  <w:divsChild>
                                    <w:div w:id="1189224712">
                                      <w:marLeft w:val="60"/>
                                      <w:marRight w:val="0"/>
                                      <w:marTop w:val="0"/>
                                      <w:marBottom w:val="0"/>
                                      <w:divBdr>
                                        <w:top w:val="none" w:sz="0" w:space="0" w:color="auto"/>
                                        <w:left w:val="none" w:sz="0" w:space="0" w:color="auto"/>
                                        <w:bottom w:val="none" w:sz="0" w:space="0" w:color="auto"/>
                                        <w:right w:val="none" w:sz="0" w:space="0" w:color="auto"/>
                                      </w:divBdr>
                                      <w:divsChild>
                                        <w:div w:id="135879281">
                                          <w:marLeft w:val="0"/>
                                          <w:marRight w:val="0"/>
                                          <w:marTop w:val="0"/>
                                          <w:marBottom w:val="0"/>
                                          <w:divBdr>
                                            <w:top w:val="none" w:sz="0" w:space="0" w:color="auto"/>
                                            <w:left w:val="none" w:sz="0" w:space="0" w:color="auto"/>
                                            <w:bottom w:val="none" w:sz="0" w:space="0" w:color="auto"/>
                                            <w:right w:val="none" w:sz="0" w:space="0" w:color="auto"/>
                                          </w:divBdr>
                                          <w:divsChild>
                                            <w:div w:id="2034265776">
                                              <w:marLeft w:val="0"/>
                                              <w:marRight w:val="0"/>
                                              <w:marTop w:val="0"/>
                                              <w:marBottom w:val="120"/>
                                              <w:divBdr>
                                                <w:top w:val="single" w:sz="6" w:space="0" w:color="F5F5F5"/>
                                                <w:left w:val="single" w:sz="6" w:space="0" w:color="F5F5F5"/>
                                                <w:bottom w:val="single" w:sz="6" w:space="0" w:color="F5F5F5"/>
                                                <w:right w:val="single" w:sz="6" w:space="0" w:color="F5F5F5"/>
                                              </w:divBdr>
                                              <w:divsChild>
                                                <w:div w:id="811672421">
                                                  <w:marLeft w:val="0"/>
                                                  <w:marRight w:val="0"/>
                                                  <w:marTop w:val="0"/>
                                                  <w:marBottom w:val="0"/>
                                                  <w:divBdr>
                                                    <w:top w:val="none" w:sz="0" w:space="0" w:color="auto"/>
                                                    <w:left w:val="none" w:sz="0" w:space="0" w:color="auto"/>
                                                    <w:bottom w:val="none" w:sz="0" w:space="0" w:color="auto"/>
                                                    <w:right w:val="none" w:sz="0" w:space="0" w:color="auto"/>
                                                  </w:divBdr>
                                                  <w:divsChild>
                                                    <w:div w:id="179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694354">
      <w:bodyDiv w:val="1"/>
      <w:marLeft w:val="0"/>
      <w:marRight w:val="0"/>
      <w:marTop w:val="0"/>
      <w:marBottom w:val="0"/>
      <w:divBdr>
        <w:top w:val="none" w:sz="0" w:space="0" w:color="auto"/>
        <w:left w:val="none" w:sz="0" w:space="0" w:color="auto"/>
        <w:bottom w:val="none" w:sz="0" w:space="0" w:color="auto"/>
        <w:right w:val="none" w:sz="0" w:space="0" w:color="auto"/>
      </w:divBdr>
    </w:div>
    <w:div w:id="2116706898">
      <w:bodyDiv w:val="1"/>
      <w:marLeft w:val="0"/>
      <w:marRight w:val="0"/>
      <w:marTop w:val="0"/>
      <w:marBottom w:val="0"/>
      <w:divBdr>
        <w:top w:val="none" w:sz="0" w:space="0" w:color="auto"/>
        <w:left w:val="none" w:sz="0" w:space="0" w:color="auto"/>
        <w:bottom w:val="none" w:sz="0" w:space="0" w:color="auto"/>
        <w:right w:val="none" w:sz="0" w:space="0" w:color="auto"/>
      </w:divBdr>
      <w:divsChild>
        <w:div w:id="1083449593">
          <w:marLeft w:val="0"/>
          <w:marRight w:val="0"/>
          <w:marTop w:val="0"/>
          <w:marBottom w:val="0"/>
          <w:divBdr>
            <w:top w:val="none" w:sz="0" w:space="0" w:color="auto"/>
            <w:left w:val="none" w:sz="0" w:space="0" w:color="auto"/>
            <w:bottom w:val="none" w:sz="0" w:space="0" w:color="auto"/>
            <w:right w:val="none" w:sz="0" w:space="0" w:color="auto"/>
          </w:divBdr>
          <w:divsChild>
            <w:div w:id="458914890">
              <w:marLeft w:val="0"/>
              <w:marRight w:val="0"/>
              <w:marTop w:val="0"/>
              <w:marBottom w:val="0"/>
              <w:divBdr>
                <w:top w:val="none" w:sz="0" w:space="0" w:color="auto"/>
                <w:left w:val="none" w:sz="0" w:space="0" w:color="auto"/>
                <w:bottom w:val="none" w:sz="0" w:space="0" w:color="auto"/>
                <w:right w:val="none" w:sz="0" w:space="0" w:color="auto"/>
              </w:divBdr>
              <w:divsChild>
                <w:div w:id="697121770">
                  <w:marLeft w:val="0"/>
                  <w:marRight w:val="0"/>
                  <w:marTop w:val="0"/>
                  <w:marBottom w:val="0"/>
                  <w:divBdr>
                    <w:top w:val="none" w:sz="0" w:space="0" w:color="auto"/>
                    <w:left w:val="none" w:sz="0" w:space="0" w:color="auto"/>
                    <w:bottom w:val="none" w:sz="0" w:space="0" w:color="auto"/>
                    <w:right w:val="none" w:sz="0" w:space="0" w:color="auto"/>
                  </w:divBdr>
                  <w:divsChild>
                    <w:div w:id="321348569">
                      <w:marLeft w:val="0"/>
                      <w:marRight w:val="0"/>
                      <w:marTop w:val="0"/>
                      <w:marBottom w:val="0"/>
                      <w:divBdr>
                        <w:top w:val="none" w:sz="0" w:space="0" w:color="auto"/>
                        <w:left w:val="none" w:sz="0" w:space="0" w:color="auto"/>
                        <w:bottom w:val="none" w:sz="0" w:space="0" w:color="auto"/>
                        <w:right w:val="none" w:sz="0" w:space="0" w:color="auto"/>
                      </w:divBdr>
                      <w:divsChild>
                        <w:div w:id="363483849">
                          <w:marLeft w:val="0"/>
                          <w:marRight w:val="0"/>
                          <w:marTop w:val="0"/>
                          <w:marBottom w:val="0"/>
                          <w:divBdr>
                            <w:top w:val="none" w:sz="0" w:space="0" w:color="auto"/>
                            <w:left w:val="none" w:sz="0" w:space="0" w:color="auto"/>
                            <w:bottom w:val="none" w:sz="0" w:space="0" w:color="auto"/>
                            <w:right w:val="none" w:sz="0" w:space="0" w:color="auto"/>
                          </w:divBdr>
                          <w:divsChild>
                            <w:div w:id="240023557">
                              <w:marLeft w:val="0"/>
                              <w:marRight w:val="0"/>
                              <w:marTop w:val="0"/>
                              <w:marBottom w:val="0"/>
                              <w:divBdr>
                                <w:top w:val="none" w:sz="0" w:space="0" w:color="auto"/>
                                <w:left w:val="none" w:sz="0" w:space="0" w:color="auto"/>
                                <w:bottom w:val="none" w:sz="0" w:space="0" w:color="auto"/>
                                <w:right w:val="none" w:sz="0" w:space="0" w:color="auto"/>
                              </w:divBdr>
                              <w:divsChild>
                                <w:div w:id="847405046">
                                  <w:marLeft w:val="0"/>
                                  <w:marRight w:val="0"/>
                                  <w:marTop w:val="0"/>
                                  <w:marBottom w:val="0"/>
                                  <w:divBdr>
                                    <w:top w:val="none" w:sz="0" w:space="0" w:color="auto"/>
                                    <w:left w:val="none" w:sz="0" w:space="0" w:color="auto"/>
                                    <w:bottom w:val="none" w:sz="0" w:space="0" w:color="auto"/>
                                    <w:right w:val="none" w:sz="0" w:space="0" w:color="auto"/>
                                  </w:divBdr>
                                  <w:divsChild>
                                    <w:div w:id="2076313999">
                                      <w:marLeft w:val="60"/>
                                      <w:marRight w:val="0"/>
                                      <w:marTop w:val="0"/>
                                      <w:marBottom w:val="0"/>
                                      <w:divBdr>
                                        <w:top w:val="none" w:sz="0" w:space="0" w:color="auto"/>
                                        <w:left w:val="none" w:sz="0" w:space="0" w:color="auto"/>
                                        <w:bottom w:val="none" w:sz="0" w:space="0" w:color="auto"/>
                                        <w:right w:val="none" w:sz="0" w:space="0" w:color="auto"/>
                                      </w:divBdr>
                                      <w:divsChild>
                                        <w:div w:id="82847149">
                                          <w:marLeft w:val="0"/>
                                          <w:marRight w:val="0"/>
                                          <w:marTop w:val="0"/>
                                          <w:marBottom w:val="0"/>
                                          <w:divBdr>
                                            <w:top w:val="none" w:sz="0" w:space="0" w:color="auto"/>
                                            <w:left w:val="none" w:sz="0" w:space="0" w:color="auto"/>
                                            <w:bottom w:val="none" w:sz="0" w:space="0" w:color="auto"/>
                                            <w:right w:val="none" w:sz="0" w:space="0" w:color="auto"/>
                                          </w:divBdr>
                                          <w:divsChild>
                                            <w:div w:id="1102411194">
                                              <w:marLeft w:val="0"/>
                                              <w:marRight w:val="0"/>
                                              <w:marTop w:val="0"/>
                                              <w:marBottom w:val="120"/>
                                              <w:divBdr>
                                                <w:top w:val="single" w:sz="6" w:space="0" w:color="F5F5F5"/>
                                                <w:left w:val="single" w:sz="6" w:space="0" w:color="F5F5F5"/>
                                                <w:bottom w:val="single" w:sz="6" w:space="0" w:color="F5F5F5"/>
                                                <w:right w:val="single" w:sz="6" w:space="0" w:color="F5F5F5"/>
                                              </w:divBdr>
                                              <w:divsChild>
                                                <w:div w:id="1321226304">
                                                  <w:marLeft w:val="0"/>
                                                  <w:marRight w:val="0"/>
                                                  <w:marTop w:val="0"/>
                                                  <w:marBottom w:val="0"/>
                                                  <w:divBdr>
                                                    <w:top w:val="none" w:sz="0" w:space="0" w:color="auto"/>
                                                    <w:left w:val="none" w:sz="0" w:space="0" w:color="auto"/>
                                                    <w:bottom w:val="none" w:sz="0" w:space="0" w:color="auto"/>
                                                    <w:right w:val="none" w:sz="0" w:space="0" w:color="auto"/>
                                                  </w:divBdr>
                                                  <w:divsChild>
                                                    <w:div w:id="40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C0CE-642D-4C4B-8A71-56F3364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2847</Words>
  <Characters>14949</Characters>
  <Application>Microsoft Office Word</Application>
  <DocSecurity>0</DocSecurity>
  <Lines>1067</Lines>
  <Paragraphs>988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17</cp:revision>
  <cp:lastPrinted>2019-03-19T08:44:00Z</cp:lastPrinted>
  <dcterms:created xsi:type="dcterms:W3CDTF">2019-03-27T15:38:00Z</dcterms:created>
  <dcterms:modified xsi:type="dcterms:W3CDTF">2019-04-26T09:32:00Z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