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F403542-F41C-4677-8B6C-EB2FFB8127CB" style="width:450.8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RELAZIONE DELLA COMMISSIONE AL CONSIGLIO E AL PARLAMENTO EUROPEO</w:t>
      </w:r>
    </w:p>
    <w:p>
      <w:pPr>
        <w:jc w:val="center"/>
        <w:rPr>
          <w:b/>
          <w:noProof/>
        </w:rPr>
      </w:pPr>
      <w:r>
        <w:rPr>
          <w:b/>
          <w:noProof/>
        </w:rPr>
        <w:t>sull'applicazione nel 2017, da parte delle istituzioni, dei regolamenti del Consiglio n. 495/77, modificato da ultimo dal regolamento n. 1945/2006 (sulle permanenze), n. 858/2004 (su taluni lavori di carattere gravoso) e n. 300/76, modificato da ultimo dal regolamento n. 1873/2006 (sul servizio continuo o a turni)</w:t>
      </w:r>
    </w:p>
    <w:p>
      <w:pPr>
        <w:jc w:val="center"/>
        <w:rPr>
          <w:b/>
          <w:noProof/>
        </w:rPr>
      </w:pPr>
    </w:p>
    <w:p>
      <w:pPr>
        <w:pStyle w:val="ManualHeading1"/>
        <w:rPr>
          <w:noProof/>
        </w:rPr>
      </w:pPr>
      <w:r>
        <w:t>1.</w:t>
      </w:r>
      <w:r>
        <w:tab/>
      </w:r>
      <w:r>
        <w:rPr>
          <w:noProof/>
        </w:rPr>
        <w:t>Introduzione</w:t>
      </w:r>
    </w:p>
    <w:p>
      <w:pPr>
        <w:rPr>
          <w:noProof/>
        </w:rPr>
      </w:pPr>
      <w:r>
        <w:rPr>
          <w:noProof/>
        </w:rPr>
        <w:t>I regolamenti del Consiglio concernenti le permanenze (n. 495/77) e taluni lavori di carattere gravoso (n. 858/2004) impongono alla Commissione di presentare ogni anno al Consiglio una relazione, elaborata per categoria, sul numero di funzionari e altri agenti che beneficiano delle indennità previste dai regolamenti stessi, nonché sull'ammontare complessivo delle relative spese.</w:t>
      </w:r>
    </w:p>
    <w:p>
      <w:pPr>
        <w:rPr>
          <w:noProof/>
        </w:rPr>
      </w:pPr>
      <w:r>
        <w:rPr>
          <w:noProof/>
        </w:rPr>
        <w:t>La presente relazione si fonda sugli ultimi dati annuali completi disponibili al momento della sua elaborazione e si riferisce al 2017. Essa verte su tutte le istituzioni e, per scrupolo di completezza, contiene anche informazioni analoghe circa il ricorso al servizio continuo o a turni (regolamento n. 300/76 del Consiglio).</w:t>
      </w:r>
    </w:p>
    <w:p>
      <w:pPr>
        <w:pStyle w:val="ManualHeading1"/>
        <w:rPr>
          <w:bCs/>
          <w:noProof/>
        </w:rPr>
      </w:pPr>
      <w:r>
        <w:t>2.</w:t>
      </w:r>
      <w:r>
        <w:tab/>
      </w:r>
      <w:r>
        <w:rPr>
          <w:noProof/>
        </w:rPr>
        <w:t>Indennità di permanenza</w:t>
      </w:r>
    </w:p>
    <w:p>
      <w:pPr>
        <w:rPr>
          <w:noProof/>
        </w:rPr>
      </w:pPr>
      <w:r>
        <w:rPr>
          <w:noProof/>
        </w:rPr>
        <w:t>Le basi giuridiche di questa indennità sono gli articoli 55 e 56 </w:t>
      </w:r>
      <w:r>
        <w:rPr>
          <w:i/>
          <w:noProof/>
        </w:rPr>
        <w:t>ter</w:t>
      </w:r>
      <w:r>
        <w:rPr>
          <w:noProof/>
        </w:rPr>
        <w:t xml:space="preserve"> dello statuto e il regolamento n. 495/77 del Consiglio, dell'8 marzo 1977, modificato da ultimo dal regolamento n. 1945/2006 del Consiglio, dell'11 dicembre 2006.</w:t>
      </w:r>
    </w:p>
    <w:p>
      <w:pPr>
        <w:spacing w:after="0"/>
        <w:rPr>
          <w:noProof/>
        </w:rPr>
      </w:pPr>
      <w:r>
        <w:rPr>
          <w:noProof/>
        </w:rPr>
        <w:t xml:space="preserve">Il versamento dell'indennità è limitato ai funzionari e agli altri agenti retribuiti mediante gli </w:t>
      </w:r>
      <w:r>
        <w:rPr>
          <w:i/>
          <w:noProof/>
        </w:rPr>
        <w:t>stanziamenti per la ricerca</w:t>
      </w:r>
      <w:r>
        <w:rPr>
          <w:noProof/>
        </w:rPr>
        <w:t xml:space="preserve"> e che</w:t>
      </w:r>
    </w:p>
    <w:p>
      <w:pPr>
        <w:pStyle w:val="Tiret1"/>
        <w:numPr>
          <w:ilvl w:val="0"/>
          <w:numId w:val="24"/>
        </w:numPr>
        <w:spacing w:before="0" w:after="0"/>
        <w:ind w:left="1418"/>
        <w:rPr>
          <w:noProof/>
        </w:rPr>
      </w:pPr>
      <w:r>
        <w:rPr>
          <w:noProof/>
        </w:rPr>
        <w:t xml:space="preserve">prestano servizio presso uno stabilimento del Centro comune di ricerca (JRC), oppure </w:t>
      </w:r>
    </w:p>
    <w:p>
      <w:pPr>
        <w:pStyle w:val="Tiret1"/>
        <w:numPr>
          <w:ilvl w:val="0"/>
          <w:numId w:val="25"/>
        </w:numPr>
        <w:spacing w:before="0" w:after="0"/>
        <w:ind w:left="1418"/>
        <w:rPr>
          <w:noProof/>
        </w:rPr>
      </w:pPr>
      <w:r>
        <w:rPr>
          <w:noProof/>
        </w:rPr>
        <w:t>svolgono azioni indirette, o</w:t>
      </w:r>
    </w:p>
    <w:p>
      <w:pPr>
        <w:spacing w:after="0"/>
        <w:rPr>
          <w:noProof/>
        </w:rPr>
      </w:pPr>
      <w:r>
        <w:rPr>
          <w:noProof/>
        </w:rPr>
        <w:t xml:space="preserve">sono retribuiti mediante gli </w:t>
      </w:r>
      <w:r>
        <w:rPr>
          <w:i/>
          <w:noProof/>
        </w:rPr>
        <w:t>stanziamenti per il funzionamento</w:t>
      </w:r>
      <w:r>
        <w:rPr>
          <w:noProof/>
        </w:rPr>
        <w:t xml:space="preserve"> e prestano servizio:</w:t>
      </w:r>
    </w:p>
    <w:p>
      <w:pPr>
        <w:pStyle w:val="Tiret1"/>
        <w:numPr>
          <w:ilvl w:val="0"/>
          <w:numId w:val="25"/>
        </w:numPr>
        <w:spacing w:before="0" w:after="0"/>
        <w:ind w:left="1418"/>
        <w:rPr>
          <w:noProof/>
        </w:rPr>
      </w:pPr>
      <w:r>
        <w:rPr>
          <w:noProof/>
        </w:rPr>
        <w:t>come addetti al funzionamento o alla sorveglianza degli impianti tecnici,</w:t>
      </w:r>
    </w:p>
    <w:p>
      <w:pPr>
        <w:pStyle w:val="Tiret1"/>
        <w:numPr>
          <w:ilvl w:val="0"/>
          <w:numId w:val="25"/>
        </w:numPr>
        <w:spacing w:before="0" w:after="0"/>
        <w:ind w:left="1418"/>
        <w:rPr>
          <w:noProof/>
        </w:rPr>
      </w:pPr>
      <w:r>
        <w:rPr>
          <w:noProof/>
        </w:rPr>
        <w:t>presso un servizio di sicurezza,</w:t>
      </w:r>
    </w:p>
    <w:p>
      <w:pPr>
        <w:pStyle w:val="Tiret1"/>
        <w:numPr>
          <w:ilvl w:val="0"/>
          <w:numId w:val="25"/>
        </w:numPr>
        <w:spacing w:before="0" w:after="0"/>
        <w:ind w:left="1418"/>
        <w:rPr>
          <w:noProof/>
        </w:rPr>
      </w:pPr>
      <w:r>
        <w:rPr>
          <w:noProof/>
        </w:rPr>
        <w:t>presso un centro di tecnologie dell'informazione e della comunicazione (TIC),</w:t>
      </w:r>
    </w:p>
    <w:p>
      <w:pPr>
        <w:pStyle w:val="Tiret1"/>
        <w:numPr>
          <w:ilvl w:val="0"/>
          <w:numId w:val="25"/>
        </w:numPr>
        <w:spacing w:before="0" w:after="0"/>
        <w:ind w:left="1418"/>
        <w:rPr>
          <w:noProof/>
        </w:rPr>
      </w:pPr>
      <w:r>
        <w:rPr>
          <w:noProof/>
        </w:rPr>
        <w:t>presso un servizio che fornisce sostegno alla politica estera e di sicurezza comune (PESC)/politica di sicurezza e di difesa comune (PSDC) o a dispositivi di coordinamento in caso di emergenza e di crisi o</w:t>
      </w:r>
    </w:p>
    <w:p>
      <w:pPr>
        <w:pStyle w:val="Tiret1"/>
        <w:numPr>
          <w:ilvl w:val="0"/>
          <w:numId w:val="25"/>
        </w:numPr>
        <w:spacing w:before="0"/>
        <w:rPr>
          <w:noProof/>
        </w:rPr>
      </w:pPr>
      <w:r>
        <w:rPr>
          <w:noProof/>
        </w:rPr>
        <w:t>nell'ambito di un meccanismo istituito per fornire assistenza agli Stati membri 24 ore su 24, 7 giorni su 7 ("SM 24/7") nel quadro del coordinamento in caso di emergenza e/o di crisi o presso servizi in cui vi sia la comprovata necessità di eseguire compiti volti a garantire un meccanismo inteso a fornire assistenza agli Stati membri.</w:t>
      </w:r>
    </w:p>
    <w:p>
      <w:pPr>
        <w:rPr>
          <w:noProof/>
        </w:rPr>
      </w:pPr>
      <w:r>
        <w:rPr>
          <w:noProof/>
        </w:rPr>
        <w:t>L'indennità di permanenza è espressa in punti. Il numero di punti assegnato per ora di permanenza effettivamente prestata è fissato come segue:</w:t>
      </w:r>
    </w:p>
    <w:p>
      <w:pPr>
        <w:pStyle w:val="Tiret1"/>
        <w:numPr>
          <w:ilvl w:val="0"/>
          <w:numId w:val="25"/>
        </w:numPr>
        <w:spacing w:before="0" w:after="0"/>
        <w:ind w:left="1418"/>
        <w:rPr>
          <w:noProof/>
        </w:rPr>
      </w:pPr>
      <w:r>
        <w:rPr>
          <w:noProof/>
        </w:rPr>
        <w:t>permanenza a domicilio in giorni lavorativi: 2,15 punti;</w:t>
      </w:r>
    </w:p>
    <w:p>
      <w:pPr>
        <w:pStyle w:val="Tiret1"/>
        <w:numPr>
          <w:ilvl w:val="0"/>
          <w:numId w:val="25"/>
        </w:numPr>
        <w:spacing w:before="0" w:after="0"/>
        <w:ind w:left="1418"/>
        <w:rPr>
          <w:noProof/>
        </w:rPr>
      </w:pPr>
      <w:r>
        <w:rPr>
          <w:noProof/>
        </w:rPr>
        <w:t>permanenza a domicilio il fine settimana e i giorni festivi: 4,3 punti;</w:t>
      </w:r>
    </w:p>
    <w:p>
      <w:pPr>
        <w:pStyle w:val="Tiret1"/>
        <w:numPr>
          <w:ilvl w:val="0"/>
          <w:numId w:val="25"/>
        </w:numPr>
        <w:spacing w:before="0" w:after="0"/>
        <w:ind w:left="1418"/>
        <w:rPr>
          <w:noProof/>
        </w:rPr>
      </w:pPr>
      <w:r>
        <w:rPr>
          <w:noProof/>
        </w:rPr>
        <w:t>permanenza sul luogo di lavoro in giorni lavorativi: 11 punti;</w:t>
      </w:r>
    </w:p>
    <w:p>
      <w:pPr>
        <w:pStyle w:val="Tiret1"/>
        <w:numPr>
          <w:ilvl w:val="0"/>
          <w:numId w:val="25"/>
        </w:numPr>
        <w:spacing w:before="0" w:after="0"/>
        <w:ind w:left="1418"/>
        <w:rPr>
          <w:noProof/>
        </w:rPr>
      </w:pPr>
      <w:r>
        <w:rPr>
          <w:noProof/>
        </w:rPr>
        <w:t>permanenza sul luogo di lavoro il fine settimana e i giorni festivi: 22 punti.</w:t>
      </w:r>
    </w:p>
    <w:p>
      <w:pPr>
        <w:rPr>
          <w:noProof/>
        </w:rPr>
      </w:pPr>
      <w:r>
        <w:rPr>
          <w:noProof/>
        </w:rPr>
        <w:t>Un punto è pari allo 0,032 % dello stipendio base di un funzionario di grado 1, al primo scatto (pari a 0,92 euro nel 2017).</w:t>
      </w:r>
    </w:p>
    <w:p>
      <w:pPr>
        <w:spacing w:after="0"/>
        <w:rPr>
          <w:noProof/>
        </w:rPr>
      </w:pPr>
      <w:r>
        <w:rPr>
          <w:noProof/>
        </w:rPr>
        <w:t>Le tabelle seguenti riportano il numero di indennità concesse da ciascuna istituzione per il 2017.</w:t>
      </w:r>
    </w:p>
    <w:p>
      <w:pPr>
        <w:spacing w:before="0" w:after="0"/>
        <w:rPr>
          <w:noProof/>
        </w:rPr>
      </w:pPr>
    </w:p>
    <w:p>
      <w:pPr>
        <w:pStyle w:val="ManualHeading2"/>
        <w:rPr>
          <w:bCs/>
          <w:noProof/>
        </w:rPr>
      </w:pPr>
      <w:r>
        <w:t>2.1.</w:t>
      </w:r>
      <w:r>
        <w:tab/>
      </w:r>
      <w:r>
        <w:rPr>
          <w:noProof/>
        </w:rPr>
        <w:t>Numero di beneficiari (funzionari/agenti temporanei e agenti contrattuali)</w:t>
      </w:r>
      <w:r>
        <w:rPr>
          <w:rStyle w:val="FootnoteReference"/>
          <w:noProof/>
        </w:rPr>
        <w:footnoteReference w:id="1"/>
      </w:r>
    </w:p>
    <w:tbl>
      <w:tblPr>
        <w:tblW w:w="9420" w:type="dxa"/>
        <w:tblInd w:w="93" w:type="dxa"/>
        <w:tblLook w:val="0000" w:firstRow="0" w:lastRow="0" w:firstColumn="0" w:lastColumn="0" w:noHBand="0" w:noVBand="0"/>
      </w:tblPr>
      <w:tblGrid>
        <w:gridCol w:w="2662"/>
        <w:gridCol w:w="828"/>
        <w:gridCol w:w="973"/>
        <w:gridCol w:w="957"/>
        <w:gridCol w:w="960"/>
        <w:gridCol w:w="960"/>
        <w:gridCol w:w="960"/>
        <w:gridCol w:w="1120"/>
      </w:tblGrid>
      <w:tr>
        <w:trPr>
          <w:trHeight w:val="51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Istituzione</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AD</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SC - AST</w:t>
            </w:r>
          </w:p>
        </w:tc>
        <w:tc>
          <w:tcPr>
            <w:tcW w:w="3840" w:type="dxa"/>
            <w:gridSpan w:val="4"/>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AC</w:t>
            </w:r>
          </w:p>
        </w:tc>
        <w:tc>
          <w:tcPr>
            <w:tcW w:w="112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Totale</w:t>
            </w:r>
          </w:p>
        </w:tc>
      </w:tr>
      <w:tr>
        <w:trPr>
          <w:trHeight w:val="346"/>
        </w:trPr>
        <w:tc>
          <w:tcPr>
            <w:tcW w:w="268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75"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60" w:type="dxa"/>
            <w:tcBorders>
              <w:top w:val="nil"/>
              <w:left w:val="nil"/>
              <w:bottom w:val="single" w:sz="4" w:space="0" w:color="auto"/>
              <w:right w:val="single" w:sz="4" w:space="0" w:color="auto"/>
            </w:tcBorders>
            <w:shd w:val="clear" w:color="auto" w:fill="auto"/>
            <w:vAlign w:val="center"/>
          </w:tcPr>
          <w:p>
            <w:pPr>
              <w:spacing w:before="0" w:after="0"/>
              <w:rPr>
                <w:rFonts w:ascii="Arial" w:hAnsi="Arial" w:cs="Arial"/>
                <w:b/>
                <w:bCs/>
                <w:noProof/>
                <w:sz w:val="20"/>
                <w:szCs w:val="20"/>
              </w:rPr>
            </w:pPr>
            <w:r>
              <w:rPr>
                <w:rFonts w:ascii="Arial" w:hAnsi="Arial"/>
                <w:b/>
                <w:bCs/>
                <w:noProof/>
                <w:sz w:val="20"/>
                <w:szCs w:val="20"/>
              </w:rPr>
              <w:t>GF I</w:t>
            </w:r>
          </w:p>
        </w:tc>
        <w:tc>
          <w:tcPr>
            <w:tcW w:w="960" w:type="dxa"/>
            <w:tcBorders>
              <w:top w:val="nil"/>
              <w:left w:val="nil"/>
              <w:bottom w:val="single" w:sz="4" w:space="0" w:color="auto"/>
              <w:right w:val="single" w:sz="4" w:space="0" w:color="auto"/>
            </w:tcBorders>
            <w:shd w:val="clear" w:color="auto" w:fill="auto"/>
            <w:vAlign w:val="center"/>
          </w:tcPr>
          <w:p>
            <w:pPr>
              <w:spacing w:before="0" w:after="0"/>
              <w:rPr>
                <w:rFonts w:ascii="Arial" w:hAnsi="Arial" w:cs="Arial"/>
                <w:b/>
                <w:bCs/>
                <w:noProof/>
                <w:sz w:val="20"/>
                <w:szCs w:val="20"/>
              </w:rPr>
            </w:pPr>
            <w:r>
              <w:rPr>
                <w:rFonts w:ascii="Arial" w:hAnsi="Arial"/>
                <w:b/>
                <w:bCs/>
                <w:noProof/>
                <w:sz w:val="20"/>
                <w:szCs w:val="20"/>
              </w:rPr>
              <w:t>GF II</w:t>
            </w:r>
          </w:p>
        </w:tc>
        <w:tc>
          <w:tcPr>
            <w:tcW w:w="960" w:type="dxa"/>
            <w:tcBorders>
              <w:top w:val="nil"/>
              <w:left w:val="nil"/>
              <w:bottom w:val="single" w:sz="4" w:space="0" w:color="auto"/>
              <w:right w:val="single" w:sz="4" w:space="0" w:color="auto"/>
            </w:tcBorders>
            <w:shd w:val="clear" w:color="auto" w:fill="auto"/>
            <w:vAlign w:val="center"/>
          </w:tcPr>
          <w:p>
            <w:pPr>
              <w:spacing w:before="0" w:after="0"/>
              <w:rPr>
                <w:rFonts w:ascii="Arial" w:hAnsi="Arial" w:cs="Arial"/>
                <w:b/>
                <w:bCs/>
                <w:noProof/>
                <w:sz w:val="20"/>
                <w:szCs w:val="20"/>
              </w:rPr>
            </w:pPr>
            <w:r>
              <w:rPr>
                <w:rFonts w:ascii="Arial" w:hAnsi="Arial"/>
                <w:b/>
                <w:bCs/>
                <w:noProof/>
                <w:sz w:val="20"/>
                <w:szCs w:val="20"/>
              </w:rPr>
              <w:t xml:space="preserve">GF III </w:t>
            </w:r>
          </w:p>
        </w:tc>
        <w:tc>
          <w:tcPr>
            <w:tcW w:w="960" w:type="dxa"/>
            <w:tcBorders>
              <w:top w:val="nil"/>
              <w:left w:val="nil"/>
              <w:bottom w:val="single" w:sz="4" w:space="0" w:color="auto"/>
              <w:right w:val="single" w:sz="4" w:space="0" w:color="auto"/>
            </w:tcBorders>
            <w:shd w:val="clear" w:color="auto" w:fill="auto"/>
            <w:vAlign w:val="center"/>
          </w:tcPr>
          <w:p>
            <w:pPr>
              <w:spacing w:before="0" w:after="0"/>
              <w:rPr>
                <w:rFonts w:ascii="Arial" w:hAnsi="Arial" w:cs="Arial"/>
                <w:b/>
                <w:bCs/>
                <w:noProof/>
                <w:sz w:val="20"/>
                <w:szCs w:val="20"/>
              </w:rPr>
            </w:pPr>
            <w:r>
              <w:rPr>
                <w:rFonts w:ascii="Arial" w:hAnsi="Arial"/>
                <w:b/>
                <w:bCs/>
                <w:noProof/>
                <w:sz w:val="20"/>
                <w:szCs w:val="20"/>
              </w:rPr>
              <w:t>GF IV</w:t>
            </w:r>
          </w:p>
        </w:tc>
        <w:tc>
          <w:tcPr>
            <w:tcW w:w="1125"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178"/>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Commissione</w:t>
            </w:r>
          </w:p>
        </w:tc>
        <w:tc>
          <w:tcPr>
            <w:tcW w:w="800" w:type="dxa"/>
            <w:tcBorders>
              <w:top w:val="nil"/>
              <w:left w:val="nil"/>
              <w:bottom w:val="single" w:sz="4" w:space="0" w:color="auto"/>
              <w:right w:val="single" w:sz="4"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110,33</w:t>
            </w:r>
          </w:p>
        </w:tc>
        <w:tc>
          <w:tcPr>
            <w:tcW w:w="975" w:type="dxa"/>
            <w:tcBorders>
              <w:top w:val="nil"/>
              <w:left w:val="nil"/>
              <w:bottom w:val="single" w:sz="4" w:space="0" w:color="auto"/>
              <w:right w:val="single" w:sz="4"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205,33</w:t>
            </w:r>
          </w:p>
        </w:tc>
        <w:tc>
          <w:tcPr>
            <w:tcW w:w="960" w:type="dxa"/>
            <w:tcBorders>
              <w:top w:val="nil"/>
              <w:left w:val="nil"/>
              <w:bottom w:val="single" w:sz="4" w:space="0" w:color="auto"/>
              <w:right w:val="nil"/>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49,33</w:t>
            </w:r>
          </w:p>
        </w:tc>
        <w:tc>
          <w:tcPr>
            <w:tcW w:w="960" w:type="dxa"/>
            <w:tcBorders>
              <w:top w:val="nil"/>
              <w:left w:val="single" w:sz="4" w:space="0" w:color="auto"/>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16</w:t>
            </w:r>
          </w:p>
        </w:tc>
        <w:tc>
          <w:tcPr>
            <w:tcW w:w="960" w:type="dxa"/>
            <w:tcBorders>
              <w:top w:val="nil"/>
              <w:left w:val="nil"/>
              <w:bottom w:val="single" w:sz="4" w:space="0" w:color="auto"/>
              <w:right w:val="nil"/>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3</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b/>
                <w:noProof/>
                <w:sz w:val="20"/>
                <w:szCs w:val="20"/>
              </w:rPr>
            </w:pPr>
            <w:r>
              <w:rPr>
                <w:rFonts w:ascii="Arial" w:hAnsi="Arial"/>
                <w:b/>
                <w:noProof/>
                <w:sz w:val="20"/>
                <w:szCs w:val="20"/>
              </w:rPr>
              <w:t>394</w:t>
            </w:r>
          </w:p>
        </w:tc>
      </w:tr>
      <w:tr>
        <w:trPr>
          <w:trHeight w:val="166"/>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 di cui JRC:</w:t>
            </w:r>
          </w:p>
        </w:tc>
        <w:tc>
          <w:tcPr>
            <w:tcW w:w="800" w:type="dxa"/>
            <w:tcBorders>
              <w:top w:val="nil"/>
              <w:left w:val="nil"/>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43</w:t>
            </w:r>
          </w:p>
        </w:tc>
        <w:tc>
          <w:tcPr>
            <w:tcW w:w="975" w:type="dxa"/>
            <w:tcBorders>
              <w:top w:val="nil"/>
              <w:left w:val="nil"/>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88</w:t>
            </w:r>
          </w:p>
        </w:tc>
        <w:tc>
          <w:tcPr>
            <w:tcW w:w="960" w:type="dxa"/>
            <w:tcBorders>
              <w:top w:val="nil"/>
              <w:left w:val="nil"/>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17</w:t>
            </w:r>
          </w:p>
        </w:tc>
        <w:tc>
          <w:tcPr>
            <w:tcW w:w="960" w:type="dxa"/>
            <w:tcBorders>
              <w:top w:val="nil"/>
              <w:left w:val="single" w:sz="4" w:space="0" w:color="auto"/>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w:t>
            </w:r>
          </w:p>
        </w:tc>
        <w:tc>
          <w:tcPr>
            <w:tcW w:w="960" w:type="dxa"/>
            <w:tcBorders>
              <w:top w:val="nil"/>
              <w:left w:val="single" w:sz="4" w:space="0" w:color="auto"/>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2</w:t>
            </w:r>
          </w:p>
        </w:tc>
        <w:tc>
          <w:tcPr>
            <w:tcW w:w="960" w:type="dxa"/>
            <w:tcBorders>
              <w:top w:val="nil"/>
              <w:left w:val="single" w:sz="4" w:space="0" w:color="auto"/>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152</w:t>
            </w:r>
          </w:p>
        </w:tc>
      </w:tr>
      <w:tr>
        <w:trPr>
          <w:trHeight w:val="154"/>
        </w:trPr>
        <w:tc>
          <w:tcPr>
            <w:tcW w:w="268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Consiglio</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11</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57</w:t>
            </w:r>
          </w:p>
        </w:tc>
        <w:tc>
          <w:tcPr>
            <w:tcW w:w="96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3</w:t>
            </w:r>
          </w:p>
        </w:tc>
        <w:tc>
          <w:tcPr>
            <w:tcW w:w="960" w:type="dxa"/>
            <w:tcBorders>
              <w:top w:val="nil"/>
              <w:left w:val="single" w:sz="4" w:space="0" w:color="auto"/>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b/>
                <w:noProof/>
                <w:sz w:val="20"/>
                <w:szCs w:val="20"/>
              </w:rPr>
            </w:pPr>
            <w:r>
              <w:rPr>
                <w:rFonts w:ascii="Arial" w:hAnsi="Arial"/>
                <w:b/>
                <w:noProof/>
                <w:sz w:val="20"/>
                <w:szCs w:val="20"/>
              </w:rPr>
              <w:t>71</w:t>
            </w:r>
          </w:p>
        </w:tc>
      </w:tr>
      <w:tr>
        <w:trPr>
          <w:trHeight w:val="154"/>
        </w:trPr>
        <w:tc>
          <w:tcPr>
            <w:tcW w:w="268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Parlamento</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0</w:t>
            </w:r>
          </w:p>
        </w:tc>
      </w:tr>
      <w:tr>
        <w:trPr>
          <w:trHeight w:val="262"/>
        </w:trPr>
        <w:tc>
          <w:tcPr>
            <w:tcW w:w="268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Corte di giustizia</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7</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16</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24</w:t>
            </w:r>
          </w:p>
        </w:tc>
      </w:tr>
      <w:tr>
        <w:trPr>
          <w:trHeight w:val="214"/>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Corte dei conti</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14</w:t>
            </w:r>
          </w:p>
        </w:tc>
        <w:tc>
          <w:tcPr>
            <w:tcW w:w="960" w:type="dxa"/>
            <w:tcBorders>
              <w:top w:val="nil"/>
              <w:left w:val="single" w:sz="4" w:space="0" w:color="auto"/>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single" w:sz="4" w:space="0" w:color="auto"/>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single" w:sz="4" w:space="0" w:color="auto"/>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b/>
                <w:noProof/>
                <w:sz w:val="20"/>
                <w:szCs w:val="20"/>
              </w:rPr>
            </w:pPr>
            <w:r>
              <w:rPr>
                <w:rFonts w:ascii="Arial" w:hAnsi="Arial"/>
                <w:b/>
                <w:noProof/>
                <w:sz w:val="20"/>
                <w:szCs w:val="20"/>
              </w:rPr>
              <w:t>14</w:t>
            </w:r>
          </w:p>
        </w:tc>
      </w:tr>
      <w:tr>
        <w:trPr>
          <w:trHeight w:val="214"/>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CESE</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2</w:t>
            </w:r>
          </w:p>
        </w:tc>
      </w:tr>
      <w:tr>
        <w:trPr>
          <w:trHeight w:val="202"/>
        </w:trPr>
        <w:tc>
          <w:tcPr>
            <w:tcW w:w="268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Comitato delle regioni</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0</w:t>
            </w:r>
          </w:p>
        </w:tc>
      </w:tr>
      <w:tr>
        <w:trPr>
          <w:trHeight w:val="178"/>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GEPD</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0</w:t>
            </w:r>
          </w:p>
        </w:tc>
      </w:tr>
      <w:tr>
        <w:trPr>
          <w:trHeight w:val="178"/>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Mediatore</w:t>
            </w:r>
          </w:p>
        </w:tc>
        <w:tc>
          <w:tcPr>
            <w:tcW w:w="800" w:type="dxa"/>
            <w:tcBorders>
              <w:top w:val="single" w:sz="4" w:space="0" w:color="auto"/>
              <w:left w:val="nil"/>
              <w:bottom w:val="nil"/>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0</w:t>
            </w:r>
          </w:p>
        </w:tc>
      </w:tr>
      <w:tr>
        <w:trPr>
          <w:trHeight w:val="166"/>
        </w:trPr>
        <w:tc>
          <w:tcPr>
            <w:tcW w:w="2680" w:type="dxa"/>
            <w:tcBorders>
              <w:top w:val="nil"/>
              <w:left w:val="single" w:sz="4" w:space="0" w:color="auto"/>
              <w:bottom w:val="single" w:sz="2"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SEAE</w:t>
            </w:r>
          </w:p>
        </w:tc>
        <w:tc>
          <w:tcPr>
            <w:tcW w:w="800" w:type="dxa"/>
            <w:tcBorders>
              <w:top w:val="single" w:sz="4" w:space="0" w:color="auto"/>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6</w:t>
            </w:r>
          </w:p>
        </w:tc>
        <w:tc>
          <w:tcPr>
            <w:tcW w:w="975"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9</w:t>
            </w:r>
          </w:p>
        </w:tc>
        <w:tc>
          <w:tcPr>
            <w:tcW w:w="960"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5" w:type="dxa"/>
            <w:tcBorders>
              <w:top w:val="single" w:sz="8" w:space="0" w:color="auto"/>
              <w:left w:val="single" w:sz="8" w:space="0" w:color="auto"/>
              <w:bottom w:val="single" w:sz="2"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b/>
                <w:noProof/>
                <w:sz w:val="20"/>
                <w:szCs w:val="20"/>
              </w:rPr>
              <w:t>15</w:t>
            </w:r>
          </w:p>
        </w:tc>
      </w:tr>
      <w:tr>
        <w:trPr>
          <w:trHeight w:val="330"/>
        </w:trPr>
        <w:tc>
          <w:tcPr>
            <w:tcW w:w="268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Totale</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134,33</w:t>
            </w:r>
          </w:p>
        </w:tc>
        <w:tc>
          <w:tcPr>
            <w:tcW w:w="975"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292,33</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67,33</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17</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3</w:t>
            </w:r>
          </w:p>
        </w:tc>
        <w:tc>
          <w:tcPr>
            <w:tcW w:w="1125"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524</w:t>
            </w:r>
          </w:p>
        </w:tc>
      </w:tr>
    </w:tbl>
    <w:p>
      <w:pPr>
        <w:pStyle w:val="Heading2"/>
        <w:numPr>
          <w:ilvl w:val="0"/>
          <w:numId w:val="0"/>
        </w:numPr>
        <w:spacing w:before="0" w:after="0"/>
        <w:rPr>
          <w:noProof/>
        </w:rPr>
      </w:pPr>
    </w:p>
    <w:p>
      <w:pPr>
        <w:pStyle w:val="ManualHeading2"/>
        <w:rPr>
          <w:noProof/>
        </w:rPr>
      </w:pPr>
      <w:r>
        <w:t>2.2.</w:t>
      </w:r>
      <w:r>
        <w:tab/>
      </w:r>
      <w:r>
        <w:rPr>
          <w:noProof/>
        </w:rPr>
        <w:t>Numero di beneficiari per tipo di permanenza</w:t>
      </w:r>
    </w:p>
    <w:tbl>
      <w:tblPr>
        <w:tblW w:w="8900" w:type="dxa"/>
        <w:tblInd w:w="93" w:type="dxa"/>
        <w:tblLook w:val="0000" w:firstRow="0" w:lastRow="0" w:firstColumn="0" w:lastColumn="0" w:noHBand="0" w:noVBand="0"/>
      </w:tblPr>
      <w:tblGrid>
        <w:gridCol w:w="2860"/>
        <w:gridCol w:w="1120"/>
        <w:gridCol w:w="1720"/>
        <w:gridCol w:w="2080"/>
        <w:gridCol w:w="1120"/>
      </w:tblGrid>
      <w:tr>
        <w:trPr>
          <w:trHeight w:val="510"/>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Istituzione</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A domicilio</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A domicilio e sul luogo di lavoro</w:t>
            </w:r>
          </w:p>
        </w:tc>
        <w:tc>
          <w:tcPr>
            <w:tcW w:w="208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Sul luogo di lavoro</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Totale</w:t>
            </w:r>
          </w:p>
        </w:tc>
      </w:tr>
      <w:tr>
        <w:trPr>
          <w:trHeight w:val="230"/>
        </w:trPr>
        <w:tc>
          <w:tcPr>
            <w:tcW w:w="286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172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2080" w:type="dxa"/>
            <w:vMerge/>
            <w:tcBorders>
              <w:top w:val="single" w:sz="4" w:space="0" w:color="auto"/>
              <w:left w:val="single" w:sz="4" w:space="0" w:color="auto"/>
              <w:bottom w:val="single" w:sz="4" w:space="0" w:color="000000"/>
              <w:right w:val="single" w:sz="8" w:space="0" w:color="auto"/>
            </w:tcBorders>
            <w:vAlign w:val="center"/>
          </w:tcPr>
          <w:p>
            <w:pPr>
              <w:spacing w:before="0" w:after="0"/>
              <w:jc w:val="left"/>
              <w:rPr>
                <w:rFonts w:ascii="Arial" w:hAnsi="Arial" w:cs="Arial"/>
                <w:b/>
                <w:bCs/>
                <w:noProof/>
                <w:sz w:val="20"/>
                <w:szCs w:val="20"/>
              </w:rPr>
            </w:pPr>
          </w:p>
        </w:tc>
        <w:tc>
          <w:tcPr>
            <w:tcW w:w="1120"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274"/>
        </w:trPr>
        <w:tc>
          <w:tcPr>
            <w:tcW w:w="286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Commissione</w:t>
            </w:r>
          </w:p>
        </w:tc>
        <w:tc>
          <w:tcPr>
            <w:tcW w:w="1120" w:type="dxa"/>
            <w:tcBorders>
              <w:top w:val="nil"/>
              <w:left w:val="nil"/>
              <w:bottom w:val="single" w:sz="4" w:space="0" w:color="auto"/>
              <w:right w:val="single" w:sz="4"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379</w:t>
            </w:r>
          </w:p>
        </w:tc>
        <w:tc>
          <w:tcPr>
            <w:tcW w:w="1720" w:type="dxa"/>
            <w:tcBorders>
              <w:top w:val="nil"/>
              <w:left w:val="nil"/>
              <w:bottom w:val="single" w:sz="4" w:space="0" w:color="auto"/>
              <w:right w:val="single" w:sz="4"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FFFFFF"/>
            <w:vAlign w:val="center"/>
          </w:tcPr>
          <w:p>
            <w:pPr>
              <w:spacing w:before="0" w:after="0"/>
              <w:jc w:val="right"/>
              <w:rPr>
                <w:rFonts w:ascii="Arial" w:hAnsi="Arial" w:cs="Arial"/>
                <w:noProof/>
                <w:sz w:val="20"/>
                <w:szCs w:val="20"/>
              </w:rPr>
            </w:pPr>
            <w:r>
              <w:rPr>
                <w:rFonts w:ascii="Arial" w:hAnsi="Arial"/>
                <w:noProof/>
                <w:sz w:val="20"/>
                <w:szCs w:val="20"/>
              </w:rPr>
              <w:t>15</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394</w:t>
            </w:r>
          </w:p>
        </w:tc>
      </w:tr>
      <w:tr>
        <w:trPr>
          <w:trHeight w:val="214"/>
        </w:trPr>
        <w:tc>
          <w:tcPr>
            <w:tcW w:w="286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 di cui JRC:</w:t>
            </w:r>
          </w:p>
        </w:tc>
        <w:tc>
          <w:tcPr>
            <w:tcW w:w="1120" w:type="dxa"/>
            <w:tcBorders>
              <w:top w:val="nil"/>
              <w:left w:val="nil"/>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138</w:t>
            </w:r>
          </w:p>
        </w:tc>
        <w:tc>
          <w:tcPr>
            <w:tcW w:w="1720" w:type="dxa"/>
            <w:tcBorders>
              <w:top w:val="nil"/>
              <w:left w:val="nil"/>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2080" w:type="dxa"/>
            <w:tcBorders>
              <w:top w:val="nil"/>
              <w:left w:val="nil"/>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14</w:t>
            </w:r>
          </w:p>
        </w:tc>
        <w:tc>
          <w:tcPr>
            <w:tcW w:w="1120"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152</w:t>
            </w:r>
          </w:p>
        </w:tc>
      </w:tr>
      <w:tr>
        <w:trPr>
          <w:trHeight w:val="214"/>
        </w:trPr>
        <w:tc>
          <w:tcPr>
            <w:tcW w:w="286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Consiglio</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71</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71</w:t>
            </w:r>
          </w:p>
        </w:tc>
      </w:tr>
      <w:tr>
        <w:trPr>
          <w:trHeight w:val="202"/>
        </w:trPr>
        <w:tc>
          <w:tcPr>
            <w:tcW w:w="286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Parlamento</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r>
      <w:tr>
        <w:trPr>
          <w:trHeight w:val="178"/>
        </w:trPr>
        <w:tc>
          <w:tcPr>
            <w:tcW w:w="286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Corte di giustizia</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24</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24</w:t>
            </w:r>
          </w:p>
        </w:tc>
      </w:tr>
      <w:tr>
        <w:trPr>
          <w:trHeight w:val="178"/>
        </w:trPr>
        <w:tc>
          <w:tcPr>
            <w:tcW w:w="286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Corte dei conti</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14</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14</w:t>
            </w:r>
          </w:p>
        </w:tc>
      </w:tr>
      <w:tr>
        <w:trPr>
          <w:trHeight w:val="166"/>
        </w:trPr>
        <w:tc>
          <w:tcPr>
            <w:tcW w:w="286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CESE</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w:t>
            </w:r>
          </w:p>
        </w:tc>
      </w:tr>
      <w:tr>
        <w:trPr>
          <w:trHeight w:val="154"/>
        </w:trPr>
        <w:tc>
          <w:tcPr>
            <w:tcW w:w="286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Comitato delle regioni</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4</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4</w:t>
            </w:r>
          </w:p>
        </w:tc>
      </w:tr>
      <w:tr>
        <w:trPr>
          <w:trHeight w:val="154"/>
        </w:trPr>
        <w:tc>
          <w:tcPr>
            <w:tcW w:w="286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GEPD</w:t>
            </w:r>
          </w:p>
        </w:tc>
        <w:tc>
          <w:tcPr>
            <w:tcW w:w="1120" w:type="dxa"/>
            <w:tcBorders>
              <w:top w:val="single" w:sz="4" w:space="0" w:color="auto"/>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720" w:type="dxa"/>
            <w:tcBorders>
              <w:top w:val="single" w:sz="4" w:space="0" w:color="auto"/>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single" w:sz="4" w:space="0" w:color="auto"/>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single" w:sz="8" w:space="0" w:color="auto"/>
              <w:left w:val="single" w:sz="4"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r>
      <w:tr>
        <w:trPr>
          <w:trHeight w:val="262"/>
        </w:trPr>
        <w:tc>
          <w:tcPr>
            <w:tcW w:w="286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Mediatore</w:t>
            </w:r>
          </w:p>
        </w:tc>
        <w:tc>
          <w:tcPr>
            <w:tcW w:w="1120" w:type="dxa"/>
            <w:tcBorders>
              <w:top w:val="single" w:sz="4" w:space="0" w:color="auto"/>
              <w:left w:val="nil"/>
              <w:bottom w:val="nil"/>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720" w:type="dxa"/>
            <w:tcBorders>
              <w:top w:val="single" w:sz="4" w:space="0" w:color="auto"/>
              <w:left w:val="nil"/>
              <w:bottom w:val="nil"/>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single" w:sz="4" w:space="0" w:color="auto"/>
              <w:left w:val="nil"/>
              <w:bottom w:val="nil"/>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r>
      <w:tr>
        <w:trPr>
          <w:trHeight w:val="214"/>
        </w:trPr>
        <w:tc>
          <w:tcPr>
            <w:tcW w:w="2860" w:type="dxa"/>
            <w:tcBorders>
              <w:top w:val="nil"/>
              <w:left w:val="single" w:sz="4" w:space="0" w:color="auto"/>
              <w:bottom w:val="single" w:sz="2"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SEAE</w:t>
            </w:r>
          </w:p>
        </w:tc>
        <w:tc>
          <w:tcPr>
            <w:tcW w:w="1120" w:type="dxa"/>
            <w:tcBorders>
              <w:top w:val="single" w:sz="4" w:space="0" w:color="auto"/>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15</w:t>
            </w:r>
          </w:p>
        </w:tc>
        <w:tc>
          <w:tcPr>
            <w:tcW w:w="1720" w:type="dxa"/>
            <w:tcBorders>
              <w:top w:val="single" w:sz="4" w:space="0" w:color="auto"/>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80" w:type="dxa"/>
            <w:tcBorders>
              <w:top w:val="single" w:sz="4" w:space="0" w:color="auto"/>
              <w:left w:val="nil"/>
              <w:bottom w:val="single" w:sz="2"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120" w:type="dxa"/>
            <w:tcBorders>
              <w:top w:val="single" w:sz="8" w:space="0" w:color="auto"/>
              <w:left w:val="single" w:sz="8" w:space="0" w:color="auto"/>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b/>
                <w:noProof/>
                <w:sz w:val="20"/>
                <w:szCs w:val="20"/>
              </w:rPr>
              <w:t>15</w:t>
            </w:r>
          </w:p>
        </w:tc>
      </w:tr>
      <w:tr>
        <w:trPr>
          <w:trHeight w:val="330"/>
        </w:trPr>
        <w:tc>
          <w:tcPr>
            <w:tcW w:w="28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Totale</w:t>
            </w:r>
          </w:p>
        </w:tc>
        <w:tc>
          <w:tcPr>
            <w:tcW w:w="112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509</w:t>
            </w:r>
          </w:p>
        </w:tc>
        <w:tc>
          <w:tcPr>
            <w:tcW w:w="172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0</w:t>
            </w:r>
          </w:p>
        </w:tc>
        <w:tc>
          <w:tcPr>
            <w:tcW w:w="208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15</w:t>
            </w:r>
          </w:p>
        </w:tc>
        <w:tc>
          <w:tcPr>
            <w:tcW w:w="112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524</w:t>
            </w:r>
          </w:p>
        </w:tc>
      </w:tr>
    </w:tbl>
    <w:p>
      <w:pPr>
        <w:pStyle w:val="ManualHeading2"/>
        <w:rPr>
          <w:noProof/>
        </w:rPr>
      </w:pPr>
      <w:r>
        <w:t>2.3.</w:t>
      </w:r>
      <w:r>
        <w:tab/>
      </w:r>
      <w:r>
        <w:rPr>
          <w:noProof/>
        </w:rPr>
        <w:t>Numero di beneficiari per tipo di servizio</w:t>
      </w:r>
    </w:p>
    <w:tbl>
      <w:tblPr>
        <w:tblW w:w="9975" w:type="dxa"/>
        <w:tblInd w:w="93" w:type="dxa"/>
        <w:tblLayout w:type="fixed"/>
        <w:tblLook w:val="0000" w:firstRow="0" w:lastRow="0" w:firstColumn="0" w:lastColumn="0" w:noHBand="0" w:noVBand="0"/>
      </w:tblPr>
      <w:tblGrid>
        <w:gridCol w:w="2036"/>
        <w:gridCol w:w="824"/>
        <w:gridCol w:w="1216"/>
        <w:gridCol w:w="1484"/>
        <w:gridCol w:w="1056"/>
        <w:gridCol w:w="718"/>
        <w:gridCol w:w="961"/>
        <w:gridCol w:w="840"/>
        <w:gridCol w:w="840"/>
      </w:tblGrid>
      <w:tr>
        <w:trPr>
          <w:trHeight w:val="645"/>
        </w:trPr>
        <w:tc>
          <w:tcPr>
            <w:tcW w:w="2036" w:type="dxa"/>
            <w:tcBorders>
              <w:top w:val="single" w:sz="4" w:space="0" w:color="auto"/>
              <w:left w:val="single" w:sz="4" w:space="0" w:color="auto"/>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Istituzione</w:t>
            </w:r>
          </w:p>
        </w:tc>
        <w:tc>
          <w:tcPr>
            <w:tcW w:w="824"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JRC</w:t>
            </w:r>
          </w:p>
        </w:tc>
        <w:tc>
          <w:tcPr>
            <w:tcW w:w="1216"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Azioni indirette</w:t>
            </w:r>
          </w:p>
        </w:tc>
        <w:tc>
          <w:tcPr>
            <w:tcW w:w="1484"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Impianti tecnici</w:t>
            </w:r>
          </w:p>
        </w:tc>
        <w:tc>
          <w:tcPr>
            <w:tcW w:w="1056"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Sicurezza</w:t>
            </w:r>
          </w:p>
        </w:tc>
        <w:tc>
          <w:tcPr>
            <w:tcW w:w="718"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TIC</w:t>
            </w:r>
          </w:p>
        </w:tc>
        <w:tc>
          <w:tcPr>
            <w:tcW w:w="961"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PESC/PSDC</w:t>
            </w:r>
          </w:p>
        </w:tc>
        <w:tc>
          <w:tcPr>
            <w:tcW w:w="840" w:type="dxa"/>
            <w:tcBorders>
              <w:top w:val="single" w:sz="8" w:space="0" w:color="auto"/>
              <w:left w:val="nil"/>
              <w:bottom w:val="single" w:sz="4" w:space="0" w:color="auto"/>
              <w:right w:val="single" w:sz="8" w:space="0" w:color="auto"/>
            </w:tcBorders>
            <w:vAlign w:val="center"/>
          </w:tcPr>
          <w:p>
            <w:pPr>
              <w:spacing w:before="0" w:after="0"/>
              <w:jc w:val="center"/>
              <w:rPr>
                <w:rFonts w:ascii="Arial" w:hAnsi="Arial" w:cs="Arial"/>
                <w:b/>
                <w:bCs/>
                <w:noProof/>
                <w:sz w:val="20"/>
                <w:szCs w:val="20"/>
              </w:rPr>
            </w:pPr>
            <w:r>
              <w:rPr>
                <w:rFonts w:ascii="Arial" w:hAnsi="Arial"/>
                <w:b/>
                <w:bCs/>
                <w:noProof/>
                <w:sz w:val="20"/>
                <w:szCs w:val="20"/>
              </w:rPr>
              <w:t>SM 24/7</w:t>
            </w:r>
          </w:p>
        </w:tc>
        <w:tc>
          <w:tcPr>
            <w:tcW w:w="840" w:type="dxa"/>
            <w:tcBorders>
              <w:top w:val="single" w:sz="8" w:space="0" w:color="auto"/>
              <w:left w:val="single" w:sz="8" w:space="0" w:color="auto"/>
              <w:bottom w:val="single" w:sz="8" w:space="0" w:color="auto"/>
              <w:right w:val="single" w:sz="8" w:space="0" w:color="auto"/>
            </w:tcBorders>
            <w:vAlign w:val="center"/>
          </w:tcPr>
          <w:p>
            <w:pPr>
              <w:spacing w:before="0" w:after="0"/>
              <w:jc w:val="center"/>
              <w:rPr>
                <w:rFonts w:ascii="Arial" w:hAnsi="Arial" w:cs="Arial"/>
                <w:b/>
                <w:bCs/>
                <w:noProof/>
                <w:sz w:val="20"/>
                <w:szCs w:val="20"/>
              </w:rPr>
            </w:pPr>
            <w:r>
              <w:rPr>
                <w:rFonts w:ascii="Arial" w:hAnsi="Arial"/>
                <w:b/>
                <w:bCs/>
                <w:noProof/>
                <w:sz w:val="20"/>
                <w:szCs w:val="20"/>
              </w:rPr>
              <w:t>Totale</w:t>
            </w:r>
          </w:p>
        </w:tc>
      </w:tr>
      <w:tr>
        <w:trPr>
          <w:trHeight w:val="274"/>
        </w:trPr>
        <w:tc>
          <w:tcPr>
            <w:tcW w:w="2036" w:type="dxa"/>
            <w:tcBorders>
              <w:top w:val="single" w:sz="4" w:space="0" w:color="auto"/>
              <w:left w:val="single" w:sz="4" w:space="0" w:color="auto"/>
              <w:bottom w:val="single" w:sz="4"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Commissione</w:t>
            </w:r>
          </w:p>
        </w:tc>
        <w:tc>
          <w:tcPr>
            <w:tcW w:w="824"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152</w:t>
            </w:r>
          </w:p>
        </w:tc>
        <w:tc>
          <w:tcPr>
            <w:tcW w:w="1216"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3</w:t>
            </w:r>
          </w:p>
        </w:tc>
        <w:tc>
          <w:tcPr>
            <w:tcW w:w="1484"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72</w:t>
            </w:r>
          </w:p>
        </w:tc>
        <w:tc>
          <w:tcPr>
            <w:tcW w:w="1056"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39</w:t>
            </w:r>
          </w:p>
        </w:tc>
        <w:tc>
          <w:tcPr>
            <w:tcW w:w="718"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83</w:t>
            </w:r>
          </w:p>
        </w:tc>
        <w:tc>
          <w:tcPr>
            <w:tcW w:w="961"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4" w:space="0" w:color="auto"/>
              <w:right w:val="single" w:sz="8" w:space="0" w:color="auto"/>
            </w:tcBorders>
            <w:shd w:val="clear" w:color="auto" w:fill="FFFFFF"/>
          </w:tcPr>
          <w:p>
            <w:pPr>
              <w:spacing w:before="0" w:after="0"/>
              <w:jc w:val="right"/>
              <w:rPr>
                <w:rFonts w:ascii="Arial" w:hAnsi="Arial" w:cs="Arial"/>
                <w:noProof/>
                <w:sz w:val="20"/>
                <w:szCs w:val="20"/>
              </w:rPr>
            </w:pPr>
            <w:r>
              <w:rPr>
                <w:rFonts w:ascii="Arial" w:hAnsi="Arial"/>
                <w:noProof/>
                <w:sz w:val="20"/>
                <w:szCs w:val="20"/>
              </w:rPr>
              <w:t>45</w:t>
            </w:r>
          </w:p>
        </w:tc>
        <w:tc>
          <w:tcPr>
            <w:tcW w:w="840" w:type="dxa"/>
            <w:tcBorders>
              <w:top w:val="single" w:sz="8" w:space="0" w:color="auto"/>
              <w:left w:val="single" w:sz="8" w:space="0" w:color="auto"/>
              <w:bottom w:val="single" w:sz="8" w:space="0" w:color="auto"/>
              <w:right w:val="single" w:sz="8" w:space="0" w:color="auto"/>
            </w:tcBorders>
            <w:shd w:val="clear" w:color="auto" w:fill="FFFFFF"/>
          </w:tcPr>
          <w:p>
            <w:pPr>
              <w:spacing w:before="0" w:after="0"/>
              <w:jc w:val="right"/>
              <w:rPr>
                <w:rFonts w:ascii="Arial" w:hAnsi="Arial" w:cs="Arial"/>
                <w:b/>
                <w:noProof/>
                <w:sz w:val="20"/>
                <w:szCs w:val="20"/>
              </w:rPr>
            </w:pPr>
            <w:r>
              <w:rPr>
                <w:rFonts w:ascii="Arial" w:hAnsi="Arial"/>
                <w:b/>
                <w:noProof/>
                <w:sz w:val="20"/>
                <w:szCs w:val="20"/>
              </w:rPr>
              <w:t>394</w:t>
            </w:r>
          </w:p>
        </w:tc>
      </w:tr>
      <w:tr>
        <w:trPr>
          <w:trHeight w:val="214"/>
        </w:trPr>
        <w:tc>
          <w:tcPr>
            <w:tcW w:w="2036" w:type="dxa"/>
            <w:tcBorders>
              <w:top w:val="nil"/>
              <w:left w:val="single" w:sz="4" w:space="0" w:color="auto"/>
              <w:bottom w:val="single" w:sz="4" w:space="0" w:color="auto"/>
              <w:right w:val="single" w:sz="4" w:space="0" w:color="auto"/>
            </w:tcBorders>
            <w:shd w:val="clear" w:color="auto" w:fill="FFFFFF"/>
          </w:tcPr>
          <w:p>
            <w:pPr>
              <w:spacing w:before="0" w:after="0"/>
              <w:jc w:val="left"/>
              <w:rPr>
                <w:rFonts w:ascii="Arial" w:hAnsi="Arial" w:cs="Arial"/>
                <w:i/>
                <w:iCs/>
                <w:noProof/>
                <w:color w:val="808080"/>
                <w:sz w:val="20"/>
                <w:szCs w:val="20"/>
              </w:rPr>
            </w:pPr>
            <w:r>
              <w:rPr>
                <w:rFonts w:ascii="Arial" w:hAnsi="Arial"/>
                <w:i/>
                <w:iCs/>
                <w:noProof/>
                <w:color w:val="808080"/>
                <w:sz w:val="20"/>
                <w:szCs w:val="20"/>
              </w:rPr>
              <w:t>- di cui JRC:</w:t>
            </w:r>
          </w:p>
        </w:tc>
        <w:tc>
          <w:tcPr>
            <w:tcW w:w="824"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152</w:t>
            </w:r>
          </w:p>
        </w:tc>
        <w:tc>
          <w:tcPr>
            <w:tcW w:w="1216"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1484"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1056"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718"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961"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840" w:type="dxa"/>
            <w:tcBorders>
              <w:top w:val="single" w:sz="4" w:space="0" w:color="auto"/>
              <w:left w:val="single" w:sz="4" w:space="0" w:color="auto"/>
              <w:bottom w:val="single" w:sz="4" w:space="0" w:color="auto"/>
              <w:right w:val="single" w:sz="8" w:space="0" w:color="auto"/>
            </w:tcBorders>
            <w:shd w:val="clear" w:color="auto" w:fill="FFFFFF"/>
          </w:tcPr>
          <w:p>
            <w:pPr>
              <w:spacing w:before="0" w:after="0"/>
              <w:rPr>
                <w:rFonts w:ascii="Arial" w:hAnsi="Arial" w:cs="Arial"/>
                <w:i/>
                <w:iCs/>
                <w:noProof/>
                <w:color w:val="808080"/>
                <w:sz w:val="20"/>
                <w:szCs w:val="20"/>
              </w:rPr>
            </w:pPr>
            <w:r>
              <w:rPr>
                <w:rFonts w:ascii="Arial" w:hAnsi="Arial"/>
                <w:i/>
                <w:iCs/>
                <w:noProof/>
                <w:color w:val="808080"/>
                <w:sz w:val="20"/>
                <w:szCs w:val="20"/>
              </w:rPr>
              <w:t>0</w:t>
            </w:r>
          </w:p>
        </w:tc>
        <w:tc>
          <w:tcPr>
            <w:tcW w:w="840" w:type="dxa"/>
            <w:tcBorders>
              <w:top w:val="single" w:sz="8" w:space="0" w:color="auto"/>
              <w:left w:val="single" w:sz="8" w:space="0" w:color="auto"/>
              <w:bottom w:val="single" w:sz="8" w:space="0" w:color="auto"/>
              <w:right w:val="single" w:sz="8" w:space="0" w:color="auto"/>
            </w:tcBorders>
            <w:shd w:val="clear" w:color="auto" w:fill="FFFFFF"/>
          </w:tcPr>
          <w:p>
            <w:pPr>
              <w:spacing w:before="0" w:after="0"/>
              <w:rPr>
                <w:rFonts w:ascii="Arial" w:hAnsi="Arial" w:cs="Arial"/>
                <w:b/>
                <w:i/>
                <w:iCs/>
                <w:noProof/>
                <w:color w:val="808080"/>
                <w:sz w:val="20"/>
                <w:szCs w:val="20"/>
              </w:rPr>
            </w:pPr>
            <w:r>
              <w:rPr>
                <w:rFonts w:ascii="Arial" w:hAnsi="Arial"/>
                <w:b/>
                <w:i/>
                <w:iCs/>
                <w:noProof/>
                <w:color w:val="808080"/>
                <w:sz w:val="20"/>
                <w:szCs w:val="20"/>
              </w:rPr>
              <w:t>152</w:t>
            </w:r>
          </w:p>
        </w:tc>
      </w:tr>
      <w:tr>
        <w:trPr>
          <w:trHeight w:val="202"/>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Consiglio</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19</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45</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7</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71</w:t>
            </w:r>
          </w:p>
        </w:tc>
      </w:tr>
      <w:tr>
        <w:trPr>
          <w:trHeight w:val="202"/>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Parlamento</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178"/>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Corte di giustizia</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14</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10</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24</w:t>
            </w:r>
          </w:p>
        </w:tc>
      </w:tr>
      <w:tr>
        <w:trPr>
          <w:trHeight w:val="166"/>
        </w:trPr>
        <w:tc>
          <w:tcPr>
            <w:tcW w:w="2036" w:type="dxa"/>
            <w:tcBorders>
              <w:top w:val="nil"/>
              <w:left w:val="single" w:sz="4" w:space="0" w:color="auto"/>
              <w:bottom w:val="single" w:sz="4"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Corte dei conti</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14</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14</w:t>
            </w:r>
          </w:p>
        </w:tc>
      </w:tr>
      <w:tr>
        <w:trPr>
          <w:trHeight w:val="166"/>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CESE</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2</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2</w:t>
            </w:r>
          </w:p>
        </w:tc>
      </w:tr>
      <w:tr>
        <w:trPr>
          <w:trHeight w:val="154"/>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szCs w:val="20"/>
              </w:rPr>
              <w:t>Comitato delle regioni</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4</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4</w:t>
            </w:r>
          </w:p>
        </w:tc>
      </w:tr>
      <w:tr>
        <w:trPr>
          <w:trHeight w:val="142"/>
        </w:trPr>
        <w:tc>
          <w:tcPr>
            <w:tcW w:w="2036" w:type="dxa"/>
            <w:tcBorders>
              <w:top w:val="nil"/>
              <w:left w:val="single" w:sz="4" w:space="0" w:color="auto"/>
              <w:bottom w:val="single" w:sz="4"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GEPD</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142"/>
        </w:trPr>
        <w:tc>
          <w:tcPr>
            <w:tcW w:w="2036" w:type="dxa"/>
            <w:tcBorders>
              <w:top w:val="single" w:sz="4" w:space="0" w:color="auto"/>
              <w:left w:val="single" w:sz="4" w:space="0" w:color="auto"/>
              <w:bottom w:val="nil"/>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Mediatore</w:t>
            </w:r>
          </w:p>
        </w:tc>
        <w:tc>
          <w:tcPr>
            <w:tcW w:w="824"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16"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484"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056"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718"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961"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118"/>
        </w:trPr>
        <w:tc>
          <w:tcPr>
            <w:tcW w:w="2036" w:type="dxa"/>
            <w:tcBorders>
              <w:top w:val="single" w:sz="4" w:space="0" w:color="auto"/>
              <w:left w:val="single" w:sz="4" w:space="0" w:color="auto"/>
              <w:bottom w:val="single" w:sz="2"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szCs w:val="20"/>
              </w:rPr>
              <w:t>SEAE</w:t>
            </w:r>
          </w:p>
        </w:tc>
        <w:tc>
          <w:tcPr>
            <w:tcW w:w="824"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216"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484"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0</w:t>
            </w:r>
          </w:p>
        </w:tc>
        <w:tc>
          <w:tcPr>
            <w:tcW w:w="1056"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3</w:t>
            </w:r>
          </w:p>
        </w:tc>
        <w:tc>
          <w:tcPr>
            <w:tcW w:w="718"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9</w:t>
            </w:r>
          </w:p>
        </w:tc>
        <w:tc>
          <w:tcPr>
            <w:tcW w:w="961"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szCs w:val="20"/>
              </w:rPr>
              <w:t>3</w:t>
            </w:r>
          </w:p>
        </w:tc>
        <w:tc>
          <w:tcPr>
            <w:tcW w:w="840" w:type="dxa"/>
            <w:tcBorders>
              <w:top w:val="single" w:sz="4" w:space="0" w:color="auto"/>
              <w:left w:val="single" w:sz="4" w:space="0" w:color="auto"/>
              <w:bottom w:val="single" w:sz="2" w:space="0" w:color="auto"/>
              <w:right w:val="single" w:sz="8" w:space="0" w:color="auto"/>
            </w:tcBorders>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8" w:space="0" w:color="auto"/>
              <w:bottom w:val="single" w:sz="2"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15</w:t>
            </w:r>
          </w:p>
        </w:tc>
      </w:tr>
      <w:tr>
        <w:trPr>
          <w:trHeight w:val="330"/>
        </w:trPr>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iCs/>
                <w:noProof/>
                <w:sz w:val="20"/>
                <w:szCs w:val="20"/>
              </w:rPr>
            </w:pPr>
            <w:r>
              <w:rPr>
                <w:rFonts w:ascii="Arial" w:hAnsi="Arial"/>
                <w:b/>
                <w:bCs/>
                <w:iCs/>
                <w:noProof/>
                <w:sz w:val="20"/>
                <w:szCs w:val="20"/>
              </w:rPr>
              <w:t>Totale</w:t>
            </w:r>
          </w:p>
        </w:tc>
        <w:tc>
          <w:tcPr>
            <w:tcW w:w="824"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152</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3</w:t>
            </w:r>
          </w:p>
        </w:tc>
        <w:tc>
          <w:tcPr>
            <w:tcW w:w="1484"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86</w:t>
            </w:r>
          </w:p>
        </w:tc>
        <w:tc>
          <w:tcPr>
            <w:tcW w:w="1056"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91</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137</w:t>
            </w:r>
          </w:p>
        </w:tc>
        <w:tc>
          <w:tcPr>
            <w:tcW w:w="961"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10</w:t>
            </w:r>
          </w:p>
        </w:tc>
        <w:tc>
          <w:tcPr>
            <w:tcW w:w="84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45</w:t>
            </w:r>
          </w:p>
        </w:tc>
        <w:tc>
          <w:tcPr>
            <w:tcW w:w="84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524</w:t>
            </w:r>
          </w:p>
        </w:tc>
      </w:tr>
    </w:tbl>
    <w:p>
      <w:pPr>
        <w:pStyle w:val="Heading1"/>
        <w:numPr>
          <w:ilvl w:val="0"/>
          <w:numId w:val="0"/>
        </w:numPr>
        <w:spacing w:before="0" w:after="0"/>
        <w:ind w:left="850"/>
        <w:rPr>
          <w:bCs w:val="0"/>
          <w:smallCaps w:val="0"/>
          <w:noProof/>
          <w:szCs w:val="24"/>
        </w:rPr>
      </w:pPr>
    </w:p>
    <w:p>
      <w:pPr>
        <w:pStyle w:val="ManualHeading1"/>
        <w:rPr>
          <w:bCs/>
          <w:noProof/>
        </w:rPr>
      </w:pPr>
      <w:r>
        <w:t>3.</w:t>
      </w:r>
      <w:r>
        <w:tab/>
      </w:r>
      <w:r>
        <w:rPr>
          <w:noProof/>
        </w:rPr>
        <w:t>Indennità per taluni lavori di carattere gravoso</w:t>
      </w:r>
    </w:p>
    <w:p>
      <w:pPr>
        <w:rPr>
          <w:noProof/>
        </w:rPr>
      </w:pPr>
      <w:r>
        <w:rPr>
          <w:noProof/>
        </w:rPr>
        <w:t xml:space="preserve">Le basi giuridiche di questa indennità sono l'articolo 56 </w:t>
      </w:r>
      <w:r>
        <w:rPr>
          <w:i/>
          <w:noProof/>
        </w:rPr>
        <w:t>quater</w:t>
      </w:r>
      <w:r>
        <w:rPr>
          <w:noProof/>
        </w:rPr>
        <w:t xml:space="preserve"> dello statuto e il regolamento n. 858/2004 del Consiglio, del 29 aprile 2004, che ha sostituito il regolamento n. 1799/72 del Consiglio.</w:t>
      </w:r>
      <w:r>
        <w:rPr>
          <w:noProof/>
        </w:rPr>
        <w:tab/>
      </w:r>
    </w:p>
    <w:p>
      <w:pPr>
        <w:rPr>
          <w:noProof/>
        </w:rPr>
      </w:pPr>
      <w:r>
        <w:rPr>
          <w:noProof/>
        </w:rPr>
        <w:t>L'indennità per taluni lavori di carattere gravoso è espressa in punti concessi per ora di lavoro effettivamente svolto e dipende da varie condizioni specifiche di lavoro, connesse con la "protezione individuale", il "luogo di lavoro" e la "natura del lavoro". Il numero di punti varia da 2, ad esempio per un livello di rumorosità superiore a 85 decibel, a un massimo di 50 punti per chi deve indossare un autorespiratore antincendio. Un punto è pari allo 0,032 % dello stipendio base di un funzionario di grado 1, al primo scatto (pari a 0,92 euro nel 2017).</w:t>
      </w:r>
    </w:p>
    <w:p>
      <w:pPr>
        <w:spacing w:before="0" w:after="0"/>
        <w:rPr>
          <w:noProof/>
        </w:rPr>
      </w:pPr>
    </w:p>
    <w:p>
      <w:pPr>
        <w:pStyle w:val="ManualHeading2"/>
        <w:rPr>
          <w:bCs/>
          <w:noProof/>
        </w:rPr>
      </w:pPr>
      <w:r>
        <w:t>3.1.</w:t>
      </w:r>
      <w:r>
        <w:tab/>
      </w:r>
      <w:r>
        <w:rPr>
          <w:noProof/>
        </w:rPr>
        <w:t>Numero di beneficiari (funzionari/agenti temporanei e agenti contrattuali)</w:t>
      </w:r>
    </w:p>
    <w:tbl>
      <w:tblPr>
        <w:tblW w:w="9100" w:type="dxa"/>
        <w:tblInd w:w="93" w:type="dxa"/>
        <w:tblLook w:val="0000" w:firstRow="0" w:lastRow="0" w:firstColumn="0" w:lastColumn="0" w:noHBand="0" w:noVBand="0"/>
      </w:tblPr>
      <w:tblGrid>
        <w:gridCol w:w="2295"/>
        <w:gridCol w:w="960"/>
        <w:gridCol w:w="960"/>
        <w:gridCol w:w="840"/>
        <w:gridCol w:w="960"/>
        <w:gridCol w:w="1080"/>
        <w:gridCol w:w="1045"/>
        <w:gridCol w:w="960"/>
      </w:tblGrid>
      <w:tr>
        <w:trPr>
          <w:trHeight w:val="330"/>
        </w:trPr>
        <w:tc>
          <w:tcPr>
            <w:tcW w:w="229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Istituzione</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AD</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SC-AST</w:t>
            </w:r>
          </w:p>
        </w:tc>
        <w:tc>
          <w:tcPr>
            <w:tcW w:w="3925" w:type="dxa"/>
            <w:gridSpan w:val="4"/>
            <w:tcBorders>
              <w:top w:val="single" w:sz="8" w:space="0" w:color="auto"/>
              <w:left w:val="nil"/>
              <w:bottom w:val="single" w:sz="4"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Agenti contrattuali</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Totale</w:t>
            </w:r>
          </w:p>
        </w:tc>
      </w:tr>
      <w:tr>
        <w:trPr>
          <w:trHeight w:val="330"/>
        </w:trPr>
        <w:tc>
          <w:tcPr>
            <w:tcW w:w="2295" w:type="dxa"/>
            <w:vMerge/>
            <w:tcBorders>
              <w:top w:val="single" w:sz="8" w:space="0" w:color="auto"/>
              <w:left w:val="single" w:sz="8" w:space="0" w:color="auto"/>
              <w:bottom w:val="single" w:sz="8" w:space="0" w:color="000000"/>
              <w:right w:val="single" w:sz="4" w:space="0" w:color="auto"/>
            </w:tcBorders>
            <w:vAlign w:val="center"/>
          </w:tcPr>
          <w:p>
            <w:pPr>
              <w:spacing w:before="0" w:after="0"/>
              <w:jc w:val="left"/>
              <w:rPr>
                <w:rFonts w:ascii="Arial" w:hAnsi="Arial" w:cs="Arial"/>
                <w:b/>
                <w:bCs/>
                <w:noProof/>
                <w:sz w:val="20"/>
                <w:szCs w:val="20"/>
              </w:rPr>
            </w:pPr>
          </w:p>
        </w:tc>
        <w:tc>
          <w:tcPr>
            <w:tcW w:w="960" w:type="dxa"/>
            <w:vMerge/>
            <w:tcBorders>
              <w:top w:val="single" w:sz="8" w:space="0" w:color="auto"/>
              <w:left w:val="single" w:sz="4" w:space="0" w:color="auto"/>
              <w:bottom w:val="single" w:sz="8" w:space="0" w:color="000000"/>
              <w:right w:val="single" w:sz="4" w:space="0" w:color="auto"/>
            </w:tcBorders>
            <w:vAlign w:val="center"/>
          </w:tcPr>
          <w:p>
            <w:pPr>
              <w:spacing w:before="0" w:after="0"/>
              <w:jc w:val="left"/>
              <w:rPr>
                <w:rFonts w:ascii="Arial" w:hAnsi="Arial" w:cs="Arial"/>
                <w:b/>
                <w:bCs/>
                <w:noProof/>
                <w:sz w:val="20"/>
                <w:szCs w:val="20"/>
              </w:rPr>
            </w:pPr>
          </w:p>
        </w:tc>
        <w:tc>
          <w:tcPr>
            <w:tcW w:w="960" w:type="dxa"/>
            <w:vMerge/>
            <w:tcBorders>
              <w:top w:val="single" w:sz="8" w:space="0" w:color="auto"/>
              <w:left w:val="single" w:sz="4" w:space="0" w:color="auto"/>
              <w:bottom w:val="single" w:sz="8" w:space="0" w:color="000000"/>
              <w:right w:val="single" w:sz="4" w:space="0" w:color="auto"/>
            </w:tcBorders>
            <w:vAlign w:val="center"/>
          </w:tcPr>
          <w:p>
            <w:pPr>
              <w:spacing w:before="0" w:after="0"/>
              <w:jc w:val="left"/>
              <w:rPr>
                <w:rFonts w:ascii="Arial" w:hAnsi="Arial" w:cs="Arial"/>
                <w:b/>
                <w:bCs/>
                <w:noProof/>
                <w:sz w:val="20"/>
                <w:szCs w:val="20"/>
              </w:rPr>
            </w:pPr>
          </w:p>
        </w:tc>
        <w:tc>
          <w:tcPr>
            <w:tcW w:w="84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GF I</w:t>
            </w:r>
          </w:p>
        </w:tc>
        <w:tc>
          <w:tcPr>
            <w:tcW w:w="96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GF II</w:t>
            </w:r>
          </w:p>
        </w:tc>
        <w:tc>
          <w:tcPr>
            <w:tcW w:w="108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GF III</w:t>
            </w:r>
          </w:p>
        </w:tc>
        <w:tc>
          <w:tcPr>
            <w:tcW w:w="1045" w:type="dxa"/>
            <w:tcBorders>
              <w:top w:val="nil"/>
              <w:left w:val="nil"/>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GF IV</w:t>
            </w:r>
          </w:p>
        </w:tc>
        <w:tc>
          <w:tcPr>
            <w:tcW w:w="960"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154"/>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Commissione</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33</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155</w:t>
            </w:r>
          </w:p>
        </w:tc>
        <w:tc>
          <w:tcPr>
            <w:tcW w:w="84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25</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222</w:t>
            </w:r>
          </w:p>
        </w:tc>
      </w:tr>
      <w:tr>
        <w:trPr>
          <w:trHeight w:val="315"/>
        </w:trPr>
        <w:tc>
          <w:tcPr>
            <w:tcW w:w="2295" w:type="dxa"/>
            <w:tcBorders>
              <w:top w:val="nil"/>
              <w:left w:val="single" w:sz="8" w:space="0" w:color="auto"/>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 di cui JRC:</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33</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149</w:t>
            </w:r>
          </w:p>
        </w:tc>
        <w:tc>
          <w:tcPr>
            <w:tcW w:w="84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16</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1</w:t>
            </w:r>
          </w:p>
        </w:tc>
        <w:tc>
          <w:tcPr>
            <w:tcW w:w="108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045" w:type="dxa"/>
            <w:tcBorders>
              <w:top w:val="nil"/>
              <w:left w:val="nil"/>
              <w:bottom w:val="single" w:sz="4" w:space="0" w:color="auto"/>
              <w:right w:val="single" w:sz="8"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207</w:t>
            </w:r>
          </w:p>
        </w:tc>
      </w:tr>
      <w:tr>
        <w:trPr>
          <w:trHeight w:val="16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Consiglio</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6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Parlamento</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54"/>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Corte di giustizia</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42"/>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Corte dei conti</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42"/>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CESE</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214"/>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Comitato delle regioni</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0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GEPD</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10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Mediatore</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8" w:space="0" w:color="auto"/>
              <w:left w:val="single" w:sz="8" w:space="0" w:color="auto"/>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94"/>
        </w:trPr>
        <w:tc>
          <w:tcPr>
            <w:tcW w:w="2295"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SEAE</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84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1045"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szCs w:val="20"/>
              </w:rPr>
              <w:t>0</w:t>
            </w:r>
          </w:p>
        </w:tc>
      </w:tr>
      <w:tr>
        <w:trPr>
          <w:trHeight w:val="324"/>
        </w:trPr>
        <w:tc>
          <w:tcPr>
            <w:tcW w:w="229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iCs/>
                <w:noProof/>
                <w:sz w:val="20"/>
                <w:szCs w:val="20"/>
              </w:rPr>
            </w:pPr>
            <w:r>
              <w:rPr>
                <w:rFonts w:ascii="Arial" w:hAnsi="Arial"/>
                <w:b/>
                <w:bCs/>
                <w:iCs/>
                <w:noProof/>
                <w:sz w:val="20"/>
                <w:szCs w:val="20"/>
              </w:rPr>
              <w:t>Totale</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33</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155</w:t>
            </w: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25</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1</w:t>
            </w:r>
          </w:p>
        </w:tc>
        <w:tc>
          <w:tcPr>
            <w:tcW w:w="108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0</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8</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szCs w:val="20"/>
              </w:rPr>
              <w:t>222</w:t>
            </w:r>
          </w:p>
        </w:tc>
      </w:tr>
    </w:tbl>
    <w:p>
      <w:pPr>
        <w:pStyle w:val="ManualHeading1"/>
        <w:rPr>
          <w:bCs/>
          <w:noProof/>
        </w:rPr>
      </w:pPr>
      <w:r>
        <w:t>4.</w:t>
      </w:r>
      <w:r>
        <w:tab/>
      </w:r>
      <w:r>
        <w:rPr>
          <w:noProof/>
        </w:rPr>
        <w:t>Indennità per servizio continuo o a turni</w:t>
      </w:r>
    </w:p>
    <w:p>
      <w:pPr>
        <w:spacing w:after="0"/>
        <w:rPr>
          <w:noProof/>
        </w:rPr>
      </w:pPr>
      <w:r>
        <w:rPr>
          <w:noProof/>
        </w:rPr>
        <w:t xml:space="preserve">Le basi giuridiche di questa indennità sono l'articolo 56 </w:t>
      </w:r>
      <w:r>
        <w:rPr>
          <w:i/>
          <w:noProof/>
        </w:rPr>
        <w:t>bis</w:t>
      </w:r>
      <w:r>
        <w:rPr>
          <w:noProof/>
        </w:rPr>
        <w:t xml:space="preserve"> dello statuto e il regolamento n. 300/76 del Consiglio, del 9 febbraio 1976, modificato da ultimo dal regolamento n. 1873/2006 del Consiglio, dell'11 dicembre 2006.</w:t>
      </w:r>
    </w:p>
    <w:p>
      <w:pPr>
        <w:spacing w:after="0"/>
        <w:rPr>
          <w:noProof/>
        </w:rPr>
      </w:pPr>
      <w:r>
        <w:rPr>
          <w:noProof/>
        </w:rPr>
        <w:t xml:space="preserve">Il versamento dell'indennità è limitato ai funzionari e agli altri agenti retribuiti mediante gli </w:t>
      </w:r>
      <w:r>
        <w:rPr>
          <w:i/>
          <w:noProof/>
        </w:rPr>
        <w:t>stanziamenti per la ricerca</w:t>
      </w:r>
      <w:r>
        <w:rPr>
          <w:noProof/>
        </w:rPr>
        <w:t xml:space="preserve"> e che</w:t>
      </w:r>
    </w:p>
    <w:p>
      <w:pPr>
        <w:pStyle w:val="Tiret1"/>
        <w:numPr>
          <w:ilvl w:val="0"/>
          <w:numId w:val="25"/>
        </w:numPr>
        <w:tabs>
          <w:tab w:val="clear" w:pos="1417"/>
          <w:tab w:val="num" w:pos="720"/>
        </w:tabs>
        <w:spacing w:before="0" w:after="0"/>
        <w:ind w:left="720" w:hanging="360"/>
        <w:rPr>
          <w:noProof/>
        </w:rPr>
      </w:pPr>
      <w:r>
        <w:rPr>
          <w:noProof/>
        </w:rPr>
        <w:t>prestano servizio presso uno stabilimento del Centro comune di ricerca (JRC), oppure</w:t>
      </w:r>
    </w:p>
    <w:p>
      <w:pPr>
        <w:pStyle w:val="Tiret1"/>
        <w:numPr>
          <w:ilvl w:val="0"/>
          <w:numId w:val="25"/>
        </w:numPr>
        <w:tabs>
          <w:tab w:val="clear" w:pos="1417"/>
          <w:tab w:val="num" w:pos="720"/>
        </w:tabs>
        <w:spacing w:before="0" w:after="0"/>
        <w:ind w:left="720" w:hanging="360"/>
        <w:rPr>
          <w:noProof/>
        </w:rPr>
      </w:pPr>
      <w:r>
        <w:rPr>
          <w:noProof/>
        </w:rPr>
        <w:t xml:space="preserve">svolgono azioni indirette, o </w:t>
      </w:r>
    </w:p>
    <w:p>
      <w:pPr>
        <w:spacing w:before="0" w:after="0"/>
        <w:rPr>
          <w:noProof/>
        </w:rPr>
      </w:pPr>
      <w:r>
        <w:rPr>
          <w:noProof/>
        </w:rPr>
        <w:t xml:space="preserve">sono retribuiti mediante gli </w:t>
      </w:r>
      <w:r>
        <w:rPr>
          <w:i/>
          <w:noProof/>
        </w:rPr>
        <w:t>stanziamenti per il funzionamento</w:t>
      </w:r>
      <w:r>
        <w:rPr>
          <w:noProof/>
        </w:rPr>
        <w:t xml:space="preserve"> e prestano servizio:</w:t>
      </w:r>
    </w:p>
    <w:p>
      <w:pPr>
        <w:pStyle w:val="Tiret1"/>
        <w:numPr>
          <w:ilvl w:val="0"/>
          <w:numId w:val="25"/>
        </w:numPr>
        <w:tabs>
          <w:tab w:val="clear" w:pos="1417"/>
          <w:tab w:val="num" w:pos="720"/>
        </w:tabs>
        <w:spacing w:before="0" w:after="0"/>
        <w:ind w:left="720" w:hanging="360"/>
        <w:rPr>
          <w:noProof/>
        </w:rPr>
      </w:pPr>
      <w:r>
        <w:rPr>
          <w:noProof/>
        </w:rPr>
        <w:t>presso un centro di tecnologia dell'informazione e della comunicazione (TIC),</w:t>
      </w:r>
    </w:p>
    <w:p>
      <w:pPr>
        <w:pStyle w:val="Tiret1"/>
        <w:numPr>
          <w:ilvl w:val="0"/>
          <w:numId w:val="25"/>
        </w:numPr>
        <w:tabs>
          <w:tab w:val="clear" w:pos="1417"/>
          <w:tab w:val="num" w:pos="720"/>
        </w:tabs>
        <w:spacing w:before="0" w:after="0"/>
        <w:ind w:left="720" w:hanging="360"/>
        <w:rPr>
          <w:noProof/>
        </w:rPr>
      </w:pPr>
      <w:r>
        <w:rPr>
          <w:noProof/>
        </w:rPr>
        <w:t>presso un servizio di sicurezza,</w:t>
      </w:r>
    </w:p>
    <w:p>
      <w:pPr>
        <w:pStyle w:val="Tiret1"/>
        <w:numPr>
          <w:ilvl w:val="0"/>
          <w:numId w:val="25"/>
        </w:numPr>
        <w:tabs>
          <w:tab w:val="clear" w:pos="1417"/>
          <w:tab w:val="num" w:pos="720"/>
        </w:tabs>
        <w:spacing w:before="0" w:after="0"/>
        <w:ind w:left="720" w:hanging="360"/>
        <w:rPr>
          <w:noProof/>
        </w:rPr>
      </w:pPr>
      <w:r>
        <w:rPr>
          <w:noProof/>
        </w:rPr>
        <w:t>presso un centralino telefonico/servizio di informazione o un servizio di accoglienza,</w:t>
      </w:r>
    </w:p>
    <w:p>
      <w:pPr>
        <w:pStyle w:val="Tiret1"/>
        <w:numPr>
          <w:ilvl w:val="0"/>
          <w:numId w:val="25"/>
        </w:numPr>
        <w:tabs>
          <w:tab w:val="clear" w:pos="1417"/>
          <w:tab w:val="num" w:pos="720"/>
        </w:tabs>
        <w:spacing w:before="0" w:after="0"/>
        <w:ind w:left="720" w:hanging="360"/>
        <w:rPr>
          <w:noProof/>
        </w:rPr>
      </w:pPr>
      <w:r>
        <w:rPr>
          <w:noProof/>
        </w:rPr>
        <w:t>presso un servizio che fornisce sostegno alla politica estera e di sicurezza comune (PESC)/politica di sicurezza e di difesa comune (PSDC) o a dispositivi di coordinamento in caso di emergenza e di crisi o</w:t>
      </w:r>
    </w:p>
    <w:p>
      <w:pPr>
        <w:pStyle w:val="Tiret1"/>
        <w:numPr>
          <w:ilvl w:val="0"/>
          <w:numId w:val="25"/>
        </w:numPr>
        <w:tabs>
          <w:tab w:val="clear" w:pos="1417"/>
          <w:tab w:val="num" w:pos="720"/>
        </w:tabs>
        <w:spacing w:before="0" w:after="0"/>
        <w:ind w:left="720" w:hanging="360"/>
        <w:rPr>
          <w:noProof/>
        </w:rPr>
      </w:pPr>
      <w:r>
        <w:rPr>
          <w:noProof/>
        </w:rPr>
        <w:t>presso un servizio che fornisce sostegno nel quadro del coordinamento in caso di emergenza o di crisi o</w:t>
      </w:r>
    </w:p>
    <w:p>
      <w:pPr>
        <w:pStyle w:val="Tiret1"/>
        <w:numPr>
          <w:ilvl w:val="0"/>
          <w:numId w:val="25"/>
        </w:numPr>
        <w:tabs>
          <w:tab w:val="clear" w:pos="1417"/>
          <w:tab w:val="num" w:pos="720"/>
        </w:tabs>
        <w:spacing w:before="0" w:after="0"/>
        <w:ind w:left="720" w:hanging="360"/>
        <w:rPr>
          <w:noProof/>
        </w:rPr>
      </w:pPr>
      <w:r>
        <w:rPr>
          <w:noProof/>
        </w:rPr>
        <w:t>come addetti al funzionamento o alla sorveglianza degli impianti tecnici.</w:t>
      </w:r>
    </w:p>
    <w:p>
      <w:pPr>
        <w:spacing w:after="0"/>
        <w:rPr>
          <w:noProof/>
        </w:rPr>
      </w:pPr>
      <w:r>
        <w:rPr>
          <w:noProof/>
        </w:rPr>
        <w:t>Le tabelle seguenti riportano il numero di indennità concesse da ciascuna istituzione per il 2017.</w:t>
      </w:r>
    </w:p>
    <w:p>
      <w:pPr>
        <w:spacing w:before="0" w:after="0"/>
        <w:rPr>
          <w:noProof/>
        </w:rPr>
      </w:pPr>
    </w:p>
    <w:p>
      <w:pPr>
        <w:pStyle w:val="ManualHeading2"/>
        <w:rPr>
          <w:bCs/>
          <w:noProof/>
        </w:rPr>
      </w:pPr>
      <w:r>
        <w:t>4.1.</w:t>
      </w:r>
      <w:r>
        <w:tab/>
      </w:r>
      <w:r>
        <w:rPr>
          <w:noProof/>
        </w:rPr>
        <w:t>Numero di beneficiari (funzionari/agenti temporanei e agenti contrattuali)</w:t>
      </w:r>
    </w:p>
    <w:tbl>
      <w:tblPr>
        <w:tblW w:w="9314" w:type="dxa"/>
        <w:tblInd w:w="93" w:type="dxa"/>
        <w:tblLook w:val="0000" w:firstRow="0" w:lastRow="0" w:firstColumn="0" w:lastColumn="0" w:noHBand="0" w:noVBand="0"/>
      </w:tblPr>
      <w:tblGrid>
        <w:gridCol w:w="2658"/>
        <w:gridCol w:w="954"/>
        <w:gridCol w:w="954"/>
        <w:gridCol w:w="954"/>
        <w:gridCol w:w="954"/>
        <w:gridCol w:w="954"/>
        <w:gridCol w:w="835"/>
        <w:gridCol w:w="1051"/>
      </w:tblGrid>
      <w:tr>
        <w:trPr>
          <w:trHeight w:val="255"/>
        </w:trPr>
        <w:tc>
          <w:tcPr>
            <w:tcW w:w="2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Istituzione</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AD</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SC - AST</w:t>
            </w:r>
          </w:p>
        </w:tc>
        <w:tc>
          <w:tcPr>
            <w:tcW w:w="3697" w:type="dxa"/>
            <w:gridSpan w:val="4"/>
            <w:tcBorders>
              <w:top w:val="single" w:sz="4" w:space="0" w:color="auto"/>
              <w:left w:val="nil"/>
              <w:bottom w:val="single" w:sz="4" w:space="0" w:color="auto"/>
              <w:right w:val="single" w:sz="8" w:space="0" w:color="auto"/>
            </w:tcBorders>
            <w:shd w:val="clear" w:color="auto" w:fill="auto"/>
            <w:noWrap/>
            <w:vAlign w:val="bottom"/>
          </w:tcPr>
          <w:p>
            <w:pPr>
              <w:spacing w:before="0" w:after="0"/>
              <w:jc w:val="center"/>
              <w:rPr>
                <w:rFonts w:ascii="Arial" w:hAnsi="Arial" w:cs="Arial"/>
                <w:b/>
                <w:bCs/>
                <w:noProof/>
                <w:sz w:val="20"/>
                <w:szCs w:val="20"/>
              </w:rPr>
            </w:pPr>
            <w:r>
              <w:rPr>
                <w:rFonts w:ascii="Arial" w:hAnsi="Arial"/>
                <w:b/>
                <w:bCs/>
                <w:noProof/>
                <w:sz w:val="20"/>
                <w:szCs w:val="20"/>
              </w:rPr>
              <w:t>AC</w:t>
            </w:r>
          </w:p>
        </w:tc>
        <w:tc>
          <w:tcPr>
            <w:tcW w:w="10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 xml:space="preserve">Totale </w:t>
            </w:r>
          </w:p>
        </w:tc>
      </w:tr>
      <w:tr>
        <w:trPr>
          <w:trHeight w:val="466"/>
        </w:trPr>
        <w:tc>
          <w:tcPr>
            <w:tcW w:w="2658"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54"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54"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GF I</w:t>
            </w:r>
          </w:p>
        </w:tc>
        <w:tc>
          <w:tcPr>
            <w:tcW w:w="954" w:type="dxa"/>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GF II</w:t>
            </w:r>
          </w:p>
        </w:tc>
        <w:tc>
          <w:tcPr>
            <w:tcW w:w="954" w:type="dxa"/>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GF III</w:t>
            </w:r>
          </w:p>
        </w:tc>
        <w:tc>
          <w:tcPr>
            <w:tcW w:w="835"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GF IV</w:t>
            </w:r>
          </w:p>
        </w:tc>
        <w:tc>
          <w:tcPr>
            <w:tcW w:w="1051"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Commissione</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75</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18</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8</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114</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 di cui JRC:</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22</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6</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1</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29</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Consiglio</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76</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9</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85</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Parlamento</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45</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516</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7</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581</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Corte di giustizia</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0</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Corte dei conti</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16</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16</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CESE</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2</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Comitato delle regioni</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3</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4</w:t>
            </w:r>
          </w:p>
        </w:tc>
      </w:tr>
      <w:tr>
        <w:trPr>
          <w:trHeight w:val="262"/>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GEPD</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35"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51" w:type="dxa"/>
            <w:tcBorders>
              <w:top w:val="single" w:sz="8" w:space="0" w:color="auto"/>
              <w:left w:val="single" w:sz="4"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0</w:t>
            </w:r>
          </w:p>
        </w:tc>
      </w:tr>
      <w:tr>
        <w:trPr>
          <w:trHeight w:val="270"/>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Mediatore</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35"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51" w:type="dxa"/>
            <w:tcBorders>
              <w:top w:val="single" w:sz="8" w:space="0" w:color="auto"/>
              <w:left w:val="single" w:sz="4"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0</w:t>
            </w:r>
          </w:p>
        </w:tc>
      </w:tr>
      <w:tr>
        <w:trPr>
          <w:trHeight w:val="270"/>
        </w:trPr>
        <w:tc>
          <w:tcPr>
            <w:tcW w:w="2658"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SEAE</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37</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835" w:type="dxa"/>
            <w:tcBorders>
              <w:top w:val="single" w:sz="4" w:space="0" w:color="auto"/>
              <w:left w:val="nil"/>
              <w:bottom w:val="single" w:sz="2"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51" w:type="dxa"/>
            <w:tcBorders>
              <w:top w:val="single" w:sz="8" w:space="0" w:color="auto"/>
              <w:left w:val="single" w:sz="8" w:space="0" w:color="auto"/>
              <w:bottom w:val="single" w:sz="2"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szCs w:val="20"/>
              </w:rPr>
              <w:t>38</w:t>
            </w:r>
          </w:p>
        </w:tc>
      </w:tr>
      <w:tr>
        <w:trPr>
          <w:trHeight w:val="324"/>
        </w:trPr>
        <w:tc>
          <w:tcPr>
            <w:tcW w:w="2658"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iCs/>
                <w:noProof/>
                <w:sz w:val="20"/>
                <w:szCs w:val="20"/>
              </w:rPr>
            </w:pPr>
            <w:r>
              <w:rPr>
                <w:rFonts w:ascii="Arial" w:hAnsi="Arial"/>
                <w:b/>
                <w:bCs/>
                <w:iCs/>
                <w:noProof/>
                <w:sz w:val="20"/>
                <w:szCs w:val="20"/>
              </w:rPr>
              <w:t>Totale</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3</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238</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550</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30</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16</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3</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840</w:t>
            </w:r>
          </w:p>
        </w:tc>
      </w:tr>
    </w:tbl>
    <w:p>
      <w:pPr>
        <w:pStyle w:val="Heading2"/>
        <w:numPr>
          <w:ilvl w:val="0"/>
          <w:numId w:val="0"/>
        </w:numPr>
        <w:spacing w:before="0" w:after="0"/>
        <w:ind w:left="850"/>
        <w:rPr>
          <w:noProof/>
        </w:rPr>
      </w:pPr>
    </w:p>
    <w:p>
      <w:pPr>
        <w:spacing w:after="0"/>
        <w:rPr>
          <w:noProof/>
        </w:rPr>
      </w:pPr>
      <w:r>
        <w:rPr>
          <w:noProof/>
        </w:rPr>
        <w:br w:type="page"/>
        <w:t>Quattro aliquote diverse sono previste per l'indennità mensile (dati relativi all'esercizio 2017):</w:t>
      </w:r>
    </w:p>
    <w:p>
      <w:pPr>
        <w:pStyle w:val="Tiret1"/>
        <w:numPr>
          <w:ilvl w:val="0"/>
          <w:numId w:val="25"/>
        </w:numPr>
        <w:tabs>
          <w:tab w:val="clear" w:pos="1417"/>
          <w:tab w:val="num" w:pos="720"/>
        </w:tabs>
        <w:spacing w:before="0" w:after="0"/>
        <w:ind w:left="720" w:hanging="360"/>
        <w:rPr>
          <w:noProof/>
        </w:rPr>
      </w:pPr>
      <w:r>
        <w:rPr>
          <w:noProof/>
        </w:rPr>
        <w:t>aliquota 1: servizio a due turni, tranne il fine settimana e i giorni festivi: 413,61 EUR;</w:t>
      </w:r>
    </w:p>
    <w:p>
      <w:pPr>
        <w:pStyle w:val="Tiret1"/>
        <w:numPr>
          <w:ilvl w:val="0"/>
          <w:numId w:val="25"/>
        </w:numPr>
        <w:tabs>
          <w:tab w:val="clear" w:pos="1417"/>
          <w:tab w:val="num" w:pos="720"/>
        </w:tabs>
        <w:spacing w:before="0" w:after="0"/>
        <w:ind w:left="720" w:right="-287" w:hanging="360"/>
        <w:rPr>
          <w:noProof/>
        </w:rPr>
      </w:pPr>
      <w:r>
        <w:rPr>
          <w:noProof/>
        </w:rPr>
        <w:t>aliquota 2: servizio a due turni, compresi la notte, il fine settimana e i giorni festivi: 624,28 EUR;</w:t>
      </w:r>
    </w:p>
    <w:p>
      <w:pPr>
        <w:pStyle w:val="Tiret1"/>
        <w:numPr>
          <w:ilvl w:val="0"/>
          <w:numId w:val="25"/>
        </w:numPr>
        <w:tabs>
          <w:tab w:val="clear" w:pos="1417"/>
          <w:tab w:val="num" w:pos="720"/>
        </w:tabs>
        <w:spacing w:before="0" w:after="0"/>
        <w:ind w:left="720" w:hanging="360"/>
        <w:rPr>
          <w:noProof/>
        </w:rPr>
      </w:pPr>
      <w:r>
        <w:rPr>
          <w:noProof/>
        </w:rPr>
        <w:t>aliquota 3: servizio a turni 24 ore su 24, tranne il fine settimana e i giorni festivi: 682,57 EUR;</w:t>
      </w:r>
    </w:p>
    <w:p>
      <w:pPr>
        <w:pStyle w:val="Tiret1"/>
        <w:numPr>
          <w:ilvl w:val="0"/>
          <w:numId w:val="25"/>
        </w:numPr>
        <w:tabs>
          <w:tab w:val="clear" w:pos="1417"/>
          <w:tab w:val="num" w:pos="720"/>
        </w:tabs>
        <w:spacing w:before="0" w:after="0"/>
        <w:ind w:left="720" w:hanging="360"/>
        <w:rPr>
          <w:noProof/>
        </w:rPr>
      </w:pPr>
      <w:r>
        <w:rPr>
          <w:noProof/>
        </w:rPr>
        <w:t>aliquota 4: servizio a turni 24 ore su 24, 7 giorni su 7: 930,56 EUR.</w:t>
      </w:r>
    </w:p>
    <w:p>
      <w:pPr>
        <w:pStyle w:val="Tiret1"/>
        <w:numPr>
          <w:ilvl w:val="0"/>
          <w:numId w:val="0"/>
        </w:numPr>
        <w:spacing w:before="0" w:after="0"/>
        <w:ind w:left="720"/>
        <w:rPr>
          <w:noProof/>
        </w:rPr>
      </w:pPr>
    </w:p>
    <w:p>
      <w:pPr>
        <w:pStyle w:val="ManualHeading2"/>
        <w:rPr>
          <w:noProof/>
        </w:rPr>
      </w:pPr>
      <w:r>
        <w:t>4.2.</w:t>
      </w:r>
      <w:r>
        <w:tab/>
      </w:r>
      <w:r>
        <w:rPr>
          <w:noProof/>
        </w:rPr>
        <w:t>Numero di beneficiari per aliquota</w:t>
      </w:r>
    </w:p>
    <w:tbl>
      <w:tblPr>
        <w:tblW w:w="9735" w:type="dxa"/>
        <w:tblInd w:w="93" w:type="dxa"/>
        <w:tblLook w:val="0000" w:firstRow="0" w:lastRow="0" w:firstColumn="0" w:lastColumn="0" w:noHBand="0" w:noVBand="0"/>
      </w:tblPr>
      <w:tblGrid>
        <w:gridCol w:w="3620"/>
        <w:gridCol w:w="1215"/>
        <w:gridCol w:w="1276"/>
        <w:gridCol w:w="1275"/>
        <w:gridCol w:w="1183"/>
        <w:gridCol w:w="1215"/>
      </w:tblGrid>
      <w:tr>
        <w:trPr>
          <w:trHeight w:val="322"/>
        </w:trPr>
        <w:tc>
          <w:tcPr>
            <w:tcW w:w="36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noProof/>
                <w:sz w:val="20"/>
                <w:szCs w:val="20"/>
              </w:rPr>
            </w:pPr>
            <w:r>
              <w:rPr>
                <w:rFonts w:ascii="Arial" w:hAnsi="Arial"/>
                <w:b/>
                <w:noProof/>
                <w:sz w:val="20"/>
                <w:szCs w:val="20"/>
              </w:rPr>
              <w:t>Istituzione</w:t>
            </w:r>
          </w:p>
        </w:tc>
        <w:tc>
          <w:tcPr>
            <w:tcW w:w="1215" w:type="dxa"/>
            <w:tcBorders>
              <w:top w:val="single" w:sz="8" w:space="0" w:color="auto"/>
              <w:left w:val="nil"/>
              <w:bottom w:val="single" w:sz="4" w:space="0" w:color="auto"/>
              <w:right w:val="single" w:sz="4" w:space="0" w:color="auto"/>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szCs w:val="20"/>
              </w:rPr>
              <w:t>Aliquota 1</w:t>
            </w:r>
          </w:p>
        </w:tc>
        <w:tc>
          <w:tcPr>
            <w:tcW w:w="1276" w:type="dxa"/>
            <w:tcBorders>
              <w:top w:val="single" w:sz="8" w:space="0" w:color="auto"/>
              <w:left w:val="nil"/>
              <w:bottom w:val="single" w:sz="4" w:space="0" w:color="auto"/>
              <w:right w:val="single" w:sz="4" w:space="0" w:color="auto"/>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szCs w:val="20"/>
              </w:rPr>
              <w:t>Aliquota 2</w:t>
            </w:r>
          </w:p>
        </w:tc>
        <w:tc>
          <w:tcPr>
            <w:tcW w:w="1275" w:type="dxa"/>
            <w:tcBorders>
              <w:top w:val="single" w:sz="8" w:space="0" w:color="auto"/>
              <w:left w:val="nil"/>
              <w:bottom w:val="single" w:sz="4" w:space="0" w:color="auto"/>
              <w:right w:val="single" w:sz="4" w:space="0" w:color="auto"/>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szCs w:val="20"/>
              </w:rPr>
              <w:t>Aliquota 3</w:t>
            </w:r>
          </w:p>
        </w:tc>
        <w:tc>
          <w:tcPr>
            <w:tcW w:w="1134" w:type="dxa"/>
            <w:tcBorders>
              <w:top w:val="single" w:sz="8" w:space="0" w:color="auto"/>
              <w:left w:val="nil"/>
              <w:bottom w:val="single" w:sz="4" w:space="0" w:color="auto"/>
              <w:right w:val="nil"/>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szCs w:val="20"/>
              </w:rPr>
              <w:t>Aliquota 4</w:t>
            </w:r>
          </w:p>
        </w:tc>
        <w:tc>
          <w:tcPr>
            <w:tcW w:w="121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bCs/>
                <w:noProof/>
                <w:sz w:val="20"/>
                <w:szCs w:val="20"/>
              </w:rPr>
              <w:t>Totale</w:t>
            </w:r>
          </w:p>
        </w:tc>
      </w:tr>
      <w:tr>
        <w:trPr>
          <w:trHeight w:val="526"/>
        </w:trPr>
        <w:tc>
          <w:tcPr>
            <w:tcW w:w="3620" w:type="dxa"/>
            <w:vMerge/>
            <w:tcBorders>
              <w:top w:val="single" w:sz="8" w:space="0" w:color="auto"/>
              <w:left w:val="single" w:sz="8" w:space="0" w:color="auto"/>
              <w:bottom w:val="single" w:sz="8" w:space="0" w:color="000000"/>
              <w:right w:val="single" w:sz="4" w:space="0" w:color="auto"/>
            </w:tcBorders>
            <w:vAlign w:val="center"/>
          </w:tcPr>
          <w:p>
            <w:pPr>
              <w:spacing w:before="0" w:after="0"/>
              <w:jc w:val="left"/>
              <w:rPr>
                <w:rFonts w:ascii="Arial" w:hAnsi="Arial" w:cs="Arial"/>
                <w:noProof/>
                <w:sz w:val="20"/>
                <w:szCs w:val="20"/>
              </w:rPr>
            </w:pPr>
          </w:p>
        </w:tc>
        <w:tc>
          <w:tcPr>
            <w:tcW w:w="1215"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noProof/>
                <w:sz w:val="20"/>
                <w:szCs w:val="20"/>
              </w:rPr>
            </w:pPr>
            <w:r>
              <w:rPr>
                <w:noProof/>
                <w:sz w:val="22"/>
              </w:rPr>
              <w:t>413,61 EUR </w:t>
            </w:r>
          </w:p>
        </w:tc>
        <w:tc>
          <w:tcPr>
            <w:tcW w:w="1276"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noProof/>
                <w:sz w:val="20"/>
                <w:szCs w:val="20"/>
              </w:rPr>
            </w:pPr>
            <w:r>
              <w:rPr>
                <w:noProof/>
                <w:sz w:val="22"/>
              </w:rPr>
              <w:t>624,28 EUR</w:t>
            </w:r>
          </w:p>
        </w:tc>
        <w:tc>
          <w:tcPr>
            <w:tcW w:w="1275"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noProof/>
                <w:sz w:val="20"/>
                <w:szCs w:val="20"/>
              </w:rPr>
            </w:pPr>
            <w:r>
              <w:rPr>
                <w:noProof/>
                <w:sz w:val="22"/>
              </w:rPr>
              <w:t>682,57 EUR </w:t>
            </w:r>
          </w:p>
        </w:tc>
        <w:tc>
          <w:tcPr>
            <w:tcW w:w="1134" w:type="dxa"/>
            <w:tcBorders>
              <w:top w:val="nil"/>
              <w:left w:val="nil"/>
              <w:bottom w:val="single" w:sz="8" w:space="0" w:color="auto"/>
              <w:right w:val="nil"/>
            </w:tcBorders>
            <w:shd w:val="clear" w:color="auto" w:fill="auto"/>
            <w:noWrap/>
            <w:vAlign w:val="center"/>
          </w:tcPr>
          <w:p>
            <w:pPr>
              <w:spacing w:before="0" w:after="0"/>
              <w:jc w:val="center"/>
              <w:rPr>
                <w:rFonts w:ascii="Arial" w:hAnsi="Arial" w:cs="Arial"/>
                <w:noProof/>
                <w:sz w:val="20"/>
                <w:szCs w:val="20"/>
              </w:rPr>
            </w:pPr>
            <w:r>
              <w:rPr>
                <w:noProof/>
                <w:sz w:val="22"/>
              </w:rPr>
              <w:t>930,56 EUR </w:t>
            </w:r>
          </w:p>
        </w:tc>
        <w:tc>
          <w:tcPr>
            <w:tcW w:w="1215"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Commissione</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23</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8</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83</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114</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 di cui JRC:</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8</w:t>
            </w:r>
          </w:p>
        </w:tc>
        <w:tc>
          <w:tcPr>
            <w:tcW w:w="1134" w:type="dxa"/>
            <w:tcBorders>
              <w:top w:val="nil"/>
              <w:left w:val="nil"/>
              <w:bottom w:val="single" w:sz="4" w:space="0" w:color="auto"/>
              <w:right w:val="nil"/>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21</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29</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Consiglio</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32</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53</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85</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Parlamento</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307</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205</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69</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581</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Corte di giustizia</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0</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Corte dei conti</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14</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16</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CESE</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2</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Comitato delle regioni</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4</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4</w:t>
            </w:r>
          </w:p>
        </w:tc>
      </w:tr>
      <w:tr>
        <w:trPr>
          <w:trHeight w:val="262"/>
        </w:trPr>
        <w:tc>
          <w:tcPr>
            <w:tcW w:w="3620" w:type="dxa"/>
            <w:tcBorders>
              <w:top w:val="nil"/>
              <w:left w:val="single" w:sz="4" w:space="0" w:color="auto"/>
              <w:bottom w:val="single" w:sz="4" w:space="0" w:color="auto"/>
              <w:right w:val="single" w:sz="4" w:space="0" w:color="auto"/>
            </w:tcBorders>
            <w:shd w:val="clear" w:color="auto" w:fill="auto"/>
            <w:vAlign w:val="bottom"/>
          </w:tcPr>
          <w:p>
            <w:pPr>
              <w:spacing w:before="0" w:after="0"/>
              <w:jc w:val="left"/>
              <w:rPr>
                <w:rFonts w:ascii="Arial" w:hAnsi="Arial" w:cs="Arial"/>
                <w:noProof/>
                <w:sz w:val="20"/>
                <w:szCs w:val="20"/>
              </w:rPr>
            </w:pPr>
            <w:r>
              <w:rPr>
                <w:rFonts w:ascii="Arial" w:hAnsi="Arial"/>
                <w:noProof/>
                <w:sz w:val="20"/>
                <w:szCs w:val="20"/>
              </w:rPr>
              <w:t>GEPD</w:t>
            </w:r>
          </w:p>
        </w:tc>
        <w:tc>
          <w:tcPr>
            <w:tcW w:w="1215"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nil"/>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0</w:t>
            </w:r>
          </w:p>
        </w:tc>
      </w:tr>
      <w:tr>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Mediatore</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0</w:t>
            </w:r>
          </w:p>
        </w:tc>
      </w:tr>
      <w:tr>
        <w:trPr>
          <w:trHeight w:val="270"/>
        </w:trPr>
        <w:tc>
          <w:tcPr>
            <w:tcW w:w="3620"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SEAE</w:t>
            </w:r>
          </w:p>
        </w:tc>
        <w:tc>
          <w:tcPr>
            <w:tcW w:w="1215"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27</w:t>
            </w:r>
          </w:p>
        </w:tc>
        <w:tc>
          <w:tcPr>
            <w:tcW w:w="1276"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75"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134" w:type="dxa"/>
            <w:tcBorders>
              <w:top w:val="nil"/>
              <w:left w:val="nil"/>
              <w:bottom w:val="single" w:sz="2"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11</w:t>
            </w:r>
          </w:p>
        </w:tc>
        <w:tc>
          <w:tcPr>
            <w:tcW w:w="1215" w:type="dxa"/>
            <w:tcBorders>
              <w:top w:val="single" w:sz="8" w:space="0" w:color="auto"/>
              <w:left w:val="single" w:sz="8" w:space="0" w:color="auto"/>
              <w:bottom w:val="single" w:sz="2"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bCs/>
                <w:noProof/>
                <w:sz w:val="20"/>
                <w:szCs w:val="20"/>
              </w:rPr>
              <w:t>38</w:t>
            </w:r>
          </w:p>
        </w:tc>
      </w:tr>
      <w:tr>
        <w:trPr>
          <w:trHeight w:val="372"/>
        </w:trPr>
        <w:tc>
          <w:tcPr>
            <w:tcW w:w="362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i/>
                <w:iCs/>
                <w:noProof/>
                <w:sz w:val="20"/>
                <w:szCs w:val="20"/>
              </w:rPr>
            </w:pPr>
            <w:r>
              <w:rPr>
                <w:rFonts w:ascii="Arial" w:hAnsi="Arial"/>
                <w:b/>
                <w:bCs/>
                <w:iCs/>
                <w:noProof/>
                <w:sz w:val="20"/>
                <w:szCs w:val="20"/>
              </w:rPr>
              <w:t>Totale</w:t>
            </w:r>
          </w:p>
        </w:tc>
        <w:tc>
          <w:tcPr>
            <w:tcW w:w="121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397</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205</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8</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230</w:t>
            </w:r>
          </w:p>
        </w:tc>
        <w:tc>
          <w:tcPr>
            <w:tcW w:w="121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840</w:t>
            </w:r>
          </w:p>
        </w:tc>
      </w:tr>
    </w:tbl>
    <w:p>
      <w:pPr>
        <w:pStyle w:val="Heading2"/>
        <w:numPr>
          <w:ilvl w:val="0"/>
          <w:numId w:val="0"/>
        </w:numPr>
        <w:ind w:left="850"/>
        <w:rPr>
          <w:noProof/>
        </w:rPr>
      </w:pPr>
    </w:p>
    <w:p>
      <w:pPr>
        <w:pStyle w:val="ManualHeading2"/>
        <w:rPr>
          <w:noProof/>
        </w:rPr>
      </w:pPr>
      <w:r>
        <w:t>4.3.</w:t>
      </w:r>
      <w:r>
        <w:tab/>
      </w:r>
      <w:r>
        <w:rPr>
          <w:noProof/>
        </w:rPr>
        <w:t>Numero di beneficiari per tipo di servizio</w:t>
      </w:r>
    </w:p>
    <w:tbl>
      <w:tblPr>
        <w:tblW w:w="10920" w:type="dxa"/>
        <w:tblInd w:w="-852" w:type="dxa"/>
        <w:tblLayout w:type="fixed"/>
        <w:tblLook w:val="0000" w:firstRow="0" w:lastRow="0" w:firstColumn="0" w:lastColumn="0" w:noHBand="0" w:noVBand="0"/>
      </w:tblPr>
      <w:tblGrid>
        <w:gridCol w:w="1920"/>
        <w:gridCol w:w="720"/>
        <w:gridCol w:w="1200"/>
        <w:gridCol w:w="720"/>
        <w:gridCol w:w="1080"/>
        <w:gridCol w:w="1303"/>
        <w:gridCol w:w="960"/>
        <w:gridCol w:w="977"/>
        <w:gridCol w:w="1080"/>
        <w:gridCol w:w="960"/>
      </w:tblGrid>
      <w:tr>
        <w:trPr>
          <w:trHeight w:val="8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Istituzione</w:t>
            </w:r>
          </w:p>
        </w:tc>
        <w:tc>
          <w:tcPr>
            <w:tcW w:w="72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JRC</w:t>
            </w:r>
          </w:p>
        </w:tc>
        <w:tc>
          <w:tcPr>
            <w:tcW w:w="120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Coord.</w:t>
            </w:r>
          </w:p>
          <w:p>
            <w:pPr>
              <w:spacing w:before="0" w:after="0"/>
              <w:jc w:val="center"/>
              <w:rPr>
                <w:rFonts w:ascii="Arial" w:hAnsi="Arial" w:cs="Arial"/>
                <w:b/>
                <w:bCs/>
                <w:noProof/>
                <w:sz w:val="20"/>
                <w:szCs w:val="20"/>
              </w:rPr>
            </w:pPr>
            <w:r>
              <w:rPr>
                <w:rFonts w:ascii="Arial" w:hAnsi="Arial"/>
                <w:b/>
                <w:bCs/>
                <w:noProof/>
                <w:sz w:val="20"/>
                <w:szCs w:val="20"/>
              </w:rPr>
              <w:t>crisi/</w:t>
            </w:r>
            <w:r>
              <w:rPr>
                <w:rFonts w:ascii="Arial" w:hAnsi="Arial"/>
                <w:b/>
                <w:bCs/>
                <w:noProof/>
                <w:sz w:val="20"/>
                <w:szCs w:val="20"/>
              </w:rPr>
              <w:br/>
              <w:t>emergenza</w:t>
            </w:r>
          </w:p>
        </w:tc>
        <w:tc>
          <w:tcPr>
            <w:tcW w:w="72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TIC</w:t>
            </w:r>
          </w:p>
        </w:tc>
        <w:tc>
          <w:tcPr>
            <w:tcW w:w="108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Sicurezza</w:t>
            </w:r>
          </w:p>
        </w:tc>
        <w:tc>
          <w:tcPr>
            <w:tcW w:w="1303"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Centralino/</w:t>
            </w:r>
            <w:r>
              <w:rPr>
                <w:rFonts w:ascii="Arial" w:hAnsi="Arial"/>
                <w:b/>
                <w:bCs/>
                <w:noProof/>
                <w:sz w:val="20"/>
                <w:szCs w:val="20"/>
              </w:rPr>
              <w:br/>
              <w:t>accoglienza</w:t>
            </w:r>
          </w:p>
        </w:tc>
        <w:tc>
          <w:tcPr>
            <w:tcW w:w="96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bCs/>
                <w:noProof/>
                <w:sz w:val="20"/>
                <w:szCs w:val="20"/>
              </w:rPr>
              <w:t>PESC/</w:t>
            </w:r>
            <w:r>
              <w:rPr>
                <w:rFonts w:ascii="Arial" w:hAnsi="Arial"/>
                <w:b/>
                <w:bCs/>
                <w:noProof/>
                <w:sz w:val="20"/>
                <w:szCs w:val="20"/>
              </w:rPr>
              <w:br/>
              <w:t>PSDC</w:t>
            </w:r>
          </w:p>
        </w:tc>
        <w:tc>
          <w:tcPr>
            <w:tcW w:w="977" w:type="dxa"/>
            <w:tcBorders>
              <w:top w:val="single" w:sz="4" w:space="0" w:color="auto"/>
              <w:left w:val="single" w:sz="4" w:space="0" w:color="auto"/>
              <w:bottom w:val="single" w:sz="4" w:space="0" w:color="auto"/>
              <w:right w:val="single" w:sz="8" w:space="0" w:color="auto"/>
            </w:tcBorders>
          </w:tcPr>
          <w:p>
            <w:pPr>
              <w:spacing w:before="0" w:after="0"/>
              <w:jc w:val="center"/>
              <w:rPr>
                <w:rFonts w:ascii="Arial" w:hAnsi="Arial" w:cs="Arial"/>
                <w:b/>
                <w:bCs/>
                <w:noProof/>
                <w:sz w:val="20"/>
                <w:szCs w:val="20"/>
              </w:rPr>
            </w:pPr>
            <w:r>
              <w:rPr>
                <w:rFonts w:ascii="Arial" w:hAnsi="Arial"/>
                <w:b/>
                <w:bCs/>
                <w:noProof/>
                <w:sz w:val="20"/>
                <w:szCs w:val="20"/>
              </w:rPr>
              <w:t>Impianti tecn.</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center"/>
              <w:rPr>
                <w:rFonts w:ascii="Arial" w:hAnsi="Arial" w:cs="Arial"/>
                <w:b/>
                <w:bCs/>
                <w:noProof/>
                <w:sz w:val="20"/>
                <w:szCs w:val="20"/>
              </w:rPr>
            </w:pPr>
            <w:r>
              <w:rPr>
                <w:rFonts w:ascii="Arial" w:hAnsi="Arial"/>
                <w:b/>
                <w:bCs/>
                <w:noProof/>
                <w:sz w:val="20"/>
                <w:szCs w:val="20"/>
              </w:rPr>
              <w:t>Azioni Ind.</w:t>
            </w:r>
          </w:p>
        </w:tc>
        <w:tc>
          <w:tcPr>
            <w:tcW w:w="960" w:type="dxa"/>
            <w:tcBorders>
              <w:top w:val="single" w:sz="8" w:space="0" w:color="auto"/>
              <w:left w:val="single" w:sz="8" w:space="0" w:color="auto"/>
              <w:bottom w:val="single" w:sz="8" w:space="0" w:color="auto"/>
              <w:right w:val="single" w:sz="8" w:space="0" w:color="auto"/>
            </w:tcBorders>
            <w:vAlign w:val="center"/>
          </w:tcPr>
          <w:p>
            <w:pPr>
              <w:spacing w:before="0" w:after="0"/>
              <w:jc w:val="center"/>
              <w:rPr>
                <w:rFonts w:ascii="Arial" w:hAnsi="Arial" w:cs="Arial"/>
                <w:b/>
                <w:bCs/>
                <w:noProof/>
                <w:sz w:val="20"/>
                <w:szCs w:val="20"/>
              </w:rPr>
            </w:pPr>
            <w:r>
              <w:rPr>
                <w:rFonts w:ascii="Arial" w:hAnsi="Arial"/>
                <w:b/>
                <w:bCs/>
                <w:noProof/>
                <w:sz w:val="20"/>
                <w:szCs w:val="20"/>
              </w:rPr>
              <w:t>Totale</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Commissione</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29</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8</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22</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54</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1</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114</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 di cui JRC.</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29</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left"/>
              <w:rPr>
                <w:rFonts w:ascii="Arial" w:hAnsi="Arial" w:cs="Arial"/>
                <w:i/>
                <w:iCs/>
                <w:noProof/>
                <w:color w:val="808080"/>
                <w:sz w:val="20"/>
                <w:szCs w:val="20"/>
              </w:rPr>
            </w:pPr>
            <w:r>
              <w:rPr>
                <w:rFonts w:ascii="Arial" w:hAnsi="Arial"/>
                <w:i/>
                <w:iCs/>
                <w:noProof/>
                <w:color w:val="808080"/>
                <w:sz w:val="20"/>
                <w:szCs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29</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Consiglio</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85</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85</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Parlamento</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417</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164</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581</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Corte di giustizia</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Corte dei conti</w:t>
            </w:r>
          </w:p>
        </w:tc>
        <w:tc>
          <w:tcPr>
            <w:tcW w:w="72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0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72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13</w:t>
            </w:r>
          </w:p>
        </w:tc>
        <w:tc>
          <w:tcPr>
            <w:tcW w:w="1303"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3</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977" w:type="dxa"/>
            <w:tcBorders>
              <w:top w:val="single" w:sz="4" w:space="0" w:color="auto"/>
              <w:left w:val="single" w:sz="4" w:space="0" w:color="auto"/>
              <w:bottom w:val="single" w:sz="4" w:space="0" w:color="auto"/>
              <w:right w:val="single" w:sz="8" w:space="0" w:color="auto"/>
            </w:tcBorders>
            <w:vAlign w:val="center"/>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8" w:space="0" w:color="auto"/>
              <w:left w:val="single" w:sz="8" w:space="0" w:color="auto"/>
              <w:bottom w:val="single" w:sz="8" w:space="0" w:color="auto"/>
              <w:right w:val="single" w:sz="8" w:space="0" w:color="auto"/>
            </w:tcBorders>
            <w:vAlign w:val="center"/>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8" w:space="0" w:color="auto"/>
              <w:right w:val="single" w:sz="8" w:space="0" w:color="auto"/>
            </w:tcBorders>
            <w:vAlign w:val="center"/>
          </w:tcPr>
          <w:p>
            <w:pPr>
              <w:spacing w:before="0" w:after="0"/>
              <w:jc w:val="right"/>
              <w:rPr>
                <w:rFonts w:ascii="Arial" w:hAnsi="Arial" w:cs="Arial"/>
                <w:b/>
                <w:noProof/>
                <w:sz w:val="20"/>
                <w:szCs w:val="20"/>
              </w:rPr>
            </w:pPr>
            <w:r>
              <w:rPr>
                <w:rFonts w:ascii="Arial" w:hAnsi="Arial"/>
                <w:b/>
                <w:noProof/>
                <w:sz w:val="20"/>
                <w:szCs w:val="20"/>
              </w:rPr>
              <w:t>16</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CESE</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2</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2</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Comitato delle regioni</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4</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4</w:t>
            </w:r>
          </w:p>
        </w:tc>
      </w:tr>
      <w:tr>
        <w:trPr>
          <w:trHeight w:val="283"/>
        </w:trPr>
        <w:tc>
          <w:tcPr>
            <w:tcW w:w="1920" w:type="dxa"/>
            <w:tcBorders>
              <w:top w:val="nil"/>
              <w:left w:val="single" w:sz="4" w:space="0" w:color="auto"/>
              <w:bottom w:val="single" w:sz="4" w:space="0" w:color="auto"/>
              <w:right w:val="single" w:sz="4" w:space="0" w:color="auto"/>
            </w:tcBorders>
            <w:shd w:val="clear" w:color="auto" w:fill="auto"/>
            <w:noWrap/>
            <w:vAlign w:val="center"/>
          </w:tcPr>
          <w:p>
            <w:pPr>
              <w:spacing w:before="0" w:after="0"/>
              <w:jc w:val="left"/>
              <w:rPr>
                <w:rFonts w:ascii="Arial" w:hAnsi="Arial" w:cs="Arial"/>
                <w:noProof/>
                <w:sz w:val="20"/>
                <w:szCs w:val="20"/>
              </w:rPr>
            </w:pPr>
            <w:r>
              <w:rPr>
                <w:rFonts w:ascii="Arial" w:hAnsi="Arial"/>
                <w:noProof/>
                <w:sz w:val="20"/>
                <w:szCs w:val="20"/>
              </w:rPr>
              <w:t>GEPD</w:t>
            </w:r>
          </w:p>
        </w:tc>
        <w:tc>
          <w:tcPr>
            <w:tcW w:w="72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20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72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1303"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szCs w:val="20"/>
              </w:rPr>
              <w:t>0</w:t>
            </w:r>
          </w:p>
        </w:tc>
        <w:tc>
          <w:tcPr>
            <w:tcW w:w="977" w:type="dxa"/>
            <w:tcBorders>
              <w:top w:val="single" w:sz="4" w:space="0" w:color="auto"/>
              <w:left w:val="single" w:sz="4" w:space="0" w:color="auto"/>
              <w:bottom w:val="single" w:sz="4" w:space="0" w:color="auto"/>
              <w:right w:val="single" w:sz="8" w:space="0" w:color="auto"/>
            </w:tcBorders>
            <w:vAlign w:val="center"/>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8" w:space="0" w:color="auto"/>
              <w:right w:val="single" w:sz="8" w:space="0" w:color="auto"/>
            </w:tcBorders>
            <w:vAlign w:val="center"/>
          </w:tcPr>
          <w:p>
            <w:pPr>
              <w:spacing w:before="0" w:after="0"/>
              <w:jc w:val="right"/>
              <w:rPr>
                <w:rFonts w:ascii="Arial" w:hAnsi="Arial" w:cs="Arial"/>
                <w:b/>
                <w:noProof/>
                <w:sz w:val="20"/>
                <w:szCs w:val="20"/>
              </w:rPr>
            </w:pPr>
            <w:r>
              <w:rPr>
                <w:rFonts w:ascii="Arial" w:hAnsi="Arial"/>
                <w:b/>
                <w:noProof/>
                <w:sz w:val="20"/>
                <w:szCs w:val="20"/>
              </w:rPr>
              <w:t>0</w:t>
            </w:r>
          </w:p>
        </w:tc>
      </w:tr>
      <w:tr>
        <w:trPr>
          <w:trHeight w:val="270"/>
        </w:trPr>
        <w:tc>
          <w:tcPr>
            <w:tcW w:w="1920" w:type="dxa"/>
            <w:tcBorders>
              <w:top w:val="single" w:sz="4" w:space="0" w:color="auto"/>
              <w:left w:val="single" w:sz="4" w:space="0" w:color="auto"/>
              <w:bottom w:val="nil"/>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Mediatore</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303" w:type="dxa"/>
            <w:tcBorders>
              <w:top w:val="single" w:sz="4" w:space="0" w:color="auto"/>
              <w:left w:val="nil"/>
              <w:bottom w:val="nil"/>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r>
      <w:tr>
        <w:trPr>
          <w:trHeight w:val="270"/>
        </w:trPr>
        <w:tc>
          <w:tcPr>
            <w:tcW w:w="1920"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szCs w:val="20"/>
              </w:rPr>
              <w:t>SEAE</w:t>
            </w:r>
          </w:p>
        </w:tc>
        <w:tc>
          <w:tcPr>
            <w:tcW w:w="72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120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72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11</w:t>
            </w:r>
          </w:p>
        </w:tc>
        <w:tc>
          <w:tcPr>
            <w:tcW w:w="108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16</w:t>
            </w:r>
          </w:p>
        </w:tc>
        <w:tc>
          <w:tcPr>
            <w:tcW w:w="1303"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0</w:t>
            </w:r>
          </w:p>
        </w:tc>
        <w:tc>
          <w:tcPr>
            <w:tcW w:w="96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szCs w:val="20"/>
              </w:rPr>
              <w:t>11</w:t>
            </w:r>
          </w:p>
        </w:tc>
        <w:tc>
          <w:tcPr>
            <w:tcW w:w="977" w:type="dxa"/>
            <w:tcBorders>
              <w:top w:val="single" w:sz="4" w:space="0" w:color="auto"/>
              <w:left w:val="single" w:sz="4" w:space="0" w:color="auto"/>
              <w:bottom w:val="single" w:sz="2"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szCs w:val="20"/>
              </w:rPr>
              <w:t>0</w:t>
            </w:r>
          </w:p>
        </w:tc>
        <w:tc>
          <w:tcPr>
            <w:tcW w:w="1080" w:type="dxa"/>
            <w:tcBorders>
              <w:top w:val="single" w:sz="8" w:space="0" w:color="auto"/>
              <w:left w:val="single" w:sz="8" w:space="0" w:color="auto"/>
              <w:bottom w:val="single" w:sz="2"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0</w:t>
            </w:r>
          </w:p>
        </w:tc>
        <w:tc>
          <w:tcPr>
            <w:tcW w:w="960" w:type="dxa"/>
            <w:tcBorders>
              <w:top w:val="single" w:sz="8" w:space="0" w:color="auto"/>
              <w:left w:val="single" w:sz="8" w:space="0" w:color="auto"/>
              <w:bottom w:val="single" w:sz="2"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szCs w:val="20"/>
              </w:rPr>
              <w:t>38</w:t>
            </w:r>
          </w:p>
        </w:tc>
      </w:tr>
      <w:tr>
        <w:trPr>
          <w:trHeight w:val="396"/>
        </w:trPr>
        <w:tc>
          <w:tcPr>
            <w:tcW w:w="192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Totale</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29</w:t>
            </w:r>
          </w:p>
        </w:tc>
        <w:tc>
          <w:tcPr>
            <w:tcW w:w="120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8</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33</w:t>
            </w:r>
          </w:p>
        </w:tc>
        <w:tc>
          <w:tcPr>
            <w:tcW w:w="108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591</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167</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bCs/>
                <w:noProof/>
                <w:sz w:val="20"/>
                <w:szCs w:val="20"/>
              </w:rPr>
              <w:t>11</w:t>
            </w:r>
          </w:p>
        </w:tc>
        <w:tc>
          <w:tcPr>
            <w:tcW w:w="977"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1</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0</w:t>
            </w:r>
          </w:p>
        </w:tc>
        <w:tc>
          <w:tcPr>
            <w:tcW w:w="96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bCs/>
                <w:noProof/>
                <w:sz w:val="20"/>
                <w:szCs w:val="20"/>
              </w:rPr>
              <w:t>840</w:t>
            </w:r>
          </w:p>
        </w:tc>
      </w:tr>
    </w:tbl>
    <w:p>
      <w:pPr>
        <w:pStyle w:val="Heading1"/>
        <w:numPr>
          <w:ilvl w:val="0"/>
          <w:numId w:val="0"/>
        </w:numPr>
        <w:spacing w:before="0" w:after="0"/>
        <w:rPr>
          <w:rFonts w:ascii="Arial" w:hAnsi="Arial" w:cs="Arial"/>
          <w:bCs w:val="0"/>
          <w:smallCaps w:val="0"/>
          <w:noProof/>
          <w:sz w:val="20"/>
          <w:szCs w:val="20"/>
        </w:rPr>
      </w:pPr>
    </w:p>
    <w:p>
      <w:pPr>
        <w:rPr>
          <w:noProof/>
        </w:rPr>
      </w:pPr>
    </w:p>
    <w:p>
      <w:pPr>
        <w:pStyle w:val="ManualHeading1"/>
        <w:rPr>
          <w:bCs/>
          <w:noProof/>
        </w:rPr>
      </w:pPr>
      <w:r>
        <w:t>5.</w:t>
      </w:r>
      <w:r>
        <w:tab/>
      </w:r>
      <w:r>
        <w:rPr>
          <w:noProof/>
        </w:rPr>
        <w:t>Servizi interessati e motivazione</w:t>
      </w:r>
    </w:p>
    <w:p>
      <w:pPr>
        <w:rPr>
          <w:noProof/>
        </w:rPr>
      </w:pPr>
      <w:r>
        <w:rPr>
          <w:noProof/>
        </w:rPr>
        <w:t xml:space="preserve">Il Consiglio, la Commissione, il SEAE, il Parlamento europeo, la Corte di giustizia e la Corte dei conti si avvalgono delle permanenze e/o del servizio continuo o a turni ed effettuano il versamento delle indennità previste dalla legislazione. </w:t>
      </w:r>
    </w:p>
    <w:p>
      <w:pPr>
        <w:rPr>
          <w:noProof/>
        </w:rPr>
      </w:pPr>
      <w:r>
        <w:rPr>
          <w:noProof/>
        </w:rPr>
        <w:t>Dal 2017 il Comitato delle regioni e il Comitato economico e sociale europeo hanno istituito un servizio comune di permanenze e di servizio continuo/a turni.</w:t>
      </w:r>
    </w:p>
    <w:p>
      <w:pPr>
        <w:rPr>
          <w:noProof/>
        </w:rPr>
      </w:pPr>
      <w:r>
        <w:rPr>
          <w:noProof/>
        </w:rPr>
        <w:t>La Commissione rimane l'unica istituzione a versare indennità per taluni lavori di carattere gravoso eseguiti presso il JRC e l'Ufficio per le infrastrutture e la logistica a Bruxelles (OIB).</w:t>
      </w:r>
    </w:p>
    <w:p>
      <w:pPr>
        <w:spacing w:before="0" w:after="0"/>
        <w:ind w:left="851"/>
        <w:jc w:val="left"/>
        <w:rPr>
          <w:noProof/>
        </w:rPr>
      </w:pPr>
    </w:p>
    <w:p>
      <w:pPr>
        <w:pStyle w:val="ManualHeading2"/>
        <w:rPr>
          <w:bCs/>
          <w:noProof/>
        </w:rPr>
      </w:pPr>
      <w:r>
        <w:t>5.1.</w:t>
      </w:r>
      <w:r>
        <w:tab/>
      </w:r>
      <w:r>
        <w:rPr>
          <w:noProof/>
        </w:rPr>
        <w:t>Motivazione del ricorso alle permanenze</w:t>
      </w:r>
    </w:p>
    <w:p>
      <w:pPr>
        <w:rPr>
          <w:noProof/>
        </w:rPr>
      </w:pPr>
      <w:r>
        <w:rPr>
          <w:b/>
          <w:i/>
          <w:noProof/>
        </w:rPr>
        <w:t>Commissione:</w:t>
      </w:r>
      <w:r>
        <w:rPr>
          <w:b/>
          <w:i/>
          <w:noProof/>
        </w:rPr>
        <w:tab/>
      </w:r>
      <w:r>
        <w:rPr>
          <w:b/>
          <w:i/>
          <w:noProof/>
        </w:rPr>
        <w:tab/>
      </w:r>
      <w:r>
        <w:rPr>
          <w:b/>
          <w:i/>
          <w:noProof/>
        </w:rPr>
        <w:br/>
      </w:r>
      <w:r>
        <w:rPr>
          <w:noProof/>
        </w:rPr>
        <w:t>nel 2017 la Commissione ha versato indennità di permanenza a 394 membri del personale (350 nel 2016). Circa il 40 % (152) presta servizio presso uno dei centri di ricerca. I motivi della permanenza restano - come negli anni precedenti - generalmente connessi alla sicurezza e alla protezione (servizio antincendio, controllo delle radiazioni, radioprotezione, ecc.). Presso il JRC la maggior parte delle permanenze viene effettuata a domicilio, tranne a Ispra e a Karlsruhe, dove le prestazioni vengono svolte sul luogo di lavoro, o a domicilio e sul luogo di lavoro, in funzione della specificità dei compiti da svolgere.</w:t>
      </w:r>
    </w:p>
    <w:p>
      <w:pPr>
        <w:spacing w:after="0"/>
        <w:rPr>
          <w:noProof/>
        </w:rPr>
      </w:pPr>
      <w:r>
        <w:rPr>
          <w:noProof/>
        </w:rPr>
        <w:t xml:space="preserve">Nelle altre direzioni generali della Commissione la situazione è pressoché stabile rispetto al 2016. I servizi di permanenza sono legati sostanzialmente alla sicurezza, agli impianti tecnici e ai servizi informatici. Si osserva comunque un aumento del numero di beneficiari per fornire assistenza agli Stati membri 24/7 (45 nel 2017 contro i 32 del 2016), in particolare all'interno della DG ECHO per assicurare un monitoraggio degli incidenti in tempo reale e una risposta immediata alle catastrofi in ogni parte del mondo e in qualsiasi momento. </w:t>
      </w:r>
    </w:p>
    <w:p>
      <w:pPr>
        <w:rPr>
          <w:noProof/>
        </w:rPr>
      </w:pPr>
      <w:r>
        <w:rPr>
          <w:b/>
          <w:i/>
          <w:noProof/>
        </w:rPr>
        <w:t>Consiglio:</w:t>
      </w:r>
      <w:r>
        <w:rPr>
          <w:noProof/>
        </w:rPr>
        <w:t xml:space="preserve"> nel 2017 il Consiglio ha versato indennità di permanenza a 71 membri del personale (62 nel 2016). Esistono tre servizi che operano nei settori seguenti: 1) tecnologie dell'informazione e della comunicazione (TIC), per assicurare interventi volti a garantire la protezione e il corretto funzionamento delle reti informatiche e di comunicazione, 2) sicurezza, per rispondere immediatamente a incidenti di ogni tipo che possono riguardare il personale dell'SGC e le attività del Consiglio e del Consiglio europeo e per dare assistenza 24/7 agli addetti alla sicurezza in missione, 3) per intervenire rapidamente nella redazione, nella pubblicazione su internet e nella diffusione di dichiarazioni immediate e urgenti della presidenza di turno e del presidente del Consiglio europeo nel quadro della PESC/PSDC. Nel 2017 le permanenze sono state effettuate esclusivamente a domicilio. </w:t>
      </w:r>
    </w:p>
    <w:p>
      <w:pPr>
        <w:rPr>
          <w:noProof/>
        </w:rPr>
      </w:pPr>
      <w:r>
        <w:rPr>
          <w:b/>
          <w:i/>
          <w:noProof/>
        </w:rPr>
        <w:t>Corte dei conti:</w:t>
      </w:r>
      <w:r>
        <w:rPr>
          <w:noProof/>
        </w:rPr>
        <w:t xml:space="preserve"> </w:t>
      </w:r>
      <w:r>
        <w:rPr>
          <w:noProof/>
          <w:color w:val="222222"/>
        </w:rPr>
        <w:t xml:space="preserve">nel 2017 la programmazione mensile del servizio di sicurezza istituito nel 2011 comprendeva attività di permanenza a domicilio di 14 agenti (10 nel 2016). </w:t>
      </w:r>
      <w:r>
        <w:rPr>
          <w:noProof/>
        </w:rPr>
        <w:t>Essi garantiscono la sicurezza degli edifici e dei loro occupanti in modo continuo durante tutto l'anno.</w:t>
      </w:r>
    </w:p>
    <w:p>
      <w:pPr>
        <w:rPr>
          <w:noProof/>
          <w:color w:val="222222"/>
        </w:rPr>
      </w:pPr>
      <w:r>
        <w:rPr>
          <w:b/>
          <w:i/>
          <w:noProof/>
        </w:rPr>
        <w:t>SEAE</w:t>
      </w:r>
      <w:r>
        <w:rPr>
          <w:noProof/>
        </w:rPr>
        <w:t>: nel 2017 il SEAE ha versato indennità di permanenza a domicilio a 15 membri del personale (16 nel 2016) per attività nei 3 settori seguenti: 1) servizi di sicurezza, per proteggere in modo continuo il personale del SEAE, i visitatori, i locali e i beni materiali a Bruxelles e le informazioni classificate (nella sede centrale e nelle delegazioni);</w:t>
      </w:r>
      <w:r>
        <w:rPr>
          <w:noProof/>
          <w:color w:val="222222"/>
        </w:rPr>
        <w:t xml:space="preserve"> </w:t>
      </w:r>
      <w:r>
        <w:rPr>
          <w:noProof/>
        </w:rPr>
        <w:t>2) sostegno alla PESC/PSDC, per monitorare gli eventi in tutto il mondo 24/7, rispondere alle crisi, agli incidenti, agli eventi critici, a situazioni specifiche o alle emergenze, dare sostegno all'Alto rappresentante e agli attori dell'UE e facilitare lo svolgimento delle riunioni della piattaforma del SEAE al di fuori delle normali ore di lavoro;</w:t>
      </w:r>
      <w:r>
        <w:rPr>
          <w:noProof/>
          <w:color w:val="222222"/>
        </w:rPr>
        <w:t xml:space="preserve"> </w:t>
      </w:r>
      <w:r>
        <w:rPr>
          <w:noProof/>
        </w:rPr>
        <w:t>3) servizi nel campo delle tecnologie dell'informazione e della comunicazione, attraverso il COMCEN (centro di comunicazioni), che fornisce servizi di comunicazione di informazioni classificate a tutti i membri del personale del SEAE e che assicura inoltre servizi al Segretariato generale del Consiglio al fine di garantire un trattamento rapido delle informazioni classificate urgenti.</w:t>
      </w:r>
    </w:p>
    <w:p>
      <w:pPr>
        <w:rPr>
          <w:noProof/>
        </w:rPr>
      </w:pPr>
      <w:r>
        <w:rPr>
          <w:b/>
          <w:i/>
          <w:noProof/>
        </w:rPr>
        <w:t xml:space="preserve">Corte di giustizia: </w:t>
      </w:r>
      <w:r>
        <w:rPr>
          <w:noProof/>
        </w:rPr>
        <w:t>nel 2017 la Corte di giustizia ha versato indennità di permanenza a domicilio a 24 membri del personale. Il servizio è stato istituito nel novembre 2014 nella direzione generale delle infrastrutture. La direzione degli edifici è responsabile della tutela dell'istituzione, della prevenzione degli incendi e della salute e della sicurezza sul lavoro.</w:t>
      </w:r>
      <w:r>
        <w:rPr>
          <w:noProof/>
          <w:color w:val="222222"/>
        </w:rPr>
        <w:t xml:space="preserve"> Essa comprende tre unità che si occupano dei nuovi lavori, della gestione degli edifici e della sicurezza. </w:t>
      </w:r>
    </w:p>
    <w:p>
      <w:pPr>
        <w:rPr>
          <w:noProof/>
        </w:rPr>
      </w:pPr>
      <w:r>
        <w:rPr>
          <w:b/>
          <w:i/>
          <w:noProof/>
        </w:rPr>
        <w:t>Comitato delle regioni - CESE:</w:t>
      </w:r>
      <w:r>
        <w:rPr>
          <w:noProof/>
        </w:rPr>
        <w:t xml:space="preserve"> </w:t>
      </w:r>
      <w:r>
        <w:rPr>
          <w:noProof/>
          <w:color w:val="222222"/>
        </w:rPr>
        <w:t>a partire dal 1° marzo 2017 presso il Comitato delle regioni e il CESE è stato istituito un servizio comune di permanenza all'interno del servizio di sicurezza per garantire che il personale addetto alla sicurezza sia accessibile e in grado di reagire in qualsiasi momento in caso di incidenti che richiedano un intervento quando l'istituzione è chiusa. Nel 2017 il servizio di permanenza a domicilio ha coinvolto 4 membri del personale del Comitato delle regioni e 2 membri del personale del CESE.</w:t>
      </w:r>
    </w:p>
    <w:p>
      <w:pPr>
        <w:spacing w:before="0" w:after="0"/>
        <w:ind w:left="851"/>
        <w:jc w:val="left"/>
        <w:rPr>
          <w:noProof/>
        </w:rPr>
      </w:pPr>
    </w:p>
    <w:p>
      <w:pPr>
        <w:pStyle w:val="ManualHeading2"/>
        <w:rPr>
          <w:bCs/>
          <w:noProof/>
        </w:rPr>
      </w:pPr>
      <w:r>
        <w:t>5.2.</w:t>
      </w:r>
      <w:r>
        <w:tab/>
      </w:r>
      <w:r>
        <w:rPr>
          <w:noProof/>
        </w:rPr>
        <w:t>Motivazione del ricorso alle indennità per taluni lavori di carattere gravoso</w:t>
      </w:r>
    </w:p>
    <w:p>
      <w:pPr>
        <w:rPr>
          <w:noProof/>
        </w:rPr>
      </w:pPr>
      <w:r>
        <w:rPr>
          <w:b/>
          <w:i/>
          <w:noProof/>
        </w:rPr>
        <w:t>Commissione</w:t>
      </w:r>
      <w:r>
        <w:rPr>
          <w:i/>
          <w:noProof/>
        </w:rPr>
        <w:t xml:space="preserve">: </w:t>
      </w:r>
      <w:r>
        <w:rPr>
          <w:noProof/>
        </w:rPr>
        <w:t>la Commissione è l'unica istituzione ad essersi avvalsa di questa possibilità nel 2017. L'Ufficio infrastrutture e logistica a Bruxelles (OIB) ha introdotto questo tipo di indennità in uno dei suoi servizi (servizio di riproduzione) nel 2008, in aggiunta al Centro comune di ricerca, che vi faceva già ricorso.</w:t>
      </w:r>
    </w:p>
    <w:p>
      <w:pPr>
        <w:spacing w:after="0"/>
        <w:rPr>
          <w:noProof/>
        </w:rPr>
      </w:pPr>
      <w:r>
        <w:rPr>
          <w:noProof/>
        </w:rPr>
        <w:t>Nel 2017 il numero totale di ore prestate per lavori di carattere gravoso è ripartito come segue:</w:t>
      </w:r>
    </w:p>
    <w:p>
      <w:pPr>
        <w:pStyle w:val="Text1"/>
        <w:numPr>
          <w:ilvl w:val="0"/>
          <w:numId w:val="29"/>
        </w:numPr>
        <w:spacing w:before="0" w:after="0"/>
        <w:ind w:left="360"/>
        <w:rPr>
          <w:noProof/>
        </w:rPr>
      </w:pPr>
      <w:r>
        <w:rPr>
          <w:noProof/>
        </w:rPr>
        <w:t>63 598,72 ore correlate alla protezione individuale (ad esempio l'uso di indumenti speciali scomodi necessari per proteggersi),</w:t>
      </w:r>
    </w:p>
    <w:p>
      <w:pPr>
        <w:pStyle w:val="Text1"/>
        <w:numPr>
          <w:ilvl w:val="0"/>
          <w:numId w:val="29"/>
        </w:numPr>
        <w:spacing w:before="0" w:after="0"/>
        <w:ind w:left="360"/>
        <w:rPr>
          <w:noProof/>
        </w:rPr>
      </w:pPr>
      <w:r>
        <w:rPr>
          <w:noProof/>
        </w:rPr>
        <w:t>115 068,21 ore correlate al luogo di lavoro (ad esempio l'elevata rumorosità, la pericolosità) e</w:t>
      </w:r>
    </w:p>
    <w:p>
      <w:pPr>
        <w:pStyle w:val="Text1"/>
        <w:numPr>
          <w:ilvl w:val="0"/>
          <w:numId w:val="29"/>
        </w:numPr>
        <w:spacing w:before="0"/>
        <w:ind w:left="360"/>
        <w:jc w:val="left"/>
        <w:rPr>
          <w:noProof/>
        </w:rPr>
      </w:pPr>
      <w:r>
        <w:rPr>
          <w:noProof/>
        </w:rPr>
        <w:t>12 803,10 ore correlate alla natura del lavoro (ad esempio la manipolazione di prodotti corrosivi).</w:t>
      </w:r>
    </w:p>
    <w:p>
      <w:pPr>
        <w:pStyle w:val="Text1"/>
        <w:spacing w:before="0" w:after="0"/>
        <w:ind w:left="851"/>
        <w:jc w:val="left"/>
        <w:rPr>
          <w:noProof/>
        </w:rPr>
      </w:pPr>
    </w:p>
    <w:p>
      <w:pPr>
        <w:pStyle w:val="ManualHeading2"/>
        <w:rPr>
          <w:noProof/>
        </w:rPr>
      </w:pPr>
      <w:r>
        <w:t>5.3.</w:t>
      </w:r>
      <w:r>
        <w:tab/>
      </w:r>
      <w:r>
        <w:rPr>
          <w:noProof/>
        </w:rPr>
        <w:t>Motivazione del servizio continuo o a turni</w:t>
      </w:r>
    </w:p>
    <w:p>
      <w:pPr>
        <w:rPr>
          <w:noProof/>
        </w:rPr>
      </w:pPr>
      <w:r>
        <w:rPr>
          <w:b/>
          <w:i/>
          <w:noProof/>
        </w:rPr>
        <w:t>Commissione:</w:t>
      </w:r>
      <w:r>
        <w:rPr>
          <w:noProof/>
        </w:rPr>
        <w:t xml:space="preserve"> alla Commissione sono soprattutto il JRC (per motivi inerenti alle sue mansioni) e la DG HR (servizio di sicurezza e prevenzione) ad aver bisogno di questo tipo di organizzazione del lavoro (rispettivamente 29 e 46 persone nel 2017). </w:t>
      </w:r>
    </w:p>
    <w:p>
      <w:pPr>
        <w:spacing w:after="0"/>
        <w:rPr>
          <w:noProof/>
        </w:rPr>
      </w:pPr>
      <w:r>
        <w:rPr>
          <w:noProof/>
        </w:rPr>
        <w:t>Nel 2017 nelle altre direzioni generali (bilancio di funzionamento) 39 persone hanno effettuato il servizio a turni nell'ambito delle seguenti tipologie di servizi:</w:t>
      </w:r>
    </w:p>
    <w:p>
      <w:pPr>
        <w:pStyle w:val="Tiret1"/>
        <w:numPr>
          <w:ilvl w:val="0"/>
          <w:numId w:val="25"/>
        </w:numPr>
        <w:spacing w:before="0" w:after="0"/>
        <w:ind w:left="1418"/>
        <w:rPr>
          <w:noProof/>
        </w:rPr>
      </w:pPr>
      <w:r>
        <w:rPr>
          <w:noProof/>
        </w:rPr>
        <w:t>sicurezza e prevenzione: 8 (OIL)</w:t>
      </w:r>
    </w:p>
    <w:p>
      <w:pPr>
        <w:pStyle w:val="Tiret1"/>
        <w:numPr>
          <w:ilvl w:val="0"/>
          <w:numId w:val="25"/>
        </w:numPr>
        <w:spacing w:before="0" w:after="0"/>
        <w:ind w:left="1418"/>
        <w:rPr>
          <w:noProof/>
        </w:rPr>
      </w:pPr>
      <w:r>
        <w:rPr>
          <w:noProof/>
        </w:rPr>
        <w:t>impianti tecnici: 1 (OP)</w:t>
      </w:r>
    </w:p>
    <w:p>
      <w:pPr>
        <w:pStyle w:val="Tiret1"/>
        <w:numPr>
          <w:ilvl w:val="0"/>
          <w:numId w:val="25"/>
        </w:numPr>
        <w:spacing w:before="0" w:after="0"/>
        <w:ind w:left="1418"/>
        <w:rPr>
          <w:noProof/>
        </w:rPr>
      </w:pPr>
      <w:r>
        <w:rPr>
          <w:noProof/>
        </w:rPr>
        <w:t>tecnologie dell'informazione e della comunicazione (TIC): 22 (DG COMM)</w:t>
      </w:r>
    </w:p>
    <w:p>
      <w:pPr>
        <w:pStyle w:val="Tiret1"/>
        <w:numPr>
          <w:ilvl w:val="0"/>
          <w:numId w:val="25"/>
        </w:numPr>
        <w:spacing w:before="0" w:after="0"/>
        <w:ind w:left="1418"/>
        <w:rPr>
          <w:noProof/>
        </w:rPr>
      </w:pPr>
      <w:r>
        <w:rPr>
          <w:noProof/>
        </w:rPr>
        <w:t>assistenza agli Stati membri: 8 (DG ECHO).</w:t>
      </w:r>
    </w:p>
    <w:p>
      <w:pPr>
        <w:rPr>
          <w:noProof/>
        </w:rPr>
      </w:pPr>
      <w:r>
        <w:rPr>
          <w:noProof/>
        </w:rPr>
        <w:t>Alla DG COMM è stato istituito un servizio a turni nel 2015 per assicurare la rassegna stampa per il Presidente, il collegio e il servizio del portavoce.</w:t>
      </w:r>
    </w:p>
    <w:p>
      <w:pPr>
        <w:rPr>
          <w:noProof/>
        </w:rPr>
      </w:pPr>
      <w:r>
        <w:rPr>
          <w:noProof/>
        </w:rPr>
        <w:t>Il servizio continuo alla DG ECHO è operativo dal 2013 a seguito della creazione di un Centro di monitoraggio e informazione al fine di assistere gli Stati membri e la Commissione in caso di disastri.</w:t>
      </w:r>
    </w:p>
    <w:p>
      <w:pPr>
        <w:spacing w:before="0"/>
        <w:rPr>
          <w:noProof/>
        </w:rPr>
      </w:pPr>
      <w:r>
        <w:rPr>
          <w:noProof/>
        </w:rPr>
        <w:t>Alla Commissione vengono applicate le quattro aliquote (tipi di indennità); all'aliquota 4 (servizio continuo) ricorrono essenzialmente i servizi di sicurezza.</w:t>
      </w:r>
    </w:p>
    <w:p>
      <w:pPr>
        <w:shd w:val="clear" w:color="auto" w:fill="FFFFFF"/>
        <w:rPr>
          <w:noProof/>
        </w:rPr>
      </w:pPr>
      <w:r>
        <w:rPr>
          <w:b/>
          <w:i/>
          <w:noProof/>
        </w:rPr>
        <w:t>Consiglio:</w:t>
      </w:r>
      <w:r>
        <w:rPr>
          <w:noProof/>
        </w:rPr>
        <w:t xml:space="preserve"> il Consiglio dispone di un sistema di servizio a turni indispensabile per garantire la continuità dei servizi che si occupano di prevenzione e sicurezza, in particolare della sicurezza degli edifici e delle persone nei due edifici dell'istituzione.</w:t>
      </w:r>
    </w:p>
    <w:p>
      <w:pPr>
        <w:shd w:val="clear" w:color="auto" w:fill="FFFFFF"/>
        <w:rPr>
          <w:noProof/>
        </w:rPr>
      </w:pPr>
      <w:r>
        <w:rPr>
          <w:noProof/>
        </w:rPr>
        <w:t xml:space="preserve">All'interno della direzione generale A è stata effettuata una riorganizzazione al fine di ottenere un'efficienza ottimale del personale in servizio. L'unità Prevenzione è passata alla direzione Prevenzione e sicurezza poiché per tutto il 2017 ha avuto bisogno di un'organizzazione in servizio continuo (aliquota 4) per svolgere le proprie mansioni. Come in passato per le altre unità responsabili dei diversi aspetti della sicurezza, è stata necessaria un'organizzazione del lavoro a turni (aliquota 1) e in servizio continuo (aliquota 4). </w:t>
      </w:r>
    </w:p>
    <w:p>
      <w:pPr>
        <w:shd w:val="clear" w:color="auto" w:fill="FFFFFF"/>
        <w:rPr>
          <w:noProof/>
        </w:rPr>
      </w:pPr>
      <w:r>
        <w:rPr>
          <w:noProof/>
        </w:rPr>
        <w:t>La riorganizzazione di questi servizi, di cui fanno parte funzionari AST e agenti contrattuali (GFII), non ha determinato un aumento del numero di indennità nel 2017 (85) rispetto al 2016 (86).</w:t>
      </w:r>
    </w:p>
    <w:p>
      <w:pPr>
        <w:shd w:val="clear" w:color="auto" w:fill="FFFFFF"/>
        <w:rPr>
          <w:noProof/>
          <w:color w:val="222222"/>
        </w:rPr>
      </w:pPr>
      <w:r>
        <w:rPr>
          <w:b/>
          <w:i/>
          <w:noProof/>
        </w:rPr>
        <w:t>Parlamento europeo:</w:t>
      </w:r>
      <w:r>
        <w:rPr>
          <w:noProof/>
        </w:rPr>
        <w:t xml:space="preserve"> nel 2017 il Parlamento europeo ha versato indennità per servizio continuo o a turni per lo svolgimento 1) di servizi incaricati della sicurezza nelle tre sedi di lavoro:</w:t>
      </w:r>
      <w:r>
        <w:rPr>
          <w:noProof/>
          <w:color w:val="222222"/>
        </w:rPr>
        <w:t xml:space="preserve"> </w:t>
      </w:r>
      <w:r>
        <w:rPr>
          <w:noProof/>
        </w:rPr>
        <w:t>Bruxelles, Strasburgo e Lussemburgo, 2) di servizi di accoglienza, sicurezza e controllo dei visitatori (Parlamentarium e dal 2017 Casa della Storia europea e centro sportivo) e di comunicazione attraverso il centralino, che offre una gamma di servizi in diverse lingue quali il trasferimento delle chiamate in entrata e in uscita, la fornitura di informazioni di contatto (numeri di telefono e fax, indirizzi di posta elettronica e degli uffici), informazioni sulle riunioni e sugli edifici del Parlamento europeo.</w:t>
      </w:r>
      <w:r>
        <w:rPr>
          <w:noProof/>
          <w:color w:val="222222"/>
        </w:rPr>
        <w:t xml:space="preserve"> </w:t>
      </w:r>
    </w:p>
    <w:p>
      <w:pPr>
        <w:shd w:val="clear" w:color="auto" w:fill="FFFFFF"/>
        <w:rPr>
          <w:noProof/>
        </w:rPr>
      </w:pPr>
      <w:r>
        <w:rPr>
          <w:noProof/>
        </w:rPr>
        <w:t>Questo tipo di servizio è organizzato come sistema a due turni (aliquota 1), come servizio a due turni compresi la notte, il fine settimana e i giorni festivi (aliquota 2) o ancora come servizio ininterrotto 24 ore su 24 (aliquota 4). Nel 2017 il numero di beneficiari è stato pari a 581 (570 nel 2016).</w:t>
      </w:r>
    </w:p>
    <w:p>
      <w:pPr>
        <w:rPr>
          <w:noProof/>
        </w:rPr>
      </w:pPr>
      <w:r>
        <w:rPr>
          <w:b/>
          <w:i/>
          <w:noProof/>
        </w:rPr>
        <w:t>Corte dei conti:</w:t>
      </w:r>
      <w:r>
        <w:rPr>
          <w:noProof/>
        </w:rPr>
        <w:t xml:space="preserve"> dal 2011 la Corte dei conti dispone di un servizio continuo o a turni nel settore della sicurezza e per il servizio centralino/accoglienza. Il servizio continuo o a turni è organizzato o come sistema in due turni (aliquota 1) o come servizio ininterrotto 24 ore su 24 (aliquota 4). Nel 2017 il numero di beneficiari è stato pari a 16 (14 nel 2016).</w:t>
      </w:r>
    </w:p>
    <w:p>
      <w:pPr>
        <w:rPr>
          <w:noProof/>
        </w:rPr>
      </w:pPr>
      <w:r>
        <w:rPr>
          <w:b/>
          <w:i/>
          <w:noProof/>
        </w:rPr>
        <w:t>SEAE</w:t>
      </w:r>
      <w:r>
        <w:rPr>
          <w:noProof/>
        </w:rPr>
        <w:t>: nel 2017 il SEAE ha versato 38 indennità per servizio continuo/a turni per garantire quotidianamente la sorveglianza, la valutazione e l'allarme in caso di eventi o situazioni di rilevanza politica 24/7 e fornire servizi di comunicazione per le informazioni classificate a tutto il personale del SEAE e all'Alto rappresentante e agli altri attori dell'UE (Commissione europea, Segretariato generale del Consiglio, agenzie dell'UE, Stati membri dell'UE).</w:t>
      </w:r>
    </w:p>
    <w:p>
      <w:pPr>
        <w:rPr>
          <w:noProof/>
        </w:rPr>
      </w:pPr>
      <w:r>
        <w:rPr>
          <w:noProof/>
          <w:color w:val="222222"/>
        </w:rPr>
        <w:t xml:space="preserve">Al SEAE si applicano principalmente due tipi di indennità, l'aliquota 1 e l'aliquota 4. </w:t>
      </w:r>
      <w:r>
        <w:rPr>
          <w:noProof/>
        </w:rPr>
        <w:t xml:space="preserve">Il numero di beneficiari è rimasto stabile. </w:t>
      </w:r>
    </w:p>
    <w:p>
      <w:pPr>
        <w:rPr>
          <w:noProof/>
        </w:rPr>
      </w:pPr>
      <w:r>
        <w:rPr>
          <w:b/>
          <w:i/>
          <w:noProof/>
        </w:rPr>
        <w:t>Comitato delle regioni-CESE</w:t>
      </w:r>
      <w:r>
        <w:rPr>
          <w:noProof/>
        </w:rPr>
        <w:t>: presso il Comitato delle regioni e il CESE dall'1.3.2017 è stato istituito un servizio comune a turni per rispondere alla necessità di una presenza continua nel servizio di sicurezza. Il Comitato delle regioni versa indennità a 4 beneficiari (aliquota 1), il CESE a 2 beneficiari (aliquota 1).</w:t>
      </w:r>
    </w:p>
    <w:p>
      <w:pPr>
        <w:pStyle w:val="ManualHeading1"/>
        <w:rPr>
          <w:bCs/>
          <w:noProof/>
        </w:rPr>
      </w:pPr>
      <w:r>
        <w:t>6.</w:t>
      </w:r>
      <w:r>
        <w:tab/>
      </w:r>
      <w:r>
        <w:rPr>
          <w:noProof/>
        </w:rPr>
        <w:t>Spese di bilancio, per istituzione e per indennità (in euro)</w:t>
      </w:r>
    </w:p>
    <w:tbl>
      <w:tblPr>
        <w:tblW w:w="9615" w:type="dxa"/>
        <w:tblInd w:w="93" w:type="dxa"/>
        <w:tblLook w:val="0000" w:firstRow="0" w:lastRow="0" w:firstColumn="0" w:lastColumn="0" w:noHBand="0" w:noVBand="0"/>
      </w:tblPr>
      <w:tblGrid>
        <w:gridCol w:w="2055"/>
        <w:gridCol w:w="1920"/>
        <w:gridCol w:w="1800"/>
        <w:gridCol w:w="2040"/>
        <w:gridCol w:w="1800"/>
      </w:tblGrid>
      <w:tr>
        <w:trPr>
          <w:trHeight w:val="645"/>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Istituzione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Servizio continuo o a turni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Permanenze</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Lavori di carattere gravoso</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bCs/>
                <w:noProof/>
                <w:sz w:val="20"/>
                <w:szCs w:val="20"/>
              </w:rPr>
              <w:t>Totale</w:t>
            </w:r>
          </w:p>
        </w:tc>
      </w:tr>
      <w:tr>
        <w:trPr>
          <w:trHeight w:val="330"/>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szCs w:val="20"/>
              </w:rPr>
              <w:t>Commissione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1 016 105,21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1 357 562,14</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622 521,54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2 996 188,89</w:t>
            </w:r>
          </w:p>
        </w:tc>
      </w:tr>
      <w:tr>
        <w:trPr>
          <w:trHeight w:val="330"/>
        </w:trPr>
        <w:tc>
          <w:tcPr>
            <w:tcW w:w="2055" w:type="dxa"/>
            <w:tcBorders>
              <w:top w:val="single" w:sz="4" w:space="0" w:color="auto"/>
              <w:left w:val="single" w:sz="8" w:space="0" w:color="auto"/>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 di cui JRC:</w:t>
            </w:r>
          </w:p>
        </w:tc>
        <w:tc>
          <w:tcPr>
            <w:tcW w:w="192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260 638,58</w:t>
            </w:r>
          </w:p>
        </w:tc>
        <w:tc>
          <w:tcPr>
            <w:tcW w:w="180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543 164,63</w:t>
            </w:r>
          </w:p>
        </w:tc>
        <w:tc>
          <w:tcPr>
            <w:tcW w:w="204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iCs/>
                <w:noProof/>
                <w:color w:val="808080"/>
                <w:sz w:val="20"/>
                <w:szCs w:val="20"/>
              </w:rPr>
              <w:t>595 924,90</w:t>
            </w:r>
          </w:p>
        </w:tc>
        <w:tc>
          <w:tcPr>
            <w:tcW w:w="180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b/>
                <w:i/>
                <w:iCs/>
                <w:noProof/>
                <w:color w:val="808080"/>
                <w:sz w:val="20"/>
                <w:szCs w:val="20"/>
              </w:rPr>
            </w:pPr>
            <w:r>
              <w:rPr>
                <w:rFonts w:ascii="Arial" w:hAnsi="Arial"/>
                <w:b/>
                <w:i/>
                <w:iCs/>
                <w:noProof/>
                <w:color w:val="808080"/>
                <w:sz w:val="20"/>
                <w:szCs w:val="20"/>
              </w:rPr>
              <w:t>1 399 728,11</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Consiglio</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672 443,72</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201 886,92</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874 330,64</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Parlamento</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3 717 011,75</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3 717 011,75</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Corte di giustizia</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60 811,47</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60 811,47</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Corte dei conti</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149 853,04</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14 806,32</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164 659,36</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CESE</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8 223,32</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8 223,32</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Comitato delle regioni</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16 446,64</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11 773,65</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28 220,29</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GEPD</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0</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Mediatore</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0</w:t>
            </w:r>
          </w:p>
        </w:tc>
      </w:tr>
      <w:tr>
        <w:trPr>
          <w:trHeight w:val="330"/>
        </w:trPr>
        <w:tc>
          <w:tcPr>
            <w:tcW w:w="2055" w:type="dxa"/>
            <w:tcBorders>
              <w:top w:val="nil"/>
              <w:left w:val="single" w:sz="8" w:space="0" w:color="auto"/>
              <w:bottom w:val="single" w:sz="2"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szCs w:val="20"/>
              </w:rPr>
              <w:t>SEAE</w:t>
            </w:r>
          </w:p>
        </w:tc>
        <w:tc>
          <w:tcPr>
            <w:tcW w:w="192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211 538,69</w:t>
            </w:r>
          </w:p>
        </w:tc>
        <w:tc>
          <w:tcPr>
            <w:tcW w:w="180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57 982,14</w:t>
            </w:r>
          </w:p>
        </w:tc>
        <w:tc>
          <w:tcPr>
            <w:tcW w:w="204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szCs w:val="20"/>
              </w:rPr>
              <w:t>0</w:t>
            </w:r>
          </w:p>
        </w:tc>
        <w:tc>
          <w:tcPr>
            <w:tcW w:w="180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szCs w:val="20"/>
              </w:rPr>
              <w:t>269 520,83</w:t>
            </w:r>
          </w:p>
        </w:tc>
      </w:tr>
      <w:tr>
        <w:trPr>
          <w:trHeight w:val="492"/>
        </w:trPr>
        <w:tc>
          <w:tcPr>
            <w:tcW w:w="2055"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Totale</w:t>
            </w:r>
          </w:p>
        </w:tc>
        <w:tc>
          <w:tcPr>
            <w:tcW w:w="192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5 791 622,37</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1 704 822,64</w:t>
            </w:r>
          </w:p>
        </w:tc>
        <w:tc>
          <w:tcPr>
            <w:tcW w:w="204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622 521,54</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bCs/>
                <w:noProof/>
                <w:sz w:val="20"/>
                <w:szCs w:val="20"/>
              </w:rPr>
              <w:t>8 118 966,55</w:t>
            </w:r>
          </w:p>
        </w:tc>
      </w:tr>
    </w:tbl>
    <w:p>
      <w:pPr>
        <w:rPr>
          <w:noProof/>
        </w:rPr>
      </w:pPr>
      <w:r>
        <w:rPr>
          <w:noProof/>
        </w:rPr>
        <w:t>Per il 2017 l'importo corrisposto per le tre indennità per tutte le istituzioni europee è ammontato a 8 118 966,55 EUR (7 364 776,86 EUR per il 2016</w:t>
      </w:r>
      <w:bookmarkStart w:id="2" w:name="_CopyToNewDocument_"/>
      <w:bookmarkEnd w:id="2"/>
      <w:r>
        <w:rPr>
          <w:noProof/>
        </w:rPr>
        <w:t xml:space="preserve">). </w:t>
      </w: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ListParagraph"/>
        <w:ind w:left="0"/>
      </w:pPr>
      <w:r>
        <w:rPr>
          <w:rStyle w:val="FootnoteReference"/>
          <w:sz w:val="20"/>
          <w:szCs w:val="20"/>
        </w:rPr>
        <w:footnoteRef/>
      </w:r>
      <w:r>
        <w:rPr>
          <w:sz w:val="20"/>
          <w:szCs w:val="20"/>
        </w:rPr>
        <w:t xml:space="preserve"> All'OLAF il servizio di permanenza è assicurato 24 ore su 24 e 7 giorni su 7 da 0,33 AD/0,33 SC-AST/0,33 GFI (totale = 1 beneficiario) della squadra di sicurezza di stabilità. </w:t>
      </w:r>
      <w:r>
        <w:rPr>
          <w:sz w:val="20"/>
          <w:szCs w:val="20"/>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1664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30D8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807A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FCEA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DCA3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82E7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04D12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0EAE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8D241E"/>
    <w:multiLevelType w:val="hybridMultilevel"/>
    <w:tmpl w:val="074EA930"/>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3">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4">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6">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9">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2">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4">
    <w:nsid w:val="6CFA7791"/>
    <w:multiLevelType w:val="hybridMultilevel"/>
    <w:tmpl w:val="159690E8"/>
    <w:lvl w:ilvl="0" w:tplc="2544F1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7"/>
  </w:num>
  <w:num w:numId="2">
    <w:abstractNumId w:val="11"/>
  </w:num>
  <w:num w:numId="3">
    <w:abstractNumId w:val="20"/>
  </w:num>
  <w:num w:numId="4">
    <w:abstractNumId w:val="19"/>
  </w:num>
  <w:num w:numId="5">
    <w:abstractNumId w:val="16"/>
  </w:num>
  <w:num w:numId="6">
    <w:abstractNumId w:val="23"/>
  </w:num>
  <w:num w:numId="7">
    <w:abstractNumId w:val="26"/>
  </w:num>
  <w:num w:numId="8">
    <w:abstractNumId w:val="25"/>
  </w:num>
  <w:num w:numId="9">
    <w:abstractNumId w:val="27"/>
  </w:num>
  <w:num w:numId="10">
    <w:abstractNumId w:val="13"/>
  </w:num>
  <w:num w:numId="11">
    <w:abstractNumId w:val="12"/>
  </w:num>
  <w:num w:numId="12">
    <w:abstractNumId w:val="21"/>
  </w:num>
  <w:num w:numId="13">
    <w:abstractNumId w:val="14"/>
  </w:num>
  <w:num w:numId="14">
    <w:abstractNumId w:val="18"/>
  </w:num>
  <w:num w:numId="15">
    <w:abstractNumId w:val="6"/>
  </w:num>
  <w:num w:numId="16">
    <w:abstractNumId w:val="2"/>
  </w:num>
  <w:num w:numId="17">
    <w:abstractNumId w:val="1"/>
  </w:num>
  <w:num w:numId="18">
    <w:abstractNumId w:val="0"/>
  </w:num>
  <w:num w:numId="19">
    <w:abstractNumId w:val="7"/>
  </w:num>
  <w:num w:numId="20">
    <w:abstractNumId w:val="5"/>
  </w:num>
  <w:num w:numId="21">
    <w:abstractNumId w:val="4"/>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5"/>
  </w:num>
  <w:num w:numId="26">
    <w:abstractNumId w:val="22"/>
  </w:num>
  <w:num w:numId="27">
    <w:abstractNumId w:val="24"/>
  </w:num>
  <w:num w:numId="28">
    <w:abstractNumId w:val="24"/>
  </w:num>
  <w:num w:numId="2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9217"/>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7F403542-F41C-4677-8B6C-EB2FFB8127CB"/>
    <w:docVar w:name="LW_COVERPAGE_TYPE" w:val="1"/>
    <w:docVar w:name="LW_CROSSREFERENCE" w:val="&lt;UNUSED&gt;"/>
    <w:docVar w:name="LW_DocType" w:val="NORMAL"/>
    <w:docVar w:name="LW_EMISSION" w:val="8.5.2019"/>
    <w:docVar w:name="LW_EMISSION_ISODATE" w:val="2019-05-08"/>
    <w:docVar w:name="LW_EMISSION_LOCATION" w:val="BRX"/>
    <w:docVar w:name="LW_EMISSION_PREFIX" w:val="Bruxelles, "/>
    <w:docVar w:name="LW_EMISSION_SUFFIX" w:val=" "/>
    <w:docVar w:name="LW_ID_DOCTYPE_NONLW" w:val="CP-005"/>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2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sull'applicazione nel 2017, da parte delle istituzioni, dei regolamenti del Consiglio n. 495/77, modificato da ultimo dal regolamento n. 1945/2006 (sulle permanenze), n. 858/2004 (su taluni lavori di carattere gravoso) e n. 300/76, modificato da ultimo dal regolamento n. 1873/2006 (sul servizio continuo o a turni)&lt;/FMT&gt;"/>
    <w:docVar w:name="LW_TYPE.DOC.CP" w:val="RELAZIONE DELLA COMMISSIONE AL CONSIGLIO E AL PARLAMENTO EUROPE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uiPriority w:val="9"/>
    <w:qFormat/>
    <w:pPr>
      <w:keepNext/>
      <w:numPr>
        <w:numId w:val="7"/>
      </w:numPr>
      <w:spacing w:before="360"/>
      <w:outlineLvl w:val="0"/>
    </w:pPr>
    <w:rPr>
      <w:b/>
      <w:bCs/>
      <w:smallCaps/>
      <w:szCs w:val="32"/>
    </w:rPr>
  </w:style>
  <w:style w:type="paragraph" w:styleId="Heading2">
    <w:name w:val="heading 2"/>
    <w:basedOn w:val="Normal"/>
    <w:next w:val="Normal"/>
    <w:link w:val="Heading2Char"/>
    <w:uiPriority w:val="9"/>
    <w:qFormat/>
    <w:pPr>
      <w:keepNext/>
      <w:numPr>
        <w:ilvl w:val="1"/>
        <w:numId w:val="7"/>
      </w:numPr>
      <w:outlineLvl w:val="1"/>
    </w:pPr>
    <w:rPr>
      <w:b/>
      <w:bCs/>
      <w:iCs/>
      <w:szCs w:val="28"/>
    </w:rPr>
  </w:style>
  <w:style w:type="paragraph" w:styleId="Heading3">
    <w:name w:val="heading 3"/>
    <w:basedOn w:val="Normal"/>
    <w:next w:val="Normal"/>
    <w:link w:val="Heading3Char"/>
    <w:uiPriority w:val="9"/>
    <w:qFormat/>
    <w:pPr>
      <w:keepNext/>
      <w:numPr>
        <w:ilvl w:val="2"/>
        <w:numId w:val="7"/>
      </w:numPr>
      <w:outlineLvl w:val="2"/>
    </w:pPr>
    <w:rPr>
      <w:bCs/>
      <w:i/>
      <w:szCs w:val="26"/>
    </w:rPr>
  </w:style>
  <w:style w:type="paragraph" w:styleId="Heading4">
    <w:name w:val="heading 4"/>
    <w:basedOn w:val="Normal"/>
    <w:next w:val="Normal"/>
    <w:link w:val="Heading4Char"/>
    <w:uiPriority w:val="9"/>
    <w:qFormat/>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semiHidden/>
    <w:rPr>
      <w:shd w:val="clear" w:color="auto" w:fill="auto"/>
      <w:vertAlign w:val="superscript"/>
    </w:rPr>
  </w:style>
  <w:style w:type="paragraph" w:styleId="FootnoteText">
    <w:name w:val="footnote text"/>
    <w:basedOn w:val="Normal"/>
    <w:link w:val="FootnoteTextChar"/>
    <w:uiPriority w:val="99"/>
    <w:semiHidden/>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semiHidden/>
    <w:pPr>
      <w:tabs>
        <w:tab w:val="right" w:leader="dot" w:pos="9071"/>
      </w:tabs>
      <w:spacing w:before="60"/>
      <w:ind w:left="850" w:hanging="850"/>
      <w:jc w:val="left"/>
    </w:pPr>
  </w:style>
  <w:style w:type="paragraph" w:styleId="TOC2">
    <w:name w:val="toc 2"/>
    <w:basedOn w:val="Normal"/>
    <w:next w:val="Normal"/>
    <w:uiPriority w:val="39"/>
    <w:semiHidden/>
    <w:pPr>
      <w:tabs>
        <w:tab w:val="right" w:leader="dot" w:pos="9071"/>
      </w:tabs>
      <w:spacing w:before="60"/>
      <w:ind w:left="850" w:hanging="850"/>
      <w:jc w:val="left"/>
    </w:pPr>
  </w:style>
  <w:style w:type="paragraph" w:styleId="TOC3">
    <w:name w:val="toc 3"/>
    <w:basedOn w:val="Normal"/>
    <w:next w:val="Normal"/>
    <w:uiPriority w:val="39"/>
    <w:semiHidden/>
    <w:pPr>
      <w:tabs>
        <w:tab w:val="right" w:leader="dot" w:pos="9071"/>
      </w:tabs>
      <w:spacing w:before="60"/>
      <w:ind w:left="850" w:hanging="850"/>
      <w:jc w:val="left"/>
    </w:pPr>
  </w:style>
  <w:style w:type="paragraph" w:styleId="TOC4">
    <w:name w:val="toc 4"/>
    <w:basedOn w:val="Normal"/>
    <w:next w:val="Normal"/>
    <w:uiPriority w:val="39"/>
    <w:semiHidden/>
    <w:pPr>
      <w:tabs>
        <w:tab w:val="right" w:leader="dot" w:pos="9071"/>
      </w:tabs>
      <w:spacing w:before="60"/>
      <w:ind w:left="850" w:hanging="850"/>
      <w:jc w:val="left"/>
    </w:pPr>
  </w:style>
  <w:style w:type="paragraph" w:styleId="TOC5">
    <w:name w:val="toc 5"/>
    <w:basedOn w:val="Normal"/>
    <w:next w:val="Normal"/>
    <w:uiPriority w:val="39"/>
    <w:semiHidden/>
    <w:pPr>
      <w:tabs>
        <w:tab w:val="right" w:leader="dot" w:pos="9071"/>
      </w:tabs>
      <w:spacing w:before="300"/>
      <w:jc w:val="left"/>
    </w:pPr>
  </w:style>
  <w:style w:type="paragraph" w:styleId="TOC6">
    <w:name w:val="toc 6"/>
    <w:basedOn w:val="Normal"/>
    <w:next w:val="Normal"/>
    <w:uiPriority w:val="39"/>
    <w:semiHidden/>
    <w:pPr>
      <w:tabs>
        <w:tab w:val="right" w:leader="dot" w:pos="9071"/>
      </w:tabs>
      <w:spacing w:before="240"/>
      <w:jc w:val="left"/>
    </w:pPr>
  </w:style>
  <w:style w:type="paragraph" w:styleId="TOC7">
    <w:name w:val="toc 7"/>
    <w:basedOn w:val="Normal"/>
    <w:next w:val="Normal"/>
    <w:uiPriority w:val="39"/>
    <w:semiHidden/>
    <w:pPr>
      <w:tabs>
        <w:tab w:val="right" w:leader="dot" w:pos="9071"/>
      </w:tabs>
      <w:spacing w:before="180"/>
      <w:jc w:val="left"/>
    </w:pPr>
  </w:style>
  <w:style w:type="paragraph" w:styleId="TOC8">
    <w:name w:val="toc 8"/>
    <w:basedOn w:val="Normal"/>
    <w:next w:val="Normal"/>
    <w:uiPriority w:val="39"/>
    <w:semiHidden/>
    <w:pPr>
      <w:tabs>
        <w:tab w:val="right" w:leader="dot" w:pos="9071"/>
      </w:tabs>
      <w:jc w:val="left"/>
    </w:pPr>
  </w:style>
  <w:style w:type="paragraph" w:styleId="TOC9">
    <w:name w:val="toc 9"/>
    <w:basedOn w:val="Normal"/>
    <w:next w:val="Normal"/>
    <w:uiPriority w:val="39"/>
    <w:semiHidden/>
    <w:pPr>
      <w:tabs>
        <w:tab w:val="right" w:leader="dot" w:pos="9071"/>
      </w:tabs>
    </w:pPr>
  </w:style>
  <w:style w:type="paragraph" w:styleId="TOCHeading">
    <w:name w:val="TOC Heading"/>
    <w:basedOn w:val="Normal"/>
    <w:next w:val="Normal"/>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Caption">
    <w:name w:val="caption"/>
    <w:basedOn w:val="Normal"/>
    <w:next w:val="Normal"/>
    <w:qFormat/>
    <w:rPr>
      <w:b/>
      <w:bCs/>
      <w:sz w:val="20"/>
      <w:szCs w:val="20"/>
      <w:lang w:eastAsia="en-GB"/>
    </w:rPr>
  </w:style>
  <w:style w:type="paragraph" w:styleId="TableofFigures">
    <w:name w:val="table of figures"/>
    <w:basedOn w:val="Normal"/>
    <w:next w:val="Normal"/>
    <w:rPr>
      <w:szCs w:val="22"/>
      <w:lang w:eastAsia="en-GB"/>
    </w:rPr>
  </w:style>
  <w:style w:type="character" w:styleId="CommentReference">
    <w:name w:val="annotation reference"/>
    <w:rPr>
      <w:sz w:val="16"/>
      <w:szCs w:val="16"/>
      <w:shd w:val="clear" w:color="auto" w:fill="auto"/>
    </w:rPr>
  </w:style>
  <w:style w:type="paragraph" w:styleId="ListNumber">
    <w:name w:val="List Number"/>
    <w:basedOn w:val="Normal"/>
    <w:pPr>
      <w:numPr>
        <w:numId w:val="15"/>
      </w:numPr>
    </w:pPr>
    <w:rPr>
      <w:szCs w:val="22"/>
      <w:lang w:eastAsia="en-GB"/>
    </w:rPr>
  </w:style>
  <w:style w:type="paragraph" w:styleId="ListNumber2">
    <w:name w:val="List Number 2"/>
    <w:basedOn w:val="Normal"/>
    <w:pPr>
      <w:numPr>
        <w:numId w:val="16"/>
      </w:numPr>
    </w:pPr>
    <w:rPr>
      <w:szCs w:val="22"/>
      <w:lang w:eastAsia="en-GB"/>
    </w:rPr>
  </w:style>
  <w:style w:type="paragraph" w:styleId="ListNumber3">
    <w:name w:val="List Number 3"/>
    <w:basedOn w:val="Normal"/>
    <w:pPr>
      <w:numPr>
        <w:numId w:val="17"/>
      </w:numPr>
    </w:pPr>
    <w:rPr>
      <w:szCs w:val="22"/>
      <w:lang w:eastAsia="en-GB"/>
    </w:rPr>
  </w:style>
  <w:style w:type="paragraph" w:styleId="ListNumber4">
    <w:name w:val="List Number 4"/>
    <w:basedOn w:val="Normal"/>
    <w:pPr>
      <w:numPr>
        <w:numId w:val="18"/>
      </w:numPr>
    </w:pPr>
    <w:rPr>
      <w:szCs w:val="22"/>
      <w:lang w:eastAsia="en-GB"/>
    </w:rPr>
  </w:style>
  <w:style w:type="paragraph" w:styleId="ListBullet">
    <w:name w:val="List Bullet"/>
    <w:basedOn w:val="Normal"/>
    <w:pPr>
      <w:numPr>
        <w:numId w:val="19"/>
      </w:numPr>
    </w:pPr>
    <w:rPr>
      <w:szCs w:val="22"/>
      <w:lang w:eastAsia="en-GB"/>
    </w:rPr>
  </w:style>
  <w:style w:type="paragraph" w:styleId="ListBullet2">
    <w:name w:val="List Bullet 2"/>
    <w:basedOn w:val="Normal"/>
    <w:pPr>
      <w:numPr>
        <w:numId w:val="20"/>
      </w:numPr>
    </w:pPr>
    <w:rPr>
      <w:szCs w:val="22"/>
      <w:lang w:eastAsia="en-GB"/>
    </w:rPr>
  </w:style>
  <w:style w:type="paragraph" w:styleId="ListBullet3">
    <w:name w:val="List Bullet 3"/>
    <w:basedOn w:val="Normal"/>
    <w:pPr>
      <w:numPr>
        <w:numId w:val="21"/>
      </w:numPr>
    </w:pPr>
    <w:rPr>
      <w:szCs w:val="22"/>
      <w:lang w:eastAsia="en-GB"/>
    </w:rPr>
  </w:style>
  <w:style w:type="paragraph" w:styleId="ListBullet4">
    <w:name w:val="List Bullet 4"/>
    <w:basedOn w:val="Normal"/>
    <w:pPr>
      <w:numPr>
        <w:numId w:val="22"/>
      </w:numPr>
    </w:pPr>
    <w:rPr>
      <w:szCs w:val="22"/>
      <w:lang w:eastAsia="en-GB"/>
    </w:rPr>
  </w:style>
  <w:style w:type="paragraph" w:styleId="CommentText">
    <w:name w:val="annotation text"/>
    <w:basedOn w:val="Normal"/>
    <w:link w:val="CommentTextChar"/>
    <w:rPr>
      <w:sz w:val="20"/>
      <w:szCs w:val="20"/>
      <w:lang w:eastAsia="en-GB"/>
    </w:rPr>
  </w:style>
  <w:style w:type="character" w:customStyle="1" w:styleId="CommentTextChar">
    <w:name w:val="Comment Text Char"/>
    <w:link w:val="CommentText"/>
    <w:rPr>
      <w:shd w:val="clear" w:color="auto" w:fill="auto"/>
      <w:lang w:val="it-I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val="it-IT"/>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lang w:eastAsia="en-GB"/>
    </w:rPr>
  </w:style>
  <w:style w:type="character" w:customStyle="1" w:styleId="BalloonTextChar">
    <w:name w:val="Balloon Text Char"/>
    <w:link w:val="BalloonText"/>
    <w:rPr>
      <w:rFonts w:ascii="Tahoma" w:hAnsi="Tahoma" w:cs="Tahoma"/>
      <w:sz w:val="16"/>
      <w:szCs w:val="16"/>
      <w:shd w:val="clear" w:color="auto" w:fill="auto"/>
      <w:lang w:val="it-IT"/>
    </w:rPr>
  </w:style>
  <w:style w:type="character" w:styleId="FollowedHyperlink">
    <w:name w:val="FollowedHyperlink"/>
    <w:rPr>
      <w:color w:val="800080"/>
      <w:u w:val="single"/>
      <w:shd w:val="clear" w:color="auto" w:fill="auto"/>
    </w:rPr>
  </w:style>
  <w:style w:type="character" w:styleId="PageNumber">
    <w:name w:val="page number"/>
    <w:rPr>
      <w:shd w:val="clear" w:color="auto" w:fill="auto"/>
    </w:rPr>
  </w:style>
  <w:style w:type="paragraph" w:styleId="Revision">
    <w:name w:val="Revision"/>
    <w:hidden/>
    <w:uiPriority w:val="99"/>
    <w:semiHidden/>
    <w:pPr>
      <w:spacing w:after="200" w:line="276" w:lineRule="auto"/>
    </w:pPr>
    <w:rPr>
      <w:sz w:val="24"/>
      <w:szCs w:val="24"/>
      <w:lang w:eastAsia="en-US"/>
    </w:rPr>
  </w:style>
  <w:style w:type="character" w:customStyle="1" w:styleId="HeaderChar">
    <w:name w:val="Header Char"/>
    <w:link w:val="Header"/>
    <w:uiPriority w:val="99"/>
    <w:rPr>
      <w:rFonts w:eastAsia="Calibri"/>
      <w:sz w:val="24"/>
      <w:szCs w:val="22"/>
      <w:lang w:eastAsia="en-US"/>
    </w:rPr>
  </w:style>
  <w:style w:type="character" w:customStyle="1" w:styleId="FooterChar">
    <w:name w:val="Footer Char"/>
    <w:link w:val="Footer"/>
    <w:uiPriority w:val="99"/>
    <w:rPr>
      <w:rFonts w:eastAsia="Calibri"/>
      <w:sz w:val="24"/>
      <w:szCs w:val="22"/>
      <w:lang w:eastAsia="en-US"/>
    </w:rPr>
  </w:style>
  <w:style w:type="character" w:customStyle="1" w:styleId="FootnoteTextChar">
    <w:name w:val="Footnote Text Char"/>
    <w:link w:val="FootnoteText"/>
    <w:uiPriority w:val="99"/>
    <w:semiHidden/>
    <w:rPr>
      <w:lang w:eastAsia="en-US"/>
    </w:rPr>
  </w:style>
  <w:style w:type="character" w:customStyle="1" w:styleId="Heading1Char">
    <w:name w:val="Heading 1 Char"/>
    <w:link w:val="Heading1"/>
    <w:uiPriority w:val="9"/>
    <w:rPr>
      <w:b/>
      <w:bCs/>
      <w:smallCaps/>
      <w:sz w:val="24"/>
      <w:szCs w:val="32"/>
      <w:lang w:eastAsia="en-US"/>
    </w:rPr>
  </w:style>
  <w:style w:type="character" w:customStyle="1" w:styleId="Heading2Char">
    <w:name w:val="Heading 2 Char"/>
    <w:link w:val="Heading2"/>
    <w:uiPriority w:val="9"/>
    <w:rPr>
      <w:b/>
      <w:bCs/>
      <w:iCs/>
      <w:sz w:val="24"/>
      <w:szCs w:val="28"/>
      <w:lang w:eastAsia="en-US"/>
    </w:rPr>
  </w:style>
  <w:style w:type="character" w:customStyle="1" w:styleId="Heading3Char">
    <w:name w:val="Heading 3 Char"/>
    <w:link w:val="Heading3"/>
    <w:uiPriority w:val="9"/>
    <w:rPr>
      <w:bCs/>
      <w:i/>
      <w:sz w:val="24"/>
      <w:szCs w:val="26"/>
      <w:lang w:eastAsia="en-US"/>
    </w:rPr>
  </w:style>
  <w:style w:type="character" w:customStyle="1" w:styleId="Heading4Char">
    <w:name w:val="Heading 4 Char"/>
    <w:link w:val="Heading4"/>
    <w:uiPriority w:val="9"/>
    <w:rPr>
      <w:bCs/>
      <w:sz w:val="24"/>
      <w:szCs w:val="28"/>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link w:val="Typedudocument"/>
    <w:rPr>
      <w:b/>
      <w:sz w:val="24"/>
      <w:szCs w:val="24"/>
      <w:shd w:val="clear" w:color="auto" w:fill="auto"/>
      <w:lang w:eastAsia="en-US"/>
    </w:r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paragraph" w:styleId="ListParagraph">
    <w:name w:val="List Paragraph"/>
    <w:basedOn w:val="Normal"/>
    <w:uiPriority w:val="34"/>
    <w:qFormat/>
    <w:pPr>
      <w:spacing w:before="0" w:after="0"/>
      <w:ind w:left="720"/>
      <w:jc w:val="left"/>
    </w:pPr>
    <w:rPr>
      <w:rFonts w:ascii="Calibri" w:eastAsia="Calibri" w:hAnsi="Calibri" w:cs="Calibri"/>
      <w:sz w:val="22"/>
      <w:szCs w:val="22"/>
    </w:rPr>
  </w:style>
  <w:style w:type="paragraph" w:customStyle="1" w:styleId="Declassification">
    <w:name w:val="Declassification"/>
    <w:basedOn w:val="Normal"/>
    <w:next w:val="Normal"/>
    <w:pPr>
      <w:spacing w:before="0" w:after="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0357">
      <w:bodyDiv w:val="1"/>
      <w:marLeft w:val="0"/>
      <w:marRight w:val="0"/>
      <w:marTop w:val="0"/>
      <w:marBottom w:val="0"/>
      <w:divBdr>
        <w:top w:val="none" w:sz="0" w:space="0" w:color="auto"/>
        <w:left w:val="none" w:sz="0" w:space="0" w:color="auto"/>
        <w:bottom w:val="none" w:sz="0" w:space="0" w:color="auto"/>
        <w:right w:val="none" w:sz="0" w:space="0" w:color="auto"/>
      </w:divBdr>
    </w:div>
    <w:div w:id="1666660806">
      <w:bodyDiv w:val="1"/>
      <w:marLeft w:val="0"/>
      <w:marRight w:val="0"/>
      <w:marTop w:val="0"/>
      <w:marBottom w:val="0"/>
      <w:divBdr>
        <w:top w:val="none" w:sz="0" w:space="0" w:color="auto"/>
        <w:left w:val="none" w:sz="0" w:space="0" w:color="auto"/>
        <w:bottom w:val="none" w:sz="0" w:space="0" w:color="auto"/>
        <w:right w:val="none" w:sz="0" w:space="0" w:color="auto"/>
      </w:divBdr>
      <w:divsChild>
        <w:div w:id="117720648">
          <w:marLeft w:val="0"/>
          <w:marRight w:val="0"/>
          <w:marTop w:val="0"/>
          <w:marBottom w:val="0"/>
          <w:divBdr>
            <w:top w:val="none" w:sz="0" w:space="0" w:color="auto"/>
            <w:left w:val="none" w:sz="0" w:space="0" w:color="auto"/>
            <w:bottom w:val="none" w:sz="0" w:space="0" w:color="auto"/>
            <w:right w:val="none" w:sz="0" w:space="0" w:color="auto"/>
          </w:divBdr>
          <w:divsChild>
            <w:div w:id="1264916332">
              <w:marLeft w:val="0"/>
              <w:marRight w:val="0"/>
              <w:marTop w:val="0"/>
              <w:marBottom w:val="0"/>
              <w:divBdr>
                <w:top w:val="none" w:sz="0" w:space="0" w:color="auto"/>
                <w:left w:val="none" w:sz="0" w:space="0" w:color="auto"/>
                <w:bottom w:val="none" w:sz="0" w:space="0" w:color="auto"/>
                <w:right w:val="none" w:sz="0" w:space="0" w:color="auto"/>
              </w:divBdr>
              <w:divsChild>
                <w:div w:id="1444567839">
                  <w:marLeft w:val="0"/>
                  <w:marRight w:val="0"/>
                  <w:marTop w:val="0"/>
                  <w:marBottom w:val="0"/>
                  <w:divBdr>
                    <w:top w:val="none" w:sz="0" w:space="0" w:color="auto"/>
                    <w:left w:val="none" w:sz="0" w:space="0" w:color="auto"/>
                    <w:bottom w:val="none" w:sz="0" w:space="0" w:color="auto"/>
                    <w:right w:val="none" w:sz="0" w:space="0" w:color="auto"/>
                  </w:divBdr>
                  <w:divsChild>
                    <w:div w:id="1741975158">
                      <w:marLeft w:val="0"/>
                      <w:marRight w:val="0"/>
                      <w:marTop w:val="0"/>
                      <w:marBottom w:val="0"/>
                      <w:divBdr>
                        <w:top w:val="none" w:sz="0" w:space="0" w:color="auto"/>
                        <w:left w:val="none" w:sz="0" w:space="0" w:color="auto"/>
                        <w:bottom w:val="none" w:sz="0" w:space="0" w:color="auto"/>
                        <w:right w:val="none" w:sz="0" w:space="0" w:color="auto"/>
                      </w:divBdr>
                      <w:divsChild>
                        <w:div w:id="1530727975">
                          <w:marLeft w:val="0"/>
                          <w:marRight w:val="0"/>
                          <w:marTop w:val="0"/>
                          <w:marBottom w:val="0"/>
                          <w:divBdr>
                            <w:top w:val="none" w:sz="0" w:space="0" w:color="auto"/>
                            <w:left w:val="none" w:sz="0" w:space="0" w:color="auto"/>
                            <w:bottom w:val="none" w:sz="0" w:space="0" w:color="auto"/>
                            <w:right w:val="none" w:sz="0" w:space="0" w:color="auto"/>
                          </w:divBdr>
                          <w:divsChild>
                            <w:div w:id="1939678887">
                              <w:marLeft w:val="0"/>
                              <w:marRight w:val="0"/>
                              <w:marTop w:val="0"/>
                              <w:marBottom w:val="0"/>
                              <w:divBdr>
                                <w:top w:val="none" w:sz="0" w:space="0" w:color="auto"/>
                                <w:left w:val="none" w:sz="0" w:space="0" w:color="auto"/>
                                <w:bottom w:val="none" w:sz="0" w:space="0" w:color="auto"/>
                                <w:right w:val="none" w:sz="0" w:space="0" w:color="auto"/>
                              </w:divBdr>
                              <w:divsChild>
                                <w:div w:id="1345520029">
                                  <w:marLeft w:val="0"/>
                                  <w:marRight w:val="0"/>
                                  <w:marTop w:val="0"/>
                                  <w:marBottom w:val="0"/>
                                  <w:divBdr>
                                    <w:top w:val="none" w:sz="0" w:space="0" w:color="auto"/>
                                    <w:left w:val="none" w:sz="0" w:space="0" w:color="auto"/>
                                    <w:bottom w:val="none" w:sz="0" w:space="0" w:color="auto"/>
                                    <w:right w:val="none" w:sz="0" w:space="0" w:color="auto"/>
                                  </w:divBdr>
                                  <w:divsChild>
                                    <w:div w:id="1189224712">
                                      <w:marLeft w:val="60"/>
                                      <w:marRight w:val="0"/>
                                      <w:marTop w:val="0"/>
                                      <w:marBottom w:val="0"/>
                                      <w:divBdr>
                                        <w:top w:val="none" w:sz="0" w:space="0" w:color="auto"/>
                                        <w:left w:val="none" w:sz="0" w:space="0" w:color="auto"/>
                                        <w:bottom w:val="none" w:sz="0" w:space="0" w:color="auto"/>
                                        <w:right w:val="none" w:sz="0" w:space="0" w:color="auto"/>
                                      </w:divBdr>
                                      <w:divsChild>
                                        <w:div w:id="135879281">
                                          <w:marLeft w:val="0"/>
                                          <w:marRight w:val="0"/>
                                          <w:marTop w:val="0"/>
                                          <w:marBottom w:val="0"/>
                                          <w:divBdr>
                                            <w:top w:val="none" w:sz="0" w:space="0" w:color="auto"/>
                                            <w:left w:val="none" w:sz="0" w:space="0" w:color="auto"/>
                                            <w:bottom w:val="none" w:sz="0" w:space="0" w:color="auto"/>
                                            <w:right w:val="none" w:sz="0" w:space="0" w:color="auto"/>
                                          </w:divBdr>
                                          <w:divsChild>
                                            <w:div w:id="2034265776">
                                              <w:marLeft w:val="0"/>
                                              <w:marRight w:val="0"/>
                                              <w:marTop w:val="0"/>
                                              <w:marBottom w:val="120"/>
                                              <w:divBdr>
                                                <w:top w:val="single" w:sz="6" w:space="0" w:color="F5F5F5"/>
                                                <w:left w:val="single" w:sz="6" w:space="0" w:color="F5F5F5"/>
                                                <w:bottom w:val="single" w:sz="6" w:space="0" w:color="F5F5F5"/>
                                                <w:right w:val="single" w:sz="6" w:space="0" w:color="F5F5F5"/>
                                              </w:divBdr>
                                              <w:divsChild>
                                                <w:div w:id="811672421">
                                                  <w:marLeft w:val="0"/>
                                                  <w:marRight w:val="0"/>
                                                  <w:marTop w:val="0"/>
                                                  <w:marBottom w:val="0"/>
                                                  <w:divBdr>
                                                    <w:top w:val="none" w:sz="0" w:space="0" w:color="auto"/>
                                                    <w:left w:val="none" w:sz="0" w:space="0" w:color="auto"/>
                                                    <w:bottom w:val="none" w:sz="0" w:space="0" w:color="auto"/>
                                                    <w:right w:val="none" w:sz="0" w:space="0" w:color="auto"/>
                                                  </w:divBdr>
                                                  <w:divsChild>
                                                    <w:div w:id="1792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694354">
      <w:bodyDiv w:val="1"/>
      <w:marLeft w:val="0"/>
      <w:marRight w:val="0"/>
      <w:marTop w:val="0"/>
      <w:marBottom w:val="0"/>
      <w:divBdr>
        <w:top w:val="none" w:sz="0" w:space="0" w:color="auto"/>
        <w:left w:val="none" w:sz="0" w:space="0" w:color="auto"/>
        <w:bottom w:val="none" w:sz="0" w:space="0" w:color="auto"/>
        <w:right w:val="none" w:sz="0" w:space="0" w:color="auto"/>
      </w:divBdr>
    </w:div>
    <w:div w:id="2116706898">
      <w:bodyDiv w:val="1"/>
      <w:marLeft w:val="0"/>
      <w:marRight w:val="0"/>
      <w:marTop w:val="0"/>
      <w:marBottom w:val="0"/>
      <w:divBdr>
        <w:top w:val="none" w:sz="0" w:space="0" w:color="auto"/>
        <w:left w:val="none" w:sz="0" w:space="0" w:color="auto"/>
        <w:bottom w:val="none" w:sz="0" w:space="0" w:color="auto"/>
        <w:right w:val="none" w:sz="0" w:space="0" w:color="auto"/>
      </w:divBdr>
      <w:divsChild>
        <w:div w:id="1083449593">
          <w:marLeft w:val="0"/>
          <w:marRight w:val="0"/>
          <w:marTop w:val="0"/>
          <w:marBottom w:val="0"/>
          <w:divBdr>
            <w:top w:val="none" w:sz="0" w:space="0" w:color="auto"/>
            <w:left w:val="none" w:sz="0" w:space="0" w:color="auto"/>
            <w:bottom w:val="none" w:sz="0" w:space="0" w:color="auto"/>
            <w:right w:val="none" w:sz="0" w:space="0" w:color="auto"/>
          </w:divBdr>
          <w:divsChild>
            <w:div w:id="458914890">
              <w:marLeft w:val="0"/>
              <w:marRight w:val="0"/>
              <w:marTop w:val="0"/>
              <w:marBottom w:val="0"/>
              <w:divBdr>
                <w:top w:val="none" w:sz="0" w:space="0" w:color="auto"/>
                <w:left w:val="none" w:sz="0" w:space="0" w:color="auto"/>
                <w:bottom w:val="none" w:sz="0" w:space="0" w:color="auto"/>
                <w:right w:val="none" w:sz="0" w:space="0" w:color="auto"/>
              </w:divBdr>
              <w:divsChild>
                <w:div w:id="697121770">
                  <w:marLeft w:val="0"/>
                  <w:marRight w:val="0"/>
                  <w:marTop w:val="0"/>
                  <w:marBottom w:val="0"/>
                  <w:divBdr>
                    <w:top w:val="none" w:sz="0" w:space="0" w:color="auto"/>
                    <w:left w:val="none" w:sz="0" w:space="0" w:color="auto"/>
                    <w:bottom w:val="none" w:sz="0" w:space="0" w:color="auto"/>
                    <w:right w:val="none" w:sz="0" w:space="0" w:color="auto"/>
                  </w:divBdr>
                  <w:divsChild>
                    <w:div w:id="321348569">
                      <w:marLeft w:val="0"/>
                      <w:marRight w:val="0"/>
                      <w:marTop w:val="0"/>
                      <w:marBottom w:val="0"/>
                      <w:divBdr>
                        <w:top w:val="none" w:sz="0" w:space="0" w:color="auto"/>
                        <w:left w:val="none" w:sz="0" w:space="0" w:color="auto"/>
                        <w:bottom w:val="none" w:sz="0" w:space="0" w:color="auto"/>
                        <w:right w:val="none" w:sz="0" w:space="0" w:color="auto"/>
                      </w:divBdr>
                      <w:divsChild>
                        <w:div w:id="363483849">
                          <w:marLeft w:val="0"/>
                          <w:marRight w:val="0"/>
                          <w:marTop w:val="0"/>
                          <w:marBottom w:val="0"/>
                          <w:divBdr>
                            <w:top w:val="none" w:sz="0" w:space="0" w:color="auto"/>
                            <w:left w:val="none" w:sz="0" w:space="0" w:color="auto"/>
                            <w:bottom w:val="none" w:sz="0" w:space="0" w:color="auto"/>
                            <w:right w:val="none" w:sz="0" w:space="0" w:color="auto"/>
                          </w:divBdr>
                          <w:divsChild>
                            <w:div w:id="240023557">
                              <w:marLeft w:val="0"/>
                              <w:marRight w:val="0"/>
                              <w:marTop w:val="0"/>
                              <w:marBottom w:val="0"/>
                              <w:divBdr>
                                <w:top w:val="none" w:sz="0" w:space="0" w:color="auto"/>
                                <w:left w:val="none" w:sz="0" w:space="0" w:color="auto"/>
                                <w:bottom w:val="none" w:sz="0" w:space="0" w:color="auto"/>
                                <w:right w:val="none" w:sz="0" w:space="0" w:color="auto"/>
                              </w:divBdr>
                              <w:divsChild>
                                <w:div w:id="847405046">
                                  <w:marLeft w:val="0"/>
                                  <w:marRight w:val="0"/>
                                  <w:marTop w:val="0"/>
                                  <w:marBottom w:val="0"/>
                                  <w:divBdr>
                                    <w:top w:val="none" w:sz="0" w:space="0" w:color="auto"/>
                                    <w:left w:val="none" w:sz="0" w:space="0" w:color="auto"/>
                                    <w:bottom w:val="none" w:sz="0" w:space="0" w:color="auto"/>
                                    <w:right w:val="none" w:sz="0" w:space="0" w:color="auto"/>
                                  </w:divBdr>
                                  <w:divsChild>
                                    <w:div w:id="2076313999">
                                      <w:marLeft w:val="60"/>
                                      <w:marRight w:val="0"/>
                                      <w:marTop w:val="0"/>
                                      <w:marBottom w:val="0"/>
                                      <w:divBdr>
                                        <w:top w:val="none" w:sz="0" w:space="0" w:color="auto"/>
                                        <w:left w:val="none" w:sz="0" w:space="0" w:color="auto"/>
                                        <w:bottom w:val="none" w:sz="0" w:space="0" w:color="auto"/>
                                        <w:right w:val="none" w:sz="0" w:space="0" w:color="auto"/>
                                      </w:divBdr>
                                      <w:divsChild>
                                        <w:div w:id="82847149">
                                          <w:marLeft w:val="0"/>
                                          <w:marRight w:val="0"/>
                                          <w:marTop w:val="0"/>
                                          <w:marBottom w:val="0"/>
                                          <w:divBdr>
                                            <w:top w:val="none" w:sz="0" w:space="0" w:color="auto"/>
                                            <w:left w:val="none" w:sz="0" w:space="0" w:color="auto"/>
                                            <w:bottom w:val="none" w:sz="0" w:space="0" w:color="auto"/>
                                            <w:right w:val="none" w:sz="0" w:space="0" w:color="auto"/>
                                          </w:divBdr>
                                          <w:divsChild>
                                            <w:div w:id="1102411194">
                                              <w:marLeft w:val="0"/>
                                              <w:marRight w:val="0"/>
                                              <w:marTop w:val="0"/>
                                              <w:marBottom w:val="120"/>
                                              <w:divBdr>
                                                <w:top w:val="single" w:sz="6" w:space="0" w:color="F5F5F5"/>
                                                <w:left w:val="single" w:sz="6" w:space="0" w:color="F5F5F5"/>
                                                <w:bottom w:val="single" w:sz="6" w:space="0" w:color="F5F5F5"/>
                                                <w:right w:val="single" w:sz="6" w:space="0" w:color="F5F5F5"/>
                                              </w:divBdr>
                                              <w:divsChild>
                                                <w:div w:id="1321226304">
                                                  <w:marLeft w:val="0"/>
                                                  <w:marRight w:val="0"/>
                                                  <w:marTop w:val="0"/>
                                                  <w:marBottom w:val="0"/>
                                                  <w:divBdr>
                                                    <w:top w:val="none" w:sz="0" w:space="0" w:color="auto"/>
                                                    <w:left w:val="none" w:sz="0" w:space="0" w:color="auto"/>
                                                    <w:bottom w:val="none" w:sz="0" w:space="0" w:color="auto"/>
                                                    <w:right w:val="none" w:sz="0" w:space="0" w:color="auto"/>
                                                  </w:divBdr>
                                                  <w:divsChild>
                                                    <w:div w:id="40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575E-3CE2-438A-AF02-4B43299A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3537</Words>
  <Characters>16768</Characters>
  <Application>Microsoft Office Word</Application>
  <DocSecurity>0</DocSecurity>
  <Lines>1117</Lines>
  <Paragraphs>1015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17</cp:revision>
  <cp:lastPrinted>2019-03-19T08:44:00Z</cp:lastPrinted>
  <dcterms:created xsi:type="dcterms:W3CDTF">2019-03-27T15:38:00Z</dcterms:created>
  <dcterms:modified xsi:type="dcterms:W3CDTF">2019-04-26T09:31:00Z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