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CB74DA5-2E7E-4553-9535-BCA21CD267C4"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Genom rådets förordning (EU) 2019/124 fastställs för år 2019 fiskemöjligheterna för vissa fiskbestånd och grupper av fiskbestånd i unionens vatten och, för unionsfartyg, i vissa andra vatten. Dessa fiskemöjligheter ändras vanligen flera gånger under sin giltighetsperiod. I rådets förordning (EU) 2018/2025 fastställs fiskemöjligheterna för unionens fiskefartyg för vissa djuphavsbestånd för 2019 och 2020. Förslaget innefattar en ändring av TAC för ett bestånd av fläckpagell efter utlåtandet från Ices om det beståndet.</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rPr>
          <w:noProof/>
        </w:rPr>
      </w:pPr>
      <w:r>
        <w:rPr>
          <w:noProof/>
        </w:rPr>
        <w:t>De föreslagna åtgärderna har utformats i enlighet med målen och reglerna för den gemensamma fiskeripolitiken och är förenliga med unionens politik för hållbar utveckling.</w:t>
      </w:r>
    </w:p>
    <w:p>
      <w:pPr>
        <w:pStyle w:val="ManualHeading2"/>
        <w:rPr>
          <w:rFonts w:eastAsia="Arial Unicode MS"/>
          <w:noProof/>
        </w:rPr>
      </w:pPr>
      <w:r>
        <w:rPr>
          <w:noProof/>
          <w:color w:val="000000"/>
          <w:u w:color="000000"/>
          <w:bdr w:val="nil"/>
        </w:rPr>
        <w:t>•</w:t>
      </w:r>
      <w:r>
        <w:rPr>
          <w:noProof/>
        </w:rPr>
        <w:tab/>
        <w:t>Förenlighet med unionens politik inom andra områden</w:t>
      </w:r>
    </w:p>
    <w:p>
      <w:pPr>
        <w:rPr>
          <w:noProof/>
        </w:rPr>
      </w:pPr>
      <w:r>
        <w:rPr>
          <w:noProof/>
        </w:rPr>
        <w:t>De föreslagna åtgärderna är förenliga med unionens politik på andra områden, särskilt med miljöpolitiken.</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noProof/>
        </w:rPr>
      </w:pPr>
      <w:r>
        <w:rPr>
          <w:noProof/>
        </w:rPr>
        <w:t>Den rättsliga grunden för detta förslag är artikel 43.3 i fördraget om Europeiska unionens funktionssätt.</w:t>
      </w:r>
    </w:p>
    <w:p>
      <w:pPr>
        <w:rPr>
          <w:noProof/>
        </w:rPr>
      </w:pPr>
      <w:r>
        <w:rPr>
          <w:noProof/>
        </w:rPr>
        <w:t>Unionens skyldigheter att garantera ett hållbart utnyttjande av levande akvatiska resurser härrör från de skyldigheter som fastställs i artikel 2 i den nya grundförordningen för den gemensamma fiskeripolitiken.</w:t>
      </w:r>
    </w:p>
    <w:p>
      <w:pPr>
        <w:pStyle w:val="ManualHeading2"/>
        <w:rPr>
          <w:rFonts w:eastAsia="Arial Unicode MS"/>
          <w:noProof/>
          <w:u w:color="000000"/>
          <w:bdr w:val="nil"/>
        </w:rPr>
      </w:pPr>
      <w:r>
        <w:rPr>
          <w:noProof/>
        </w:rPr>
        <w:t>•</w:t>
      </w:r>
      <w:r>
        <w:rPr>
          <w:noProof/>
        </w:rPr>
        <w:tab/>
        <w:t xml:space="preserve">Subsidiaritetsprincipen (för icke-exklusiv befogenhet) </w:t>
      </w:r>
    </w:p>
    <w:p>
      <w:pPr>
        <w:spacing w:after="0"/>
        <w:rPr>
          <w:noProof/>
        </w:rPr>
      </w:pPr>
      <w:r>
        <w:rPr>
          <w:noProof/>
        </w:rPr>
        <w:t>Förslaget avser ett område där unionen har exklusiv befogenhet enligt artikel 3.1 d i fördraget. Subsidiaritetsprincipen är därför inte tillämplig.</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rPr>
      </w:pPr>
      <w:r>
        <w:rPr>
          <w:noProof/>
        </w:rPr>
        <w:t>Förslaget är förenligt med proportionalitetsprincipen av följande skäl: Den gemensamma fiskeripolitiken är en gemensam politik. Enligt artikel 43.3 i fördraget är det rådet som beslutar om åtgärder för fastställande och fördelning av fiskemöjligheter.</w:t>
      </w:r>
    </w:p>
    <w:p>
      <w:pPr>
        <w:pStyle w:val="ManualHeading2"/>
        <w:rPr>
          <w:rFonts w:eastAsia="Arial Unicode MS"/>
          <w:noProof/>
          <w:u w:color="000000"/>
          <w:bdr w:val="nil"/>
        </w:rPr>
      </w:pPr>
      <w:r>
        <w:rPr>
          <w:noProof/>
        </w:rPr>
        <w:t>•</w:t>
      </w:r>
      <w:r>
        <w:rPr>
          <w:noProof/>
        </w:rPr>
        <w:tab/>
        <w:t>Val av instrument</w:t>
      </w:r>
    </w:p>
    <w:p>
      <w:pPr>
        <w:spacing w:after="0"/>
        <w:rPr>
          <w:noProof/>
        </w:rPr>
      </w:pPr>
      <w:r>
        <w:rPr>
          <w:noProof/>
        </w:rPr>
        <w:t xml:space="preserve">Föreslaget instrument: förordning.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noProof/>
        </w:rPr>
      </w:pPr>
      <w:r>
        <w:rPr>
          <w:noProof/>
        </w:rPr>
        <w:t>Ej tillämpligt</w:t>
      </w:r>
    </w:p>
    <w:p>
      <w:pPr>
        <w:pStyle w:val="ManualHeading2"/>
        <w:rPr>
          <w:rFonts w:eastAsia="Arial Unicode MS"/>
          <w:noProof/>
          <w:u w:color="000000"/>
          <w:bdr w:val="nil"/>
        </w:rPr>
      </w:pPr>
      <w:r>
        <w:rPr>
          <w:noProof/>
        </w:rPr>
        <w:lastRenderedPageBreak/>
        <w:t>•</w:t>
      </w:r>
      <w:r>
        <w:rPr>
          <w:noProof/>
        </w:rPr>
        <w:tab/>
        <w:t>Samråd med berörda parter</w:t>
      </w:r>
    </w:p>
    <w:p>
      <w:pPr>
        <w:pBdr>
          <w:top w:val="nil"/>
          <w:left w:val="nil"/>
          <w:bottom w:val="nil"/>
          <w:right w:val="nil"/>
          <w:between w:val="nil"/>
          <w:bar w:val="nil"/>
        </w:pBdr>
        <w:spacing w:before="0" w:after="240"/>
        <w:rPr>
          <w:noProof/>
        </w:rPr>
      </w:pPr>
      <w:r>
        <w:rPr>
          <w:noProof/>
        </w:rPr>
        <w:t>Förslaget tar hänsyn till synpunkter från aktörer, rådgivande nämnder, nationella förvaltningar, fiskeriorganisationer och icke-statliga organisationer som lämnats under året och synpunkterna beaktas vid fastställandet av fiskemöjligheterna.</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Förslaget grundar sig på vetenskapliga utlåtanden från Internationella havsforskningsrådet (Ices).</w:t>
      </w:r>
    </w:p>
    <w:p>
      <w:pPr>
        <w:pStyle w:val="ManualHeading2"/>
        <w:rPr>
          <w:rFonts w:eastAsia="Arial Unicode MS"/>
          <w:noProof/>
          <w:u w:color="000000"/>
          <w:bdr w:val="nil"/>
        </w:rPr>
      </w:pPr>
      <w:r>
        <w:rPr>
          <w:noProof/>
        </w:rPr>
        <w:t>•</w:t>
      </w:r>
      <w:r>
        <w:rPr>
          <w:noProof/>
        </w:rPr>
        <w:tab/>
        <w:t>Konsekvensbedömning</w:t>
      </w:r>
    </w:p>
    <w:p>
      <w:pPr>
        <w:rPr>
          <w:noProof/>
        </w:rPr>
      </w:pPr>
      <w:r>
        <w:rPr>
          <w:noProof/>
        </w:rPr>
        <w:t>Tillämpningsområdet för förordningen om fiskemöjligheter begränsas av artikel 43.3 i fördraget.</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noProof/>
        </w:rPr>
      </w:pPr>
      <w:r>
        <w:rPr>
          <w:noProof/>
        </w:rPr>
        <w:t>Ej tillämpligt.</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noProof/>
        </w:rPr>
      </w:pPr>
      <w:r>
        <w:rPr>
          <w:noProof/>
        </w:rPr>
        <w:t>Ej tillämpligt.</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De förslagna åtgärderna påverkar inte budgeten.</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Ingående redogörelse för de specifika bestämmelserna i förslaget</w:t>
      </w:r>
    </w:p>
    <w:p>
      <w:pPr>
        <w:rPr>
          <w:noProof/>
        </w:rPr>
      </w:pPr>
      <w:r>
        <w:rPr>
          <w:noProof/>
        </w:rPr>
        <w:t>De föreslagna ändringarna syftar till att ändra förordning (EU) 2019/124 på det sätt som anges nedan.</w:t>
      </w:r>
    </w:p>
    <w:p>
      <w:pPr>
        <w:rPr>
          <w:noProof/>
        </w:rPr>
      </w:pPr>
      <w:r>
        <w:rPr>
          <w:noProof/>
        </w:rPr>
        <w:t>Ansjovis i Ices-delområdena 9 och 10 och i unionens vatten i Cecaf 34.1.1 är en kortlivad art för vilken undersökningarna avslutas i maj. En ändring av den period för vilken den totala tillåtna fångstmängden (TAC) fastställs, från ett kalenderår till en period mellan 1 juli och 30 juni det efterföljande året, säkerställer därför att fiskemöjligheterna är grundade på bästa möjliga bedömning av den årliga rekryteringen av denna kortlivade art.</w:t>
      </w:r>
    </w:p>
    <w:p>
      <w:pPr>
        <w:rPr>
          <w:noProof/>
        </w:rPr>
      </w:pPr>
      <w:r>
        <w:rPr>
          <w:noProof/>
        </w:rPr>
        <w:t xml:space="preserve">Förordning (EU) 2018/120, ändrad genom förordning (EU) 2018/1628, fastställer undantagsvis TAC för ansjovis för en period på 18 månader, från och med den 1 januari 2018 till och med den 30 juni 2019, som en anpassning till den nya vetenskapliga utlåtandeperioden från juli till juni det efterföljande året. </w:t>
      </w:r>
    </w:p>
    <w:p>
      <w:pPr>
        <w:rPr>
          <w:noProof/>
        </w:rPr>
      </w:pPr>
      <w:r>
        <w:rPr>
          <w:noProof/>
        </w:rPr>
        <w:t>I rådets förordning (EU) 2019/124 fastställdes TAC för ansjovis i Ices-delområdena 9 och 10 och i unionens vatten i Cecaf 34.1.1, med tillämpning från och med den 1 juli 2019 till och med den 30 juni 2020, till noll i avvaktan på de nya vetenskapliga utlåtandena. I den andra ändringen av fiskemöjligheterna för 2019 fastställdes en provisorisk TAC för att möjliggöra fortsatt fiske. De vetenskapliga utlåtandena blev tillgängliga den 28 juni 2019. TAC för perioden som börjar den 1 juli 2019 bör ändras i enlighet med de senaste vetenskapliga utlåtandena från Ices.</w:t>
      </w:r>
    </w:p>
    <w:p>
      <w:pPr>
        <w:rPr>
          <w:noProof/>
        </w:rPr>
      </w:pPr>
      <w:r>
        <w:rPr>
          <w:noProof/>
        </w:rPr>
        <w:t xml:space="preserve">De föreslagna ändringarna är även avsedda att ändra förordning (EU) 2018/2025, som fastställer fiskemöjligheterna för unionens fiskefartyg för vissa djuphavsbestånd för 2019 och 2020. Vid den tidpunkt då fiskemöjligheterna fastställdes fanns vetenskapliga utlåtanden tillgängliga för fläckpagell i Ices-delområde 10 endast för 2019. Det beslutades att fastställa </w:t>
      </w:r>
      <w:r>
        <w:rPr>
          <w:noProof/>
        </w:rPr>
        <w:lastRenderedPageBreak/>
        <w:t>fiskemöjligheterna för det beståndet för både 2019 och 2020 till 576 ton samt att, om det blir nödvändigt, ändra dem i enlighet med de vetenskapliga utlåtandena för 2020. Det vetenskapliga utlåtandet från Ices om 553 ton offentliggjordes den 11 juni 2019. Fiskemöjligheterna behöver ändras för fläckpagell i Ices-delområde 10 för att beakta de senaste vetenskapliga utlåtandena.</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2019/0154 (NLE)</w:t>
      </w:r>
    </w:p>
    <w:p>
      <w:pPr>
        <w:pStyle w:val="Statut"/>
        <w:rPr>
          <w:noProof/>
        </w:rPr>
      </w:pPr>
      <w:r>
        <w:rPr>
          <w:noProof/>
        </w:rPr>
        <w:t>Förslag till</w:t>
      </w:r>
    </w:p>
    <w:p>
      <w:pPr>
        <w:pStyle w:val="Typedudocument"/>
        <w:rPr>
          <w:noProof/>
        </w:rPr>
      </w:pPr>
      <w:r>
        <w:rPr>
          <w:noProof/>
        </w:rPr>
        <w:t>RÅDETS FÖRORDNING</w:t>
      </w:r>
    </w:p>
    <w:p>
      <w:pPr>
        <w:pStyle w:val="Titreobjet"/>
        <w:rPr>
          <w:noProof/>
        </w:rPr>
      </w:pPr>
      <w:r>
        <w:rPr>
          <w:noProof/>
        </w:rPr>
        <w:t>om ändring av förordningarna (EU) 2019/124 och (EU) 2018/2025 vad gäller vissa fiskemöjligheter</w:t>
      </w:r>
    </w:p>
    <w:p>
      <w:pPr>
        <w:pStyle w:val="Institutionquiagit"/>
        <w:rPr>
          <w:noProof/>
        </w:rPr>
      </w:pPr>
      <w:r>
        <w:rPr>
          <w:noProof/>
        </w:rPr>
        <w:t>EUROPEISKA UNIONENS RÅD HAR ANTAGIT DENNA FÖRORDNING</w:t>
      </w:r>
    </w:p>
    <w:p>
      <w:pPr>
        <w:rPr>
          <w:noProof/>
        </w:rPr>
      </w:pPr>
      <w:r>
        <w:rPr>
          <w:noProof/>
        </w:rPr>
        <w:t>med beaktande av fördraget om Europeiska unionens funktionssätt, särskilt artikel 43.3,</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Rådets förordning (EU) 2019/124</w:t>
      </w:r>
      <w:r>
        <w:rPr>
          <w:rStyle w:val="FootnoteReference"/>
          <w:noProof/>
        </w:rPr>
        <w:footnoteReference w:id="1"/>
      </w:r>
      <w:r>
        <w:rPr>
          <w:noProof/>
        </w:rPr>
        <w:t xml:space="preserve"> fastställer för år 2019 fiskemöjligheterna för vissa fiskbestånd och grupper av fiskbestånd i unionens vatten och, för unionsfiskefartyg, i vissa andra vatten.</w:t>
      </w:r>
    </w:p>
    <w:p>
      <w:pPr>
        <w:pStyle w:val="ManualConsidrant"/>
        <w:rPr>
          <w:noProof/>
        </w:rPr>
      </w:pPr>
      <w:r>
        <w:t>(2)</w:t>
      </w:r>
      <w:r>
        <w:tab/>
      </w:r>
      <w:r>
        <w:rPr>
          <w:noProof/>
        </w:rPr>
        <w:t>Genom förordning (EU) 2019/124 fastställdes den totala tillåtna fångstmängden (TAC) för ansjovis (</w:t>
      </w:r>
      <w:r>
        <w:rPr>
          <w:i/>
          <w:noProof/>
        </w:rPr>
        <w:t>Engraulis encrasicolus</w:t>
      </w:r>
      <w:r>
        <w:rPr>
          <w:noProof/>
        </w:rPr>
        <w:t>) i Ices-delområdena 9 och 10 och i unionens vatten i Cecaf 34.1.1 till noll. I den andra ändringen av fiskemöjligheterna fastställdes en provisorisk TAC för att möjliggöra fortsatt fiske. Ansjovis är en kortlivad art och de relevanta vetenskapliga utlåtandena utfärdades den 28 juni 2019. Fångstbegränsningarna för ansjovis i Ices-delområdena 9 och 10 och i unionens vatten i Cecaf 34.1.1 bör nu ändras så att de är i enlighet med de senaste vetenskapliga utlåtandena från Internationella havsforskningsrådet (Ices).</w:t>
      </w:r>
    </w:p>
    <w:p>
      <w:pPr>
        <w:pStyle w:val="ManualConsidrant"/>
        <w:rPr>
          <w:noProof/>
        </w:rPr>
      </w:pPr>
      <w:r>
        <w:t>(3)</w:t>
      </w:r>
      <w:r>
        <w:tab/>
      </w:r>
      <w:r>
        <w:rPr>
          <w:noProof/>
        </w:rPr>
        <w:t>I rådets förordning (EU) 2018/2025</w:t>
      </w:r>
      <w:r>
        <w:rPr>
          <w:rStyle w:val="FootnoteReference"/>
          <w:noProof/>
        </w:rPr>
        <w:footnoteReference w:id="2"/>
      </w:r>
      <w:r>
        <w:rPr>
          <w:noProof/>
        </w:rPr>
        <w:t xml:space="preserve"> fastställs fiskemöjligheterna för unionens fiskefartyg för vissa djuphavsbestånd för 2019 och 2020. I den förordningen fastställdes TAC för fläckpagell i Ices-delområde 10 för båda åren grundat på de vetenskapliga utlåtandena för 2019, i avvaktan på vetenskapliga utlåtanden för 2020. Den 11 juni 2019 offentliggjorde Ices de vetenskapliga utlåtandena för 2020. TAC bör fastställas så att den är i enlighet med de senaste vetenskapliga utlåtandena. </w:t>
      </w:r>
    </w:p>
    <w:p>
      <w:pPr>
        <w:pStyle w:val="ManualConsidrant"/>
        <w:rPr>
          <w:noProof/>
        </w:rPr>
      </w:pPr>
      <w:r>
        <w:t>(4)</w:t>
      </w:r>
      <w:r>
        <w:tab/>
      </w:r>
      <w:r>
        <w:rPr>
          <w:noProof/>
        </w:rPr>
        <w:t>Förordningarna (EU) 2019/124 och (EU) 2018/2025 bör ändras i enlighet med detta.</w:t>
      </w:r>
    </w:p>
    <w:p>
      <w:pPr>
        <w:pStyle w:val="ManualConsidrant"/>
        <w:rPr>
          <w:noProof/>
        </w:rPr>
      </w:pPr>
      <w:r>
        <w:t>(5)</w:t>
      </w:r>
      <w:r>
        <w:tab/>
      </w:r>
      <w:r>
        <w:rPr>
          <w:noProof/>
        </w:rPr>
        <w:t>Fångstbegränsningarna för ansjovis i Ices-delområdena 9 och 10 och i unionens vatten i Cecaf 34.1.1 enligt förordning (EU) 2019/124 är tillämpliga från och med den 1 juli 2019. Därför bör denna ändringsförordning också tillämpas från och med den dagen. En sådan retroaktiv tillämpning påverkar inte tillämpningen av principerna om rättssäkerhet och skydd för berättigade förväntningar, eftersom fiskemöjligheterna i fråga ännu inte har uttömts.</w:t>
      </w:r>
    </w:p>
    <w:p>
      <w:pPr>
        <w:pStyle w:val="Formuledadoption"/>
        <w:rPr>
          <w:noProof/>
        </w:rPr>
      </w:pPr>
      <w:r>
        <w:rPr>
          <w:noProof/>
        </w:rPr>
        <w:lastRenderedPageBreak/>
        <w:t>HÄRIGENOM FÖRESKRIVS FÖLJANDE.</w:t>
      </w:r>
    </w:p>
    <w:p>
      <w:pPr>
        <w:pStyle w:val="Titrearticle"/>
        <w:rPr>
          <w:noProof/>
        </w:rPr>
      </w:pPr>
      <w:r>
        <w:rPr>
          <w:noProof/>
        </w:rPr>
        <w:t>Artikel 1</w:t>
      </w:r>
      <w:r>
        <w:rPr>
          <w:noProof/>
        </w:rPr>
        <w:br/>
      </w:r>
    </w:p>
    <w:p>
      <w:pPr>
        <w:rPr>
          <w:noProof/>
        </w:rPr>
      </w:pPr>
      <w:r>
        <w:rPr>
          <w:noProof/>
        </w:rPr>
        <w:t>I bilaga IA till förordning (EU) 2019/124 ska tabellen med fiskemöjligheter för ansjovis i Ices-delområdena 9 och 10 och i unionens vatten i Cecaf 34.1.1 ersättas med följande:</w:t>
      </w:r>
    </w:p>
    <w:tbl>
      <w:tblPr>
        <w:tblW w:w="8956" w:type="dxa"/>
        <w:tblInd w:w="108" w:type="dxa"/>
        <w:tblLook w:val="04A0" w:firstRow="1" w:lastRow="0" w:firstColumn="1" w:lastColumn="0" w:noHBand="0" w:noVBand="1"/>
      </w:tblPr>
      <w:tblGrid>
        <w:gridCol w:w="976"/>
        <w:gridCol w:w="976"/>
        <w:gridCol w:w="976"/>
        <w:gridCol w:w="1325"/>
        <w:gridCol w:w="850"/>
        <w:gridCol w:w="993"/>
        <w:gridCol w:w="1275"/>
        <w:gridCol w:w="1585"/>
      </w:tblGrid>
      <w:tr>
        <w:trPr>
          <w:trHeight w:val="255"/>
        </w:trPr>
        <w:tc>
          <w:tcPr>
            <w:tcW w:w="976"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rPr>
              <w:t>Art:</w:t>
            </w:r>
          </w:p>
        </w:tc>
        <w:tc>
          <w:tcPr>
            <w:tcW w:w="976" w:type="dxa"/>
            <w:tcBorders>
              <w:top w:val="single" w:sz="8" w:space="0" w:color="000000"/>
              <w:left w:val="nil"/>
              <w:bottom w:val="nil"/>
              <w:right w:val="nil"/>
            </w:tcBorders>
            <w:noWrap/>
            <w:hideMark/>
          </w:tcPr>
          <w:p>
            <w:pPr>
              <w:spacing w:after="0"/>
              <w:rPr>
                <w:rFonts w:eastAsia="Times New Roman"/>
                <w:noProof/>
                <w:sz w:val="18"/>
                <w:szCs w:val="18"/>
              </w:rPr>
            </w:pPr>
            <w:r>
              <w:rPr>
                <w:noProof/>
                <w:sz w:val="18"/>
              </w:rPr>
              <w:t>Ansjovis</w:t>
            </w:r>
          </w:p>
        </w:tc>
        <w:tc>
          <w:tcPr>
            <w:tcW w:w="976" w:type="dxa"/>
            <w:tcBorders>
              <w:top w:val="single" w:sz="8" w:space="0" w:color="000000"/>
              <w:left w:val="nil"/>
              <w:bottom w:val="nil"/>
              <w:right w:val="nil"/>
            </w:tcBorders>
            <w:noWrap/>
            <w:hideMark/>
          </w:tcPr>
          <w:p>
            <w:pPr>
              <w:spacing w:after="0"/>
              <w:jc w:val="right"/>
              <w:rPr>
                <w:rFonts w:eastAsia="Times New Roman"/>
                <w:noProof/>
                <w:color w:val="000000"/>
                <w:sz w:val="18"/>
                <w:szCs w:val="18"/>
              </w:rPr>
            </w:pPr>
            <w:r>
              <w:rPr>
                <w:noProof/>
                <w:color w:val="000000"/>
                <w:sz w:val="18"/>
              </w:rPr>
              <w:t> </w:t>
            </w:r>
          </w:p>
        </w:tc>
        <w:tc>
          <w:tcPr>
            <w:tcW w:w="1325"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rPr>
              <w:t> </w:t>
            </w:r>
          </w:p>
        </w:tc>
        <w:tc>
          <w:tcPr>
            <w:tcW w:w="850" w:type="dxa"/>
            <w:tcBorders>
              <w:top w:val="single" w:sz="8" w:space="0" w:color="000000"/>
              <w:left w:val="single" w:sz="8" w:space="0" w:color="000000"/>
              <w:bottom w:val="nil"/>
              <w:right w:val="nil"/>
            </w:tcBorders>
            <w:noWrap/>
            <w:hideMark/>
          </w:tcPr>
          <w:p>
            <w:pPr>
              <w:spacing w:after="0"/>
              <w:rPr>
                <w:rFonts w:eastAsia="Times New Roman"/>
                <w:noProof/>
                <w:color w:val="000000"/>
                <w:sz w:val="18"/>
                <w:szCs w:val="18"/>
              </w:rPr>
            </w:pPr>
            <w:r>
              <w:rPr>
                <w:noProof/>
                <w:color w:val="000000"/>
                <w:sz w:val="18"/>
              </w:rPr>
              <w:t>Område:</w:t>
            </w:r>
          </w:p>
        </w:tc>
        <w:tc>
          <w:tcPr>
            <w:tcW w:w="3853" w:type="dxa"/>
            <w:gridSpan w:val="3"/>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rPr>
              <w:t>9 och 10, unionens vatten i Cecaf 34.1.1</w:t>
            </w:r>
          </w:p>
        </w:tc>
      </w:tr>
      <w:tr>
        <w:trPr>
          <w:trHeight w:val="270"/>
        </w:trPr>
        <w:tc>
          <w:tcPr>
            <w:tcW w:w="976"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rPr>
              <w:t> </w:t>
            </w:r>
          </w:p>
        </w:tc>
        <w:tc>
          <w:tcPr>
            <w:tcW w:w="1952" w:type="dxa"/>
            <w:gridSpan w:val="2"/>
            <w:tcBorders>
              <w:top w:val="nil"/>
              <w:left w:val="nil"/>
              <w:bottom w:val="single" w:sz="8" w:space="0" w:color="000000"/>
              <w:right w:val="nil"/>
            </w:tcBorders>
            <w:noWrap/>
            <w:hideMark/>
          </w:tcPr>
          <w:p>
            <w:pPr>
              <w:spacing w:after="0"/>
              <w:rPr>
                <w:rFonts w:eastAsia="Times New Roman"/>
                <w:i/>
                <w:iCs/>
                <w:noProof/>
                <w:sz w:val="18"/>
                <w:szCs w:val="18"/>
              </w:rPr>
            </w:pPr>
            <w:r>
              <w:rPr>
                <w:i/>
                <w:noProof/>
                <w:sz w:val="18"/>
              </w:rPr>
              <w:t>Engraulis encrasicolus</w:t>
            </w:r>
          </w:p>
        </w:tc>
        <w:tc>
          <w:tcPr>
            <w:tcW w:w="1325" w:type="dxa"/>
            <w:tcBorders>
              <w:top w:val="nil"/>
              <w:left w:val="nil"/>
              <w:bottom w:val="single" w:sz="8" w:space="0" w:color="000000"/>
              <w:right w:val="nil"/>
            </w:tcBorders>
            <w:noWrap/>
            <w:hideMark/>
          </w:tcPr>
          <w:p>
            <w:pPr>
              <w:spacing w:after="0"/>
              <w:rPr>
                <w:rFonts w:eastAsia="Times New Roman"/>
                <w:i/>
                <w:iCs/>
                <w:noProof/>
                <w:color w:val="000000"/>
                <w:sz w:val="18"/>
                <w:szCs w:val="18"/>
              </w:rPr>
            </w:pPr>
            <w:r>
              <w:rPr>
                <w:i/>
                <w:noProof/>
                <w:color w:val="000000"/>
                <w:sz w:val="18"/>
              </w:rPr>
              <w:t> </w:t>
            </w:r>
          </w:p>
        </w:tc>
        <w:tc>
          <w:tcPr>
            <w:tcW w:w="850" w:type="dxa"/>
            <w:tcBorders>
              <w:top w:val="nil"/>
              <w:left w:val="single" w:sz="8" w:space="0" w:color="000000"/>
              <w:bottom w:val="single" w:sz="8" w:space="0" w:color="000000"/>
              <w:right w:val="nil"/>
            </w:tcBorders>
            <w:noWrap/>
            <w:hideMark/>
          </w:tcPr>
          <w:p>
            <w:pPr>
              <w:spacing w:after="0"/>
              <w:rPr>
                <w:rFonts w:eastAsia="Times New Roman"/>
                <w:noProof/>
                <w:color w:val="000000"/>
                <w:sz w:val="18"/>
                <w:szCs w:val="18"/>
              </w:rPr>
            </w:pPr>
            <w:r>
              <w:rPr>
                <w:noProof/>
                <w:color w:val="000000"/>
                <w:sz w:val="18"/>
              </w:rPr>
              <w:t> </w:t>
            </w:r>
          </w:p>
        </w:tc>
        <w:tc>
          <w:tcPr>
            <w:tcW w:w="2268" w:type="dxa"/>
            <w:gridSpan w:val="2"/>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rPr>
              <w:t>(ANE/9/3411)</w:t>
            </w:r>
          </w:p>
        </w:tc>
        <w:tc>
          <w:tcPr>
            <w:tcW w:w="1585"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rPr>
              <w:t> </w:t>
            </w:r>
          </w:p>
        </w:tc>
      </w:tr>
      <w:tr>
        <w:trPr>
          <w:trHeight w:val="270"/>
        </w:trPr>
        <w:tc>
          <w:tcPr>
            <w:tcW w:w="976" w:type="dxa"/>
            <w:noWrap/>
            <w:hideMark/>
          </w:tcPr>
          <w:p>
            <w:pPr>
              <w:spacing w:after="0"/>
              <w:rPr>
                <w:rFonts w:eastAsia="Times New Roman"/>
                <w:noProof/>
                <w:color w:val="000000"/>
                <w:sz w:val="18"/>
                <w:szCs w:val="18"/>
              </w:rPr>
            </w:pPr>
            <w:r>
              <w:rPr>
                <w:noProof/>
                <w:color w:val="000000"/>
                <w:sz w:val="18"/>
              </w:rPr>
              <w:t>Spanien</w:t>
            </w:r>
          </w:p>
        </w:tc>
        <w:tc>
          <w:tcPr>
            <w:tcW w:w="976" w:type="dxa"/>
            <w:noWrap/>
            <w:hideMark/>
          </w:tcPr>
          <w:p>
            <w:pPr>
              <w:spacing w:after="0"/>
              <w:rPr>
                <w:rFonts w:eastAsia="Times New Roman"/>
                <w:noProof/>
                <w:sz w:val="18"/>
                <w:szCs w:val="18"/>
              </w:rPr>
            </w:pPr>
            <w:r>
              <w:rPr>
                <w:noProof/>
                <w:sz w:val="18"/>
              </w:rPr>
              <w:t> </w:t>
            </w:r>
          </w:p>
        </w:tc>
        <w:tc>
          <w:tcPr>
            <w:tcW w:w="976" w:type="dxa"/>
            <w:noWrap/>
            <w:hideMark/>
          </w:tcPr>
          <w:p>
            <w:pPr>
              <w:spacing w:after="0"/>
              <w:jc w:val="right"/>
              <w:rPr>
                <w:rFonts w:eastAsia="Times New Roman"/>
                <w:noProof/>
                <w:color w:val="000000"/>
                <w:sz w:val="18"/>
                <w:szCs w:val="18"/>
              </w:rPr>
            </w:pPr>
            <w:r>
              <w:rPr>
                <w:noProof/>
                <w:color w:val="000000"/>
                <w:sz w:val="18"/>
              </w:rPr>
              <w:t>4 281</w:t>
            </w:r>
          </w:p>
        </w:tc>
        <w:tc>
          <w:tcPr>
            <w:tcW w:w="1325" w:type="dxa"/>
            <w:noWrap/>
            <w:hideMark/>
          </w:tcPr>
          <w:p>
            <w:pPr>
              <w:spacing w:after="0"/>
              <w:rPr>
                <w:rFonts w:eastAsia="Times New Roman"/>
                <w:noProof/>
                <w:color w:val="000000"/>
                <w:sz w:val="18"/>
                <w:szCs w:val="18"/>
              </w:rPr>
            </w:pPr>
            <w:r>
              <w:rPr>
                <w:noProof/>
                <w:color w:val="000000"/>
                <w:sz w:val="18"/>
                <w:vertAlign w:val="superscript"/>
              </w:rPr>
              <w:t>(1)</w:t>
            </w:r>
          </w:p>
        </w:tc>
        <w:tc>
          <w:tcPr>
            <w:tcW w:w="1843" w:type="dxa"/>
            <w:gridSpan w:val="2"/>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rPr>
              <w:t>Försiktighets-TAC</w:t>
            </w:r>
          </w:p>
        </w:tc>
        <w:tc>
          <w:tcPr>
            <w:tcW w:w="1275" w:type="dxa"/>
            <w:noWrap/>
            <w:hideMark/>
          </w:tcPr>
          <w:p>
            <w:pPr>
              <w:spacing w:after="0"/>
              <w:rPr>
                <w:rFonts w:eastAsia="Times New Roman"/>
                <w:noProof/>
                <w:color w:val="000000"/>
                <w:sz w:val="18"/>
                <w:szCs w:val="18"/>
              </w:rPr>
            </w:pPr>
            <w:r>
              <w:rPr>
                <w:noProof/>
                <w:color w:val="000000"/>
                <w:sz w:val="18"/>
              </w:rPr>
              <w:t> </w:t>
            </w:r>
          </w:p>
        </w:tc>
        <w:tc>
          <w:tcPr>
            <w:tcW w:w="1585" w:type="dxa"/>
            <w:noWrap/>
            <w:hideMark/>
          </w:tcPr>
          <w:p>
            <w:pPr>
              <w:spacing w:after="0"/>
              <w:rPr>
                <w:rFonts w:eastAsia="Times New Roman"/>
                <w:noProof/>
                <w:color w:val="000000"/>
                <w:sz w:val="18"/>
                <w:szCs w:val="18"/>
              </w:rPr>
            </w:pPr>
            <w:r>
              <w:rPr>
                <w:noProof/>
                <w:color w:val="000000"/>
                <w:sz w:val="18"/>
              </w:rPr>
              <w:t> </w:t>
            </w:r>
          </w:p>
        </w:tc>
      </w:tr>
      <w:tr>
        <w:trPr>
          <w:trHeight w:val="270"/>
        </w:trPr>
        <w:tc>
          <w:tcPr>
            <w:tcW w:w="976" w:type="dxa"/>
            <w:noWrap/>
            <w:hideMark/>
          </w:tcPr>
          <w:p>
            <w:pPr>
              <w:spacing w:after="0"/>
              <w:rPr>
                <w:rFonts w:eastAsia="Times New Roman"/>
                <w:noProof/>
                <w:color w:val="000000"/>
                <w:sz w:val="18"/>
                <w:szCs w:val="18"/>
              </w:rPr>
            </w:pPr>
            <w:r>
              <w:rPr>
                <w:noProof/>
                <w:color w:val="000000"/>
                <w:sz w:val="18"/>
              </w:rPr>
              <w:t>Portugal</w:t>
            </w:r>
          </w:p>
        </w:tc>
        <w:tc>
          <w:tcPr>
            <w:tcW w:w="976" w:type="dxa"/>
            <w:noWrap/>
            <w:hideMark/>
          </w:tcPr>
          <w:p>
            <w:pPr>
              <w:rPr>
                <w:rFonts w:eastAsia="Times New Roman"/>
                <w:noProof/>
                <w:color w:val="000000"/>
                <w:sz w:val="18"/>
                <w:szCs w:val="18"/>
              </w:rPr>
            </w:pPr>
          </w:p>
        </w:tc>
        <w:tc>
          <w:tcPr>
            <w:tcW w:w="976" w:type="dxa"/>
            <w:noWrap/>
            <w:hideMark/>
          </w:tcPr>
          <w:p>
            <w:pPr>
              <w:spacing w:after="0"/>
              <w:jc w:val="right"/>
              <w:rPr>
                <w:rFonts w:eastAsia="Times New Roman"/>
                <w:noProof/>
                <w:color w:val="000000"/>
                <w:sz w:val="18"/>
                <w:szCs w:val="18"/>
              </w:rPr>
            </w:pPr>
            <w:r>
              <w:rPr>
                <w:noProof/>
                <w:color w:val="000000"/>
                <w:sz w:val="18"/>
              </w:rPr>
              <w:t>4 671</w:t>
            </w:r>
          </w:p>
        </w:tc>
        <w:tc>
          <w:tcPr>
            <w:tcW w:w="1325" w:type="dxa"/>
            <w:noWrap/>
            <w:hideMark/>
          </w:tcPr>
          <w:p>
            <w:pPr>
              <w:spacing w:after="0"/>
              <w:rPr>
                <w:rFonts w:eastAsia="Times New Roman"/>
                <w:noProof/>
                <w:color w:val="000000"/>
                <w:sz w:val="18"/>
                <w:szCs w:val="18"/>
              </w:rPr>
            </w:pPr>
            <w:r>
              <w:rPr>
                <w:noProof/>
                <w:color w:val="000000"/>
                <w:sz w:val="18"/>
                <w:vertAlign w:val="superscript"/>
              </w:rPr>
              <w:t>(1)</w:t>
            </w:r>
          </w:p>
        </w:tc>
        <w:tc>
          <w:tcPr>
            <w:tcW w:w="850" w:type="dxa"/>
            <w:noWrap/>
            <w:hideMark/>
          </w:tcPr>
          <w:p>
            <w:pPr>
              <w:rPr>
                <w:rFonts w:eastAsia="Times New Roman"/>
                <w:noProof/>
                <w:color w:val="000000"/>
                <w:sz w:val="18"/>
                <w:szCs w:val="18"/>
              </w:rPr>
            </w:pPr>
          </w:p>
        </w:tc>
        <w:tc>
          <w:tcPr>
            <w:tcW w:w="993" w:type="dxa"/>
            <w:noWrap/>
            <w:hideMark/>
          </w:tcPr>
          <w:p>
            <w:pPr>
              <w:spacing w:after="0"/>
              <w:rPr>
                <w:noProof/>
                <w:sz w:val="20"/>
                <w:szCs w:val="20"/>
              </w:rPr>
            </w:pPr>
          </w:p>
        </w:tc>
        <w:tc>
          <w:tcPr>
            <w:tcW w:w="1275" w:type="dxa"/>
            <w:noWrap/>
            <w:hideMark/>
          </w:tcPr>
          <w:p>
            <w:pPr>
              <w:spacing w:after="0"/>
              <w:rPr>
                <w:noProof/>
                <w:sz w:val="20"/>
                <w:szCs w:val="20"/>
              </w:rPr>
            </w:pPr>
          </w:p>
        </w:tc>
        <w:tc>
          <w:tcPr>
            <w:tcW w:w="1585" w:type="dxa"/>
            <w:noWrap/>
            <w:hideMark/>
          </w:tcPr>
          <w:p>
            <w:pPr>
              <w:spacing w:after="0"/>
              <w:rPr>
                <w:noProof/>
                <w:sz w:val="20"/>
                <w:szCs w:val="20"/>
              </w:rPr>
            </w:pPr>
          </w:p>
        </w:tc>
      </w:tr>
      <w:tr>
        <w:trPr>
          <w:trHeight w:val="270"/>
        </w:trPr>
        <w:tc>
          <w:tcPr>
            <w:tcW w:w="976" w:type="dxa"/>
            <w:noWrap/>
            <w:hideMark/>
          </w:tcPr>
          <w:p>
            <w:pPr>
              <w:spacing w:after="0"/>
              <w:rPr>
                <w:rFonts w:eastAsia="Times New Roman"/>
                <w:noProof/>
                <w:color w:val="000000"/>
                <w:sz w:val="18"/>
                <w:szCs w:val="18"/>
              </w:rPr>
            </w:pPr>
            <w:r>
              <w:rPr>
                <w:noProof/>
                <w:color w:val="000000"/>
                <w:sz w:val="18"/>
              </w:rPr>
              <w:t>Unionen</w:t>
            </w:r>
          </w:p>
        </w:tc>
        <w:tc>
          <w:tcPr>
            <w:tcW w:w="976" w:type="dxa"/>
            <w:noWrap/>
            <w:hideMark/>
          </w:tcPr>
          <w:p>
            <w:pPr>
              <w:rPr>
                <w:rFonts w:eastAsia="Times New Roman"/>
                <w:noProof/>
                <w:color w:val="000000"/>
                <w:sz w:val="18"/>
                <w:szCs w:val="18"/>
              </w:rPr>
            </w:pPr>
          </w:p>
        </w:tc>
        <w:tc>
          <w:tcPr>
            <w:tcW w:w="976" w:type="dxa"/>
            <w:noWrap/>
            <w:hideMark/>
          </w:tcPr>
          <w:p>
            <w:pPr>
              <w:spacing w:after="0"/>
              <w:jc w:val="right"/>
              <w:rPr>
                <w:rFonts w:eastAsia="Times New Roman"/>
                <w:noProof/>
                <w:color w:val="000000"/>
                <w:sz w:val="18"/>
                <w:szCs w:val="18"/>
              </w:rPr>
            </w:pPr>
            <w:r>
              <w:rPr>
                <w:noProof/>
                <w:color w:val="000000"/>
                <w:sz w:val="18"/>
              </w:rPr>
              <w:t>8 952</w:t>
            </w:r>
          </w:p>
        </w:tc>
        <w:tc>
          <w:tcPr>
            <w:tcW w:w="1325" w:type="dxa"/>
            <w:noWrap/>
            <w:hideMark/>
          </w:tcPr>
          <w:p>
            <w:pPr>
              <w:spacing w:after="0"/>
              <w:rPr>
                <w:rFonts w:eastAsia="Times New Roman"/>
                <w:noProof/>
                <w:color w:val="000000"/>
                <w:sz w:val="18"/>
                <w:szCs w:val="18"/>
              </w:rPr>
            </w:pPr>
            <w:r>
              <w:rPr>
                <w:noProof/>
                <w:color w:val="000000"/>
                <w:sz w:val="18"/>
                <w:vertAlign w:val="superscript"/>
              </w:rPr>
              <w:t>(1)</w:t>
            </w:r>
          </w:p>
        </w:tc>
        <w:tc>
          <w:tcPr>
            <w:tcW w:w="850" w:type="dxa"/>
            <w:noWrap/>
            <w:hideMark/>
          </w:tcPr>
          <w:p>
            <w:pPr>
              <w:rPr>
                <w:rFonts w:eastAsia="Times New Roman"/>
                <w:noProof/>
                <w:color w:val="000000"/>
                <w:sz w:val="18"/>
                <w:szCs w:val="18"/>
              </w:rPr>
            </w:pPr>
          </w:p>
        </w:tc>
        <w:tc>
          <w:tcPr>
            <w:tcW w:w="993" w:type="dxa"/>
            <w:noWrap/>
            <w:hideMark/>
          </w:tcPr>
          <w:p>
            <w:pPr>
              <w:spacing w:after="0"/>
              <w:rPr>
                <w:noProof/>
                <w:sz w:val="20"/>
                <w:szCs w:val="20"/>
              </w:rPr>
            </w:pPr>
          </w:p>
        </w:tc>
        <w:tc>
          <w:tcPr>
            <w:tcW w:w="1275" w:type="dxa"/>
            <w:noWrap/>
            <w:hideMark/>
          </w:tcPr>
          <w:p>
            <w:pPr>
              <w:spacing w:after="0"/>
              <w:rPr>
                <w:noProof/>
                <w:sz w:val="20"/>
                <w:szCs w:val="20"/>
              </w:rPr>
            </w:pPr>
          </w:p>
        </w:tc>
        <w:tc>
          <w:tcPr>
            <w:tcW w:w="1585" w:type="dxa"/>
            <w:noWrap/>
            <w:hideMark/>
          </w:tcPr>
          <w:p>
            <w:pPr>
              <w:spacing w:after="0"/>
              <w:rPr>
                <w:noProof/>
                <w:sz w:val="20"/>
                <w:szCs w:val="20"/>
              </w:rPr>
            </w:pPr>
          </w:p>
        </w:tc>
      </w:tr>
      <w:tr>
        <w:trPr>
          <w:trHeight w:val="255"/>
        </w:trPr>
        <w:tc>
          <w:tcPr>
            <w:tcW w:w="976" w:type="dxa"/>
            <w:noWrap/>
            <w:hideMark/>
          </w:tcPr>
          <w:p>
            <w:pPr>
              <w:spacing w:after="0"/>
              <w:rPr>
                <w:noProof/>
                <w:sz w:val="20"/>
                <w:szCs w:val="20"/>
              </w:rPr>
            </w:pPr>
          </w:p>
        </w:tc>
        <w:tc>
          <w:tcPr>
            <w:tcW w:w="976" w:type="dxa"/>
            <w:noWrap/>
            <w:hideMark/>
          </w:tcPr>
          <w:p>
            <w:pPr>
              <w:spacing w:after="0"/>
              <w:rPr>
                <w:noProof/>
                <w:sz w:val="20"/>
                <w:szCs w:val="20"/>
              </w:rPr>
            </w:pPr>
          </w:p>
        </w:tc>
        <w:tc>
          <w:tcPr>
            <w:tcW w:w="976" w:type="dxa"/>
            <w:noWrap/>
            <w:hideMark/>
          </w:tcPr>
          <w:p>
            <w:pPr>
              <w:spacing w:after="0"/>
              <w:rPr>
                <w:noProof/>
                <w:sz w:val="20"/>
                <w:szCs w:val="20"/>
              </w:rPr>
            </w:pPr>
          </w:p>
        </w:tc>
        <w:tc>
          <w:tcPr>
            <w:tcW w:w="1325" w:type="dxa"/>
            <w:noWrap/>
            <w:hideMark/>
          </w:tcPr>
          <w:p>
            <w:pPr>
              <w:spacing w:after="0"/>
              <w:rPr>
                <w:noProof/>
                <w:sz w:val="20"/>
                <w:szCs w:val="20"/>
              </w:rPr>
            </w:pPr>
          </w:p>
        </w:tc>
        <w:tc>
          <w:tcPr>
            <w:tcW w:w="850" w:type="dxa"/>
            <w:noWrap/>
            <w:hideMark/>
          </w:tcPr>
          <w:p>
            <w:pPr>
              <w:spacing w:after="0"/>
              <w:rPr>
                <w:noProof/>
                <w:sz w:val="20"/>
                <w:szCs w:val="20"/>
              </w:rPr>
            </w:pPr>
          </w:p>
        </w:tc>
        <w:tc>
          <w:tcPr>
            <w:tcW w:w="993" w:type="dxa"/>
            <w:noWrap/>
            <w:hideMark/>
          </w:tcPr>
          <w:p>
            <w:pPr>
              <w:spacing w:after="0"/>
              <w:rPr>
                <w:noProof/>
                <w:sz w:val="20"/>
                <w:szCs w:val="20"/>
              </w:rPr>
            </w:pPr>
          </w:p>
        </w:tc>
        <w:tc>
          <w:tcPr>
            <w:tcW w:w="1275" w:type="dxa"/>
            <w:noWrap/>
            <w:hideMark/>
          </w:tcPr>
          <w:p>
            <w:pPr>
              <w:spacing w:after="0"/>
              <w:rPr>
                <w:noProof/>
                <w:sz w:val="20"/>
                <w:szCs w:val="20"/>
              </w:rPr>
            </w:pPr>
          </w:p>
        </w:tc>
        <w:tc>
          <w:tcPr>
            <w:tcW w:w="1585" w:type="dxa"/>
            <w:noWrap/>
            <w:hideMark/>
          </w:tcPr>
          <w:p>
            <w:pPr>
              <w:spacing w:after="0"/>
              <w:rPr>
                <w:noProof/>
                <w:sz w:val="20"/>
                <w:szCs w:val="20"/>
              </w:rPr>
            </w:pPr>
          </w:p>
        </w:tc>
      </w:tr>
      <w:tr>
        <w:trPr>
          <w:trHeight w:val="270"/>
        </w:trPr>
        <w:tc>
          <w:tcPr>
            <w:tcW w:w="976" w:type="dxa"/>
            <w:noWrap/>
            <w:hideMark/>
          </w:tcPr>
          <w:p>
            <w:pPr>
              <w:spacing w:after="0"/>
              <w:rPr>
                <w:rFonts w:eastAsia="Times New Roman"/>
                <w:noProof/>
                <w:color w:val="000000"/>
                <w:sz w:val="18"/>
                <w:szCs w:val="18"/>
              </w:rPr>
            </w:pPr>
            <w:r>
              <w:rPr>
                <w:noProof/>
                <w:color w:val="000000"/>
                <w:sz w:val="18"/>
              </w:rPr>
              <w:t>TAC</w:t>
            </w:r>
          </w:p>
        </w:tc>
        <w:tc>
          <w:tcPr>
            <w:tcW w:w="976" w:type="dxa"/>
            <w:noWrap/>
            <w:hideMark/>
          </w:tcPr>
          <w:p>
            <w:pPr>
              <w:rPr>
                <w:rFonts w:eastAsia="Times New Roman"/>
                <w:noProof/>
                <w:color w:val="000000"/>
                <w:sz w:val="18"/>
                <w:szCs w:val="18"/>
              </w:rPr>
            </w:pPr>
          </w:p>
        </w:tc>
        <w:tc>
          <w:tcPr>
            <w:tcW w:w="976" w:type="dxa"/>
            <w:noWrap/>
            <w:hideMark/>
          </w:tcPr>
          <w:p>
            <w:pPr>
              <w:spacing w:after="0"/>
              <w:jc w:val="right"/>
              <w:rPr>
                <w:rFonts w:eastAsia="Times New Roman"/>
                <w:noProof/>
                <w:color w:val="000000"/>
                <w:sz w:val="18"/>
                <w:szCs w:val="18"/>
              </w:rPr>
            </w:pPr>
            <w:r>
              <w:rPr>
                <w:noProof/>
                <w:color w:val="000000"/>
                <w:sz w:val="18"/>
              </w:rPr>
              <w:t>8 952</w:t>
            </w:r>
          </w:p>
        </w:tc>
        <w:tc>
          <w:tcPr>
            <w:tcW w:w="1325" w:type="dxa"/>
            <w:noWrap/>
            <w:hideMark/>
          </w:tcPr>
          <w:p>
            <w:pPr>
              <w:spacing w:after="0"/>
              <w:rPr>
                <w:rFonts w:eastAsia="Times New Roman"/>
                <w:noProof/>
                <w:color w:val="000000"/>
                <w:sz w:val="18"/>
                <w:szCs w:val="18"/>
              </w:rPr>
            </w:pPr>
            <w:r>
              <w:rPr>
                <w:noProof/>
                <w:color w:val="000000"/>
                <w:sz w:val="18"/>
                <w:vertAlign w:val="superscript"/>
              </w:rPr>
              <w:t>(1)</w:t>
            </w:r>
          </w:p>
        </w:tc>
        <w:tc>
          <w:tcPr>
            <w:tcW w:w="850" w:type="dxa"/>
            <w:noWrap/>
            <w:hideMark/>
          </w:tcPr>
          <w:p>
            <w:pPr>
              <w:rPr>
                <w:rFonts w:eastAsia="Times New Roman"/>
                <w:noProof/>
                <w:color w:val="000000"/>
                <w:sz w:val="18"/>
                <w:szCs w:val="18"/>
              </w:rPr>
            </w:pPr>
          </w:p>
        </w:tc>
        <w:tc>
          <w:tcPr>
            <w:tcW w:w="993" w:type="dxa"/>
            <w:noWrap/>
            <w:hideMark/>
          </w:tcPr>
          <w:p>
            <w:pPr>
              <w:spacing w:after="0"/>
              <w:rPr>
                <w:noProof/>
                <w:sz w:val="20"/>
                <w:szCs w:val="20"/>
              </w:rPr>
            </w:pPr>
          </w:p>
        </w:tc>
        <w:tc>
          <w:tcPr>
            <w:tcW w:w="1275" w:type="dxa"/>
            <w:noWrap/>
            <w:hideMark/>
          </w:tcPr>
          <w:p>
            <w:pPr>
              <w:spacing w:after="0"/>
              <w:rPr>
                <w:noProof/>
                <w:sz w:val="20"/>
                <w:szCs w:val="20"/>
              </w:rPr>
            </w:pPr>
          </w:p>
        </w:tc>
        <w:tc>
          <w:tcPr>
            <w:tcW w:w="1585" w:type="dxa"/>
            <w:noWrap/>
            <w:hideMark/>
          </w:tcPr>
          <w:p>
            <w:pPr>
              <w:spacing w:after="0"/>
              <w:rPr>
                <w:noProof/>
                <w:sz w:val="20"/>
                <w:szCs w:val="20"/>
              </w:rPr>
            </w:pPr>
          </w:p>
        </w:tc>
      </w:tr>
      <w:tr>
        <w:trPr>
          <w:trHeight w:val="285"/>
        </w:trPr>
        <w:tc>
          <w:tcPr>
            <w:tcW w:w="976" w:type="dxa"/>
            <w:noWrap/>
            <w:hideMark/>
          </w:tcPr>
          <w:p>
            <w:pPr>
              <w:spacing w:after="0"/>
              <w:rPr>
                <w:rFonts w:eastAsia="Times New Roman"/>
                <w:noProof/>
                <w:color w:val="000000"/>
                <w:sz w:val="18"/>
                <w:szCs w:val="18"/>
              </w:rPr>
            </w:pPr>
            <w:r>
              <w:rPr>
                <w:noProof/>
                <w:color w:val="000000"/>
                <w:sz w:val="18"/>
                <w:vertAlign w:val="superscript"/>
              </w:rPr>
              <w:t>(1)</w:t>
            </w:r>
          </w:p>
        </w:tc>
        <w:tc>
          <w:tcPr>
            <w:tcW w:w="4127" w:type="dxa"/>
            <w:gridSpan w:val="4"/>
            <w:noWrap/>
            <w:hideMark/>
          </w:tcPr>
          <w:p>
            <w:pPr>
              <w:spacing w:after="0"/>
              <w:rPr>
                <w:rFonts w:eastAsia="Times New Roman"/>
                <w:noProof/>
                <w:sz w:val="18"/>
                <w:szCs w:val="18"/>
              </w:rPr>
            </w:pPr>
            <w:r>
              <w:rPr>
                <w:noProof/>
                <w:sz w:val="18"/>
                <w:vertAlign w:val="superscript"/>
              </w:rPr>
              <w:t>Kvoten får endast fiskas under perioden 1 juli 2019–30 juni 2020.</w:t>
            </w:r>
          </w:p>
        </w:tc>
        <w:tc>
          <w:tcPr>
            <w:tcW w:w="993" w:type="dxa"/>
            <w:noWrap/>
            <w:hideMark/>
          </w:tcPr>
          <w:p>
            <w:pPr>
              <w:rPr>
                <w:rFonts w:eastAsia="Times New Roman"/>
                <w:noProof/>
                <w:sz w:val="18"/>
                <w:szCs w:val="18"/>
              </w:rPr>
            </w:pPr>
          </w:p>
        </w:tc>
        <w:tc>
          <w:tcPr>
            <w:tcW w:w="1275" w:type="dxa"/>
            <w:noWrap/>
            <w:hideMark/>
          </w:tcPr>
          <w:p>
            <w:pPr>
              <w:spacing w:after="0"/>
              <w:rPr>
                <w:noProof/>
                <w:sz w:val="20"/>
                <w:szCs w:val="20"/>
              </w:rPr>
            </w:pPr>
          </w:p>
        </w:tc>
        <w:tc>
          <w:tcPr>
            <w:tcW w:w="1585" w:type="dxa"/>
            <w:noWrap/>
            <w:hideMark/>
          </w:tcPr>
          <w:p>
            <w:pPr>
              <w:spacing w:after="0"/>
              <w:rPr>
                <w:noProof/>
                <w:sz w:val="20"/>
                <w:szCs w:val="20"/>
              </w:rPr>
            </w:pPr>
          </w:p>
        </w:tc>
      </w:tr>
      <w:tr>
        <w:trPr>
          <w:trHeight w:val="270"/>
        </w:trPr>
        <w:tc>
          <w:tcPr>
            <w:tcW w:w="976"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c>
          <w:tcPr>
            <w:tcW w:w="976"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sz w:val="18"/>
                <w:szCs w:val="18"/>
              </w:rPr>
            </w:pPr>
            <w:r>
              <w:rPr>
                <w:rFonts w:ascii="Calibri" w:hAnsi="Calibri"/>
                <w:noProof/>
                <w:sz w:val="18"/>
              </w:rPr>
              <w:t> </w:t>
            </w:r>
          </w:p>
        </w:tc>
        <w:tc>
          <w:tcPr>
            <w:tcW w:w="976" w:type="dxa"/>
            <w:tcBorders>
              <w:top w:val="single" w:sz="8" w:space="0" w:color="000000"/>
              <w:left w:val="nil"/>
              <w:bottom w:val="single" w:sz="8" w:space="0" w:color="000000"/>
              <w:right w:val="nil"/>
            </w:tcBorders>
            <w:noWrap/>
            <w:hideMark/>
          </w:tcPr>
          <w:p>
            <w:pPr>
              <w:spacing w:after="0"/>
              <w:jc w:val="right"/>
              <w:rPr>
                <w:rFonts w:ascii="Calibri" w:eastAsia="Times New Roman" w:hAnsi="Calibri" w:cs="Calibri"/>
                <w:noProof/>
                <w:color w:val="000000"/>
                <w:sz w:val="18"/>
                <w:szCs w:val="18"/>
              </w:rPr>
            </w:pPr>
            <w:r>
              <w:rPr>
                <w:rFonts w:ascii="Calibri" w:hAnsi="Calibri"/>
                <w:noProof/>
                <w:color w:val="000000"/>
                <w:sz w:val="18"/>
              </w:rPr>
              <w:t> </w:t>
            </w:r>
          </w:p>
        </w:tc>
        <w:tc>
          <w:tcPr>
            <w:tcW w:w="1325"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c>
          <w:tcPr>
            <w:tcW w:w="850"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c>
          <w:tcPr>
            <w:tcW w:w="993"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c>
          <w:tcPr>
            <w:tcW w:w="1275"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c>
          <w:tcPr>
            <w:tcW w:w="1585"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r>
    </w:tbl>
    <w:p>
      <w:pPr>
        <w:pStyle w:val="Titrearticle"/>
        <w:rPr>
          <w:noProof/>
        </w:rPr>
      </w:pPr>
      <w:r>
        <w:rPr>
          <w:noProof/>
        </w:rPr>
        <w:t>Artikel 2</w:t>
      </w:r>
    </w:p>
    <w:p>
      <w:pPr>
        <w:rPr>
          <w:noProof/>
        </w:rPr>
      </w:pPr>
      <w:r>
        <w:rPr>
          <w:noProof/>
        </w:rPr>
        <w:t>I bilagan till förordning (EU) 2018/2025 ska tabellen med fiskemöjligheter för fläckpagell i unionens vatten och i internationella vatten i Ices-delområde 10 ersättas med följande tabell:</w:t>
      </w:r>
    </w:p>
    <w:tbl>
      <w:tblPr>
        <w:tblW w:w="8946" w:type="dxa"/>
        <w:tblInd w:w="93" w:type="dxa"/>
        <w:tblLook w:val="04A0" w:firstRow="1" w:lastRow="0" w:firstColumn="1" w:lastColumn="0" w:noHBand="0" w:noVBand="1"/>
      </w:tblPr>
      <w:tblGrid>
        <w:gridCol w:w="1294"/>
        <w:gridCol w:w="1397"/>
        <w:gridCol w:w="636"/>
        <w:gridCol w:w="1017"/>
        <w:gridCol w:w="636"/>
        <w:gridCol w:w="846"/>
        <w:gridCol w:w="3129"/>
      </w:tblGrid>
      <w:tr>
        <w:trPr>
          <w:trHeight w:val="270"/>
        </w:trPr>
        <w:tc>
          <w:tcPr>
            <w:tcW w:w="1294" w:type="dxa"/>
            <w:tcBorders>
              <w:top w:val="single" w:sz="8" w:space="0" w:color="000000"/>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rPr>
              <w:t xml:space="preserve"> </w:t>
            </w:r>
            <w:r>
              <w:rPr>
                <w:noProof/>
                <w:color w:val="000000"/>
                <w:sz w:val="18"/>
              </w:rPr>
              <w:t>Art:</w:t>
            </w:r>
          </w:p>
        </w:tc>
        <w:tc>
          <w:tcPr>
            <w:tcW w:w="3686" w:type="dxa"/>
            <w:gridSpan w:val="4"/>
            <w:tcBorders>
              <w:top w:val="single" w:sz="8" w:space="0" w:color="000000"/>
              <w:left w:val="nil"/>
              <w:bottom w:val="nil"/>
              <w:right w:val="single" w:sz="8" w:space="0" w:color="000000"/>
            </w:tcBorders>
            <w:shd w:val="clear" w:color="auto" w:fill="auto"/>
            <w:noWrap/>
            <w:vAlign w:val="center"/>
            <w:hideMark/>
          </w:tcPr>
          <w:p>
            <w:pPr>
              <w:spacing w:before="0" w:after="0"/>
              <w:rPr>
                <w:rFonts w:eastAsia="Times New Roman"/>
                <w:noProof/>
                <w:color w:val="000000"/>
                <w:sz w:val="18"/>
                <w:szCs w:val="18"/>
              </w:rPr>
            </w:pPr>
            <w:r>
              <w:rPr>
                <w:noProof/>
                <w:sz w:val="18"/>
              </w:rPr>
              <w:t>Fläckpagell</w:t>
            </w:r>
            <w:r>
              <w:rPr>
                <w:noProof/>
                <w:color w:val="000000"/>
                <w:sz w:val="18"/>
                <w:vertAlign w:val="superscript"/>
              </w:rPr>
              <w:t> </w:t>
            </w:r>
          </w:p>
        </w:tc>
        <w:tc>
          <w:tcPr>
            <w:tcW w:w="837" w:type="dxa"/>
            <w:tcBorders>
              <w:top w:val="single" w:sz="8" w:space="0" w:color="000000"/>
              <w:left w:val="single" w:sz="8" w:space="0" w:color="000000"/>
            </w:tcBorders>
            <w:noWrap/>
            <w:vAlign w:val="center"/>
          </w:tcPr>
          <w:p>
            <w:pPr>
              <w:spacing w:before="0" w:after="200" w:line="276" w:lineRule="auto"/>
              <w:jc w:val="left"/>
              <w:rPr>
                <w:noProof/>
              </w:rPr>
            </w:pPr>
            <w:r>
              <w:rPr>
                <w:noProof/>
                <w:color w:val="000000"/>
                <w:sz w:val="18"/>
              </w:rPr>
              <w:t>Område:</w:t>
            </w:r>
          </w:p>
        </w:tc>
        <w:tc>
          <w:tcPr>
            <w:tcW w:w="3129" w:type="dxa"/>
            <w:tcBorders>
              <w:top w:val="single" w:sz="8" w:space="0" w:color="000000"/>
              <w:left w:val="nil"/>
              <w:right w:val="nil"/>
            </w:tcBorders>
            <w:shd w:val="clear" w:color="auto" w:fill="auto"/>
            <w:noWrap/>
            <w:vAlign w:val="center"/>
          </w:tcPr>
          <w:p>
            <w:pPr>
              <w:spacing w:before="0" w:after="200" w:line="276" w:lineRule="auto"/>
              <w:jc w:val="left"/>
              <w:rPr>
                <w:noProof/>
              </w:rPr>
            </w:pPr>
            <w:r>
              <w:rPr>
                <w:noProof/>
                <w:color w:val="000000"/>
                <w:sz w:val="18"/>
              </w:rPr>
              <w:t>Unionens vatten och internationella vatten i 10</w:t>
            </w:r>
          </w:p>
        </w:tc>
      </w:tr>
      <w:tr>
        <w:trPr>
          <w:trHeight w:val="315"/>
        </w:trPr>
        <w:tc>
          <w:tcPr>
            <w:tcW w:w="1294" w:type="dxa"/>
            <w:tcBorders>
              <w:top w:val="nil"/>
              <w:left w:val="nil"/>
              <w:bottom w:val="single" w:sz="8" w:space="0" w:color="000000"/>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 </w:t>
            </w:r>
          </w:p>
        </w:tc>
        <w:tc>
          <w:tcPr>
            <w:tcW w:w="3686" w:type="dxa"/>
            <w:gridSpan w:val="4"/>
            <w:tcBorders>
              <w:top w:val="nil"/>
              <w:left w:val="nil"/>
              <w:bottom w:val="single" w:sz="8" w:space="0" w:color="000000"/>
              <w:right w:val="single" w:sz="8" w:space="0" w:color="000000"/>
            </w:tcBorders>
            <w:shd w:val="clear" w:color="auto" w:fill="auto"/>
            <w:noWrap/>
            <w:vAlign w:val="center"/>
            <w:hideMark/>
          </w:tcPr>
          <w:p>
            <w:pPr>
              <w:spacing w:before="0" w:after="0"/>
              <w:rPr>
                <w:noProof/>
              </w:rPr>
            </w:pPr>
            <w:r>
              <w:rPr>
                <w:i/>
                <w:noProof/>
                <w:sz w:val="18"/>
              </w:rPr>
              <w:t>Pagellus bogaraveo</w:t>
            </w:r>
            <w:r>
              <w:rPr>
                <w:noProof/>
                <w:color w:val="000000"/>
                <w:sz w:val="18"/>
              </w:rPr>
              <w:t> </w:t>
            </w:r>
          </w:p>
        </w:tc>
        <w:tc>
          <w:tcPr>
            <w:tcW w:w="837" w:type="dxa"/>
            <w:tcBorders>
              <w:left w:val="single" w:sz="8" w:space="0" w:color="000000"/>
              <w:bottom w:val="single" w:sz="8" w:space="0" w:color="000000"/>
            </w:tcBorders>
            <w:noWrap/>
          </w:tcPr>
          <w:p>
            <w:pPr>
              <w:spacing w:before="0" w:after="200" w:line="276" w:lineRule="auto"/>
              <w:jc w:val="left"/>
              <w:rPr>
                <w:noProof/>
              </w:rPr>
            </w:pPr>
          </w:p>
        </w:tc>
        <w:tc>
          <w:tcPr>
            <w:tcW w:w="3129" w:type="dxa"/>
            <w:tcBorders>
              <w:left w:val="nil"/>
              <w:bottom w:val="nil"/>
              <w:right w:val="nil"/>
            </w:tcBorders>
            <w:shd w:val="clear" w:color="auto" w:fill="auto"/>
            <w:noWrap/>
            <w:vAlign w:val="center"/>
          </w:tcPr>
          <w:p>
            <w:pPr>
              <w:spacing w:before="0" w:after="200" w:line="276" w:lineRule="auto"/>
              <w:jc w:val="left"/>
              <w:rPr>
                <w:noProof/>
              </w:rPr>
            </w:pPr>
            <w:r>
              <w:rPr>
                <w:noProof/>
                <w:color w:val="000000"/>
                <w:sz w:val="18"/>
              </w:rPr>
              <w:t>(SBR/10-)</w:t>
            </w:r>
          </w:p>
        </w:tc>
      </w:tr>
      <w:tr>
        <w:trPr>
          <w:trHeight w:val="285"/>
        </w:trPr>
        <w:tc>
          <w:tcPr>
            <w:tcW w:w="1294" w:type="dxa"/>
            <w:tcBorders>
              <w:top w:val="nil"/>
              <w:left w:val="nil"/>
              <w:bottom w:val="nil"/>
              <w:right w:val="nil"/>
            </w:tcBorders>
            <w:shd w:val="clear" w:color="auto" w:fill="auto"/>
            <w:noWrap/>
            <w:vAlign w:val="center"/>
            <w:hideMark/>
          </w:tcPr>
          <w:p>
            <w:pPr>
              <w:spacing w:before="0" w:after="0"/>
              <w:rPr>
                <w:rFonts w:eastAsia="Times New Roman"/>
                <w:b/>
                <w:bCs/>
                <w:noProof/>
                <w:color w:val="000000"/>
                <w:sz w:val="18"/>
                <w:szCs w:val="18"/>
              </w:rPr>
            </w:pPr>
            <w:r>
              <w:rPr>
                <w:b/>
                <w:noProof/>
                <w:color w:val="000000"/>
                <w:sz w:val="18"/>
              </w:rPr>
              <w:t>År</w:t>
            </w:r>
          </w:p>
        </w:tc>
        <w:tc>
          <w:tcPr>
            <w:tcW w:w="1397" w:type="dxa"/>
            <w:tcBorders>
              <w:top w:val="nil"/>
              <w:left w:val="nil"/>
              <w:bottom w:val="nil"/>
              <w:right w:val="nil"/>
            </w:tcBorders>
            <w:shd w:val="clear" w:color="auto" w:fill="auto"/>
            <w:noWrap/>
            <w:vAlign w:val="center"/>
            <w:hideMark/>
          </w:tcPr>
          <w:p>
            <w:pPr>
              <w:spacing w:before="0" w:after="0"/>
              <w:jc w:val="right"/>
              <w:rPr>
                <w:rFonts w:eastAsia="Times New Roman"/>
                <w:b/>
                <w:bCs/>
                <w:noProof/>
                <w:sz w:val="18"/>
                <w:szCs w:val="18"/>
              </w:rPr>
            </w:pPr>
            <w:r>
              <w:rPr>
                <w:b/>
                <w:noProof/>
                <w:sz w:val="18"/>
              </w:rPr>
              <w:t>2019</w:t>
            </w:r>
          </w:p>
        </w:tc>
        <w:tc>
          <w:tcPr>
            <w:tcW w:w="636" w:type="dxa"/>
            <w:tcBorders>
              <w:top w:val="nil"/>
              <w:left w:val="nil"/>
              <w:bottom w:val="nil"/>
              <w:right w:val="nil"/>
            </w:tcBorders>
            <w:shd w:val="clear" w:color="auto" w:fill="auto"/>
            <w:noWrap/>
            <w:hideMark/>
          </w:tcPr>
          <w:p>
            <w:pPr>
              <w:spacing w:before="0" w:after="0"/>
              <w:jc w:val="left"/>
              <w:rPr>
                <w:rFonts w:eastAsia="Times New Roman"/>
                <w:b/>
                <w:bCs/>
                <w:noProof/>
                <w:sz w:val="18"/>
                <w:szCs w:val="18"/>
              </w:rPr>
            </w:pPr>
          </w:p>
        </w:tc>
        <w:tc>
          <w:tcPr>
            <w:tcW w:w="1017" w:type="dxa"/>
            <w:tcBorders>
              <w:top w:val="nil"/>
              <w:left w:val="nil"/>
              <w:bottom w:val="nil"/>
              <w:right w:val="nil"/>
            </w:tcBorders>
            <w:shd w:val="clear" w:color="auto" w:fill="auto"/>
            <w:noWrap/>
            <w:vAlign w:val="center"/>
            <w:hideMark/>
          </w:tcPr>
          <w:p>
            <w:pPr>
              <w:spacing w:before="0" w:after="0"/>
              <w:jc w:val="right"/>
              <w:rPr>
                <w:rFonts w:eastAsia="Times New Roman"/>
                <w:b/>
                <w:bCs/>
                <w:noProof/>
                <w:color w:val="000000"/>
                <w:sz w:val="18"/>
                <w:szCs w:val="18"/>
              </w:rPr>
            </w:pPr>
            <w:r>
              <w:rPr>
                <w:b/>
                <w:noProof/>
                <w:color w:val="000000"/>
                <w:sz w:val="18"/>
              </w:rPr>
              <w:t>2020</w:t>
            </w:r>
          </w:p>
        </w:tc>
        <w:tc>
          <w:tcPr>
            <w:tcW w:w="636" w:type="dxa"/>
            <w:tcBorders>
              <w:top w:val="single" w:sz="4" w:space="0" w:color="000000"/>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3966" w:type="dxa"/>
            <w:gridSpan w:val="2"/>
            <w:tcBorders>
              <w:top w:val="single" w:sz="8" w:space="0" w:color="000000"/>
              <w:left w:val="nil"/>
              <w:bottom w:val="nil"/>
              <w:right w:val="nil"/>
            </w:tcBorders>
          </w:tcPr>
          <w:p>
            <w:pPr>
              <w:spacing w:before="0" w:after="0"/>
              <w:rPr>
                <w:rFonts w:eastAsia="Times New Roman"/>
                <w:noProof/>
                <w:color w:val="000000"/>
                <w:sz w:val="18"/>
                <w:szCs w:val="18"/>
              </w:rPr>
            </w:pPr>
            <w:r>
              <w:rPr>
                <w:noProof/>
                <w:color w:val="000000"/>
                <w:sz w:val="18"/>
              </w:rPr>
              <w:t>Försiktighets-TAC</w:t>
            </w:r>
          </w:p>
        </w:tc>
      </w:tr>
      <w:tr>
        <w:trPr>
          <w:trHeight w:val="360"/>
        </w:trPr>
        <w:tc>
          <w:tcPr>
            <w:tcW w:w="1294"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Spanien</w:t>
            </w:r>
          </w:p>
        </w:tc>
        <w:tc>
          <w:tcPr>
            <w:tcW w:w="139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w:t>
            </w:r>
          </w:p>
        </w:tc>
        <w:tc>
          <w:tcPr>
            <w:tcW w:w="636"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1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w:t>
            </w:r>
          </w:p>
        </w:tc>
        <w:tc>
          <w:tcPr>
            <w:tcW w:w="636" w:type="dxa"/>
            <w:tcBorders>
              <w:top w:val="nil"/>
              <w:left w:val="nil"/>
              <w:bottom w:val="nil"/>
              <w:right w:val="nil"/>
            </w:tcBorders>
            <w:shd w:val="clear" w:color="auto" w:fill="auto"/>
            <w:noWrap/>
            <w:hideMark/>
          </w:tcPr>
          <w:p>
            <w:pPr>
              <w:spacing w:before="0" w:after="0"/>
              <w:jc w:val="left"/>
              <w:rPr>
                <w:rFonts w:eastAsia="Times New Roman"/>
                <w:noProof/>
                <w:sz w:val="22"/>
              </w:rPr>
            </w:pPr>
          </w:p>
        </w:tc>
        <w:tc>
          <w:tcPr>
            <w:tcW w:w="83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c>
          <w:tcPr>
            <w:tcW w:w="3129"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r>
      <w:tr>
        <w:trPr>
          <w:trHeight w:val="360"/>
        </w:trPr>
        <w:tc>
          <w:tcPr>
            <w:tcW w:w="1294"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Portugal</w:t>
            </w:r>
          </w:p>
        </w:tc>
        <w:tc>
          <w:tcPr>
            <w:tcW w:w="139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566</w:t>
            </w:r>
          </w:p>
        </w:tc>
        <w:tc>
          <w:tcPr>
            <w:tcW w:w="636"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1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543</w:t>
            </w:r>
          </w:p>
        </w:tc>
        <w:tc>
          <w:tcPr>
            <w:tcW w:w="636" w:type="dxa"/>
            <w:tcBorders>
              <w:top w:val="nil"/>
              <w:left w:val="nil"/>
              <w:bottom w:val="nil"/>
              <w:right w:val="nil"/>
            </w:tcBorders>
            <w:shd w:val="clear" w:color="auto" w:fill="auto"/>
            <w:noWrap/>
            <w:hideMark/>
          </w:tcPr>
          <w:p>
            <w:pPr>
              <w:spacing w:before="0" w:after="0"/>
              <w:jc w:val="left"/>
              <w:rPr>
                <w:rFonts w:eastAsia="Times New Roman"/>
                <w:noProof/>
                <w:sz w:val="22"/>
              </w:rPr>
            </w:pPr>
          </w:p>
        </w:tc>
        <w:tc>
          <w:tcPr>
            <w:tcW w:w="83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c>
          <w:tcPr>
            <w:tcW w:w="3129"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r>
      <w:tr>
        <w:trPr>
          <w:trHeight w:val="360"/>
        </w:trPr>
        <w:tc>
          <w:tcPr>
            <w:tcW w:w="1294"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Förenade kungariket</w:t>
            </w:r>
          </w:p>
        </w:tc>
        <w:tc>
          <w:tcPr>
            <w:tcW w:w="139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w:t>
            </w:r>
          </w:p>
        </w:tc>
        <w:tc>
          <w:tcPr>
            <w:tcW w:w="636"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1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w:t>
            </w:r>
          </w:p>
        </w:tc>
        <w:tc>
          <w:tcPr>
            <w:tcW w:w="636" w:type="dxa"/>
            <w:tcBorders>
              <w:top w:val="nil"/>
              <w:left w:val="nil"/>
              <w:bottom w:val="nil"/>
              <w:right w:val="nil"/>
            </w:tcBorders>
            <w:shd w:val="clear" w:color="auto" w:fill="auto"/>
            <w:noWrap/>
            <w:hideMark/>
          </w:tcPr>
          <w:p>
            <w:pPr>
              <w:spacing w:before="0" w:after="0"/>
              <w:jc w:val="left"/>
              <w:rPr>
                <w:rFonts w:eastAsia="Times New Roman"/>
                <w:noProof/>
                <w:sz w:val="22"/>
              </w:rPr>
            </w:pPr>
          </w:p>
        </w:tc>
        <w:tc>
          <w:tcPr>
            <w:tcW w:w="83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c>
          <w:tcPr>
            <w:tcW w:w="3129"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r>
      <w:tr>
        <w:trPr>
          <w:trHeight w:val="360"/>
        </w:trPr>
        <w:tc>
          <w:tcPr>
            <w:tcW w:w="1294"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Unionen</w:t>
            </w:r>
          </w:p>
        </w:tc>
        <w:tc>
          <w:tcPr>
            <w:tcW w:w="1397"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rPr>
              <w:t>576</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1017"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rPr>
              <w:t>553</w:t>
            </w:r>
          </w:p>
        </w:tc>
        <w:tc>
          <w:tcPr>
            <w:tcW w:w="636" w:type="dxa"/>
            <w:tcBorders>
              <w:top w:val="nil"/>
              <w:left w:val="nil"/>
              <w:bottom w:val="nil"/>
              <w:right w:val="nil"/>
            </w:tcBorders>
            <w:shd w:val="clear" w:color="auto" w:fill="auto"/>
            <w:noWrap/>
            <w:hideMark/>
          </w:tcPr>
          <w:p>
            <w:pPr>
              <w:spacing w:before="0" w:after="0"/>
              <w:jc w:val="left"/>
              <w:rPr>
                <w:rFonts w:eastAsia="Times New Roman"/>
                <w:noProof/>
                <w:sz w:val="22"/>
              </w:rPr>
            </w:pPr>
          </w:p>
        </w:tc>
        <w:tc>
          <w:tcPr>
            <w:tcW w:w="83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c>
          <w:tcPr>
            <w:tcW w:w="3129" w:type="dxa"/>
            <w:tcBorders>
              <w:top w:val="nil"/>
              <w:left w:val="nil"/>
              <w:right w:val="nil"/>
            </w:tcBorders>
            <w:shd w:val="clear" w:color="auto" w:fill="auto"/>
            <w:noWrap/>
            <w:hideMark/>
          </w:tcPr>
          <w:p>
            <w:pPr>
              <w:spacing w:before="0" w:after="0"/>
              <w:jc w:val="left"/>
              <w:rPr>
                <w:rFonts w:ascii="Calibri" w:eastAsia="Times New Roman" w:hAnsi="Calibri" w:cs="Arial"/>
                <w:noProof/>
                <w:sz w:val="22"/>
              </w:rPr>
            </w:pPr>
          </w:p>
        </w:tc>
      </w:tr>
      <w:tr>
        <w:trPr>
          <w:trHeight w:val="285"/>
        </w:trPr>
        <w:tc>
          <w:tcPr>
            <w:tcW w:w="1294" w:type="dxa"/>
            <w:tcBorders>
              <w:top w:val="nil"/>
              <w:left w:val="nil"/>
              <w:bottom w:val="single" w:sz="8" w:space="0" w:color="auto"/>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TAC</w:t>
            </w:r>
          </w:p>
        </w:tc>
        <w:tc>
          <w:tcPr>
            <w:tcW w:w="1397" w:type="dxa"/>
            <w:tcBorders>
              <w:top w:val="nil"/>
              <w:left w:val="nil"/>
              <w:bottom w:val="single" w:sz="8" w:space="0" w:color="auto"/>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rPr>
              <w:t>576</w:t>
            </w:r>
          </w:p>
        </w:tc>
        <w:tc>
          <w:tcPr>
            <w:tcW w:w="636" w:type="dxa"/>
            <w:tcBorders>
              <w:top w:val="nil"/>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vertAlign w:val="superscript"/>
              </w:rPr>
              <w:t> </w:t>
            </w:r>
          </w:p>
        </w:tc>
        <w:tc>
          <w:tcPr>
            <w:tcW w:w="1017" w:type="dxa"/>
            <w:tcBorders>
              <w:top w:val="nil"/>
              <w:left w:val="nil"/>
              <w:bottom w:val="single" w:sz="8" w:space="0" w:color="auto"/>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rPr>
              <w:t>553</w:t>
            </w:r>
          </w:p>
        </w:tc>
        <w:tc>
          <w:tcPr>
            <w:tcW w:w="636" w:type="dxa"/>
            <w:tcBorders>
              <w:top w:val="nil"/>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vertAlign w:val="superscript"/>
              </w:rPr>
              <w:t> </w:t>
            </w:r>
          </w:p>
        </w:tc>
        <w:tc>
          <w:tcPr>
            <w:tcW w:w="837" w:type="dxa"/>
            <w:tcBorders>
              <w:top w:val="nil"/>
              <w:left w:val="nil"/>
              <w:bottom w:val="single" w:sz="8" w:space="0" w:color="auto"/>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 </w:t>
            </w:r>
          </w:p>
        </w:tc>
        <w:tc>
          <w:tcPr>
            <w:tcW w:w="3129" w:type="dxa"/>
            <w:tcBorders>
              <w:top w:val="nil"/>
              <w:left w:val="nil"/>
              <w:bottom w:val="single" w:sz="8" w:space="0" w:color="000000"/>
              <w:right w:val="nil"/>
            </w:tcBorders>
            <w:shd w:val="clear" w:color="auto" w:fill="auto"/>
            <w:noWrap/>
            <w:hideMark/>
          </w:tcPr>
          <w:p>
            <w:pPr>
              <w:spacing w:before="0" w:after="0"/>
              <w:jc w:val="right"/>
              <w:rPr>
                <w:rFonts w:eastAsia="Times New Roman"/>
                <w:noProof/>
                <w:color w:val="000000"/>
                <w:sz w:val="18"/>
                <w:szCs w:val="18"/>
              </w:rPr>
            </w:pPr>
          </w:p>
        </w:tc>
      </w:tr>
    </w:tbl>
    <w:p>
      <w:pPr>
        <w:pStyle w:val="Titrearticle"/>
        <w:rPr>
          <w:noProof/>
        </w:rPr>
      </w:pPr>
      <w:r>
        <w:rPr>
          <w:noProof/>
        </w:rPr>
        <w:t>Artikel 3</w:t>
      </w:r>
    </w:p>
    <w:p>
      <w:pPr>
        <w:rPr>
          <w:noProof/>
        </w:rPr>
      </w:pPr>
      <w:r>
        <w:rPr>
          <w:noProof/>
        </w:rPr>
        <w:t xml:space="preserve">Denna förordning träder i kraft dagen efter det att den har offentliggjorts i </w:t>
      </w:r>
      <w:r>
        <w:rPr>
          <w:i/>
          <w:noProof/>
        </w:rPr>
        <w:t>Europeiska unionens officiella tidning</w:t>
      </w:r>
      <w:r>
        <w:rPr>
          <w:noProof/>
        </w:rPr>
        <w:t>.</w:t>
      </w:r>
    </w:p>
    <w:p>
      <w:pPr>
        <w:rPr>
          <w:noProof/>
        </w:rPr>
      </w:pPr>
      <w:r>
        <w:rPr>
          <w:noProof/>
        </w:rPr>
        <w:t>Den ska tillämpas från och med den 1 juli 2019.</w:t>
      </w:r>
    </w:p>
    <w:p>
      <w:pPr>
        <w:pStyle w:val="Applicationdirecte"/>
        <w:rPr>
          <w:noProof/>
        </w:rPr>
      </w:pPr>
      <w:r>
        <w:rPr>
          <w:noProof/>
        </w:rPr>
        <w:t>Denna förordning är till alla delar bindande och direkt tillämplig i alla medlemsstater.</w:t>
      </w:r>
    </w:p>
    <w:p>
      <w:pPr>
        <w:pStyle w:val="Fait"/>
        <w:rPr>
          <w:noProof/>
        </w:rPr>
      </w:pPr>
      <w:r>
        <w:lastRenderedPageBreak/>
        <w:t>Utfärdad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förordning (EU) 2019/124 av den 30 januari 2019 om fastställande för år 2019 av fiskemöjligheterna för vissa fiskbestånd och grupper av fiskbestånd i unionens vatten och, för unionsfiskefartyg, i vissa andra vatten (EUT L 29, 31.1.2019, s. 1).</w:t>
      </w:r>
    </w:p>
  </w:footnote>
  <w:footnote w:id="2">
    <w:p>
      <w:pPr>
        <w:pStyle w:val="FootnoteText"/>
      </w:pPr>
      <w:r>
        <w:rPr>
          <w:rStyle w:val="FootnoteReference"/>
        </w:rPr>
        <w:footnoteRef/>
      </w:r>
      <w:r>
        <w:tab/>
        <w:t>Rådets förordning (EU) 2018/2025 av den 17 december 2018 om fastställande av fiskemöjligheterna för unionsfiskefartyg med avseende på vissa djuphavsbestånd för 2019 och 2020 (EUT L 325, 20.12.2018, s.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A4FE14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1 21:43: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CB74DA5-2E7E-4553-9535-BCA21CD267C4"/>
    <w:docVar w:name="LW_COVERPAGE_TYPE" w:val="1"/>
    <w:docVar w:name="LW_CROSSREFERENCE" w:val="&lt;UNUSED&gt;"/>
    <w:docVar w:name="LW_DocType" w:val="COM"/>
    <w:docVar w:name="LW_EMISSION" w:val="16.7.2019"/>
    <w:docVar w:name="LW_EMISSION_ISODATE" w:val="2019-07-16"/>
    <w:docVar w:name="LW_EMISSION_LOCATION" w:val="BRX"/>
    <w:docVar w:name="LW_EMISSION_PREFIX" w:val="Bryssel den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154"/>
    <w:docVar w:name="LW_REF.II.NEW.CP_YEAR" w:val="2019"/>
    <w:docVar w:name="LW_REF.INST.NEW" w:val="COM"/>
    <w:docVar w:name="LW_REF.INST.NEW_ADOPTED" w:val="final"/>
    <w:docVar w:name="LW_REF.INST.NEW_TEXT" w:val="(2019) 3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örslag till"/>
    <w:docVar w:name="LW_SUPERTITRE" w:val="&lt;UNUSED&gt;"/>
    <w:docVar w:name="LW_TITRE.OBJ.CP" w:val="om ändring av förordningarna (EU) 2019/124 och (EU) 2018/2025 vad gäller vissa fiskemöjligheter"/>
    <w:docVar w:name="LW_TYPE.DOC.CP" w:val="RÅDETS FÖ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4621">
      <w:bodyDiv w:val="1"/>
      <w:marLeft w:val="0"/>
      <w:marRight w:val="0"/>
      <w:marTop w:val="0"/>
      <w:marBottom w:val="0"/>
      <w:divBdr>
        <w:top w:val="none" w:sz="0" w:space="0" w:color="auto"/>
        <w:left w:val="none" w:sz="0" w:space="0" w:color="auto"/>
        <w:bottom w:val="none" w:sz="0" w:space="0" w:color="auto"/>
        <w:right w:val="none" w:sz="0" w:space="0" w:color="auto"/>
      </w:divBdr>
      <w:divsChild>
        <w:div w:id="1807426841">
          <w:marLeft w:val="0"/>
          <w:marRight w:val="0"/>
          <w:marTop w:val="0"/>
          <w:marBottom w:val="0"/>
          <w:divBdr>
            <w:top w:val="none" w:sz="0" w:space="0" w:color="auto"/>
            <w:left w:val="none" w:sz="0" w:space="0" w:color="auto"/>
            <w:bottom w:val="none" w:sz="0" w:space="0" w:color="auto"/>
            <w:right w:val="none" w:sz="0" w:space="0" w:color="auto"/>
          </w:divBdr>
          <w:divsChild>
            <w:div w:id="1876766329">
              <w:marLeft w:val="0"/>
              <w:marRight w:val="0"/>
              <w:marTop w:val="0"/>
              <w:marBottom w:val="0"/>
              <w:divBdr>
                <w:top w:val="none" w:sz="0" w:space="0" w:color="auto"/>
                <w:left w:val="none" w:sz="0" w:space="0" w:color="auto"/>
                <w:bottom w:val="none" w:sz="0" w:space="0" w:color="auto"/>
                <w:right w:val="none" w:sz="0" w:space="0" w:color="auto"/>
              </w:divBdr>
              <w:divsChild>
                <w:div w:id="833491775">
                  <w:marLeft w:val="0"/>
                  <w:marRight w:val="0"/>
                  <w:marTop w:val="0"/>
                  <w:marBottom w:val="0"/>
                  <w:divBdr>
                    <w:top w:val="none" w:sz="0" w:space="0" w:color="auto"/>
                    <w:left w:val="none" w:sz="0" w:space="0" w:color="auto"/>
                    <w:bottom w:val="none" w:sz="0" w:space="0" w:color="auto"/>
                    <w:right w:val="none" w:sz="0" w:space="0" w:color="auto"/>
                  </w:divBdr>
                  <w:divsChild>
                    <w:div w:id="935555531">
                      <w:marLeft w:val="1"/>
                      <w:marRight w:val="1"/>
                      <w:marTop w:val="0"/>
                      <w:marBottom w:val="0"/>
                      <w:divBdr>
                        <w:top w:val="none" w:sz="0" w:space="0" w:color="auto"/>
                        <w:left w:val="none" w:sz="0" w:space="0" w:color="auto"/>
                        <w:bottom w:val="none" w:sz="0" w:space="0" w:color="auto"/>
                        <w:right w:val="none" w:sz="0" w:space="0" w:color="auto"/>
                      </w:divBdr>
                      <w:divsChild>
                        <w:div w:id="1097483941">
                          <w:marLeft w:val="0"/>
                          <w:marRight w:val="0"/>
                          <w:marTop w:val="0"/>
                          <w:marBottom w:val="0"/>
                          <w:divBdr>
                            <w:top w:val="none" w:sz="0" w:space="0" w:color="auto"/>
                            <w:left w:val="none" w:sz="0" w:space="0" w:color="auto"/>
                            <w:bottom w:val="none" w:sz="0" w:space="0" w:color="auto"/>
                            <w:right w:val="none" w:sz="0" w:space="0" w:color="auto"/>
                          </w:divBdr>
                          <w:divsChild>
                            <w:div w:id="840316443">
                              <w:marLeft w:val="0"/>
                              <w:marRight w:val="0"/>
                              <w:marTop w:val="0"/>
                              <w:marBottom w:val="360"/>
                              <w:divBdr>
                                <w:top w:val="none" w:sz="0" w:space="0" w:color="auto"/>
                                <w:left w:val="none" w:sz="0" w:space="0" w:color="auto"/>
                                <w:bottom w:val="none" w:sz="0" w:space="0" w:color="auto"/>
                                <w:right w:val="none" w:sz="0" w:space="0" w:color="auto"/>
                              </w:divBdr>
                              <w:divsChild>
                                <w:div w:id="1164780254">
                                  <w:marLeft w:val="0"/>
                                  <w:marRight w:val="0"/>
                                  <w:marTop w:val="0"/>
                                  <w:marBottom w:val="0"/>
                                  <w:divBdr>
                                    <w:top w:val="none" w:sz="0" w:space="0" w:color="auto"/>
                                    <w:left w:val="none" w:sz="0" w:space="0" w:color="auto"/>
                                    <w:bottom w:val="none" w:sz="0" w:space="0" w:color="auto"/>
                                    <w:right w:val="none" w:sz="0" w:space="0" w:color="auto"/>
                                  </w:divBdr>
                                  <w:divsChild>
                                    <w:div w:id="1265844140">
                                      <w:marLeft w:val="0"/>
                                      <w:marRight w:val="0"/>
                                      <w:marTop w:val="0"/>
                                      <w:marBottom w:val="0"/>
                                      <w:divBdr>
                                        <w:top w:val="none" w:sz="0" w:space="0" w:color="auto"/>
                                        <w:left w:val="none" w:sz="0" w:space="0" w:color="auto"/>
                                        <w:bottom w:val="none" w:sz="0" w:space="0" w:color="auto"/>
                                        <w:right w:val="none" w:sz="0" w:space="0" w:color="auto"/>
                                      </w:divBdr>
                                      <w:divsChild>
                                        <w:div w:id="1358121743">
                                          <w:marLeft w:val="0"/>
                                          <w:marRight w:val="0"/>
                                          <w:marTop w:val="0"/>
                                          <w:marBottom w:val="0"/>
                                          <w:divBdr>
                                            <w:top w:val="none" w:sz="0" w:space="0" w:color="auto"/>
                                            <w:left w:val="none" w:sz="0" w:space="0" w:color="auto"/>
                                            <w:bottom w:val="none" w:sz="0" w:space="0" w:color="auto"/>
                                            <w:right w:val="none" w:sz="0" w:space="0" w:color="auto"/>
                                          </w:divBdr>
                                        </w:div>
                                        <w:div w:id="567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8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09CF-BF1D-4874-8CB8-656C7F58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1197</Words>
  <Characters>7428</Characters>
  <Application>Microsoft Office Word</Application>
  <DocSecurity>0</DocSecurity>
  <Lines>256</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2019-05-20T14:19:00Z</cp:lastPrinted>
  <dcterms:created xsi:type="dcterms:W3CDTF">2019-07-10T04:48:00Z</dcterms:created>
  <dcterms:modified xsi:type="dcterms:W3CDTF">2019-07-11T19:43:00Z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