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58D0A2D-59F0-4622-930D-5BFC1650674C" style="width:450.75pt;height:351.75pt">
            <v:imagedata r:id="rId9" o:title=""/>
          </v:shape>
        </w:pict>
      </w:r>
    </w:p>
    <w:p>
      <w:pPr>
        <w:spacing w:before="0" w:after="200" w:line="276" w:lineRule="auto"/>
        <w:jc w:val="left"/>
        <w:rPr>
          <w:b/>
          <w:noProof/>
          <w:u w:val="single"/>
        </w:rPr>
      </w:pPr>
      <w:r>
        <w:rPr>
          <w:noProof/>
        </w:rPr>
        <w:br w:type="page"/>
      </w:r>
    </w:p>
    <w:p>
      <w:pPr>
        <w:pStyle w:val="Exposdesmotifstitre"/>
        <w:rPr>
          <w:noProof/>
        </w:rPr>
      </w:pPr>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noProof/>
        </w:rPr>
      </w:pPr>
      <w:r>
        <w:rPr>
          <w:noProof/>
        </w:rPr>
        <w:t>I Rådets forordning (EU) 2019/124 er der for 2019 fastlagt fiskerimuligheder for visse fiskebestande og grupper af fiskebestande gældende for EU-farvande og for EU-fartøjer i visse andre farvande. Fiskerimulighederne ændres som regel adskillige gange i løbet af den periode, de er fastsat for. Ved Rådets forordning (EU) 2018/2025 er der fastsat fiskerimuligheder for EU-fiskerfartøjer for visse dybhavsbestande for 2019 og 2020. Forslaget indeholder en ændring af TAC for en af bestandene af spidstandet blankesten i henhold til ICES-rådgivning for den pågældende bestand.</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rPr>
          <w:noProof/>
        </w:rPr>
      </w:pPr>
      <w:r>
        <w:rPr>
          <w:noProof/>
        </w:rPr>
        <w:t>De foreslåede foranstaltninger er udarbejdet i overensstemmelse med den fælles fiskeripolitiks mål og regler og er i overensstemmelse med EU's politik for bæredygtig udvikling.</w:t>
      </w:r>
    </w:p>
    <w:p>
      <w:pPr>
        <w:pStyle w:val="ManualHeading2"/>
        <w:rPr>
          <w:rFonts w:eastAsia="Arial Unicode MS"/>
          <w:noProof/>
        </w:rPr>
      </w:pPr>
      <w:r>
        <w:rPr>
          <w:noProof/>
          <w:color w:val="000000"/>
          <w:u w:color="000000"/>
          <w:bdr w:val="nil"/>
        </w:rPr>
        <w:t>•</w:t>
      </w:r>
      <w:r>
        <w:rPr>
          <w:noProof/>
        </w:rPr>
        <w:tab/>
        <w:t>Sammenhæng med Unionens politik på andre områder</w:t>
      </w:r>
    </w:p>
    <w:p>
      <w:pPr>
        <w:rPr>
          <w:noProof/>
        </w:rPr>
      </w:pPr>
      <w:r>
        <w:rPr>
          <w:noProof/>
        </w:rPr>
        <w:t>De foreslåede foranstaltninger er i overensstemmelse med andre EU-politikker, navnlig politikkerne på miljøområdet.</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rPr>
          <w:noProof/>
        </w:rPr>
      </w:pPr>
      <w:r>
        <w:rPr>
          <w:noProof/>
        </w:rPr>
        <w:t>Dette forslags retsgrundlag er artikel 43, stk. 3, i traktaten om Den Europæiske Unions funktionsmåde.</w:t>
      </w:r>
    </w:p>
    <w:p>
      <w:pPr>
        <w:rPr>
          <w:noProof/>
        </w:rPr>
      </w:pPr>
      <w:r>
        <w:rPr>
          <w:noProof/>
        </w:rPr>
        <w:t>Unionens forpligtelser, når det gælder bæredygtig udnyttelse af de levende akvatiske ressourcer, følger af forpligtelserne i henhold til artikel 2 i den fælles fiskeripolitiks nye grundforordning.</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spacing w:after="0"/>
        <w:rPr>
          <w:noProof/>
        </w:rPr>
      </w:pPr>
      <w:r>
        <w:rPr>
          <w:noProof/>
        </w:rPr>
        <w:t>Unionen har enekompetence på det område, som forslaget vedrører, jf. traktatens artikel 3, stk. 1, litra d). Nærhedsprincippet finder derfor ikke anvendelse.</w:t>
      </w:r>
    </w:p>
    <w:p>
      <w:pPr>
        <w:pStyle w:val="ManualHeading2"/>
        <w:rPr>
          <w:rFonts w:eastAsia="Arial Unicode MS"/>
          <w:noProof/>
          <w:u w:color="000000"/>
          <w:bdr w:val="nil"/>
        </w:rPr>
      </w:pPr>
      <w:r>
        <w:rPr>
          <w:noProof/>
        </w:rPr>
        <w:t>•</w:t>
      </w:r>
      <w:r>
        <w:rPr>
          <w:noProof/>
        </w:rPr>
        <w:tab/>
        <w:t>Proportionalitetsprincippet</w:t>
      </w:r>
    </w:p>
    <w:p>
      <w:pPr>
        <w:pBdr>
          <w:top w:val="nil"/>
          <w:left w:val="nil"/>
          <w:bottom w:val="nil"/>
          <w:right w:val="nil"/>
          <w:between w:val="nil"/>
          <w:bar w:val="nil"/>
        </w:pBdr>
        <w:spacing w:before="0" w:after="240"/>
        <w:rPr>
          <w:rFonts w:eastAsia="Arial Unicode MS"/>
          <w:noProof/>
        </w:rPr>
      </w:pPr>
      <w:r>
        <w:rPr>
          <w:noProof/>
        </w:rPr>
        <w:t>Forslaget er i overensstemmelse med proportionalitetsprincippet af følgende årsag: Den fælles fiskeripolitik er en fælles politik. I henhold til artikel 43, stk. 3, i traktaten skal Rådet vedtage de foranstaltninger, der tager sigte på at fastsætte og fordele fiskerimulighederne.</w:t>
      </w:r>
    </w:p>
    <w:p>
      <w:pPr>
        <w:pStyle w:val="ManualHeading2"/>
        <w:rPr>
          <w:rFonts w:eastAsia="Arial Unicode MS"/>
          <w:noProof/>
          <w:u w:color="000000"/>
          <w:bdr w:val="nil"/>
        </w:rPr>
      </w:pPr>
      <w:r>
        <w:rPr>
          <w:noProof/>
        </w:rPr>
        <w:t>•</w:t>
      </w:r>
      <w:r>
        <w:rPr>
          <w:noProof/>
        </w:rPr>
        <w:tab/>
        <w:t>Valg af retsakt</w:t>
      </w:r>
    </w:p>
    <w:p>
      <w:pPr>
        <w:spacing w:after="0"/>
        <w:rPr>
          <w:noProof/>
        </w:rPr>
      </w:pPr>
      <w:r>
        <w:rPr>
          <w:noProof/>
        </w:rPr>
        <w:t xml:space="preserve">Foreslået retsakt: forordning. </w:t>
      </w:r>
    </w:p>
    <w:p>
      <w:pPr>
        <w:pStyle w:val="ManualHeading1"/>
        <w:rPr>
          <w:noProof/>
        </w:rPr>
      </w:pPr>
      <w:r>
        <w:rPr>
          <w:noProof/>
        </w:rPr>
        <w:t>3.</w:t>
      </w:r>
      <w:r>
        <w:rPr>
          <w:noProof/>
        </w:rPr>
        <w:tab/>
        <w:t>RESULTATERNE AF EFTERFØLGENDE EVALUERINGER, HØRINGER AF INTERESSEREDE PARTER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rPr>
        <w:t>•</w:t>
      </w:r>
      <w:r>
        <w:rPr>
          <w:noProof/>
        </w:rPr>
        <w:tab/>
        <w:t>Høringer af interesserede parter</w:t>
      </w:r>
    </w:p>
    <w:p>
      <w:pPr>
        <w:pBdr>
          <w:top w:val="nil"/>
          <w:left w:val="nil"/>
          <w:bottom w:val="nil"/>
          <w:right w:val="nil"/>
          <w:between w:val="nil"/>
          <w:bar w:val="nil"/>
        </w:pBdr>
        <w:spacing w:before="0" w:after="240"/>
        <w:rPr>
          <w:noProof/>
        </w:rPr>
      </w:pPr>
      <w:r>
        <w:rPr>
          <w:noProof/>
        </w:rPr>
        <w:t>Der tages i forslaget hensyn til den feedback, der modtages fra de interesserede parter, de rådgivende råd, de nationale forvaltninger, brancheorganisationerne og NGO'erne i årets løb, og der tages hensyn til deres feedback ved fastsættelsen af fiskerimulighederne.</w:t>
      </w: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Arial Unicode MS"/>
          <w:noProof/>
        </w:rPr>
      </w:pPr>
      <w:r>
        <w:rPr>
          <w:noProof/>
        </w:rPr>
        <w:t>Forslaget er baseret på videnskabelig rådgivning fra Det Internationale Havundersøgelsesråd (ICES).</w:t>
      </w:r>
    </w:p>
    <w:p>
      <w:pPr>
        <w:pStyle w:val="ManualHeading2"/>
        <w:rPr>
          <w:rFonts w:eastAsia="Arial Unicode MS"/>
          <w:noProof/>
          <w:u w:color="000000"/>
          <w:bdr w:val="nil"/>
        </w:rPr>
      </w:pPr>
      <w:r>
        <w:rPr>
          <w:noProof/>
        </w:rPr>
        <w:t>•</w:t>
      </w:r>
      <w:r>
        <w:rPr>
          <w:noProof/>
        </w:rPr>
        <w:tab/>
        <w:t>Konsekvensanalyse</w:t>
      </w:r>
    </w:p>
    <w:p>
      <w:pPr>
        <w:rPr>
          <w:noProof/>
        </w:rPr>
      </w:pPr>
      <w:r>
        <w:rPr>
          <w:noProof/>
        </w:rPr>
        <w:t>Anvendelsesområdet for forordningen om fiskerimuligheder er nøje afgrænset i traktatens artikel 43, stk. 3.</w:t>
      </w:r>
    </w:p>
    <w:p>
      <w:pPr>
        <w:pStyle w:val="ManualHeading2"/>
        <w:rPr>
          <w:rFonts w:eastAsia="Arial Unicode MS"/>
          <w:noProof/>
          <w:u w:color="000000"/>
          <w:bdr w:val="nil"/>
        </w:rPr>
      </w:pPr>
      <w:r>
        <w:rPr>
          <w:noProof/>
        </w:rPr>
        <w:t>•</w:t>
      </w:r>
      <w:r>
        <w:rPr>
          <w:noProof/>
        </w:rPr>
        <w:tab/>
        <w:t>Målrettet regulering og forenkling</w:t>
      </w:r>
    </w:p>
    <w:p>
      <w:pPr>
        <w:pBdr>
          <w:top w:val="nil"/>
          <w:left w:val="nil"/>
          <w:bottom w:val="nil"/>
          <w:right w:val="nil"/>
          <w:between w:val="nil"/>
          <w:bar w:val="nil"/>
        </w:pBdr>
        <w:spacing w:before="0" w:after="240"/>
        <w:rPr>
          <w:noProof/>
        </w:rPr>
      </w:pPr>
      <w:r>
        <w:rPr>
          <w:noProof/>
        </w:rPr>
        <w:t>Ikke relevant.</w:t>
      </w: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noProof/>
        </w:rPr>
      </w:pPr>
      <w:r>
        <w:rPr>
          <w:noProof/>
        </w:rPr>
        <w:t>Ikke relevant.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De foreslåede foranstaltninger har ingen budgetmæssige konsekvenser.</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Nærmere redegørelse for de enkelte bestemmelser i forslaget</w:t>
      </w:r>
    </w:p>
    <w:p>
      <w:pPr>
        <w:rPr>
          <w:noProof/>
        </w:rPr>
      </w:pPr>
      <w:r>
        <w:rPr>
          <w:noProof/>
        </w:rPr>
        <w:t>De foreslåede ændringer har til formål at ændre forordning (EU) 2019/124 som beskrevet nedenfor.</w:t>
      </w:r>
    </w:p>
    <w:p>
      <w:pPr>
        <w:rPr>
          <w:noProof/>
        </w:rPr>
      </w:pPr>
      <w:r>
        <w:rPr>
          <w:noProof/>
        </w:rPr>
        <w:t>Ansjos i ICES-underområde 9 og 10 samt i EU-farvande i CECAF 34.1.1 er en art med kort livscyklus, for hvilken undersøgelserne afsluttes i maj. En ændring af den periode, for hvilken den samlede tilladte fangstmængde (TAC) fastsættes, fra et kalenderår til en periode fra den 1. juli til den 30. juni det følgende år sikrer, at fiskerimulighederne baseres på den bedst mulige vurdering af den årlige rekruttering af denne art med kort livscyklus.</w:t>
      </w:r>
    </w:p>
    <w:p>
      <w:pPr>
        <w:rPr>
          <w:noProof/>
        </w:rPr>
      </w:pPr>
      <w:r>
        <w:rPr>
          <w:noProof/>
        </w:rPr>
        <w:t xml:space="preserve">Ved forordning (EU) 2018/120, som ændret ved forordning (EU) 2018/1628, blev der ekstraordinært fastsat en TAC for ansjos for en periode på 18 måneder fra den 1. januar 2018 til den 30. juni 2019 for at tilpasse den til den nye videnskabelige rådgivningsperiode fra juli til juni det følgende år. </w:t>
      </w:r>
    </w:p>
    <w:p>
      <w:pPr>
        <w:rPr>
          <w:noProof/>
        </w:rPr>
      </w:pPr>
      <w:r>
        <w:rPr>
          <w:noProof/>
        </w:rPr>
        <w:t>I Rådets forordning (EU) 2019/124 blev TAC'en for ansjos i ICES-underområde 9 og 10 og i EU-farvande i CECAF 34.1.1, gældende fra den 1. juli 2019 til den 30. juni 2020, sat til nul i afventning af den nye videnskabelige rådgivning. I den anden ændring af fiskerimulighederne for 2019 blev der fastsat en foreløbig TAC for at muliggøre fortsat fiskeri. Den videnskabelige rådgivning blev tilgængelig den 28. juni 2019. TAC'en for den periode, der begynder den 1. juli 2019, bør ændres i overensstemmelse med den seneste videnskabelige rådgivning fra ICES.</w:t>
      </w:r>
    </w:p>
    <w:p>
      <w:pPr>
        <w:rPr>
          <w:noProof/>
        </w:rPr>
      </w:pPr>
      <w:r>
        <w:rPr>
          <w:noProof/>
        </w:rPr>
        <w:t>De foreslåede ændringer har også til formål at ændre forordning (EU) nr. 2018/2025, der fastsætter fiskerimuligheder for EU-fiskerfartøjer for visse dybhavsbestande for 2019 og 2020. På tidspunktet for fastsættelsen af fiskerimulighederne forelå der kun videnskabelig rådgivning vedrørende spidstandet blankesten i ICES-underområde 10 for 2019. Det blev besluttet at fastsætte fiskerimulighederne for denne bestand for både 2019 og 2020 til 576 tons og om nødvendigt ændre dem efter den videnskabelige rådgivning for 2020. ICES' videnskabelige rådgivning, fastsat til 553 tons, blev offentliggjort den 11. juni 2019. Fiskerimulighederne skal ændres for spidstandet blankesten i ICES-underområde 10 for at tage højde for den seneste videnskabelige rådgivning.</w: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t>2019/0154 (NLE)</w:t>
      </w:r>
    </w:p>
    <w:p>
      <w:pPr>
        <w:pStyle w:val="Statut"/>
        <w:rPr>
          <w:noProof/>
        </w:rPr>
      </w:pPr>
      <w:r>
        <w:rPr>
          <w:noProof/>
        </w:rPr>
        <w:t>Forslag til</w:t>
      </w:r>
    </w:p>
    <w:p>
      <w:pPr>
        <w:pStyle w:val="Typedudocument"/>
        <w:rPr>
          <w:noProof/>
        </w:rPr>
      </w:pPr>
      <w:r>
        <w:rPr>
          <w:noProof/>
        </w:rPr>
        <w:t>RÅDETS FORORDNING</w:t>
      </w:r>
    </w:p>
    <w:p>
      <w:pPr>
        <w:pStyle w:val="Titreobjet"/>
        <w:rPr>
          <w:noProof/>
        </w:rPr>
      </w:pPr>
      <w:r>
        <w:rPr>
          <w:noProof/>
        </w:rPr>
        <w:t>om ændring af forordning (EU) 2019/124 og (EU) 2018/2025 for så vidt angår visse fiskerimuligheder</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43, stk. 3,</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I Rådets forordning (EU) 2019/124</w:t>
      </w:r>
      <w:r>
        <w:rPr>
          <w:rStyle w:val="FootnoteReference"/>
          <w:noProof/>
        </w:rPr>
        <w:footnoteReference w:id="1"/>
      </w:r>
      <w:r>
        <w:rPr>
          <w:noProof/>
        </w:rPr>
        <w:t xml:space="preserve"> er der for 2019 fastsat fiskerimuligheder for visse fiskebestande og grupper af fiskebestande gældende for EU-farvande og for EU-fiskerfartøjer i visse andre farvande.</w:t>
      </w:r>
    </w:p>
    <w:p>
      <w:pPr>
        <w:pStyle w:val="ManualConsidrant"/>
        <w:rPr>
          <w:noProof/>
        </w:rPr>
      </w:pPr>
      <w:r>
        <w:t>(2)</w:t>
      </w:r>
      <w:r>
        <w:tab/>
      </w:r>
      <w:r>
        <w:rPr>
          <w:noProof/>
        </w:rPr>
        <w:t>I forordning (EU) 2019/124 blev den samlede tilladte fangstmængde (TAC) for ansjos (</w:t>
      </w:r>
      <w:r>
        <w:rPr>
          <w:i/>
          <w:noProof/>
        </w:rPr>
        <w:t>Engraulis encrasicolus</w:t>
      </w:r>
      <w:r>
        <w:rPr>
          <w:noProof/>
        </w:rPr>
        <w:t>) i ICES-underområde 9 og 10 og i EU-farvande i CECAF-afsnit 34.1.1 fastsat til nul. I den anden ændring af fiskerimulighederne blev der fastsat en foreløbig TAC for at muliggøre fortsat fiskeri. Ansjos er en art med en kort livscyklus, og den relevante videnskabelige rådgivning blev udsendt den 28. juni 2019. Fangstbegrænsningerne for ansjos i ICES-underområde 9 og 10 og i CECAF-afsnit 34.1.1 bør nu ændres i overensstemmelse med den seneste videnskabelige rådgivning fra Det Internationale Havundersøgelsesråd (ICES).</w:t>
      </w:r>
    </w:p>
    <w:p>
      <w:pPr>
        <w:pStyle w:val="ManualConsidrant"/>
        <w:rPr>
          <w:noProof/>
        </w:rPr>
      </w:pPr>
      <w:r>
        <w:t>(3)</w:t>
      </w:r>
      <w:r>
        <w:tab/>
      </w:r>
      <w:r>
        <w:rPr>
          <w:noProof/>
        </w:rPr>
        <w:t>Ved Rådets forordning (EU) nr. 2018/2025</w:t>
      </w:r>
      <w:r>
        <w:rPr>
          <w:rStyle w:val="FootnoteReference"/>
          <w:noProof/>
        </w:rPr>
        <w:footnoteReference w:id="2"/>
      </w:r>
      <w:r>
        <w:rPr>
          <w:noProof/>
        </w:rPr>
        <w:t xml:space="preserve"> fastsættes der fiskerimuligheder for EU-fiskerfartøjer for visse dybhavsbestande for 2019 og 2020. I forordningen var TAC'en for spidstandet blankesten i ICES-underområde 10 for begge år baseret på den videnskabelige rådgivning for 2019 i afventning af den videnskabelige rådgivning for 2020. ICES offentliggjorde den videnskabelige rådgivning for 2020 den 11. juni 2019. TAC'en bør fastsættes i overensstemmelse med den seneste videnskabelige rådgivning. </w:t>
      </w:r>
    </w:p>
    <w:p>
      <w:pPr>
        <w:pStyle w:val="ManualConsidrant"/>
        <w:rPr>
          <w:noProof/>
        </w:rPr>
      </w:pPr>
      <w:r>
        <w:t>(4)</w:t>
      </w:r>
      <w:r>
        <w:tab/>
      </w:r>
      <w:r>
        <w:rPr>
          <w:noProof/>
        </w:rPr>
        <w:t>Forordning (EU) 2019/124 og (EU) 2018/2025 bør derfor ændres i overensstemmelse hermed.</w:t>
      </w:r>
    </w:p>
    <w:p>
      <w:pPr>
        <w:pStyle w:val="ManualConsidrant"/>
        <w:rPr>
          <w:noProof/>
        </w:rPr>
      </w:pPr>
      <w:r>
        <w:t>(5)</w:t>
      </w:r>
      <w:r>
        <w:tab/>
      </w:r>
      <w:r>
        <w:rPr>
          <w:noProof/>
        </w:rPr>
        <w:t>Fangstbegrænsningerne for ansjos i ICES-underområde 9 og 10 og i EU-farvande i CECAF-afsnit 34.1.1, der er fastsat i forordning (EU) 2019/124, anvendes fra den 1. juli 2019. Nærværende ændringsforordning bør derfor også anvendes fra nævnte dato. En sådan anvendelse med tilbagevirkende kraft berører ikke retssikkerhedsprincippet eller princippet om beskyttelse af berettigede forventninger, idet de pågældende fiskerimuligheder endnu ikke er opbrugt —</w:t>
      </w:r>
    </w:p>
    <w:p>
      <w:pPr>
        <w:pStyle w:val="Formuledadoption"/>
        <w:rPr>
          <w:noProof/>
        </w:rPr>
      </w:pPr>
      <w:r>
        <w:rPr>
          <w:noProof/>
        </w:rPr>
        <w:t>VEDTAGET DENNE FORORDNING:</w:t>
      </w:r>
    </w:p>
    <w:p>
      <w:pPr>
        <w:pStyle w:val="Titrearticle"/>
        <w:rPr>
          <w:noProof/>
        </w:rPr>
      </w:pPr>
      <w:r>
        <w:rPr>
          <w:noProof/>
        </w:rPr>
        <w:t>Artikel 1</w:t>
      </w:r>
      <w:r>
        <w:rPr>
          <w:noProof/>
        </w:rPr>
        <w:br/>
      </w:r>
    </w:p>
    <w:p>
      <w:pPr>
        <w:rPr>
          <w:noProof/>
        </w:rPr>
      </w:pPr>
      <w:r>
        <w:rPr>
          <w:noProof/>
        </w:rPr>
        <w:t>I bilag IA til forordning (EU) 2019/124 affattes oplysningerne i tabellen for ansjos i ICES-underområde 9 og 10 og i EU-farvande i CECAF-afsnit 34.1.1 således:</w:t>
      </w:r>
    </w:p>
    <w:tbl>
      <w:tblPr>
        <w:tblW w:w="8956" w:type="dxa"/>
        <w:tblInd w:w="108" w:type="dxa"/>
        <w:tblLook w:val="04A0" w:firstRow="1" w:lastRow="0" w:firstColumn="1" w:lastColumn="0" w:noHBand="0" w:noVBand="1"/>
      </w:tblPr>
      <w:tblGrid>
        <w:gridCol w:w="976"/>
        <w:gridCol w:w="976"/>
        <w:gridCol w:w="976"/>
        <w:gridCol w:w="1325"/>
        <w:gridCol w:w="850"/>
        <w:gridCol w:w="993"/>
        <w:gridCol w:w="1275"/>
        <w:gridCol w:w="1585"/>
      </w:tblGrid>
      <w:tr>
        <w:trPr>
          <w:trHeight w:val="255"/>
        </w:trPr>
        <w:tc>
          <w:tcPr>
            <w:tcW w:w="976"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rPr>
              <w:t>Art:</w:t>
            </w:r>
          </w:p>
        </w:tc>
        <w:tc>
          <w:tcPr>
            <w:tcW w:w="976" w:type="dxa"/>
            <w:tcBorders>
              <w:top w:val="single" w:sz="8" w:space="0" w:color="000000"/>
              <w:left w:val="nil"/>
              <w:bottom w:val="nil"/>
              <w:right w:val="nil"/>
            </w:tcBorders>
            <w:noWrap/>
            <w:hideMark/>
          </w:tcPr>
          <w:p>
            <w:pPr>
              <w:spacing w:after="0"/>
              <w:rPr>
                <w:rFonts w:eastAsia="Times New Roman"/>
                <w:noProof/>
                <w:sz w:val="18"/>
                <w:szCs w:val="18"/>
              </w:rPr>
            </w:pPr>
            <w:r>
              <w:rPr>
                <w:noProof/>
                <w:sz w:val="18"/>
              </w:rPr>
              <w:t>Ansjos</w:t>
            </w:r>
          </w:p>
        </w:tc>
        <w:tc>
          <w:tcPr>
            <w:tcW w:w="976" w:type="dxa"/>
            <w:tcBorders>
              <w:top w:val="single" w:sz="8" w:space="0" w:color="000000"/>
              <w:left w:val="nil"/>
              <w:bottom w:val="nil"/>
              <w:right w:val="nil"/>
            </w:tcBorders>
            <w:noWrap/>
            <w:hideMark/>
          </w:tcPr>
          <w:p>
            <w:pPr>
              <w:spacing w:after="0"/>
              <w:jc w:val="right"/>
              <w:rPr>
                <w:rFonts w:eastAsia="Times New Roman"/>
                <w:noProof/>
                <w:color w:val="000000"/>
                <w:sz w:val="18"/>
                <w:szCs w:val="18"/>
              </w:rPr>
            </w:pPr>
            <w:r>
              <w:rPr>
                <w:noProof/>
                <w:color w:val="000000"/>
                <w:sz w:val="18"/>
              </w:rPr>
              <w:t> </w:t>
            </w:r>
          </w:p>
        </w:tc>
        <w:tc>
          <w:tcPr>
            <w:tcW w:w="1325" w:type="dxa"/>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rPr>
              <w:t> </w:t>
            </w:r>
          </w:p>
        </w:tc>
        <w:tc>
          <w:tcPr>
            <w:tcW w:w="850" w:type="dxa"/>
            <w:tcBorders>
              <w:top w:val="single" w:sz="8" w:space="0" w:color="000000"/>
              <w:left w:val="single" w:sz="8" w:space="0" w:color="000000"/>
              <w:bottom w:val="nil"/>
              <w:right w:val="nil"/>
            </w:tcBorders>
            <w:noWrap/>
            <w:hideMark/>
          </w:tcPr>
          <w:p>
            <w:pPr>
              <w:spacing w:after="0"/>
              <w:rPr>
                <w:rFonts w:eastAsia="Times New Roman"/>
                <w:noProof/>
                <w:color w:val="000000"/>
                <w:sz w:val="18"/>
                <w:szCs w:val="18"/>
              </w:rPr>
            </w:pPr>
            <w:r>
              <w:rPr>
                <w:noProof/>
                <w:color w:val="000000"/>
                <w:sz w:val="18"/>
              </w:rPr>
              <w:t>Område:</w:t>
            </w:r>
          </w:p>
        </w:tc>
        <w:tc>
          <w:tcPr>
            <w:tcW w:w="3853" w:type="dxa"/>
            <w:gridSpan w:val="3"/>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rPr>
              <w:t>9 og 10; EU-farvande i CECAF 34.1.1</w:t>
            </w:r>
          </w:p>
        </w:tc>
      </w:tr>
      <w:tr>
        <w:trPr>
          <w:trHeight w:val="270"/>
        </w:trPr>
        <w:tc>
          <w:tcPr>
            <w:tcW w:w="976"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rPr>
              <w:t> </w:t>
            </w:r>
          </w:p>
        </w:tc>
        <w:tc>
          <w:tcPr>
            <w:tcW w:w="1952" w:type="dxa"/>
            <w:gridSpan w:val="2"/>
            <w:tcBorders>
              <w:top w:val="nil"/>
              <w:left w:val="nil"/>
              <w:bottom w:val="single" w:sz="8" w:space="0" w:color="000000"/>
              <w:right w:val="nil"/>
            </w:tcBorders>
            <w:noWrap/>
            <w:hideMark/>
          </w:tcPr>
          <w:p>
            <w:pPr>
              <w:spacing w:after="0"/>
              <w:rPr>
                <w:rFonts w:eastAsia="Times New Roman"/>
                <w:i/>
                <w:iCs/>
                <w:noProof/>
                <w:sz w:val="18"/>
                <w:szCs w:val="18"/>
              </w:rPr>
            </w:pPr>
            <w:r>
              <w:rPr>
                <w:i/>
                <w:noProof/>
                <w:sz w:val="18"/>
              </w:rPr>
              <w:t>Engraulis encrasicolus</w:t>
            </w:r>
          </w:p>
        </w:tc>
        <w:tc>
          <w:tcPr>
            <w:tcW w:w="1325" w:type="dxa"/>
            <w:tcBorders>
              <w:top w:val="nil"/>
              <w:left w:val="nil"/>
              <w:bottom w:val="single" w:sz="8" w:space="0" w:color="000000"/>
              <w:right w:val="nil"/>
            </w:tcBorders>
            <w:noWrap/>
            <w:hideMark/>
          </w:tcPr>
          <w:p>
            <w:pPr>
              <w:spacing w:after="0"/>
              <w:rPr>
                <w:rFonts w:eastAsia="Times New Roman"/>
                <w:i/>
                <w:iCs/>
                <w:noProof/>
                <w:color w:val="000000"/>
                <w:sz w:val="18"/>
                <w:szCs w:val="18"/>
              </w:rPr>
            </w:pPr>
            <w:r>
              <w:rPr>
                <w:i/>
                <w:noProof/>
                <w:color w:val="000000"/>
                <w:sz w:val="18"/>
              </w:rPr>
              <w:t> </w:t>
            </w:r>
          </w:p>
        </w:tc>
        <w:tc>
          <w:tcPr>
            <w:tcW w:w="850" w:type="dxa"/>
            <w:tcBorders>
              <w:top w:val="nil"/>
              <w:left w:val="single" w:sz="8" w:space="0" w:color="000000"/>
              <w:bottom w:val="single" w:sz="8" w:space="0" w:color="000000"/>
              <w:right w:val="nil"/>
            </w:tcBorders>
            <w:noWrap/>
            <w:hideMark/>
          </w:tcPr>
          <w:p>
            <w:pPr>
              <w:spacing w:after="0"/>
              <w:rPr>
                <w:rFonts w:eastAsia="Times New Roman"/>
                <w:noProof/>
                <w:color w:val="000000"/>
                <w:sz w:val="18"/>
                <w:szCs w:val="18"/>
              </w:rPr>
            </w:pPr>
            <w:r>
              <w:rPr>
                <w:noProof/>
                <w:color w:val="000000"/>
                <w:sz w:val="18"/>
              </w:rPr>
              <w:t> </w:t>
            </w:r>
          </w:p>
        </w:tc>
        <w:tc>
          <w:tcPr>
            <w:tcW w:w="2268" w:type="dxa"/>
            <w:gridSpan w:val="2"/>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rPr>
              <w:t>(ANE/9/3411)</w:t>
            </w:r>
          </w:p>
        </w:tc>
        <w:tc>
          <w:tcPr>
            <w:tcW w:w="1585" w:type="dxa"/>
            <w:tcBorders>
              <w:top w:val="nil"/>
              <w:left w:val="nil"/>
              <w:bottom w:val="single" w:sz="8" w:space="0" w:color="000000"/>
              <w:right w:val="nil"/>
            </w:tcBorders>
            <w:noWrap/>
            <w:hideMark/>
          </w:tcPr>
          <w:p>
            <w:pPr>
              <w:spacing w:after="0"/>
              <w:rPr>
                <w:rFonts w:eastAsia="Times New Roman"/>
                <w:noProof/>
                <w:color w:val="000000"/>
                <w:sz w:val="18"/>
                <w:szCs w:val="18"/>
              </w:rPr>
            </w:pPr>
            <w:r>
              <w:rPr>
                <w:noProof/>
                <w:color w:val="000000"/>
                <w:sz w:val="18"/>
              </w:rPr>
              <w:t> </w:t>
            </w:r>
          </w:p>
        </w:tc>
      </w:tr>
      <w:tr>
        <w:trPr>
          <w:trHeight w:val="270"/>
        </w:trPr>
        <w:tc>
          <w:tcPr>
            <w:tcW w:w="976" w:type="dxa"/>
            <w:noWrap/>
            <w:hideMark/>
          </w:tcPr>
          <w:p>
            <w:pPr>
              <w:spacing w:after="0"/>
              <w:rPr>
                <w:rFonts w:eastAsia="Times New Roman"/>
                <w:noProof/>
                <w:color w:val="000000"/>
                <w:sz w:val="18"/>
                <w:szCs w:val="18"/>
              </w:rPr>
            </w:pPr>
            <w:r>
              <w:rPr>
                <w:noProof/>
                <w:color w:val="000000"/>
                <w:sz w:val="18"/>
              </w:rPr>
              <w:t>Spanien</w:t>
            </w:r>
          </w:p>
        </w:tc>
        <w:tc>
          <w:tcPr>
            <w:tcW w:w="976" w:type="dxa"/>
            <w:noWrap/>
            <w:hideMark/>
          </w:tcPr>
          <w:p>
            <w:pPr>
              <w:spacing w:after="0"/>
              <w:rPr>
                <w:rFonts w:eastAsia="Times New Roman"/>
                <w:noProof/>
                <w:sz w:val="18"/>
                <w:szCs w:val="18"/>
              </w:rPr>
            </w:pPr>
            <w:r>
              <w:rPr>
                <w:noProof/>
                <w:sz w:val="18"/>
              </w:rPr>
              <w:t> </w:t>
            </w:r>
          </w:p>
        </w:tc>
        <w:tc>
          <w:tcPr>
            <w:tcW w:w="976" w:type="dxa"/>
            <w:noWrap/>
            <w:hideMark/>
          </w:tcPr>
          <w:p>
            <w:pPr>
              <w:spacing w:after="0"/>
              <w:jc w:val="right"/>
              <w:rPr>
                <w:rFonts w:eastAsia="Times New Roman"/>
                <w:noProof/>
                <w:color w:val="000000"/>
                <w:sz w:val="18"/>
                <w:szCs w:val="18"/>
              </w:rPr>
            </w:pPr>
            <w:r>
              <w:rPr>
                <w:noProof/>
                <w:color w:val="000000"/>
                <w:sz w:val="18"/>
              </w:rPr>
              <w:t>4 281</w:t>
            </w:r>
          </w:p>
        </w:tc>
        <w:tc>
          <w:tcPr>
            <w:tcW w:w="1325" w:type="dxa"/>
            <w:noWrap/>
            <w:hideMark/>
          </w:tcPr>
          <w:p>
            <w:pPr>
              <w:spacing w:after="0"/>
              <w:rPr>
                <w:rFonts w:eastAsia="Times New Roman"/>
                <w:noProof/>
                <w:color w:val="000000"/>
                <w:sz w:val="18"/>
                <w:szCs w:val="18"/>
              </w:rPr>
            </w:pPr>
            <w:r>
              <w:rPr>
                <w:noProof/>
                <w:color w:val="000000"/>
                <w:sz w:val="18"/>
                <w:vertAlign w:val="superscript"/>
              </w:rPr>
              <w:t>(1)</w:t>
            </w:r>
          </w:p>
        </w:tc>
        <w:tc>
          <w:tcPr>
            <w:tcW w:w="1843" w:type="dxa"/>
            <w:gridSpan w:val="2"/>
            <w:tcBorders>
              <w:top w:val="single" w:sz="8" w:space="0" w:color="000000"/>
              <w:left w:val="nil"/>
              <w:bottom w:val="nil"/>
              <w:right w:val="nil"/>
            </w:tcBorders>
            <w:noWrap/>
            <w:hideMark/>
          </w:tcPr>
          <w:p>
            <w:pPr>
              <w:spacing w:after="0"/>
              <w:rPr>
                <w:rFonts w:eastAsia="Times New Roman"/>
                <w:noProof/>
                <w:color w:val="000000"/>
                <w:sz w:val="18"/>
                <w:szCs w:val="18"/>
              </w:rPr>
            </w:pPr>
            <w:r>
              <w:rPr>
                <w:noProof/>
                <w:color w:val="000000"/>
                <w:sz w:val="18"/>
              </w:rPr>
              <w:t>Præventiv TAC</w:t>
            </w:r>
          </w:p>
        </w:tc>
        <w:tc>
          <w:tcPr>
            <w:tcW w:w="1275" w:type="dxa"/>
            <w:noWrap/>
            <w:hideMark/>
          </w:tcPr>
          <w:p>
            <w:pPr>
              <w:spacing w:after="0"/>
              <w:rPr>
                <w:rFonts w:eastAsia="Times New Roman"/>
                <w:noProof/>
                <w:color w:val="000000"/>
                <w:sz w:val="18"/>
                <w:szCs w:val="18"/>
              </w:rPr>
            </w:pPr>
            <w:r>
              <w:rPr>
                <w:noProof/>
                <w:color w:val="000000"/>
                <w:sz w:val="18"/>
              </w:rPr>
              <w:t> </w:t>
            </w:r>
          </w:p>
        </w:tc>
        <w:tc>
          <w:tcPr>
            <w:tcW w:w="1585" w:type="dxa"/>
            <w:noWrap/>
            <w:hideMark/>
          </w:tcPr>
          <w:p>
            <w:pPr>
              <w:spacing w:after="0"/>
              <w:rPr>
                <w:rFonts w:eastAsia="Times New Roman"/>
                <w:noProof/>
                <w:color w:val="000000"/>
                <w:sz w:val="18"/>
                <w:szCs w:val="18"/>
              </w:rPr>
            </w:pPr>
            <w:r>
              <w:rPr>
                <w:noProof/>
                <w:color w:val="000000"/>
                <w:sz w:val="18"/>
              </w:rPr>
              <w:t> </w:t>
            </w:r>
          </w:p>
        </w:tc>
      </w:tr>
      <w:tr>
        <w:trPr>
          <w:trHeight w:val="270"/>
        </w:trPr>
        <w:tc>
          <w:tcPr>
            <w:tcW w:w="976" w:type="dxa"/>
            <w:noWrap/>
            <w:hideMark/>
          </w:tcPr>
          <w:p>
            <w:pPr>
              <w:spacing w:after="0"/>
              <w:rPr>
                <w:rFonts w:eastAsia="Times New Roman"/>
                <w:noProof/>
                <w:color w:val="000000"/>
                <w:sz w:val="18"/>
                <w:szCs w:val="18"/>
              </w:rPr>
            </w:pPr>
            <w:r>
              <w:rPr>
                <w:noProof/>
                <w:color w:val="000000"/>
                <w:sz w:val="18"/>
              </w:rPr>
              <w:t>Portugal</w:t>
            </w:r>
          </w:p>
        </w:tc>
        <w:tc>
          <w:tcPr>
            <w:tcW w:w="976" w:type="dxa"/>
            <w:noWrap/>
            <w:hideMark/>
          </w:tcPr>
          <w:p>
            <w:pPr>
              <w:rPr>
                <w:rFonts w:eastAsia="Times New Roman"/>
                <w:noProof/>
                <w:color w:val="000000"/>
                <w:sz w:val="18"/>
                <w:szCs w:val="18"/>
              </w:rPr>
            </w:pPr>
          </w:p>
        </w:tc>
        <w:tc>
          <w:tcPr>
            <w:tcW w:w="976" w:type="dxa"/>
            <w:noWrap/>
            <w:hideMark/>
          </w:tcPr>
          <w:p>
            <w:pPr>
              <w:spacing w:after="0"/>
              <w:jc w:val="right"/>
              <w:rPr>
                <w:rFonts w:eastAsia="Times New Roman"/>
                <w:noProof/>
                <w:color w:val="000000"/>
                <w:sz w:val="18"/>
                <w:szCs w:val="18"/>
              </w:rPr>
            </w:pPr>
            <w:r>
              <w:rPr>
                <w:noProof/>
                <w:color w:val="000000"/>
                <w:sz w:val="18"/>
              </w:rPr>
              <w:t>4 671</w:t>
            </w:r>
          </w:p>
        </w:tc>
        <w:tc>
          <w:tcPr>
            <w:tcW w:w="1325" w:type="dxa"/>
            <w:noWrap/>
            <w:hideMark/>
          </w:tcPr>
          <w:p>
            <w:pPr>
              <w:spacing w:after="0"/>
              <w:rPr>
                <w:rFonts w:eastAsia="Times New Roman"/>
                <w:noProof/>
                <w:color w:val="000000"/>
                <w:sz w:val="18"/>
                <w:szCs w:val="18"/>
              </w:rPr>
            </w:pPr>
            <w:r>
              <w:rPr>
                <w:noProof/>
                <w:color w:val="000000"/>
                <w:sz w:val="18"/>
                <w:vertAlign w:val="superscript"/>
              </w:rPr>
              <w:t>(1)</w:t>
            </w:r>
          </w:p>
        </w:tc>
        <w:tc>
          <w:tcPr>
            <w:tcW w:w="850" w:type="dxa"/>
            <w:noWrap/>
            <w:hideMark/>
          </w:tcPr>
          <w:p>
            <w:pPr>
              <w:rPr>
                <w:rFonts w:eastAsia="Times New Roman"/>
                <w:noProof/>
                <w:color w:val="000000"/>
                <w:sz w:val="18"/>
                <w:szCs w:val="18"/>
              </w:rPr>
            </w:pPr>
          </w:p>
        </w:tc>
        <w:tc>
          <w:tcPr>
            <w:tcW w:w="993" w:type="dxa"/>
            <w:noWrap/>
            <w:hideMark/>
          </w:tcPr>
          <w:p>
            <w:pPr>
              <w:spacing w:after="0"/>
              <w:rPr>
                <w:noProof/>
                <w:sz w:val="20"/>
                <w:szCs w:val="20"/>
              </w:rPr>
            </w:pPr>
          </w:p>
        </w:tc>
        <w:tc>
          <w:tcPr>
            <w:tcW w:w="1275" w:type="dxa"/>
            <w:noWrap/>
            <w:hideMark/>
          </w:tcPr>
          <w:p>
            <w:pPr>
              <w:spacing w:after="0"/>
              <w:rPr>
                <w:noProof/>
                <w:sz w:val="20"/>
                <w:szCs w:val="20"/>
              </w:rPr>
            </w:pPr>
          </w:p>
        </w:tc>
        <w:tc>
          <w:tcPr>
            <w:tcW w:w="1585" w:type="dxa"/>
            <w:noWrap/>
            <w:hideMark/>
          </w:tcPr>
          <w:p>
            <w:pPr>
              <w:spacing w:after="0"/>
              <w:rPr>
                <w:noProof/>
                <w:sz w:val="20"/>
                <w:szCs w:val="20"/>
              </w:rPr>
            </w:pPr>
          </w:p>
        </w:tc>
      </w:tr>
      <w:tr>
        <w:trPr>
          <w:trHeight w:val="270"/>
        </w:trPr>
        <w:tc>
          <w:tcPr>
            <w:tcW w:w="976" w:type="dxa"/>
            <w:noWrap/>
            <w:hideMark/>
          </w:tcPr>
          <w:p>
            <w:pPr>
              <w:spacing w:after="0"/>
              <w:rPr>
                <w:rFonts w:eastAsia="Times New Roman"/>
                <w:noProof/>
                <w:color w:val="000000"/>
                <w:sz w:val="18"/>
                <w:szCs w:val="18"/>
              </w:rPr>
            </w:pPr>
            <w:r>
              <w:rPr>
                <w:noProof/>
                <w:color w:val="000000"/>
                <w:sz w:val="18"/>
              </w:rPr>
              <w:t>Unionen</w:t>
            </w:r>
          </w:p>
        </w:tc>
        <w:tc>
          <w:tcPr>
            <w:tcW w:w="976" w:type="dxa"/>
            <w:noWrap/>
            <w:hideMark/>
          </w:tcPr>
          <w:p>
            <w:pPr>
              <w:rPr>
                <w:rFonts w:eastAsia="Times New Roman"/>
                <w:noProof/>
                <w:color w:val="000000"/>
                <w:sz w:val="18"/>
                <w:szCs w:val="18"/>
              </w:rPr>
            </w:pPr>
          </w:p>
        </w:tc>
        <w:tc>
          <w:tcPr>
            <w:tcW w:w="976" w:type="dxa"/>
            <w:noWrap/>
            <w:hideMark/>
          </w:tcPr>
          <w:p>
            <w:pPr>
              <w:spacing w:after="0"/>
              <w:jc w:val="right"/>
              <w:rPr>
                <w:rFonts w:eastAsia="Times New Roman"/>
                <w:noProof/>
                <w:color w:val="000000"/>
                <w:sz w:val="18"/>
                <w:szCs w:val="18"/>
              </w:rPr>
            </w:pPr>
            <w:r>
              <w:rPr>
                <w:noProof/>
                <w:color w:val="000000"/>
                <w:sz w:val="18"/>
              </w:rPr>
              <w:t>8 952</w:t>
            </w:r>
          </w:p>
        </w:tc>
        <w:tc>
          <w:tcPr>
            <w:tcW w:w="1325" w:type="dxa"/>
            <w:noWrap/>
            <w:hideMark/>
          </w:tcPr>
          <w:p>
            <w:pPr>
              <w:spacing w:after="0"/>
              <w:rPr>
                <w:rFonts w:eastAsia="Times New Roman"/>
                <w:noProof/>
                <w:color w:val="000000"/>
                <w:sz w:val="18"/>
                <w:szCs w:val="18"/>
              </w:rPr>
            </w:pPr>
            <w:r>
              <w:rPr>
                <w:noProof/>
                <w:color w:val="000000"/>
                <w:sz w:val="18"/>
                <w:vertAlign w:val="superscript"/>
              </w:rPr>
              <w:t>(1)</w:t>
            </w:r>
          </w:p>
        </w:tc>
        <w:tc>
          <w:tcPr>
            <w:tcW w:w="850" w:type="dxa"/>
            <w:noWrap/>
            <w:hideMark/>
          </w:tcPr>
          <w:p>
            <w:pPr>
              <w:rPr>
                <w:rFonts w:eastAsia="Times New Roman"/>
                <w:noProof/>
                <w:color w:val="000000"/>
                <w:sz w:val="18"/>
                <w:szCs w:val="18"/>
              </w:rPr>
            </w:pPr>
          </w:p>
        </w:tc>
        <w:tc>
          <w:tcPr>
            <w:tcW w:w="993" w:type="dxa"/>
            <w:noWrap/>
            <w:hideMark/>
          </w:tcPr>
          <w:p>
            <w:pPr>
              <w:spacing w:after="0"/>
              <w:rPr>
                <w:noProof/>
                <w:sz w:val="20"/>
                <w:szCs w:val="20"/>
              </w:rPr>
            </w:pPr>
          </w:p>
        </w:tc>
        <w:tc>
          <w:tcPr>
            <w:tcW w:w="1275" w:type="dxa"/>
            <w:noWrap/>
            <w:hideMark/>
          </w:tcPr>
          <w:p>
            <w:pPr>
              <w:spacing w:after="0"/>
              <w:rPr>
                <w:noProof/>
                <w:sz w:val="20"/>
                <w:szCs w:val="20"/>
              </w:rPr>
            </w:pPr>
          </w:p>
        </w:tc>
        <w:tc>
          <w:tcPr>
            <w:tcW w:w="1585" w:type="dxa"/>
            <w:noWrap/>
            <w:hideMark/>
          </w:tcPr>
          <w:p>
            <w:pPr>
              <w:spacing w:after="0"/>
              <w:rPr>
                <w:noProof/>
                <w:sz w:val="20"/>
                <w:szCs w:val="20"/>
              </w:rPr>
            </w:pPr>
          </w:p>
        </w:tc>
      </w:tr>
      <w:tr>
        <w:trPr>
          <w:trHeight w:val="255"/>
        </w:trPr>
        <w:tc>
          <w:tcPr>
            <w:tcW w:w="976" w:type="dxa"/>
            <w:noWrap/>
            <w:hideMark/>
          </w:tcPr>
          <w:p>
            <w:pPr>
              <w:spacing w:after="0"/>
              <w:rPr>
                <w:noProof/>
                <w:sz w:val="20"/>
                <w:szCs w:val="20"/>
              </w:rPr>
            </w:pPr>
          </w:p>
        </w:tc>
        <w:tc>
          <w:tcPr>
            <w:tcW w:w="976" w:type="dxa"/>
            <w:noWrap/>
            <w:hideMark/>
          </w:tcPr>
          <w:p>
            <w:pPr>
              <w:spacing w:after="0"/>
              <w:rPr>
                <w:noProof/>
                <w:sz w:val="20"/>
                <w:szCs w:val="20"/>
              </w:rPr>
            </w:pPr>
          </w:p>
        </w:tc>
        <w:tc>
          <w:tcPr>
            <w:tcW w:w="976" w:type="dxa"/>
            <w:noWrap/>
            <w:hideMark/>
          </w:tcPr>
          <w:p>
            <w:pPr>
              <w:spacing w:after="0"/>
              <w:rPr>
                <w:noProof/>
                <w:sz w:val="20"/>
                <w:szCs w:val="20"/>
              </w:rPr>
            </w:pPr>
          </w:p>
        </w:tc>
        <w:tc>
          <w:tcPr>
            <w:tcW w:w="1325" w:type="dxa"/>
            <w:noWrap/>
            <w:hideMark/>
          </w:tcPr>
          <w:p>
            <w:pPr>
              <w:spacing w:after="0"/>
              <w:rPr>
                <w:noProof/>
                <w:sz w:val="20"/>
                <w:szCs w:val="20"/>
              </w:rPr>
            </w:pPr>
          </w:p>
        </w:tc>
        <w:tc>
          <w:tcPr>
            <w:tcW w:w="850" w:type="dxa"/>
            <w:noWrap/>
            <w:hideMark/>
          </w:tcPr>
          <w:p>
            <w:pPr>
              <w:spacing w:after="0"/>
              <w:rPr>
                <w:noProof/>
                <w:sz w:val="20"/>
                <w:szCs w:val="20"/>
              </w:rPr>
            </w:pPr>
          </w:p>
        </w:tc>
        <w:tc>
          <w:tcPr>
            <w:tcW w:w="993" w:type="dxa"/>
            <w:noWrap/>
            <w:hideMark/>
          </w:tcPr>
          <w:p>
            <w:pPr>
              <w:spacing w:after="0"/>
              <w:rPr>
                <w:noProof/>
                <w:sz w:val="20"/>
                <w:szCs w:val="20"/>
              </w:rPr>
            </w:pPr>
          </w:p>
        </w:tc>
        <w:tc>
          <w:tcPr>
            <w:tcW w:w="1275" w:type="dxa"/>
            <w:noWrap/>
            <w:hideMark/>
          </w:tcPr>
          <w:p>
            <w:pPr>
              <w:spacing w:after="0"/>
              <w:rPr>
                <w:noProof/>
                <w:sz w:val="20"/>
                <w:szCs w:val="20"/>
              </w:rPr>
            </w:pPr>
          </w:p>
        </w:tc>
        <w:tc>
          <w:tcPr>
            <w:tcW w:w="1585" w:type="dxa"/>
            <w:noWrap/>
            <w:hideMark/>
          </w:tcPr>
          <w:p>
            <w:pPr>
              <w:spacing w:after="0"/>
              <w:rPr>
                <w:noProof/>
                <w:sz w:val="20"/>
                <w:szCs w:val="20"/>
              </w:rPr>
            </w:pPr>
          </w:p>
        </w:tc>
      </w:tr>
      <w:tr>
        <w:trPr>
          <w:trHeight w:val="270"/>
        </w:trPr>
        <w:tc>
          <w:tcPr>
            <w:tcW w:w="976" w:type="dxa"/>
            <w:noWrap/>
            <w:hideMark/>
          </w:tcPr>
          <w:p>
            <w:pPr>
              <w:spacing w:after="0"/>
              <w:rPr>
                <w:rFonts w:eastAsia="Times New Roman"/>
                <w:noProof/>
                <w:color w:val="000000"/>
                <w:sz w:val="18"/>
                <w:szCs w:val="18"/>
              </w:rPr>
            </w:pPr>
            <w:r>
              <w:rPr>
                <w:noProof/>
                <w:color w:val="000000"/>
                <w:sz w:val="18"/>
              </w:rPr>
              <w:t>TAC</w:t>
            </w:r>
          </w:p>
        </w:tc>
        <w:tc>
          <w:tcPr>
            <w:tcW w:w="976" w:type="dxa"/>
            <w:noWrap/>
            <w:hideMark/>
          </w:tcPr>
          <w:p>
            <w:pPr>
              <w:rPr>
                <w:rFonts w:eastAsia="Times New Roman"/>
                <w:noProof/>
                <w:color w:val="000000"/>
                <w:sz w:val="18"/>
                <w:szCs w:val="18"/>
              </w:rPr>
            </w:pPr>
          </w:p>
        </w:tc>
        <w:tc>
          <w:tcPr>
            <w:tcW w:w="976" w:type="dxa"/>
            <w:noWrap/>
            <w:hideMark/>
          </w:tcPr>
          <w:p>
            <w:pPr>
              <w:spacing w:after="0"/>
              <w:jc w:val="right"/>
              <w:rPr>
                <w:rFonts w:eastAsia="Times New Roman"/>
                <w:noProof/>
                <w:color w:val="000000"/>
                <w:sz w:val="18"/>
                <w:szCs w:val="18"/>
              </w:rPr>
            </w:pPr>
            <w:r>
              <w:rPr>
                <w:noProof/>
                <w:color w:val="000000"/>
                <w:sz w:val="18"/>
              </w:rPr>
              <w:t>8 952</w:t>
            </w:r>
          </w:p>
        </w:tc>
        <w:tc>
          <w:tcPr>
            <w:tcW w:w="1325" w:type="dxa"/>
            <w:noWrap/>
            <w:hideMark/>
          </w:tcPr>
          <w:p>
            <w:pPr>
              <w:spacing w:after="0"/>
              <w:rPr>
                <w:rFonts w:eastAsia="Times New Roman"/>
                <w:noProof/>
                <w:color w:val="000000"/>
                <w:sz w:val="18"/>
                <w:szCs w:val="18"/>
              </w:rPr>
            </w:pPr>
            <w:r>
              <w:rPr>
                <w:noProof/>
                <w:color w:val="000000"/>
                <w:sz w:val="18"/>
                <w:vertAlign w:val="superscript"/>
              </w:rPr>
              <w:t>(1)</w:t>
            </w:r>
          </w:p>
        </w:tc>
        <w:tc>
          <w:tcPr>
            <w:tcW w:w="850" w:type="dxa"/>
            <w:noWrap/>
            <w:hideMark/>
          </w:tcPr>
          <w:p>
            <w:pPr>
              <w:rPr>
                <w:rFonts w:eastAsia="Times New Roman"/>
                <w:noProof/>
                <w:color w:val="000000"/>
                <w:sz w:val="18"/>
                <w:szCs w:val="18"/>
              </w:rPr>
            </w:pPr>
          </w:p>
        </w:tc>
        <w:tc>
          <w:tcPr>
            <w:tcW w:w="993" w:type="dxa"/>
            <w:noWrap/>
            <w:hideMark/>
          </w:tcPr>
          <w:p>
            <w:pPr>
              <w:spacing w:after="0"/>
              <w:rPr>
                <w:noProof/>
                <w:sz w:val="20"/>
                <w:szCs w:val="20"/>
              </w:rPr>
            </w:pPr>
          </w:p>
        </w:tc>
        <w:tc>
          <w:tcPr>
            <w:tcW w:w="1275" w:type="dxa"/>
            <w:noWrap/>
            <w:hideMark/>
          </w:tcPr>
          <w:p>
            <w:pPr>
              <w:spacing w:after="0"/>
              <w:rPr>
                <w:noProof/>
                <w:sz w:val="20"/>
                <w:szCs w:val="20"/>
              </w:rPr>
            </w:pPr>
          </w:p>
        </w:tc>
        <w:tc>
          <w:tcPr>
            <w:tcW w:w="1585" w:type="dxa"/>
            <w:noWrap/>
            <w:hideMark/>
          </w:tcPr>
          <w:p>
            <w:pPr>
              <w:spacing w:after="0"/>
              <w:rPr>
                <w:noProof/>
                <w:sz w:val="20"/>
                <w:szCs w:val="20"/>
              </w:rPr>
            </w:pPr>
          </w:p>
        </w:tc>
      </w:tr>
      <w:tr>
        <w:trPr>
          <w:trHeight w:val="285"/>
        </w:trPr>
        <w:tc>
          <w:tcPr>
            <w:tcW w:w="976" w:type="dxa"/>
            <w:noWrap/>
            <w:hideMark/>
          </w:tcPr>
          <w:p>
            <w:pPr>
              <w:spacing w:after="0"/>
              <w:rPr>
                <w:rFonts w:eastAsia="Times New Roman"/>
                <w:noProof/>
                <w:color w:val="000000"/>
                <w:sz w:val="18"/>
                <w:szCs w:val="18"/>
              </w:rPr>
            </w:pPr>
            <w:r>
              <w:rPr>
                <w:noProof/>
                <w:color w:val="000000"/>
                <w:sz w:val="18"/>
                <w:vertAlign w:val="superscript"/>
              </w:rPr>
              <w:t>(1)</w:t>
            </w:r>
          </w:p>
        </w:tc>
        <w:tc>
          <w:tcPr>
            <w:tcW w:w="4127" w:type="dxa"/>
            <w:gridSpan w:val="4"/>
            <w:noWrap/>
            <w:hideMark/>
          </w:tcPr>
          <w:p>
            <w:pPr>
              <w:spacing w:after="0"/>
              <w:rPr>
                <w:rFonts w:eastAsia="Times New Roman"/>
                <w:noProof/>
                <w:sz w:val="18"/>
                <w:szCs w:val="18"/>
              </w:rPr>
            </w:pPr>
            <w:r>
              <w:rPr>
                <w:noProof/>
                <w:sz w:val="18"/>
                <w:vertAlign w:val="superscript"/>
              </w:rPr>
              <w:t>Kvoten må kun fiskes fra den 1. juli 2019 til den 30. juni 2020.</w:t>
            </w:r>
          </w:p>
        </w:tc>
        <w:tc>
          <w:tcPr>
            <w:tcW w:w="993" w:type="dxa"/>
            <w:noWrap/>
            <w:hideMark/>
          </w:tcPr>
          <w:p>
            <w:pPr>
              <w:rPr>
                <w:rFonts w:eastAsia="Times New Roman"/>
                <w:noProof/>
                <w:sz w:val="18"/>
                <w:szCs w:val="18"/>
              </w:rPr>
            </w:pPr>
          </w:p>
        </w:tc>
        <w:tc>
          <w:tcPr>
            <w:tcW w:w="1275" w:type="dxa"/>
            <w:noWrap/>
            <w:hideMark/>
          </w:tcPr>
          <w:p>
            <w:pPr>
              <w:spacing w:after="0"/>
              <w:rPr>
                <w:noProof/>
                <w:sz w:val="20"/>
                <w:szCs w:val="20"/>
              </w:rPr>
            </w:pPr>
          </w:p>
        </w:tc>
        <w:tc>
          <w:tcPr>
            <w:tcW w:w="1585" w:type="dxa"/>
            <w:noWrap/>
            <w:hideMark/>
          </w:tcPr>
          <w:p>
            <w:pPr>
              <w:spacing w:after="0"/>
              <w:rPr>
                <w:noProof/>
                <w:sz w:val="20"/>
                <w:szCs w:val="20"/>
              </w:rPr>
            </w:pPr>
          </w:p>
        </w:tc>
      </w:tr>
      <w:tr>
        <w:trPr>
          <w:trHeight w:val="270"/>
        </w:trPr>
        <w:tc>
          <w:tcPr>
            <w:tcW w:w="976"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c>
          <w:tcPr>
            <w:tcW w:w="976"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sz w:val="18"/>
                <w:szCs w:val="18"/>
              </w:rPr>
            </w:pPr>
            <w:r>
              <w:rPr>
                <w:rFonts w:ascii="Calibri" w:hAnsi="Calibri"/>
                <w:noProof/>
                <w:sz w:val="18"/>
              </w:rPr>
              <w:t> </w:t>
            </w:r>
          </w:p>
        </w:tc>
        <w:tc>
          <w:tcPr>
            <w:tcW w:w="976" w:type="dxa"/>
            <w:tcBorders>
              <w:top w:val="single" w:sz="8" w:space="0" w:color="000000"/>
              <w:left w:val="nil"/>
              <w:bottom w:val="single" w:sz="8" w:space="0" w:color="000000"/>
              <w:right w:val="nil"/>
            </w:tcBorders>
            <w:noWrap/>
            <w:hideMark/>
          </w:tcPr>
          <w:p>
            <w:pPr>
              <w:spacing w:after="0"/>
              <w:jc w:val="right"/>
              <w:rPr>
                <w:rFonts w:ascii="Calibri" w:eastAsia="Times New Roman" w:hAnsi="Calibri" w:cs="Calibri"/>
                <w:noProof/>
                <w:color w:val="000000"/>
                <w:sz w:val="18"/>
                <w:szCs w:val="18"/>
              </w:rPr>
            </w:pPr>
            <w:r>
              <w:rPr>
                <w:rFonts w:ascii="Calibri" w:hAnsi="Calibri"/>
                <w:noProof/>
                <w:color w:val="000000"/>
                <w:sz w:val="18"/>
              </w:rPr>
              <w:t> </w:t>
            </w:r>
          </w:p>
        </w:tc>
        <w:tc>
          <w:tcPr>
            <w:tcW w:w="1325"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c>
          <w:tcPr>
            <w:tcW w:w="850"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c>
          <w:tcPr>
            <w:tcW w:w="993"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c>
          <w:tcPr>
            <w:tcW w:w="1275"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c>
          <w:tcPr>
            <w:tcW w:w="1585" w:type="dxa"/>
            <w:tcBorders>
              <w:top w:val="single" w:sz="8" w:space="0" w:color="000000"/>
              <w:left w:val="nil"/>
              <w:bottom w:val="single" w:sz="8" w:space="0" w:color="000000"/>
              <w:right w:val="nil"/>
            </w:tcBorders>
            <w:noWrap/>
            <w:hideMark/>
          </w:tcPr>
          <w:p>
            <w:pPr>
              <w:spacing w:after="0"/>
              <w:rPr>
                <w:rFonts w:ascii="Calibri" w:eastAsia="Times New Roman" w:hAnsi="Calibri" w:cs="Calibri"/>
                <w:noProof/>
                <w:color w:val="000000"/>
                <w:sz w:val="18"/>
                <w:szCs w:val="18"/>
              </w:rPr>
            </w:pPr>
            <w:r>
              <w:rPr>
                <w:rFonts w:ascii="Calibri" w:hAnsi="Calibri"/>
                <w:noProof/>
                <w:color w:val="000000"/>
                <w:sz w:val="18"/>
              </w:rPr>
              <w:t> </w:t>
            </w:r>
          </w:p>
        </w:tc>
      </w:tr>
    </w:tbl>
    <w:p>
      <w:pPr>
        <w:pStyle w:val="Titrearticle"/>
        <w:rPr>
          <w:noProof/>
        </w:rPr>
      </w:pPr>
      <w:r>
        <w:rPr>
          <w:noProof/>
        </w:rPr>
        <w:t>Artikel 2</w:t>
      </w:r>
    </w:p>
    <w:p>
      <w:pPr>
        <w:rPr>
          <w:noProof/>
        </w:rPr>
      </w:pPr>
      <w:r>
        <w:rPr>
          <w:noProof/>
        </w:rPr>
        <w:t>I bilaget til forordning (EU) 2018/2025 affattes oplysningerne i tabellen for spidstandet blankesten i EU-farvande og internationale farvande i ICES-underområde 10 således:</w:t>
      </w:r>
    </w:p>
    <w:tbl>
      <w:tblPr>
        <w:tblW w:w="8946" w:type="dxa"/>
        <w:tblInd w:w="93" w:type="dxa"/>
        <w:tblLook w:val="04A0" w:firstRow="1" w:lastRow="0" w:firstColumn="1" w:lastColumn="0" w:noHBand="0" w:noVBand="1"/>
      </w:tblPr>
      <w:tblGrid>
        <w:gridCol w:w="1294"/>
        <w:gridCol w:w="1397"/>
        <w:gridCol w:w="636"/>
        <w:gridCol w:w="1017"/>
        <w:gridCol w:w="636"/>
        <w:gridCol w:w="846"/>
        <w:gridCol w:w="3129"/>
      </w:tblGrid>
      <w:tr>
        <w:trPr>
          <w:trHeight w:val="270"/>
        </w:trPr>
        <w:tc>
          <w:tcPr>
            <w:tcW w:w="1294" w:type="dxa"/>
            <w:tcBorders>
              <w:top w:val="single" w:sz="8" w:space="0" w:color="000000"/>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rPr>
              <w:t xml:space="preserve"> </w:t>
            </w:r>
            <w:r>
              <w:rPr>
                <w:noProof/>
                <w:color w:val="000000"/>
                <w:sz w:val="18"/>
              </w:rPr>
              <w:t>Art:</w:t>
            </w:r>
          </w:p>
        </w:tc>
        <w:tc>
          <w:tcPr>
            <w:tcW w:w="3686" w:type="dxa"/>
            <w:gridSpan w:val="4"/>
            <w:tcBorders>
              <w:top w:val="single" w:sz="8" w:space="0" w:color="000000"/>
              <w:left w:val="nil"/>
              <w:bottom w:val="nil"/>
              <w:right w:val="single" w:sz="8" w:space="0" w:color="000000"/>
            </w:tcBorders>
            <w:shd w:val="clear" w:color="auto" w:fill="auto"/>
            <w:noWrap/>
            <w:vAlign w:val="center"/>
            <w:hideMark/>
          </w:tcPr>
          <w:p>
            <w:pPr>
              <w:spacing w:before="0" w:after="0"/>
              <w:rPr>
                <w:rFonts w:eastAsia="Times New Roman"/>
                <w:noProof/>
                <w:color w:val="000000"/>
                <w:sz w:val="18"/>
                <w:szCs w:val="18"/>
              </w:rPr>
            </w:pPr>
            <w:r>
              <w:rPr>
                <w:noProof/>
                <w:sz w:val="18"/>
              </w:rPr>
              <w:t>Spidstandet blankesten</w:t>
            </w:r>
            <w:r>
              <w:rPr>
                <w:noProof/>
                <w:color w:val="000000"/>
                <w:sz w:val="18"/>
                <w:vertAlign w:val="superscript"/>
              </w:rPr>
              <w:t> </w:t>
            </w:r>
          </w:p>
        </w:tc>
        <w:tc>
          <w:tcPr>
            <w:tcW w:w="837" w:type="dxa"/>
            <w:tcBorders>
              <w:top w:val="single" w:sz="8" w:space="0" w:color="000000"/>
              <w:left w:val="single" w:sz="8" w:space="0" w:color="000000"/>
            </w:tcBorders>
            <w:noWrap/>
            <w:vAlign w:val="center"/>
          </w:tcPr>
          <w:p>
            <w:pPr>
              <w:spacing w:before="0" w:after="200" w:line="276" w:lineRule="auto"/>
              <w:jc w:val="left"/>
              <w:rPr>
                <w:noProof/>
              </w:rPr>
            </w:pPr>
            <w:r>
              <w:rPr>
                <w:noProof/>
                <w:color w:val="000000"/>
                <w:sz w:val="18"/>
              </w:rPr>
              <w:t>Område:</w:t>
            </w:r>
          </w:p>
        </w:tc>
        <w:tc>
          <w:tcPr>
            <w:tcW w:w="3129" w:type="dxa"/>
            <w:tcBorders>
              <w:top w:val="single" w:sz="8" w:space="0" w:color="000000"/>
              <w:left w:val="nil"/>
              <w:right w:val="nil"/>
            </w:tcBorders>
            <w:shd w:val="clear" w:color="auto" w:fill="auto"/>
            <w:noWrap/>
            <w:vAlign w:val="center"/>
          </w:tcPr>
          <w:p>
            <w:pPr>
              <w:spacing w:before="0" w:after="200" w:line="276" w:lineRule="auto"/>
              <w:jc w:val="left"/>
              <w:rPr>
                <w:noProof/>
              </w:rPr>
            </w:pPr>
            <w:r>
              <w:rPr>
                <w:noProof/>
                <w:color w:val="000000"/>
                <w:sz w:val="18"/>
              </w:rPr>
              <w:t>EU-farvande og internationale farvande i 10</w:t>
            </w:r>
          </w:p>
        </w:tc>
      </w:tr>
      <w:tr>
        <w:trPr>
          <w:trHeight w:val="315"/>
        </w:trPr>
        <w:tc>
          <w:tcPr>
            <w:tcW w:w="1294" w:type="dxa"/>
            <w:tcBorders>
              <w:top w:val="nil"/>
              <w:left w:val="nil"/>
              <w:bottom w:val="single" w:sz="8" w:space="0" w:color="000000"/>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 </w:t>
            </w:r>
          </w:p>
        </w:tc>
        <w:tc>
          <w:tcPr>
            <w:tcW w:w="3686" w:type="dxa"/>
            <w:gridSpan w:val="4"/>
            <w:tcBorders>
              <w:top w:val="nil"/>
              <w:left w:val="nil"/>
              <w:bottom w:val="single" w:sz="8" w:space="0" w:color="000000"/>
              <w:right w:val="single" w:sz="8" w:space="0" w:color="000000"/>
            </w:tcBorders>
            <w:shd w:val="clear" w:color="auto" w:fill="auto"/>
            <w:noWrap/>
            <w:vAlign w:val="center"/>
            <w:hideMark/>
          </w:tcPr>
          <w:p>
            <w:pPr>
              <w:spacing w:before="0" w:after="0"/>
              <w:rPr>
                <w:noProof/>
              </w:rPr>
            </w:pPr>
            <w:r>
              <w:rPr>
                <w:i/>
                <w:noProof/>
                <w:sz w:val="18"/>
              </w:rPr>
              <w:t>Pagellus bogaraveo</w:t>
            </w:r>
            <w:r>
              <w:rPr>
                <w:noProof/>
                <w:color w:val="000000"/>
                <w:sz w:val="18"/>
              </w:rPr>
              <w:t> </w:t>
            </w:r>
          </w:p>
        </w:tc>
        <w:tc>
          <w:tcPr>
            <w:tcW w:w="837" w:type="dxa"/>
            <w:tcBorders>
              <w:left w:val="single" w:sz="8" w:space="0" w:color="000000"/>
              <w:bottom w:val="single" w:sz="8" w:space="0" w:color="000000"/>
            </w:tcBorders>
            <w:noWrap/>
          </w:tcPr>
          <w:p>
            <w:pPr>
              <w:spacing w:before="0" w:after="200" w:line="276" w:lineRule="auto"/>
              <w:jc w:val="left"/>
              <w:rPr>
                <w:noProof/>
              </w:rPr>
            </w:pPr>
          </w:p>
        </w:tc>
        <w:tc>
          <w:tcPr>
            <w:tcW w:w="3129" w:type="dxa"/>
            <w:tcBorders>
              <w:left w:val="nil"/>
              <w:bottom w:val="nil"/>
              <w:right w:val="nil"/>
            </w:tcBorders>
            <w:shd w:val="clear" w:color="auto" w:fill="auto"/>
            <w:noWrap/>
            <w:vAlign w:val="center"/>
          </w:tcPr>
          <w:p>
            <w:pPr>
              <w:spacing w:before="0" w:after="200" w:line="276" w:lineRule="auto"/>
              <w:jc w:val="left"/>
              <w:rPr>
                <w:noProof/>
              </w:rPr>
            </w:pPr>
            <w:r>
              <w:rPr>
                <w:noProof/>
                <w:color w:val="000000"/>
                <w:sz w:val="18"/>
              </w:rPr>
              <w:t>(SBR/10-)</w:t>
            </w:r>
          </w:p>
        </w:tc>
      </w:tr>
      <w:tr>
        <w:trPr>
          <w:trHeight w:val="285"/>
        </w:trPr>
        <w:tc>
          <w:tcPr>
            <w:tcW w:w="1294" w:type="dxa"/>
            <w:tcBorders>
              <w:top w:val="nil"/>
              <w:left w:val="nil"/>
              <w:bottom w:val="nil"/>
              <w:right w:val="nil"/>
            </w:tcBorders>
            <w:shd w:val="clear" w:color="auto" w:fill="auto"/>
            <w:noWrap/>
            <w:vAlign w:val="center"/>
            <w:hideMark/>
          </w:tcPr>
          <w:p>
            <w:pPr>
              <w:spacing w:before="0" w:after="0"/>
              <w:rPr>
                <w:rFonts w:eastAsia="Times New Roman"/>
                <w:b/>
                <w:bCs/>
                <w:noProof/>
                <w:color w:val="000000"/>
                <w:sz w:val="18"/>
                <w:szCs w:val="18"/>
              </w:rPr>
            </w:pPr>
            <w:r>
              <w:rPr>
                <w:b/>
                <w:noProof/>
                <w:color w:val="000000"/>
                <w:sz w:val="18"/>
              </w:rPr>
              <w:t>År</w:t>
            </w:r>
          </w:p>
        </w:tc>
        <w:tc>
          <w:tcPr>
            <w:tcW w:w="1397" w:type="dxa"/>
            <w:tcBorders>
              <w:top w:val="nil"/>
              <w:left w:val="nil"/>
              <w:bottom w:val="nil"/>
              <w:right w:val="nil"/>
            </w:tcBorders>
            <w:shd w:val="clear" w:color="auto" w:fill="auto"/>
            <w:noWrap/>
            <w:vAlign w:val="center"/>
            <w:hideMark/>
          </w:tcPr>
          <w:p>
            <w:pPr>
              <w:spacing w:before="0" w:after="0"/>
              <w:jc w:val="right"/>
              <w:rPr>
                <w:rFonts w:eastAsia="Times New Roman"/>
                <w:b/>
                <w:bCs/>
                <w:noProof/>
                <w:sz w:val="18"/>
                <w:szCs w:val="18"/>
              </w:rPr>
            </w:pPr>
            <w:r>
              <w:rPr>
                <w:b/>
                <w:noProof/>
                <w:sz w:val="18"/>
              </w:rPr>
              <w:t>2019</w:t>
            </w:r>
          </w:p>
        </w:tc>
        <w:tc>
          <w:tcPr>
            <w:tcW w:w="636" w:type="dxa"/>
            <w:tcBorders>
              <w:top w:val="nil"/>
              <w:left w:val="nil"/>
              <w:bottom w:val="nil"/>
              <w:right w:val="nil"/>
            </w:tcBorders>
            <w:shd w:val="clear" w:color="auto" w:fill="auto"/>
            <w:noWrap/>
            <w:hideMark/>
          </w:tcPr>
          <w:p>
            <w:pPr>
              <w:spacing w:before="0" w:after="0"/>
              <w:jc w:val="left"/>
              <w:rPr>
                <w:rFonts w:eastAsia="Times New Roman"/>
                <w:b/>
                <w:bCs/>
                <w:noProof/>
                <w:sz w:val="18"/>
                <w:szCs w:val="18"/>
              </w:rPr>
            </w:pPr>
          </w:p>
        </w:tc>
        <w:tc>
          <w:tcPr>
            <w:tcW w:w="1017" w:type="dxa"/>
            <w:tcBorders>
              <w:top w:val="nil"/>
              <w:left w:val="nil"/>
              <w:bottom w:val="nil"/>
              <w:right w:val="nil"/>
            </w:tcBorders>
            <w:shd w:val="clear" w:color="auto" w:fill="auto"/>
            <w:noWrap/>
            <w:vAlign w:val="center"/>
            <w:hideMark/>
          </w:tcPr>
          <w:p>
            <w:pPr>
              <w:spacing w:before="0" w:after="0"/>
              <w:jc w:val="right"/>
              <w:rPr>
                <w:rFonts w:eastAsia="Times New Roman"/>
                <w:b/>
                <w:bCs/>
                <w:noProof/>
                <w:color w:val="000000"/>
                <w:sz w:val="18"/>
                <w:szCs w:val="18"/>
              </w:rPr>
            </w:pPr>
            <w:r>
              <w:rPr>
                <w:b/>
                <w:noProof/>
                <w:color w:val="000000"/>
                <w:sz w:val="18"/>
              </w:rPr>
              <w:t>2020</w:t>
            </w:r>
          </w:p>
        </w:tc>
        <w:tc>
          <w:tcPr>
            <w:tcW w:w="636" w:type="dxa"/>
            <w:tcBorders>
              <w:top w:val="single" w:sz="4" w:space="0" w:color="000000"/>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3966" w:type="dxa"/>
            <w:gridSpan w:val="2"/>
            <w:tcBorders>
              <w:top w:val="single" w:sz="8" w:space="0" w:color="000000"/>
              <w:left w:val="nil"/>
              <w:bottom w:val="nil"/>
              <w:right w:val="nil"/>
            </w:tcBorders>
          </w:tcPr>
          <w:p>
            <w:pPr>
              <w:spacing w:before="0" w:after="0"/>
              <w:rPr>
                <w:rFonts w:eastAsia="Times New Roman"/>
                <w:noProof/>
                <w:color w:val="000000"/>
                <w:sz w:val="18"/>
                <w:szCs w:val="18"/>
              </w:rPr>
            </w:pPr>
            <w:r>
              <w:rPr>
                <w:noProof/>
                <w:color w:val="000000"/>
                <w:sz w:val="18"/>
              </w:rPr>
              <w:t>Præventiv TAC</w:t>
            </w:r>
          </w:p>
        </w:tc>
      </w:tr>
      <w:tr>
        <w:trPr>
          <w:trHeight w:val="360"/>
        </w:trPr>
        <w:tc>
          <w:tcPr>
            <w:tcW w:w="1294"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Spanien</w:t>
            </w:r>
          </w:p>
        </w:tc>
        <w:tc>
          <w:tcPr>
            <w:tcW w:w="139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w:t>
            </w:r>
          </w:p>
        </w:tc>
        <w:tc>
          <w:tcPr>
            <w:tcW w:w="636"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1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w:t>
            </w:r>
          </w:p>
        </w:tc>
        <w:tc>
          <w:tcPr>
            <w:tcW w:w="636" w:type="dxa"/>
            <w:tcBorders>
              <w:top w:val="nil"/>
              <w:left w:val="nil"/>
              <w:bottom w:val="nil"/>
              <w:right w:val="nil"/>
            </w:tcBorders>
            <w:shd w:val="clear" w:color="auto" w:fill="auto"/>
            <w:noWrap/>
            <w:hideMark/>
          </w:tcPr>
          <w:p>
            <w:pPr>
              <w:spacing w:before="0" w:after="0"/>
              <w:jc w:val="left"/>
              <w:rPr>
                <w:rFonts w:eastAsia="Times New Roman"/>
                <w:noProof/>
                <w:sz w:val="22"/>
              </w:rPr>
            </w:pPr>
          </w:p>
        </w:tc>
        <w:tc>
          <w:tcPr>
            <w:tcW w:w="83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c>
          <w:tcPr>
            <w:tcW w:w="3129"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r>
      <w:tr>
        <w:trPr>
          <w:trHeight w:val="360"/>
        </w:trPr>
        <w:tc>
          <w:tcPr>
            <w:tcW w:w="1294"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Portugal</w:t>
            </w:r>
          </w:p>
        </w:tc>
        <w:tc>
          <w:tcPr>
            <w:tcW w:w="139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566</w:t>
            </w:r>
          </w:p>
        </w:tc>
        <w:tc>
          <w:tcPr>
            <w:tcW w:w="636"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1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543</w:t>
            </w:r>
          </w:p>
        </w:tc>
        <w:tc>
          <w:tcPr>
            <w:tcW w:w="636" w:type="dxa"/>
            <w:tcBorders>
              <w:top w:val="nil"/>
              <w:left w:val="nil"/>
              <w:bottom w:val="nil"/>
              <w:right w:val="nil"/>
            </w:tcBorders>
            <w:shd w:val="clear" w:color="auto" w:fill="auto"/>
            <w:noWrap/>
            <w:hideMark/>
          </w:tcPr>
          <w:p>
            <w:pPr>
              <w:spacing w:before="0" w:after="0"/>
              <w:jc w:val="left"/>
              <w:rPr>
                <w:rFonts w:eastAsia="Times New Roman"/>
                <w:noProof/>
                <w:sz w:val="22"/>
              </w:rPr>
            </w:pPr>
          </w:p>
        </w:tc>
        <w:tc>
          <w:tcPr>
            <w:tcW w:w="83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c>
          <w:tcPr>
            <w:tcW w:w="3129"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r>
      <w:tr>
        <w:trPr>
          <w:trHeight w:val="360"/>
        </w:trPr>
        <w:tc>
          <w:tcPr>
            <w:tcW w:w="1294"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Det Forenede Kongerige</w:t>
            </w:r>
          </w:p>
        </w:tc>
        <w:tc>
          <w:tcPr>
            <w:tcW w:w="139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w:t>
            </w:r>
          </w:p>
        </w:tc>
        <w:tc>
          <w:tcPr>
            <w:tcW w:w="636" w:type="dxa"/>
            <w:tcBorders>
              <w:top w:val="nil"/>
              <w:left w:val="nil"/>
              <w:bottom w:val="nil"/>
              <w:right w:val="nil"/>
            </w:tcBorders>
            <w:shd w:val="clear" w:color="auto" w:fill="auto"/>
            <w:noWrap/>
          </w:tcPr>
          <w:p>
            <w:pPr>
              <w:spacing w:before="0" w:after="0"/>
              <w:jc w:val="left"/>
              <w:rPr>
                <w:rFonts w:eastAsia="Times New Roman"/>
                <w:noProof/>
                <w:color w:val="000000"/>
                <w:sz w:val="18"/>
                <w:szCs w:val="18"/>
              </w:rPr>
            </w:pPr>
          </w:p>
        </w:tc>
        <w:tc>
          <w:tcPr>
            <w:tcW w:w="1017" w:type="dxa"/>
            <w:tcBorders>
              <w:top w:val="nil"/>
              <w:left w:val="nil"/>
              <w:bottom w:val="nil"/>
              <w:right w:val="nil"/>
            </w:tcBorders>
            <w:shd w:val="clear" w:color="auto" w:fill="auto"/>
            <w:noWrap/>
            <w:vAlign w:val="center"/>
          </w:tcPr>
          <w:p>
            <w:pPr>
              <w:spacing w:before="0" w:after="0"/>
              <w:jc w:val="right"/>
              <w:rPr>
                <w:rFonts w:eastAsia="Times New Roman"/>
                <w:noProof/>
                <w:color w:val="000000"/>
                <w:sz w:val="18"/>
                <w:szCs w:val="18"/>
              </w:rPr>
            </w:pPr>
            <w:r>
              <w:rPr>
                <w:noProof/>
                <w:color w:val="000000"/>
                <w:sz w:val="18"/>
              </w:rPr>
              <w:t>5</w:t>
            </w:r>
          </w:p>
        </w:tc>
        <w:tc>
          <w:tcPr>
            <w:tcW w:w="636" w:type="dxa"/>
            <w:tcBorders>
              <w:top w:val="nil"/>
              <w:left w:val="nil"/>
              <w:bottom w:val="nil"/>
              <w:right w:val="nil"/>
            </w:tcBorders>
            <w:shd w:val="clear" w:color="auto" w:fill="auto"/>
            <w:noWrap/>
            <w:hideMark/>
          </w:tcPr>
          <w:p>
            <w:pPr>
              <w:spacing w:before="0" w:after="0"/>
              <w:jc w:val="left"/>
              <w:rPr>
                <w:rFonts w:eastAsia="Times New Roman"/>
                <w:noProof/>
                <w:sz w:val="22"/>
              </w:rPr>
            </w:pPr>
          </w:p>
        </w:tc>
        <w:tc>
          <w:tcPr>
            <w:tcW w:w="83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c>
          <w:tcPr>
            <w:tcW w:w="3129"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r>
      <w:tr>
        <w:trPr>
          <w:trHeight w:val="360"/>
        </w:trPr>
        <w:tc>
          <w:tcPr>
            <w:tcW w:w="1294" w:type="dxa"/>
            <w:tcBorders>
              <w:top w:val="nil"/>
              <w:left w:val="nil"/>
              <w:bottom w:val="nil"/>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Unionen</w:t>
            </w:r>
          </w:p>
        </w:tc>
        <w:tc>
          <w:tcPr>
            <w:tcW w:w="1397"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rPr>
              <w:t>576</w:t>
            </w:r>
          </w:p>
        </w:tc>
        <w:tc>
          <w:tcPr>
            <w:tcW w:w="636" w:type="dxa"/>
            <w:tcBorders>
              <w:top w:val="nil"/>
              <w:left w:val="nil"/>
              <w:bottom w:val="nil"/>
              <w:right w:val="nil"/>
            </w:tcBorders>
            <w:shd w:val="clear" w:color="auto" w:fill="auto"/>
            <w:noWrap/>
            <w:hideMark/>
          </w:tcPr>
          <w:p>
            <w:pPr>
              <w:spacing w:before="0" w:after="0"/>
              <w:jc w:val="left"/>
              <w:rPr>
                <w:rFonts w:eastAsia="Times New Roman"/>
                <w:noProof/>
                <w:color w:val="000000"/>
                <w:sz w:val="18"/>
                <w:szCs w:val="18"/>
              </w:rPr>
            </w:pPr>
          </w:p>
        </w:tc>
        <w:tc>
          <w:tcPr>
            <w:tcW w:w="1017" w:type="dxa"/>
            <w:tcBorders>
              <w:top w:val="nil"/>
              <w:left w:val="nil"/>
              <w:bottom w:val="nil"/>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rPr>
              <w:t>553</w:t>
            </w:r>
          </w:p>
        </w:tc>
        <w:tc>
          <w:tcPr>
            <w:tcW w:w="636" w:type="dxa"/>
            <w:tcBorders>
              <w:top w:val="nil"/>
              <w:left w:val="nil"/>
              <w:bottom w:val="nil"/>
              <w:right w:val="nil"/>
            </w:tcBorders>
            <w:shd w:val="clear" w:color="auto" w:fill="auto"/>
            <w:noWrap/>
            <w:hideMark/>
          </w:tcPr>
          <w:p>
            <w:pPr>
              <w:spacing w:before="0" w:after="0"/>
              <w:jc w:val="left"/>
              <w:rPr>
                <w:rFonts w:eastAsia="Times New Roman"/>
                <w:noProof/>
                <w:sz w:val="22"/>
              </w:rPr>
            </w:pPr>
          </w:p>
        </w:tc>
        <w:tc>
          <w:tcPr>
            <w:tcW w:w="837" w:type="dxa"/>
            <w:tcBorders>
              <w:top w:val="nil"/>
              <w:left w:val="nil"/>
              <w:bottom w:val="nil"/>
              <w:right w:val="nil"/>
            </w:tcBorders>
            <w:shd w:val="clear" w:color="auto" w:fill="auto"/>
            <w:noWrap/>
            <w:hideMark/>
          </w:tcPr>
          <w:p>
            <w:pPr>
              <w:spacing w:before="0" w:after="0"/>
              <w:jc w:val="left"/>
              <w:rPr>
                <w:rFonts w:ascii="Calibri" w:eastAsia="Times New Roman" w:hAnsi="Calibri" w:cs="Arial"/>
                <w:noProof/>
                <w:sz w:val="22"/>
              </w:rPr>
            </w:pPr>
          </w:p>
        </w:tc>
        <w:tc>
          <w:tcPr>
            <w:tcW w:w="3129" w:type="dxa"/>
            <w:tcBorders>
              <w:top w:val="nil"/>
              <w:left w:val="nil"/>
              <w:right w:val="nil"/>
            </w:tcBorders>
            <w:shd w:val="clear" w:color="auto" w:fill="auto"/>
            <w:noWrap/>
            <w:hideMark/>
          </w:tcPr>
          <w:p>
            <w:pPr>
              <w:spacing w:before="0" w:after="0"/>
              <w:jc w:val="left"/>
              <w:rPr>
                <w:rFonts w:ascii="Calibri" w:eastAsia="Times New Roman" w:hAnsi="Calibri" w:cs="Arial"/>
                <w:noProof/>
                <w:sz w:val="22"/>
              </w:rPr>
            </w:pPr>
          </w:p>
        </w:tc>
      </w:tr>
      <w:tr>
        <w:trPr>
          <w:trHeight w:val="285"/>
        </w:trPr>
        <w:tc>
          <w:tcPr>
            <w:tcW w:w="1294" w:type="dxa"/>
            <w:tcBorders>
              <w:top w:val="nil"/>
              <w:left w:val="nil"/>
              <w:bottom w:val="single" w:sz="8" w:space="0" w:color="auto"/>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TAC</w:t>
            </w:r>
          </w:p>
        </w:tc>
        <w:tc>
          <w:tcPr>
            <w:tcW w:w="1397" w:type="dxa"/>
            <w:tcBorders>
              <w:top w:val="nil"/>
              <w:left w:val="nil"/>
              <w:bottom w:val="single" w:sz="8" w:space="0" w:color="auto"/>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rPr>
              <w:t>576</w:t>
            </w:r>
          </w:p>
        </w:tc>
        <w:tc>
          <w:tcPr>
            <w:tcW w:w="636" w:type="dxa"/>
            <w:tcBorders>
              <w:top w:val="nil"/>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vertAlign w:val="superscript"/>
              </w:rPr>
              <w:t> </w:t>
            </w:r>
          </w:p>
        </w:tc>
        <w:tc>
          <w:tcPr>
            <w:tcW w:w="1017" w:type="dxa"/>
            <w:tcBorders>
              <w:top w:val="nil"/>
              <w:left w:val="nil"/>
              <w:bottom w:val="single" w:sz="8" w:space="0" w:color="auto"/>
              <w:right w:val="nil"/>
            </w:tcBorders>
            <w:shd w:val="clear" w:color="auto" w:fill="auto"/>
            <w:noWrap/>
            <w:vAlign w:val="center"/>
            <w:hideMark/>
          </w:tcPr>
          <w:p>
            <w:pPr>
              <w:spacing w:before="0" w:after="0"/>
              <w:jc w:val="right"/>
              <w:rPr>
                <w:rFonts w:eastAsia="Times New Roman"/>
                <w:noProof/>
                <w:color w:val="000000"/>
                <w:sz w:val="18"/>
                <w:szCs w:val="18"/>
              </w:rPr>
            </w:pPr>
            <w:r>
              <w:rPr>
                <w:noProof/>
                <w:color w:val="000000"/>
                <w:sz w:val="18"/>
              </w:rPr>
              <w:t>553</w:t>
            </w:r>
          </w:p>
        </w:tc>
        <w:tc>
          <w:tcPr>
            <w:tcW w:w="636" w:type="dxa"/>
            <w:tcBorders>
              <w:top w:val="nil"/>
              <w:left w:val="nil"/>
              <w:bottom w:val="single" w:sz="8" w:space="0" w:color="auto"/>
              <w:right w:val="nil"/>
            </w:tcBorders>
            <w:shd w:val="clear" w:color="auto" w:fill="auto"/>
            <w:noWrap/>
            <w:hideMark/>
          </w:tcPr>
          <w:p>
            <w:pPr>
              <w:spacing w:before="0" w:after="0"/>
              <w:jc w:val="left"/>
              <w:rPr>
                <w:rFonts w:eastAsia="Times New Roman"/>
                <w:noProof/>
                <w:color w:val="000000"/>
                <w:sz w:val="18"/>
                <w:szCs w:val="18"/>
              </w:rPr>
            </w:pPr>
            <w:r>
              <w:rPr>
                <w:noProof/>
                <w:color w:val="000000"/>
                <w:sz w:val="18"/>
                <w:vertAlign w:val="superscript"/>
              </w:rPr>
              <w:t> </w:t>
            </w:r>
          </w:p>
        </w:tc>
        <w:tc>
          <w:tcPr>
            <w:tcW w:w="837" w:type="dxa"/>
            <w:tcBorders>
              <w:top w:val="nil"/>
              <w:left w:val="nil"/>
              <w:bottom w:val="single" w:sz="8" w:space="0" w:color="auto"/>
              <w:right w:val="nil"/>
            </w:tcBorders>
            <w:shd w:val="clear" w:color="auto" w:fill="auto"/>
            <w:noWrap/>
            <w:vAlign w:val="center"/>
            <w:hideMark/>
          </w:tcPr>
          <w:p>
            <w:pPr>
              <w:spacing w:before="0" w:after="0"/>
              <w:rPr>
                <w:rFonts w:eastAsia="Times New Roman"/>
                <w:noProof/>
                <w:color w:val="000000"/>
                <w:sz w:val="18"/>
                <w:szCs w:val="18"/>
              </w:rPr>
            </w:pPr>
            <w:r>
              <w:rPr>
                <w:noProof/>
                <w:color w:val="000000"/>
                <w:sz w:val="18"/>
              </w:rPr>
              <w:t> </w:t>
            </w:r>
          </w:p>
        </w:tc>
        <w:tc>
          <w:tcPr>
            <w:tcW w:w="3129" w:type="dxa"/>
            <w:tcBorders>
              <w:top w:val="nil"/>
              <w:left w:val="nil"/>
              <w:bottom w:val="single" w:sz="8" w:space="0" w:color="000000"/>
              <w:right w:val="nil"/>
            </w:tcBorders>
            <w:shd w:val="clear" w:color="auto" w:fill="auto"/>
            <w:noWrap/>
            <w:hideMark/>
          </w:tcPr>
          <w:p>
            <w:pPr>
              <w:spacing w:before="0" w:after="0"/>
              <w:jc w:val="right"/>
              <w:rPr>
                <w:rFonts w:eastAsia="Times New Roman"/>
                <w:noProof/>
                <w:color w:val="000000"/>
                <w:sz w:val="18"/>
                <w:szCs w:val="18"/>
              </w:rPr>
            </w:pPr>
          </w:p>
        </w:tc>
      </w:tr>
    </w:tbl>
    <w:p>
      <w:pPr>
        <w:pStyle w:val="Titrearticle"/>
        <w:rPr>
          <w:noProof/>
        </w:rPr>
      </w:pPr>
      <w:r>
        <w:rPr>
          <w:noProof/>
        </w:rPr>
        <w:t>Artikel 3</w:t>
      </w:r>
    </w:p>
    <w:p>
      <w:pPr>
        <w:rPr>
          <w:noProof/>
        </w:rPr>
      </w:pPr>
      <w:r>
        <w:rPr>
          <w:noProof/>
        </w:rPr>
        <w:t xml:space="preserve">Denne forordning træder i kraft dagen efter offentliggørelsen i </w:t>
      </w:r>
      <w:r>
        <w:rPr>
          <w:i/>
          <w:noProof/>
        </w:rPr>
        <w:t>Den Europæiske Unions Tidende</w:t>
      </w:r>
      <w:r>
        <w:rPr>
          <w:noProof/>
        </w:rPr>
        <w:t>.</w:t>
      </w:r>
    </w:p>
    <w:p>
      <w:pPr>
        <w:rPr>
          <w:noProof/>
        </w:rPr>
      </w:pPr>
      <w:r>
        <w:rPr>
          <w:noProof/>
        </w:rPr>
        <w:t>Den anvendes fra den 1. juli 2019.</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forordning (EU) 2019/124 af 30. januar 2019 om fastsættelse for 2019 af fiskerimuligheder for visse fiskebestande og grupper af fiskebestande gældende for EU-farvande og for EU-fiskerfartøjer i visse andre farvande (EUT L 29 af 31.1.2019, s. 1).</w:t>
      </w:r>
    </w:p>
  </w:footnote>
  <w:footnote w:id="2">
    <w:p>
      <w:pPr>
        <w:pStyle w:val="FootnoteText"/>
      </w:pPr>
      <w:r>
        <w:rPr>
          <w:rStyle w:val="FootnoteReference"/>
        </w:rPr>
        <w:footnoteRef/>
      </w:r>
      <w:r>
        <w:tab/>
        <w:t>Rådets forordning (EU) 2018/2025 af 17. december 2018 om fastsættelse af EU-fiskerfartøjers fiskerimuligheder for visse dybhavsbestande for 2019 og 2020 (EUT L 325 af 20.12.2018, s.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82F95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A6679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7EF4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BC00C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38287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B2EFBF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3C257B4"/>
    <w:lvl w:ilvl="0">
      <w:start w:val="1"/>
      <w:numFmt w:val="decimal"/>
      <w:pStyle w:val="ListNumber"/>
      <w:lvlText w:val="%1."/>
      <w:lvlJc w:val="left"/>
      <w:pPr>
        <w:tabs>
          <w:tab w:val="num" w:pos="360"/>
        </w:tabs>
        <w:ind w:left="360" w:hanging="360"/>
      </w:pPr>
    </w:lvl>
  </w:abstractNum>
  <w:abstractNum w:abstractNumId="7">
    <w:nsid w:val="FFFFFF89"/>
    <w:multiLevelType w:val="singleLevel"/>
    <w:tmpl w:val="A4FE14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1 21:44: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758D0A2D-59F0-4622-930D-5BFC1650674C"/>
    <w:docVar w:name="LW_COVERPAGE_TYPE" w:val="1"/>
    <w:docVar w:name="LW_CROSSREFERENCE" w:val="&lt;UNUSED&gt;"/>
    <w:docVar w:name="LW_DocType" w:val="COM"/>
    <w:docVar w:name="LW_EMISSION" w:val="16.7.2019"/>
    <w:docVar w:name="LW_EMISSION_ISODATE" w:val="2019-07-16"/>
    <w:docVar w:name="LW_EMISSION_LOCATION" w:val="BRX"/>
    <w:docVar w:name="LW_EMISSION_PREFIX" w:val="Bruxelles, den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54"/>
    <w:docVar w:name="LW_REF.II.NEW.CP_YEAR" w:val="2019"/>
    <w:docVar w:name="LW_REF.INST.NEW" w:val="COM"/>
    <w:docVar w:name="LW_REF.INST.NEW_ADOPTED" w:val="final"/>
    <w:docVar w:name="LW_REF.INST.NEW_TEXT" w:val="(2019) 33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orslag til"/>
    <w:docVar w:name="LW_SUPERTITRE" w:val="&lt;UNUSED&gt;"/>
    <w:docVar w:name="LW_TITRE.OBJ.CP" w:val="om ændring af forordning (EU) 2019/124 og (EU) 2018/2025 for så vidt angår visse fiskerimuligheder"/>
    <w:docVar w:name="LW_TYPE.DOC.CP" w:val="RÅDETS FORORDNING"/>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4621">
      <w:bodyDiv w:val="1"/>
      <w:marLeft w:val="0"/>
      <w:marRight w:val="0"/>
      <w:marTop w:val="0"/>
      <w:marBottom w:val="0"/>
      <w:divBdr>
        <w:top w:val="none" w:sz="0" w:space="0" w:color="auto"/>
        <w:left w:val="none" w:sz="0" w:space="0" w:color="auto"/>
        <w:bottom w:val="none" w:sz="0" w:space="0" w:color="auto"/>
        <w:right w:val="none" w:sz="0" w:space="0" w:color="auto"/>
      </w:divBdr>
      <w:divsChild>
        <w:div w:id="1807426841">
          <w:marLeft w:val="0"/>
          <w:marRight w:val="0"/>
          <w:marTop w:val="0"/>
          <w:marBottom w:val="0"/>
          <w:divBdr>
            <w:top w:val="none" w:sz="0" w:space="0" w:color="auto"/>
            <w:left w:val="none" w:sz="0" w:space="0" w:color="auto"/>
            <w:bottom w:val="none" w:sz="0" w:space="0" w:color="auto"/>
            <w:right w:val="none" w:sz="0" w:space="0" w:color="auto"/>
          </w:divBdr>
          <w:divsChild>
            <w:div w:id="1876766329">
              <w:marLeft w:val="0"/>
              <w:marRight w:val="0"/>
              <w:marTop w:val="0"/>
              <w:marBottom w:val="0"/>
              <w:divBdr>
                <w:top w:val="none" w:sz="0" w:space="0" w:color="auto"/>
                <w:left w:val="none" w:sz="0" w:space="0" w:color="auto"/>
                <w:bottom w:val="none" w:sz="0" w:space="0" w:color="auto"/>
                <w:right w:val="none" w:sz="0" w:space="0" w:color="auto"/>
              </w:divBdr>
              <w:divsChild>
                <w:div w:id="833491775">
                  <w:marLeft w:val="0"/>
                  <w:marRight w:val="0"/>
                  <w:marTop w:val="0"/>
                  <w:marBottom w:val="0"/>
                  <w:divBdr>
                    <w:top w:val="none" w:sz="0" w:space="0" w:color="auto"/>
                    <w:left w:val="none" w:sz="0" w:space="0" w:color="auto"/>
                    <w:bottom w:val="none" w:sz="0" w:space="0" w:color="auto"/>
                    <w:right w:val="none" w:sz="0" w:space="0" w:color="auto"/>
                  </w:divBdr>
                  <w:divsChild>
                    <w:div w:id="935555531">
                      <w:marLeft w:val="1"/>
                      <w:marRight w:val="1"/>
                      <w:marTop w:val="0"/>
                      <w:marBottom w:val="0"/>
                      <w:divBdr>
                        <w:top w:val="none" w:sz="0" w:space="0" w:color="auto"/>
                        <w:left w:val="none" w:sz="0" w:space="0" w:color="auto"/>
                        <w:bottom w:val="none" w:sz="0" w:space="0" w:color="auto"/>
                        <w:right w:val="none" w:sz="0" w:space="0" w:color="auto"/>
                      </w:divBdr>
                      <w:divsChild>
                        <w:div w:id="1097483941">
                          <w:marLeft w:val="0"/>
                          <w:marRight w:val="0"/>
                          <w:marTop w:val="0"/>
                          <w:marBottom w:val="0"/>
                          <w:divBdr>
                            <w:top w:val="none" w:sz="0" w:space="0" w:color="auto"/>
                            <w:left w:val="none" w:sz="0" w:space="0" w:color="auto"/>
                            <w:bottom w:val="none" w:sz="0" w:space="0" w:color="auto"/>
                            <w:right w:val="none" w:sz="0" w:space="0" w:color="auto"/>
                          </w:divBdr>
                          <w:divsChild>
                            <w:div w:id="840316443">
                              <w:marLeft w:val="0"/>
                              <w:marRight w:val="0"/>
                              <w:marTop w:val="0"/>
                              <w:marBottom w:val="360"/>
                              <w:divBdr>
                                <w:top w:val="none" w:sz="0" w:space="0" w:color="auto"/>
                                <w:left w:val="none" w:sz="0" w:space="0" w:color="auto"/>
                                <w:bottom w:val="none" w:sz="0" w:space="0" w:color="auto"/>
                                <w:right w:val="none" w:sz="0" w:space="0" w:color="auto"/>
                              </w:divBdr>
                              <w:divsChild>
                                <w:div w:id="1164780254">
                                  <w:marLeft w:val="0"/>
                                  <w:marRight w:val="0"/>
                                  <w:marTop w:val="0"/>
                                  <w:marBottom w:val="0"/>
                                  <w:divBdr>
                                    <w:top w:val="none" w:sz="0" w:space="0" w:color="auto"/>
                                    <w:left w:val="none" w:sz="0" w:space="0" w:color="auto"/>
                                    <w:bottom w:val="none" w:sz="0" w:space="0" w:color="auto"/>
                                    <w:right w:val="none" w:sz="0" w:space="0" w:color="auto"/>
                                  </w:divBdr>
                                  <w:divsChild>
                                    <w:div w:id="1265844140">
                                      <w:marLeft w:val="0"/>
                                      <w:marRight w:val="0"/>
                                      <w:marTop w:val="0"/>
                                      <w:marBottom w:val="0"/>
                                      <w:divBdr>
                                        <w:top w:val="none" w:sz="0" w:space="0" w:color="auto"/>
                                        <w:left w:val="none" w:sz="0" w:space="0" w:color="auto"/>
                                        <w:bottom w:val="none" w:sz="0" w:space="0" w:color="auto"/>
                                        <w:right w:val="none" w:sz="0" w:space="0" w:color="auto"/>
                                      </w:divBdr>
                                      <w:divsChild>
                                        <w:div w:id="1358121743">
                                          <w:marLeft w:val="0"/>
                                          <w:marRight w:val="0"/>
                                          <w:marTop w:val="0"/>
                                          <w:marBottom w:val="0"/>
                                          <w:divBdr>
                                            <w:top w:val="none" w:sz="0" w:space="0" w:color="auto"/>
                                            <w:left w:val="none" w:sz="0" w:space="0" w:color="auto"/>
                                            <w:bottom w:val="none" w:sz="0" w:space="0" w:color="auto"/>
                                            <w:right w:val="none" w:sz="0" w:space="0" w:color="auto"/>
                                          </w:divBdr>
                                        </w:div>
                                        <w:div w:id="567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8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DC87-2CCF-43AA-92AB-CD915E89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1233</Words>
  <Characters>7474</Characters>
  <Application>Microsoft Office Word</Application>
  <DocSecurity>0</DocSecurity>
  <Lines>257</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2019-05-20T14:19:00Z</cp:lastPrinted>
  <dcterms:created xsi:type="dcterms:W3CDTF">2019-07-11T09:55:00Z</dcterms:created>
  <dcterms:modified xsi:type="dcterms:W3CDTF">2019-07-11T19:44:00Z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SJ-016</vt:lpwstr>
  </property>
  <property fmtid="{D5CDD505-2E9C-101B-9397-08002B2CF9AE}" pid="9" name="Level of sensitivity">
    <vt:lpwstr>Standard treatment</vt:lpwstr>
  </property>
  <property fmtid="{D5CDD505-2E9C-101B-9397-08002B2CF9AE}" pid="10" name="DQCStatus">
    <vt:lpwstr>Green (DQC version 03)</vt:lpwstr>
  </property>
</Properties>
</file>