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D5768574-FDCB-4730-A91D-E69BBAF322D2" style="width:450.6pt;height:406.8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  <w:szCs w:val="24"/>
        </w:rPr>
      </w:pPr>
      <w:bookmarkStart w:id="0" w:name="_GoBack"/>
      <w:bookmarkEnd w:id="0"/>
      <w:r>
        <w:rPr>
          <w:noProof/>
        </w:rPr>
        <w:lastRenderedPageBreak/>
        <w:t>EXPOSIÇÃO DE MOTIVOS</w:t>
      </w:r>
    </w:p>
    <w:p>
      <w:pPr>
        <w:keepNext/>
        <w:tabs>
          <w:tab w:val="left" w:pos="850"/>
        </w:tabs>
        <w:spacing w:before="360"/>
        <w:ind w:left="851" w:hanging="851"/>
        <w:outlineLvl w:val="0"/>
        <w:rPr>
          <w:b/>
          <w:smallCaps/>
          <w:noProof/>
          <w:szCs w:val="24"/>
        </w:rPr>
      </w:pPr>
      <w:r>
        <w:rPr>
          <w:b/>
          <w:smallCaps/>
          <w:noProof/>
        </w:rPr>
        <w:t>1.</w:t>
      </w:r>
      <w:r>
        <w:rPr>
          <w:b/>
          <w:smallCaps/>
          <w:noProof/>
        </w:rPr>
        <w:tab/>
      </w:r>
      <w:r>
        <w:rPr>
          <w:b/>
          <w:bCs/>
          <w:smallCaps/>
          <w:noProof/>
        </w:rPr>
        <w:t>OBJETO DA PROPOSTA</w:t>
      </w:r>
    </w:p>
    <w:p>
      <w:pPr>
        <w:rPr>
          <w:noProof/>
          <w:szCs w:val="24"/>
          <w:u w:color="000000"/>
          <w:bdr w:val="nil"/>
        </w:rPr>
      </w:pPr>
      <w:r>
        <w:rPr>
          <w:noProof/>
          <w:u w:color="000000"/>
          <w:bdr w:val="nil"/>
        </w:rPr>
        <w:t>A presente proposta diz respeito a uma decisão sobre a posição a adotar em nome da União no Conselho de Parceria instituído pelo Acordo de Parceria Abrangente e Reforçado entre a UE e a Arménia («CEPA» ou «acordo»), na perspetiva da adoção do regulamento interno do Conselho de Parceria e do Comité de Parceria e da criação de subcomités e outros órgãos.</w:t>
      </w:r>
    </w:p>
    <w:p>
      <w:pPr>
        <w:keepNext/>
        <w:tabs>
          <w:tab w:val="left" w:pos="850"/>
        </w:tabs>
        <w:spacing w:before="360"/>
        <w:ind w:left="851" w:hanging="851"/>
        <w:outlineLvl w:val="0"/>
        <w:rPr>
          <w:b/>
          <w:smallCaps/>
          <w:noProof/>
          <w:szCs w:val="24"/>
        </w:rPr>
      </w:pPr>
      <w:r>
        <w:rPr>
          <w:b/>
          <w:smallCaps/>
          <w:noProof/>
        </w:rPr>
        <w:t>2.</w:t>
      </w:r>
      <w:r>
        <w:rPr>
          <w:b/>
          <w:smallCaps/>
          <w:noProof/>
        </w:rPr>
        <w:tab/>
        <w:t>CONTEXTO DA PROPOSTA</w:t>
      </w:r>
    </w:p>
    <w:p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szCs w:val="24"/>
          <w:u w:color="000000"/>
          <w:bdr w:val="nil"/>
        </w:rPr>
      </w:pPr>
      <w:r>
        <w:rPr>
          <w:b/>
          <w:noProof/>
          <w:u w:color="000000"/>
          <w:bdr w:val="nil"/>
        </w:rPr>
        <w:t xml:space="preserve">2.1. </w:t>
      </w:r>
      <w:r>
        <w:rPr>
          <w:b/>
          <w:noProof/>
          <w:u w:color="000000"/>
          <w:bdr w:val="nil"/>
        </w:rPr>
        <w:tab/>
        <w:t>Acordo de Parceria Abrangente e Reforçado entre a UE e a Arménia</w:t>
      </w:r>
    </w:p>
    <w:p>
      <w:pPr>
        <w:rPr>
          <w:noProof/>
          <w:szCs w:val="24"/>
          <w:u w:color="000000"/>
          <w:bdr w:val="nil"/>
        </w:rPr>
      </w:pPr>
      <w:r>
        <w:rPr>
          <w:noProof/>
          <w:u w:color="000000"/>
          <w:bdr w:val="nil"/>
        </w:rPr>
        <w:t>O CEPA procura reforçar a parceria abrangente nos domínios político e económico e a cooperação entre a UE e a Arménia, com base em valores comuns e laços estreitos, nomeadamente pelo aumento da participação da República da Arménia nas políticas, programas e agências da União Europeia. Este acordo cria um quadro sólido, favorável a um diálogo político reforçado em todos os domínios de interesse mútuo, promovendo o desenvolvimento de relações políticas estreitas.</w:t>
      </w:r>
    </w:p>
    <w:p>
      <w:pPr>
        <w:rPr>
          <w:noProof/>
          <w:szCs w:val="24"/>
          <w:u w:color="000000"/>
          <w:bdr w:val="nil"/>
        </w:rPr>
      </w:pPr>
      <w:r>
        <w:rPr>
          <w:noProof/>
          <w:u w:color="000000"/>
          <w:bdr w:val="nil"/>
        </w:rPr>
        <w:t>O CEPA define princípios e objetivos gerais para as relações entre a UE e a Arménia e cria uma estrutura institucional para a sua aplicação.</w:t>
      </w:r>
    </w:p>
    <w:p>
      <w:pPr>
        <w:rPr>
          <w:noProof/>
          <w:szCs w:val="24"/>
          <w:u w:color="000000"/>
          <w:bdr w:val="nil"/>
        </w:rPr>
      </w:pPr>
      <w:r>
        <w:rPr>
          <w:noProof/>
          <w:u w:color="000000"/>
          <w:bdr w:val="nil"/>
        </w:rPr>
        <w:t>Foi aplicado a título provisório a partir de 1 de junho de 2018.</w:t>
      </w:r>
    </w:p>
    <w:p>
      <w:pPr>
        <w:keepNext/>
        <w:tabs>
          <w:tab w:val="left" w:pos="850"/>
        </w:tabs>
        <w:ind w:left="850" w:hanging="850"/>
        <w:outlineLvl w:val="1"/>
        <w:rPr>
          <w:b/>
          <w:noProof/>
          <w:szCs w:val="24"/>
          <w:u w:color="000000"/>
          <w:bdr w:val="nil"/>
        </w:rPr>
      </w:pPr>
      <w:r>
        <w:rPr>
          <w:b/>
          <w:noProof/>
          <w:u w:color="000000"/>
          <w:bdr w:val="nil"/>
        </w:rPr>
        <w:t xml:space="preserve">2.2. </w:t>
      </w:r>
      <w:r>
        <w:rPr>
          <w:b/>
          <w:noProof/>
          <w:u w:color="000000"/>
          <w:bdr w:val="nil"/>
        </w:rPr>
        <w:tab/>
        <w:t>Conselho de Parceria</w:t>
      </w:r>
    </w:p>
    <w:p>
      <w:pPr>
        <w:rPr>
          <w:noProof/>
          <w:szCs w:val="24"/>
          <w:u w:color="000000"/>
          <w:bdr w:val="nil"/>
        </w:rPr>
      </w:pPr>
      <w:r>
        <w:rPr>
          <w:noProof/>
          <w:u w:color="000000"/>
          <w:bdr w:val="nil"/>
        </w:rPr>
        <w:t xml:space="preserve">O Conselho de Parceria, criado pelo artigo 362.º do acordo, assegura a supervisão do presente acordo, bem como a sua revisão periódica. </w:t>
      </w:r>
    </w:p>
    <w:p>
      <w:pPr>
        <w:rPr>
          <w:noProof/>
          <w:szCs w:val="24"/>
          <w:u w:color="000000"/>
          <w:bdr w:val="nil"/>
        </w:rPr>
      </w:pPr>
      <w:r>
        <w:rPr>
          <w:noProof/>
          <w:u w:color="000000"/>
          <w:bdr w:val="nil"/>
        </w:rPr>
        <w:t>O Conselho de Parceria é constituído por representantes das Partes a nível ministerial e reúne</w:t>
      </w:r>
      <w:r>
        <w:rPr>
          <w:noProof/>
          <w:u w:color="000000"/>
          <w:bdr w:val="nil"/>
        </w:rPr>
        <w:noBreakHyphen/>
        <w:t>se periodicamente, pelo menos uma vez por ano, e sempre que as circunstâncias o exigirem. O Conselho de Parceria pode reunir-se em qualquer configuração, de comum acordo. Adota o seu próprio regulamento interno.</w:t>
      </w:r>
    </w:p>
    <w:p>
      <w:pPr>
        <w:rPr>
          <w:noProof/>
          <w:szCs w:val="24"/>
          <w:u w:color="000000"/>
          <w:bdr w:val="nil"/>
        </w:rPr>
      </w:pPr>
      <w:r>
        <w:rPr>
          <w:noProof/>
          <w:u w:color="000000"/>
          <w:bdr w:val="nil"/>
        </w:rPr>
        <w:t xml:space="preserve">O Conselho de Parceria adota decisões no âmbito do acordo nos casos nele previstos. As decisões são vinculativas para as Partes, que devem adotar as medidas necessárias para a sua execução. O Conselho de Parceria pode igualmente formular recomendações. Adota decisões e formula recomendações mediante acordo entre as Partes, no respeito da conclusão dos respetivos procedimentos internos. </w:t>
      </w:r>
    </w:p>
    <w:p>
      <w:pPr>
        <w:keepNext/>
        <w:tabs>
          <w:tab w:val="left" w:pos="850"/>
        </w:tabs>
        <w:ind w:left="850" w:hanging="850"/>
        <w:outlineLvl w:val="1"/>
        <w:rPr>
          <w:b/>
          <w:noProof/>
          <w:szCs w:val="24"/>
          <w:u w:color="000000"/>
          <w:bdr w:val="nil"/>
        </w:rPr>
      </w:pPr>
      <w:r>
        <w:rPr>
          <w:b/>
          <w:noProof/>
          <w:u w:color="000000"/>
          <w:bdr w:val="nil"/>
        </w:rPr>
        <w:t xml:space="preserve">2.3. </w:t>
      </w:r>
      <w:r>
        <w:rPr>
          <w:b/>
          <w:noProof/>
          <w:u w:color="000000"/>
          <w:bdr w:val="nil"/>
        </w:rPr>
        <w:tab/>
        <w:t>Comité de Parceria</w:t>
      </w:r>
    </w:p>
    <w:p>
      <w:pPr>
        <w:rPr>
          <w:noProof/>
          <w:szCs w:val="24"/>
        </w:rPr>
      </w:pPr>
      <w:r>
        <w:rPr>
          <w:noProof/>
        </w:rPr>
        <w:t xml:space="preserve">O Comité de Parceria, criado pelo artigo 363.º do acordo, assiste o Conselho de Parceria no exercício das suas funções e prepara as reuniões do Conselho de Parceria.  </w:t>
      </w:r>
    </w:p>
    <w:p>
      <w:pPr>
        <w:rPr>
          <w:noProof/>
          <w:szCs w:val="24"/>
        </w:rPr>
      </w:pPr>
      <w:r>
        <w:rPr>
          <w:noProof/>
        </w:rPr>
        <w:t xml:space="preserve">O Comité de Parceria tem poderes para adotar decisões nos domínios em que o Conselho de Parceria lhe tenha delegado poderes e nos casos previstos no acordo. Essas decisões são vinculativas para as Partes, que devem adotar as medidas necessárias para a sua execução. O Comité de Parceria adota as suas decisões mediante acordo entre as Partes, no respeito da conclusão dos respetivos procedimentos internos. </w:t>
      </w:r>
    </w:p>
    <w:p>
      <w:pPr>
        <w:rPr>
          <w:noProof/>
          <w:szCs w:val="24"/>
        </w:rPr>
      </w:pPr>
      <w:r>
        <w:rPr>
          <w:noProof/>
        </w:rPr>
        <w:t>É constituído por representantes das Partes, em princípio a nível de altos funcionários. A presidência é exercida alternadamente por um representante da UE e por um representante da República da Arménia. Reúne-se normalmente, pelo menos, uma vez por ano. O seu regulamento interno é adotado pelo Conselho de Parceria.</w:t>
      </w:r>
    </w:p>
    <w:p>
      <w:pPr>
        <w:keepNext/>
        <w:tabs>
          <w:tab w:val="left" w:pos="850"/>
        </w:tabs>
        <w:ind w:left="850" w:hanging="850"/>
        <w:outlineLvl w:val="1"/>
        <w:rPr>
          <w:b/>
          <w:noProof/>
          <w:szCs w:val="24"/>
          <w:u w:color="000000"/>
          <w:bdr w:val="nil"/>
        </w:rPr>
      </w:pPr>
      <w:r>
        <w:rPr>
          <w:b/>
          <w:noProof/>
          <w:u w:color="000000"/>
          <w:bdr w:val="nil"/>
        </w:rPr>
        <w:lastRenderedPageBreak/>
        <w:t xml:space="preserve">2.4. </w:t>
      </w:r>
      <w:r>
        <w:rPr>
          <w:b/>
          <w:noProof/>
          <w:u w:color="000000"/>
          <w:bdr w:val="nil"/>
        </w:rPr>
        <w:tab/>
        <w:t>Ato previsto do Conselho de Parceria</w:t>
      </w:r>
    </w:p>
    <w:p>
      <w:pPr>
        <w:rPr>
          <w:noProof/>
          <w:szCs w:val="24"/>
        </w:rPr>
      </w:pPr>
      <w:r>
        <w:rPr>
          <w:noProof/>
        </w:rPr>
        <w:t>O Conselho de Parceria deve adotar uma decisão sobre o seu regulamento interno e o do Comité de Parceria, bem como sobre a criação de subcomités e outros órgãos.</w:t>
      </w:r>
    </w:p>
    <w:p>
      <w:pPr>
        <w:rPr>
          <w:noProof/>
          <w:szCs w:val="24"/>
        </w:rPr>
      </w:pPr>
      <w:r>
        <w:rPr>
          <w:noProof/>
        </w:rPr>
        <w:t>O objetivo do ato previsto é adotar, em conformidade com o artigo 362.º, n.º 4, e o artigo 363.º, n.º 4, do acordo, o regulamento interno que rege o funcionamento do Conselho de Parceria e do Comité de Parceria, e criar subcomités e outros órgãos, a fim de permitir a execução do CEPA.</w:t>
      </w:r>
    </w:p>
    <w:p>
      <w:pPr>
        <w:keepNext/>
        <w:tabs>
          <w:tab w:val="left" w:pos="850"/>
        </w:tabs>
        <w:spacing w:before="360"/>
        <w:ind w:left="851" w:hanging="851"/>
        <w:outlineLvl w:val="0"/>
        <w:rPr>
          <w:b/>
          <w:smallCaps/>
          <w:noProof/>
          <w:szCs w:val="24"/>
        </w:rPr>
      </w:pPr>
      <w:r>
        <w:rPr>
          <w:b/>
          <w:smallCaps/>
          <w:noProof/>
        </w:rPr>
        <w:t>3.</w:t>
      </w:r>
      <w:r>
        <w:rPr>
          <w:b/>
          <w:smallCaps/>
          <w:noProof/>
        </w:rPr>
        <w:tab/>
        <w:t>POSIÇÃO A ADOTAR EM NOME DA UNIÃO</w:t>
      </w:r>
    </w:p>
    <w:p>
      <w:pPr>
        <w:rPr>
          <w:noProof/>
          <w:szCs w:val="24"/>
        </w:rPr>
      </w:pPr>
      <w:r>
        <w:rPr>
          <w:noProof/>
        </w:rPr>
        <w:t>A posição a adotar em nome da União deveria permitir a adoção dos regulamentos internos do Conselho de Parceria e do Comité de Parceria.</w:t>
      </w:r>
    </w:p>
    <w:p>
      <w:pPr>
        <w:keepNext/>
        <w:tabs>
          <w:tab w:val="left" w:pos="850"/>
        </w:tabs>
        <w:spacing w:before="360"/>
        <w:ind w:left="851" w:hanging="851"/>
        <w:outlineLvl w:val="0"/>
        <w:rPr>
          <w:b/>
          <w:smallCaps/>
          <w:noProof/>
          <w:szCs w:val="24"/>
        </w:rPr>
      </w:pPr>
      <w:r>
        <w:rPr>
          <w:b/>
          <w:smallCaps/>
          <w:noProof/>
        </w:rPr>
        <w:t>4.</w:t>
      </w:r>
      <w:r>
        <w:rPr>
          <w:b/>
          <w:smallCaps/>
          <w:noProof/>
        </w:rPr>
        <w:tab/>
        <w:t>BASE JURÍDICA</w:t>
      </w:r>
    </w:p>
    <w:p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szCs w:val="24"/>
          <w:u w:color="000000"/>
          <w:bdr w:val="nil"/>
        </w:rPr>
      </w:pPr>
      <w:r>
        <w:rPr>
          <w:b/>
          <w:noProof/>
        </w:rPr>
        <w:t xml:space="preserve">4.1. </w:t>
      </w:r>
      <w:r>
        <w:rPr>
          <w:b/>
          <w:noProof/>
        </w:rPr>
        <w:tab/>
        <w:t>Base jurídica processual</w:t>
      </w:r>
    </w:p>
    <w:p>
      <w:pPr>
        <w:keepNext/>
        <w:tabs>
          <w:tab w:val="left" w:pos="850"/>
        </w:tabs>
        <w:ind w:left="850" w:hanging="850"/>
        <w:outlineLvl w:val="2"/>
        <w:rPr>
          <w:i/>
          <w:noProof/>
          <w:szCs w:val="24"/>
        </w:rPr>
      </w:pPr>
      <w:r>
        <w:rPr>
          <w:i/>
          <w:noProof/>
        </w:rPr>
        <w:t xml:space="preserve"> 4.1.1. </w:t>
      </w:r>
      <w:r>
        <w:rPr>
          <w:i/>
          <w:noProof/>
        </w:rPr>
        <w:tab/>
        <w:t>Princípios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O artigo 218.º, n.º 9, do Tratado sobre o Funcionamento da União Europeia (TFUE) prevê a adoção de decisões que definam «as posições a tomar em nome da União numa instância criada por um acordo, quando essa instância for chamada a adotar atos que produzam efeitos jurídicos, com exceção dos atos que completem ou alterem o quadro institucional do acordo».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A noção de «atos que produzam efeitos jurídicos» engloba os atos que produzem efeitos jurídicos por força das normas do direito internacional que regem a instância em questão. Esta noção engloba ainda os instrumentos que não têm efeito vinculativo por força do direito internacional, mas que «tendem a influenciar de forma determinante o conteúdo da regulamentação adotada pelo legislador da União»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keepNext/>
        <w:tabs>
          <w:tab w:val="left" w:pos="850"/>
        </w:tabs>
        <w:ind w:left="850" w:hanging="850"/>
        <w:outlineLvl w:val="2"/>
        <w:rPr>
          <w:i/>
          <w:noProof/>
          <w:szCs w:val="24"/>
        </w:rPr>
      </w:pPr>
      <w:r>
        <w:rPr>
          <w:i/>
          <w:noProof/>
        </w:rPr>
        <w:t>4.1.2.</w:t>
      </w:r>
      <w:r>
        <w:rPr>
          <w:i/>
          <w:noProof/>
        </w:rPr>
        <w:tab/>
        <w:t>Aplicação ao caso em apreço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O Conselho de Parceria e o Comité de Parceria são organismos instituídos pelo CEPA.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Os atos constantes do anexo à presente decisão constituem atos com efeitos jurídicos, uma vez que o artigo 362.º, n.º 6, do acordo autoriza o Conselho de Parceria a adotar decisões vinculativas para as Partes. Os atos não completam nem alteram o quadro institucional do acordo.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A base jurídica processual da decisão proposta é, por conseguinte, o artigo 218.º, n.º 9, do TFUE.</w:t>
      </w:r>
    </w:p>
    <w:p>
      <w:pPr>
        <w:keepNext/>
        <w:tabs>
          <w:tab w:val="left" w:pos="850"/>
        </w:tabs>
        <w:ind w:left="850" w:hanging="850"/>
        <w:outlineLvl w:val="1"/>
        <w:rPr>
          <w:b/>
          <w:noProof/>
          <w:szCs w:val="24"/>
        </w:rPr>
      </w:pPr>
      <w:r>
        <w:rPr>
          <w:b/>
          <w:noProof/>
        </w:rPr>
        <w:t>4.2.</w:t>
      </w:r>
      <w:r>
        <w:rPr>
          <w:b/>
          <w:i/>
          <w:noProof/>
        </w:rPr>
        <w:tab/>
      </w:r>
      <w:r>
        <w:rPr>
          <w:b/>
          <w:noProof/>
        </w:rPr>
        <w:t xml:space="preserve"> Base jurídica material </w:t>
      </w:r>
    </w:p>
    <w:p>
      <w:pPr>
        <w:rPr>
          <w:rStyle w:val="Added"/>
          <w:b w:val="0"/>
          <w:i/>
          <w:noProof/>
        </w:rPr>
      </w:pPr>
      <w:r>
        <w:rPr>
          <w:rStyle w:val="Added"/>
          <w:b w:val="0"/>
          <w:i/>
          <w:noProof/>
        </w:rPr>
        <w:t>4.2.1 Motivos da proposta alterada</w:t>
      </w:r>
    </w:p>
    <w:p>
      <w:pPr>
        <w:rPr>
          <w:rStyle w:val="Added"/>
          <w:b w:val="0"/>
          <w:noProof/>
        </w:rPr>
      </w:pPr>
      <w:r>
        <w:rPr>
          <w:rStyle w:val="Added"/>
          <w:b w:val="0"/>
          <w:noProof/>
        </w:rPr>
        <w:t xml:space="preserve">Em 29 de novembro de 2018, a alta representante e a Comissão adotaram a proposta conjunta de decisão do Conselho relativa à posição a adotar, em nome da União Europeia, no Conselho de Parceria instituído pelo Acordo de Parceria Abrangente e Reforçado entre a União Europeia e a Comunidade Europeia da Energia Atómica e os seus Estados-Membros, por um lado, e a República da Arménia, por outro, no que respeita à adoção de decisões sobre o regulamento interno do Conselho de Parceria, do Comité de Parceria e dos subcomités especializados ou outros órgãos («proposta conjunta»). A proposta conjunta tem como base jurídica o artigo 37.º do TUE, e o artigo 91.º, o artigo 100.º, n.º 2, e os artigos 207.º e 209.º do </w:t>
      </w:r>
      <w:r>
        <w:rPr>
          <w:rStyle w:val="Added"/>
          <w:b w:val="0"/>
          <w:noProof/>
        </w:rPr>
        <w:lastRenderedPageBreak/>
        <w:t>TFUE, em conjugação com o artigo 218.º, n.º 9, do TFUE. À luz do Acórdão do Tribunal de Justiça no processo C-244/17, Comissão Europeia contra Conselho da União Europeia (Cazaquistão), em que mais recentemente foi aplicado o critério do centro de gravidade para a determinação da base jurídica dos atos da União em matéria de acordos internacionais, e pelas razões a seguir expostas, as bases jurídicas da decisão proposta devem ser alteradas e incluir o artigo 91.º, o artigo 100.º, n.º 2, e os artigos 207.º e 209.º do TFUE, em conjugação com o artigo 218.º, n.º 9, do TFUE.</w:t>
      </w:r>
    </w:p>
    <w:p>
      <w:pPr>
        <w:keepNext/>
        <w:tabs>
          <w:tab w:val="left" w:pos="850"/>
        </w:tabs>
        <w:ind w:left="850" w:hanging="850"/>
        <w:outlineLvl w:val="2"/>
        <w:rPr>
          <w:rStyle w:val="Added"/>
          <w:b w:val="0"/>
          <w:i/>
          <w:noProof/>
        </w:rPr>
      </w:pPr>
      <w:r>
        <w:rPr>
          <w:rStyle w:val="Added"/>
          <w:b w:val="0"/>
          <w:i/>
          <w:noProof/>
        </w:rPr>
        <w:t xml:space="preserve">4.2.2. Princípios </w:t>
      </w:r>
    </w:p>
    <w:p>
      <w:pPr>
        <w:rPr>
          <w:noProof/>
          <w:szCs w:val="24"/>
        </w:rPr>
      </w:pPr>
      <w:r>
        <w:rPr>
          <w:noProof/>
        </w:rPr>
        <w:t xml:space="preserve">A base jurídica material de uma decisão ao abrigo do artigo 218.º, n.º 9, do TFUE depende essencialmente do objetivo e do conteúdo do ato previsto em relação ao qual é adotada uma posição em nome da União. Se o ato previsto tiver duas finalidades ou duas componentes, e se for possível considerar uma dessas finalidades ou componentes como principal e a outra apenas como acessória, a decisão a adotar ao abrigo do artigo 218.º, n.º 9, do TFUE tem de assentar numa única base jurídica material, ou seja, a que for exigida pela finalidade ou componente principal ou preponderante. </w:t>
      </w:r>
    </w:p>
    <w:p>
      <w:pPr>
        <w:rPr>
          <w:noProof/>
          <w:szCs w:val="24"/>
        </w:rPr>
      </w:pPr>
      <w:r>
        <w:rPr>
          <w:noProof/>
        </w:rPr>
        <w:t xml:space="preserve">Se o ato previsto perseguir simultaneamente diferentes finalidades ou tiver várias componentes, indissociavelmente ligadas, sem que uma delas seja acessória em relação a outra, a base jurídica material de uma decisão a adotar ao abrigo do artigo 218.º, n.º 9, do TFUE terá de incluir, excecionalmente, as várias bases jurídicas correspondentes. </w:t>
      </w:r>
    </w:p>
    <w:p>
      <w:pPr>
        <w:rPr>
          <w:rStyle w:val="Added"/>
          <w:b w:val="0"/>
          <w:noProof/>
        </w:rPr>
      </w:pPr>
      <w:r>
        <w:rPr>
          <w:rStyle w:val="Added"/>
          <w:b w:val="0"/>
          <w:noProof/>
        </w:rPr>
        <w:t>Importa igualmente notar que não é o processo legislativo que define a base jurídica de um ato, mas a base jurídica de um ato que determina o processo a seguir para a sua adoção.</w:t>
      </w:r>
    </w:p>
    <w:p>
      <w:pPr>
        <w:rPr>
          <w:rStyle w:val="Added"/>
          <w:b w:val="0"/>
          <w:i/>
          <w:noProof/>
        </w:rPr>
      </w:pPr>
      <w:r>
        <w:rPr>
          <w:rStyle w:val="Added"/>
          <w:b w:val="0"/>
          <w:i/>
          <w:noProof/>
        </w:rPr>
        <w:t>4.2.3. Aplicação ao caso em apreço</w:t>
      </w:r>
    </w:p>
    <w:p>
      <w:pPr>
        <w:rPr>
          <w:rStyle w:val="Added"/>
          <w:b w:val="0"/>
          <w:noProof/>
        </w:rPr>
      </w:pPr>
      <w:r>
        <w:rPr>
          <w:rStyle w:val="Added"/>
          <w:b w:val="0"/>
          <w:noProof/>
        </w:rPr>
        <w:t>As regras processuais do Conselho de Parceria e do Comité de Parceria dizem respeito ao funcionamento geral de um organismo criado com base num acordo. Por conseguinte, o domínio em que se insere a decisão prevista deve ser determinado à luz do acordo no seu conjunto.</w:t>
      </w:r>
    </w:p>
    <w:p>
      <w:pPr>
        <w:rPr>
          <w:rStyle w:val="Added"/>
          <w:b w:val="0"/>
          <w:noProof/>
        </w:rPr>
      </w:pPr>
      <w:r>
        <w:rPr>
          <w:rStyle w:val="Added"/>
          <w:b w:val="0"/>
          <w:noProof/>
        </w:rPr>
        <w:t>O principal objetivo e o conteúdo do ato previsto estão relacionados com a cooperação para o desenvolvimento (artigo 209.º do TFUE) e o comércio (artigo 207.º do TFUE). Além disso, dado que algumas disposições relacionadas com o comércio no âmbito dos serviços de transportes, incluídas na parte do CEPA dedicada ao comércio, não são abrangidas pelo artigo 207.º, devem também ser aditados os artigos 91.º e 100.º, n.º 2, do TFUE.</w:t>
      </w:r>
    </w:p>
    <w:p>
      <w:pPr>
        <w:rPr>
          <w:rStyle w:val="Added"/>
          <w:b w:val="0"/>
          <w:noProof/>
        </w:rPr>
      </w:pPr>
      <w:r>
        <w:rPr>
          <w:rStyle w:val="Added"/>
          <w:b w:val="0"/>
          <w:noProof/>
        </w:rPr>
        <w:t>O número limitado de disposições no âmbito da PESC não é suscetível de constituir uma finalidade ou uma componente distinta. Pelo contrário, são acessórias relativamente à componente preponderante do CEPA. Por conseguinte, não exigem uma base jurídica distinta. É este o caso, não obstante a decisão do Conselho relativa à assinatura do acordo se basear igualmente no artigo 37.º do TUE (ver Decisão 2018/104 do Conselho, de 20 de novembro de 2017). A apreciação mudou à luz do Acórdão do Tribunal de Justiça no processo C-244/17, Comissão Europeia contra Conselho da União Europeia (Cazaquistão).</w:t>
      </w:r>
    </w:p>
    <w:p>
      <w:pPr>
        <w:rPr>
          <w:rStyle w:val="Added"/>
          <w:b w:val="0"/>
          <w:noProof/>
        </w:rPr>
      </w:pPr>
      <w:r>
        <w:rPr>
          <w:rStyle w:val="Added"/>
          <w:b w:val="0"/>
          <w:noProof/>
        </w:rPr>
        <w:t>Note-se que o número e a natureza das disposições do CEPA no âmbito da PESC são comparáveis às do acordo com o Cazaquistão e de outros acordos relativamente aos quais foram adotadas, após o acórdão supramencionado, decisões cuja base jurídica não incluía a PESC.</w:t>
      </w:r>
    </w:p>
    <w:p>
      <w:pPr>
        <w:keepNext/>
        <w:tabs>
          <w:tab w:val="left" w:pos="850"/>
        </w:tabs>
        <w:spacing w:before="360"/>
        <w:ind w:left="851" w:hanging="851"/>
        <w:outlineLvl w:val="0"/>
        <w:rPr>
          <w:b/>
          <w:smallCaps/>
          <w:noProof/>
          <w:szCs w:val="24"/>
        </w:rPr>
      </w:pPr>
      <w:r>
        <w:rPr>
          <w:b/>
          <w:smallCaps/>
          <w:noProof/>
        </w:rPr>
        <w:t>5.</w:t>
      </w:r>
      <w:r>
        <w:rPr>
          <w:b/>
          <w:smallCaps/>
          <w:noProof/>
        </w:rPr>
        <w:tab/>
        <w:t>CONCLUSÃO</w:t>
      </w:r>
    </w:p>
    <w:p>
      <w:pPr>
        <w:rPr>
          <w:rStyle w:val="Added"/>
          <w:b w:val="0"/>
          <w:noProof/>
        </w:rPr>
      </w:pPr>
      <w:r>
        <w:rPr>
          <w:noProof/>
        </w:rPr>
        <w:t xml:space="preserve">À luz do que precede, a base jurídica da decisão proposta deve ser </w:t>
      </w:r>
      <w:r>
        <w:rPr>
          <w:rStyle w:val="Deleted"/>
          <w:noProof/>
        </w:rPr>
        <w:t>o artigo 37.º do TUE, e</w:t>
      </w:r>
      <w:r>
        <w:rPr>
          <w:noProof/>
        </w:rPr>
        <w:t xml:space="preserve"> o artigo 91.º, o artigo 100.º, n.º 2, e os artigos 207.º e 209.º do TFUE, em conjugação com o </w:t>
      </w:r>
      <w:r>
        <w:rPr>
          <w:noProof/>
        </w:rPr>
        <w:lastRenderedPageBreak/>
        <w:t>artigo 218.º, n.º 9, do TFUE</w:t>
      </w:r>
      <w:r>
        <w:rPr>
          <w:rStyle w:val="Added"/>
          <w:b w:val="0"/>
          <w:noProof/>
        </w:rPr>
        <w:t>, devendo a proposta ser apresentada exclusivamente pela Comissão</w:t>
      </w:r>
      <w:r>
        <w:rPr>
          <w:noProof/>
        </w:rPr>
        <w:t>.</w:t>
      </w:r>
      <w:r>
        <w:rPr>
          <w:rStyle w:val="Added"/>
          <w:b w:val="0"/>
          <w:noProof/>
        </w:rPr>
        <w:t xml:space="preserve"> A alta representante da União para os Negócios Estrangeiros e a Política de Segurança foi consultada sobre estas alterações e concorda com as mesmas.  </w:t>
      </w:r>
    </w:p>
    <w:p>
      <w:pPr>
        <w:rPr>
          <w:noProof/>
          <w:szCs w:val="24"/>
        </w:rPr>
      </w:pPr>
    </w:p>
    <w:p>
      <w:pPr>
        <w:rPr>
          <w:noProof/>
          <w:szCs w:val="24"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2018/0395 (NLE)</w:t>
      </w:r>
    </w:p>
    <w:p>
      <w:pPr>
        <w:pStyle w:val="Statut"/>
        <w:rPr>
          <w:noProof/>
        </w:rPr>
      </w:pPr>
      <w:r>
        <w:rPr>
          <w:noProof/>
        </w:rPr>
        <w:t>Proposta alterada de</w:t>
      </w:r>
    </w:p>
    <w:p>
      <w:pPr>
        <w:pStyle w:val="Typedudocument"/>
        <w:rPr>
          <w:noProof/>
        </w:rPr>
      </w:pPr>
      <w:r>
        <w:rPr>
          <w:noProof/>
        </w:rPr>
        <w:t>DECISÃO DO CONSELHO</w:t>
      </w:r>
    </w:p>
    <w:p>
      <w:pPr>
        <w:pStyle w:val="Titreobjet"/>
        <w:rPr>
          <w:noProof/>
        </w:rPr>
      </w:pPr>
      <w:r>
        <w:rPr>
          <w:noProof/>
        </w:rPr>
        <w:t>relativa à posição a adotar, em nome da União Europeia, no Conselho de Parceria instituído pelo Acordo de Parceria Abrangente e Reforçado entre a União Europeia e a Comunidade Europeia da Energia Atómica e os seus Estados-Membros, por um lado, e a República da Arménia, por outro, no que respeita à adoção de decisões sobre o regulamento interno do Conselho de Parceria, do Comité de Parceria e dos subcomités especializados ou outros órgãos</w:t>
      </w:r>
    </w:p>
    <w:p>
      <w:pPr>
        <w:pStyle w:val="Institutionquiagit"/>
        <w:rPr>
          <w:noProof/>
          <w:szCs w:val="24"/>
        </w:rPr>
      </w:pPr>
      <w:r>
        <w:rPr>
          <w:noProof/>
        </w:rPr>
        <w:t>O CONSELHO DA UNIÃO EUROPEIA,</w:t>
      </w:r>
    </w:p>
    <w:p>
      <w:pPr>
        <w:rPr>
          <w:rStyle w:val="Deleted"/>
          <w:noProof/>
        </w:rPr>
      </w:pPr>
      <w:r>
        <w:rPr>
          <w:rStyle w:val="Deleted"/>
          <w:noProof/>
        </w:rPr>
        <w:t>Tendo em conta o Tratado da União Europeia, nomeadamente o artigo 37.º,</w:t>
      </w:r>
    </w:p>
    <w:p>
      <w:pPr>
        <w:rPr>
          <w:noProof/>
          <w:szCs w:val="24"/>
        </w:rPr>
      </w:pPr>
      <w:r>
        <w:rPr>
          <w:noProof/>
        </w:rPr>
        <w:t>Tendo em conta o Tratado sobre o Funcionamento da União Europeia, nomeadamente o artigo 91.º, o artigo 100.º, n.º 2, e os artigos 207.º e 209.º, em articulação com o artigo 218.º, n.º 9,</w:t>
      </w:r>
    </w:p>
    <w:p>
      <w:pPr>
        <w:rPr>
          <w:rStyle w:val="Deleted"/>
          <w:noProof/>
        </w:rPr>
      </w:pPr>
      <w:r>
        <w:rPr>
          <w:noProof/>
        </w:rPr>
        <w:t>Tendo em conta a proposta da Comissão Europeia</w:t>
      </w:r>
      <w:r>
        <w:rPr>
          <w:rStyle w:val="Deleted"/>
          <w:noProof/>
        </w:rPr>
        <w:t xml:space="preserve"> e da Alta Representante da União para os Negócios Estrangeiros e a Política de Segurança</w:t>
      </w:r>
      <w:r>
        <w:rPr>
          <w:noProof/>
        </w:rPr>
        <w:t>,</w:t>
      </w:r>
    </w:p>
    <w:p>
      <w:pPr>
        <w:rPr>
          <w:noProof/>
          <w:szCs w:val="24"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  <w:szCs w:val="24"/>
        </w:rPr>
      </w:pPr>
      <w:r>
        <w:t>(1)</w:t>
      </w:r>
      <w:r>
        <w:tab/>
      </w:r>
      <w:r>
        <w:rPr>
          <w:noProof/>
        </w:rPr>
        <w:t>O Acordo de Parceria Abrangente e Reforçado entre a União Europeia e os seus Estados-Membros, por um lado, e a República da Arménia, por outro («o acordo»)</w:t>
      </w:r>
      <w:r>
        <w:rPr>
          <w:rStyle w:val="FootnoteReference"/>
          <w:noProof/>
        </w:rPr>
        <w:footnoteReference w:id="2"/>
      </w:r>
      <w:r>
        <w:rPr>
          <w:noProof/>
        </w:rPr>
        <w:t>, foi assinado em Bruxelas em 24 de novembro de 2017 e aplicado a título provisório desde 1 de junho de 2018.</w:t>
      </w:r>
    </w:p>
    <w:p>
      <w:pPr>
        <w:pStyle w:val="ManualConsidrant"/>
        <w:rPr>
          <w:noProof/>
          <w:szCs w:val="24"/>
        </w:rPr>
      </w:pPr>
      <w:r>
        <w:t>(2)</w:t>
      </w:r>
      <w:r>
        <w:tab/>
      </w:r>
      <w:r>
        <w:rPr>
          <w:noProof/>
        </w:rPr>
        <w:t>Os artigos 362.º e 363.º do acordo criam um Conselho de Parceria e um Comité de Parceria para facilitar a aplicação do acordo.</w:t>
      </w:r>
    </w:p>
    <w:p>
      <w:pPr>
        <w:pStyle w:val="ManualConsidrant"/>
        <w:rPr>
          <w:noProof/>
          <w:szCs w:val="24"/>
        </w:rPr>
      </w:pPr>
      <w:r>
        <w:t>(3)</w:t>
      </w:r>
      <w:r>
        <w:tab/>
      </w:r>
      <w:r>
        <w:rPr>
          <w:noProof/>
        </w:rPr>
        <w:t xml:space="preserve">Nos termos do artigo 362.º, n.º 4, do acordo, o Conselho de Parceria deve adotar o seu regulamento interno e, nos termos do artigo 363.º, n.º 4, do acordo, o Conselho de Parceria define, no seu regulamento interno, as funções e o modo de funcionamento do Comité de Parceria.  </w:t>
      </w:r>
    </w:p>
    <w:p>
      <w:pPr>
        <w:pStyle w:val="ManualConsidrant"/>
        <w:rPr>
          <w:noProof/>
          <w:szCs w:val="24"/>
        </w:rPr>
      </w:pPr>
      <w:r>
        <w:t>(4)</w:t>
      </w:r>
      <w:r>
        <w:tab/>
      </w:r>
      <w:r>
        <w:rPr>
          <w:noProof/>
        </w:rPr>
        <w:t>A fim de assegurar a aplicação efetiva do acordo, é conveniente adotar os regulamentos internos do Conselho de Parceria e do Comité de Parceria.</w:t>
      </w:r>
    </w:p>
    <w:p>
      <w:pPr>
        <w:pStyle w:val="ManualConsidrant"/>
        <w:rPr>
          <w:noProof/>
          <w:szCs w:val="24"/>
        </w:rPr>
      </w:pPr>
      <w:r>
        <w:t>(5)</w:t>
      </w:r>
      <w:r>
        <w:tab/>
      </w:r>
      <w:r>
        <w:rPr>
          <w:noProof/>
        </w:rPr>
        <w:t>O artigo 364.º, n.º 2, do CEPA prevê que o Conselho de Parceria pode decidir criar subcomités e outros órgãos em domínios específicos para o assistir no desempenho das suas funções. Estabelece ainda que o Conselho de Parceria deve determinar, no seu regulamento interno, a composição e as funções desses comités e órgãos, bem como o seu modo de funcionamento,</w:t>
      </w:r>
    </w:p>
    <w:p>
      <w:pPr>
        <w:pStyle w:val="ManualConsidrant"/>
        <w:rPr>
          <w:noProof/>
          <w:szCs w:val="24"/>
        </w:rPr>
      </w:pPr>
      <w:r>
        <w:t>(6)</w:t>
      </w:r>
      <w:r>
        <w:tab/>
      </w:r>
      <w:r>
        <w:rPr>
          <w:noProof/>
        </w:rPr>
        <w:t>O Conselho de Parceria, na sua [...] sessão/reunião em [data], deve adotar o regulamento interno do Conselho de Parceria, do Comité de Parceria e dos subcomités especializados ou quaisquer outros órgãos.</w:t>
      </w:r>
    </w:p>
    <w:p>
      <w:pPr>
        <w:pStyle w:val="ManualConsidrant"/>
        <w:rPr>
          <w:noProof/>
          <w:szCs w:val="24"/>
        </w:rPr>
      </w:pPr>
      <w:r>
        <w:lastRenderedPageBreak/>
        <w:t>(7)</w:t>
      </w:r>
      <w:r>
        <w:tab/>
      </w:r>
      <w:r>
        <w:rPr>
          <w:noProof/>
        </w:rPr>
        <w:t>É conveniente definir a posição a adotar, em nome da União, no Conselho de Parceria, dado que as suas decisões sobre os regulamentos internos do Conselho de Parceria, do Comité de Parceria e dos subcomités especializados ou outros órgãos, bem como sobre a criação de subcomités, serão vinculativas para a União.</w:t>
      </w:r>
    </w:p>
    <w:p>
      <w:pPr>
        <w:pStyle w:val="ManualConsidrant"/>
        <w:rPr>
          <w:noProof/>
          <w:szCs w:val="24"/>
        </w:rPr>
      </w:pPr>
      <w:r>
        <w:t>(8)</w:t>
      </w:r>
      <w:r>
        <w:tab/>
      </w:r>
      <w:r>
        <w:rPr>
          <w:noProof/>
        </w:rPr>
        <w:t>A posição da União no Conselho de Parceria deverá, por conseguinte, basear-se nos textos dos projetos de regulamento interno do Conselho de Parceria e do Comité de Parceria, que figuram em anexo,</w:t>
      </w:r>
    </w:p>
    <w:p>
      <w:pPr>
        <w:pStyle w:val="Formuledadoption"/>
        <w:rPr>
          <w:noProof/>
          <w:szCs w:val="24"/>
        </w:rPr>
      </w:pPr>
      <w:r>
        <w:rPr>
          <w:noProof/>
        </w:rPr>
        <w:t>ADOTOU A PRESENTE DECISÃO:</w:t>
      </w:r>
    </w:p>
    <w:p>
      <w:pPr>
        <w:pStyle w:val="Titrearticle"/>
        <w:rPr>
          <w:noProof/>
          <w:szCs w:val="24"/>
        </w:rPr>
      </w:pPr>
      <w:r>
        <w:rPr>
          <w:noProof/>
        </w:rPr>
        <w:t>Artigo 1.º</w:t>
      </w:r>
    </w:p>
    <w:p>
      <w:pPr>
        <w:rPr>
          <w:noProof/>
          <w:szCs w:val="24"/>
        </w:rPr>
      </w:pPr>
      <w:r>
        <w:rPr>
          <w:noProof/>
        </w:rPr>
        <w:t>A posição a adotar, em nome da União, no Conselho de Parceria UE-Arménia no que diz respeito ao regulamento interno do Conselho de Parceria, do Comité de Parceria e dos subcomités especializados, incluindo o Subcomité das Indicações Geográficas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ou qualquer outro órgão, e no que se refere à criação de subcomités baseia-se nos projetos de atos do Conselho de Parceria que acompanham a presente decisão.</w:t>
      </w:r>
      <w:r>
        <w:rPr>
          <w:i/>
          <w:iCs/>
          <w:noProof/>
          <w:color w:val="1F497D"/>
        </w:rPr>
        <w:t xml:space="preserve"> </w:t>
      </w:r>
      <w:r>
        <w:rPr>
          <w:noProof/>
        </w:rPr>
        <w:t>Podem ser aceites alterações menores ao projeto de decisão sem que seja necessária uma nova decisão do Conselho.</w:t>
      </w:r>
    </w:p>
    <w:p>
      <w:pPr>
        <w:pStyle w:val="Titrearticle"/>
        <w:rPr>
          <w:noProof/>
          <w:szCs w:val="24"/>
        </w:rPr>
      </w:pPr>
      <w:r>
        <w:rPr>
          <w:noProof/>
        </w:rPr>
        <w:t>Artigo 2.º</w:t>
      </w:r>
    </w:p>
    <w:p>
      <w:pPr>
        <w:rPr>
          <w:rStyle w:val="Deleted"/>
          <w:noProof/>
        </w:rPr>
      </w:pPr>
      <w:r>
        <w:rPr>
          <w:noProof/>
        </w:rPr>
        <w:t>O</w:t>
      </w:r>
      <w:r>
        <w:rPr>
          <w:rStyle w:val="Deleted"/>
          <w:noProof/>
        </w:rPr>
        <w:t>s</w:t>
      </w:r>
      <w:r>
        <w:rPr>
          <w:noProof/>
        </w:rPr>
        <w:t xml:space="preserve"> destinatário</w:t>
      </w:r>
      <w:r>
        <w:rPr>
          <w:rStyle w:val="Deleted"/>
          <w:noProof/>
        </w:rPr>
        <w:t>s</w:t>
      </w:r>
      <w:r>
        <w:rPr>
          <w:noProof/>
        </w:rPr>
        <w:t xml:space="preserve"> da presente decisão é </w:t>
      </w:r>
      <w:r>
        <w:rPr>
          <w:rStyle w:val="Deleted"/>
          <w:noProof/>
        </w:rPr>
        <w:t xml:space="preserve">são </w:t>
      </w:r>
      <w:r>
        <w:rPr>
          <w:noProof/>
        </w:rPr>
        <w:t>a Comissão</w:t>
      </w:r>
      <w:r>
        <w:rPr>
          <w:rStyle w:val="Deleted"/>
          <w:noProof/>
        </w:rPr>
        <w:t xml:space="preserve"> e a Alta Representante da União para os Negócios Estrangeiros e a Política de Segurança</w:t>
      </w:r>
      <w:r>
        <w:rPr>
          <w:noProof/>
        </w:rPr>
        <w:t>.</w:t>
      </w:r>
    </w:p>
    <w:p>
      <w:pPr>
        <w:pStyle w:val="Titrearticle"/>
        <w:rPr>
          <w:noProof/>
          <w:szCs w:val="24"/>
        </w:rPr>
      </w:pPr>
      <w:r>
        <w:rPr>
          <w:noProof/>
        </w:rPr>
        <w:t>Artigo 3.º</w:t>
      </w:r>
    </w:p>
    <w:p>
      <w:pPr>
        <w:rPr>
          <w:noProof/>
        </w:rPr>
      </w:pPr>
      <w:r>
        <w:rPr>
          <w:noProof/>
        </w:rPr>
        <w:t>A presente decisão entra em vigor em [...].</w:t>
      </w:r>
    </w:p>
    <w:p>
      <w:pPr>
        <w:pStyle w:val="Fait"/>
        <w:rPr>
          <w:noProof/>
        </w:rPr>
      </w:pPr>
      <w:r>
        <w:t>Feito em Bruxelas, em</w:t>
      </w:r>
    </w:p>
    <w:p>
      <w:pPr>
        <w:pStyle w:val="Institutionquisigne"/>
        <w:rPr>
          <w:noProof/>
          <w:szCs w:val="24"/>
        </w:rPr>
      </w:pPr>
      <w:r>
        <w:rPr>
          <w:noProof/>
        </w:rPr>
        <w:tab/>
        <w:t>Pelo Conselho</w:t>
      </w:r>
    </w:p>
    <w:p>
      <w:pPr>
        <w:pStyle w:val="Personnequisigne"/>
        <w:jc w:val="both"/>
        <w:rPr>
          <w:noProof/>
          <w:szCs w:val="24"/>
        </w:rPr>
      </w:pPr>
      <w:r>
        <w:rPr>
          <w:noProof/>
        </w:rPr>
        <w:tab/>
        <w:t>O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Processo C-399/12 — Alemanha contra Conselho (OIV), ECLI: EU: C: 2014:2258, pontos 61-64.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" w:history="1">
        <w:r>
          <w:rPr>
            <w:rStyle w:val="Hyperlink"/>
          </w:rPr>
          <w:t>https://eur-lex.europa.eu/legal-content/PT/TXT/?uri=CELEX:22018A0126(01)</w:t>
        </w:r>
      </w:hyperlink>
      <w:r>
        <w:t>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O Subcomité das Indicações Geográficas instituído pelo artigo 240.º do acordo é responsável pela adoção do seu regulamento interno.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3EE0A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4865F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5E863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F8289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A32A2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40CA3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1369B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866B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7-16 10:27:5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D5768574-FDCB-4730-A91D-E69BBAF322D2"/>
    <w:docVar w:name="LW_COVERPAGE_TYPE" w:val="1"/>
    <w:docVar w:name="LW_CROSSREFERENCE" w:val="&lt;UNUSED&gt;"/>
    <w:docVar w:name="LW_DocType" w:val="COM"/>
    <w:docVar w:name="LW_EMISSION" w:val="19.7.2019"/>
    <w:docVar w:name="LW_EMISSION_ISODATE" w:val="2019-07-19"/>
    <w:docVar w:name="LW_EMISSION_LOCATION" w:val="BRX"/>
    <w:docVar w:name="LW_EMISSION_PREFIX" w:val="Bruxelas, "/>
    <w:docVar w:name="LW_EMISSION_SUFFIX" w:val=" "/>
    <w:docVar w:name="LW_ID_DOCMODEL" w:val="SJ-019"/>
    <w:docVar w:name="LW_ID_DOCSIGNATURE" w:val="SJ-019"/>
    <w:docVar w:name="LW_ID_DOCSTRUCTURE" w:val="COM/PL/MOD"/>
    <w:docVar w:name="LW_ID_DOCTYPE" w:val="SG-010"/>
    <w:docVar w:name="LW_ID_EXP.MOTIFS.NEW" w:val="EM_PL_"/>
    <w:docVar w:name="LW_ID_STATUT" w:val="SG-010"/>
    <w:docVar w:name="LW_INTERETEEE.CP" w:val="&lt;UNUSED&gt;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395"/>
    <w:docVar w:name="LW_REF.II.NEW.CP_YEAR" w:val="2018"/>
    <w:docVar w:name="LW_REF.INST.NEW" w:val="COM"/>
    <w:docVar w:name="LW_REF.INST.NEW_ADOPTED" w:val="final"/>
    <w:docVar w:name="LW_REF.INST.NEW_TEXT" w:val="(2019) 34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alterada de"/>
    <w:docVar w:name="LW_SUPERTITRE" w:val="&lt;UNUSED&gt;"/>
    <w:docVar w:name="LW_TITRE.OBJ.CP" w:val="relativa à posição a adotar, em nome da União Europeia, no Conselho de Parceria instituído pelo Acordo de Parceria Abrangente e Reforçado entre a União Europeia e a Comunidade Europeia da Energia Atómica e os seus Estados-Membros, por um lado, e a República da Arménia, por outro, no que respeita à adoção de decisões sobre o regulamento interno do Conselho de Parceria, do Comité de Parceria e dos subcomités especializados ou outros órgãos"/>
    <w:docVar w:name="LW_TYPE.DOC.CP" w:val="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PT/TXT/?uri=CELEX:22018A0126(01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7</Pages>
  <Words>2190</Words>
  <Characters>10951</Characters>
  <Application>Microsoft Office Word</Application>
  <DocSecurity>0</DocSecurity>
  <Lines>195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dcterms:created xsi:type="dcterms:W3CDTF">2019-07-15T07:14:00Z</dcterms:created>
  <dcterms:modified xsi:type="dcterms:W3CDTF">2019-07-16T08:27:00Z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COM/PL/MOD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SG-010</vt:lpwstr>
  </property>
  <property fmtid="{D5CDD505-2E9C-101B-9397-08002B2CF9AE}" pid="10" name="DQCStatus">
    <vt:lpwstr>Green (DQC version 03)</vt:lpwstr>
  </property>
</Properties>
</file>