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760" w:rsidRDefault="000137B9" w:rsidP="000137B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4F491FE4-113C-4CF0-8EDF-394934AF9F19" style="width:450.75pt;height:379.5pt">
            <v:imagedata r:id="rId7" o:title=""/>
          </v:shape>
        </w:pict>
      </w:r>
    </w:p>
    <w:p w:rsidR="00D67760" w:rsidRDefault="00D67760">
      <w:pPr>
        <w:rPr>
          <w:noProof/>
        </w:rPr>
        <w:sectPr w:rsidR="00D67760" w:rsidSect="000137B9">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pgNumType w:start="0"/>
          <w:cols w:space="720"/>
          <w:docGrid w:linePitch="360"/>
        </w:sectPr>
      </w:pPr>
    </w:p>
    <w:p w:rsidR="00D67760" w:rsidRDefault="002D730B">
      <w:pPr>
        <w:pStyle w:val="Exposdesmotifstitre"/>
        <w:rPr>
          <w:noProof/>
        </w:rPr>
      </w:pPr>
      <w:bookmarkStart w:id="0" w:name="_GoBack"/>
      <w:bookmarkEnd w:id="0"/>
      <w:r>
        <w:rPr>
          <w:noProof/>
        </w:rPr>
        <w:lastRenderedPageBreak/>
        <w:t>BEGRUNDELSE</w:t>
      </w:r>
    </w:p>
    <w:p w:rsidR="00D67760" w:rsidRDefault="002D730B">
      <w:pPr>
        <w:pStyle w:val="ManualHeading1"/>
        <w:rPr>
          <w:noProof/>
        </w:rPr>
      </w:pPr>
      <w:r>
        <w:rPr>
          <w:noProof/>
        </w:rPr>
        <w:t>1.</w:t>
      </w:r>
      <w:r>
        <w:rPr>
          <w:noProof/>
        </w:rPr>
        <w:tab/>
        <w:t>BAGGRUND FOR FORSLAGET</w:t>
      </w:r>
    </w:p>
    <w:p w:rsidR="00D67760" w:rsidRDefault="002D730B">
      <w:pPr>
        <w:pStyle w:val="ManualHeading2"/>
        <w:rPr>
          <w:rFonts w:eastAsia="Arial Unicode MS"/>
          <w:noProof/>
        </w:rPr>
      </w:pPr>
      <w:r>
        <w:rPr>
          <w:noProof/>
          <w:color w:val="000000"/>
          <w:u w:color="000000"/>
          <w:bdr w:val="nil"/>
        </w:rPr>
        <w:t>•</w:t>
      </w:r>
      <w:r>
        <w:rPr>
          <w:noProof/>
        </w:rPr>
        <w:tab/>
        <w:t>Forslagets begrundelse og formål</w:t>
      </w:r>
    </w:p>
    <w:p w:rsidR="00D67760" w:rsidRDefault="002D730B">
      <w:pPr>
        <w:pBdr>
          <w:top w:val="nil"/>
          <w:left w:val="nil"/>
          <w:bottom w:val="nil"/>
          <w:right w:val="nil"/>
          <w:between w:val="nil"/>
          <w:bar w:val="nil"/>
        </w:pBdr>
        <w:spacing w:before="0" w:after="240"/>
        <w:rPr>
          <w:noProof/>
        </w:rPr>
      </w:pPr>
      <w:r>
        <w:rPr>
          <w:noProof/>
        </w:rPr>
        <w:t xml:space="preserve">Den Europæiske Union åbnede i henhold til forordning (EF) nr. 617/2009 et </w:t>
      </w:r>
      <w:r>
        <w:rPr>
          <w:noProof/>
        </w:rPr>
        <w:t>årligt toldkontingent</w:t>
      </w:r>
      <w:r>
        <w:rPr>
          <w:rStyle w:val="FootnoteReference"/>
          <w:noProof/>
        </w:rPr>
        <w:footnoteReference w:id="1"/>
      </w:r>
      <w:r>
        <w:rPr>
          <w:noProof/>
        </w:rPr>
        <w:t xml:space="preserve"> for oksekød af høj kvalitet i overensstemmelse med aftalememorandummet mellem Europa-Kommissionen og USA og den reviderede udgave heraf, Revideret aftalememorandum med Amerikas Forenede Stater om import af oksekød fra dyr, der ikke e</w:t>
      </w:r>
      <w:r>
        <w:rPr>
          <w:noProof/>
        </w:rPr>
        <w:t>r behandlet med visse væksthormoner, og den af USA anvendte forhøjede told for visse produkter fra Den Europæiske Union af 21. oktober 2013 (herefter benævnt "toldkontingentet"). Det reviderede aftalememorandum blev meddelt af Unionen og USA til WTO's tvis</w:t>
      </w:r>
      <w:r>
        <w:rPr>
          <w:noProof/>
        </w:rPr>
        <w:t>tbilæggelsesorgan den 14. april 2014.</w:t>
      </w:r>
    </w:p>
    <w:p w:rsidR="00D67760" w:rsidRDefault="002D730B">
      <w:pPr>
        <w:pBdr>
          <w:top w:val="nil"/>
          <w:left w:val="nil"/>
          <w:bottom w:val="nil"/>
          <w:right w:val="nil"/>
          <w:between w:val="nil"/>
          <w:bar w:val="nil"/>
        </w:pBdr>
        <w:spacing w:before="0" w:after="240"/>
        <w:rPr>
          <w:noProof/>
        </w:rPr>
      </w:pPr>
      <w:r>
        <w:rPr>
          <w:noProof/>
        </w:rPr>
        <w:t xml:space="preserve">I december 2016 tog USA skridt til at genindføre øget told på visse EU-produkter i forbindelse med WTO's bilæggelse af tvisten EF – foranstaltninger vedrørende kød og kødprodukter (hormoner) (DS26) (EF – Homoner). </w:t>
      </w:r>
      <w:r>
        <w:rPr>
          <w:noProof/>
        </w:rPr>
        <w:t>Proceduren for genindførelse af told blev indledt på anmodning af den amerikanske oksekødsindustri, som nærede betænkeligheder ved toldkontingentets gennemførelse.</w:t>
      </w:r>
    </w:p>
    <w:p w:rsidR="00D67760" w:rsidRDefault="002D730B">
      <w:pPr>
        <w:pBdr>
          <w:top w:val="nil"/>
          <w:left w:val="nil"/>
          <w:bottom w:val="nil"/>
          <w:right w:val="nil"/>
          <w:between w:val="nil"/>
          <w:bar w:val="nil"/>
        </w:pBdr>
        <w:spacing w:before="0" w:after="240"/>
        <w:rPr>
          <w:noProof/>
        </w:rPr>
      </w:pPr>
      <w:r>
        <w:rPr>
          <w:noProof/>
        </w:rPr>
        <w:t>For at undgå genindførelse af øget told på visse EU-produkter gennemførte Den Europæiske Uni</w:t>
      </w:r>
      <w:r>
        <w:rPr>
          <w:noProof/>
        </w:rPr>
        <w:t xml:space="preserve">on og USA i overensstemmelse med artikel IV, stk. 1, litra b), i det reviderede aftalememorandum konsultationer om, hvordan dette aftalememorandum skulle anvendes, og USA anmodede i den forbindelse om at få tildelt en andel af det toldkontingent, der blev </w:t>
      </w:r>
      <w:r>
        <w:rPr>
          <w:noProof/>
        </w:rPr>
        <w:t xml:space="preserve">åbnet i overensstemmelse med det reviderede aftalememorandum. </w:t>
      </w:r>
    </w:p>
    <w:p w:rsidR="00D67760" w:rsidRDefault="002D730B">
      <w:pPr>
        <w:pBdr>
          <w:top w:val="nil"/>
          <w:left w:val="nil"/>
          <w:bottom w:val="nil"/>
          <w:right w:val="nil"/>
          <w:between w:val="nil"/>
          <w:bar w:val="nil"/>
        </w:pBdr>
        <w:spacing w:before="0" w:after="240"/>
        <w:rPr>
          <w:noProof/>
        </w:rPr>
      </w:pPr>
      <w:r>
        <w:rPr>
          <w:noProof/>
        </w:rPr>
        <w:t>Det er i Unionens interesse at tildele USA en andel af toldkontingentet, således at begge parter på et tidspunkt kan nå til enighed om en gensidigt acceptabel løsning på WTO-tvisten DS26 og med</w:t>
      </w:r>
      <w:r>
        <w:rPr>
          <w:noProof/>
        </w:rPr>
        <w:t>dele løsningen til WTO's tvistbilæggelsesorgan.</w:t>
      </w:r>
    </w:p>
    <w:p w:rsidR="00D67760" w:rsidRDefault="002D730B">
      <w:pPr>
        <w:pBdr>
          <w:top w:val="nil"/>
          <w:left w:val="nil"/>
          <w:bottom w:val="nil"/>
          <w:right w:val="nil"/>
          <w:between w:val="nil"/>
          <w:bar w:val="nil"/>
        </w:pBdr>
        <w:spacing w:before="0" w:after="240"/>
        <w:rPr>
          <w:noProof/>
        </w:rPr>
      </w:pPr>
      <w:r>
        <w:rPr>
          <w:noProof/>
        </w:rPr>
        <w:t>Den 19. oktober 2018 gav Rådet Kommissionen bemyndigelse til på Unionens vegne at indlede forhandlinger med USA om anvendelsen af toldkontingentet med henblik på at tildele USA en andel af toldkontingentet, s</w:t>
      </w:r>
      <w:r>
        <w:rPr>
          <w:noProof/>
        </w:rPr>
        <w:t>åledes at der kunne findes en endelig løsning på WTO-tvisten DS26. Forhandlingerne blev afsluttet med positivt resultat.</w:t>
      </w:r>
    </w:p>
    <w:p w:rsidR="00D67760" w:rsidRDefault="002D730B">
      <w:pPr>
        <w:pBdr>
          <w:top w:val="nil"/>
          <w:left w:val="nil"/>
          <w:bottom w:val="nil"/>
          <w:right w:val="nil"/>
          <w:between w:val="nil"/>
          <w:bar w:val="nil"/>
        </w:pBdr>
        <w:spacing w:before="0" w:after="240"/>
        <w:rPr>
          <w:rFonts w:eastAsia="Arial Unicode MS"/>
          <w:noProof/>
        </w:rPr>
      </w:pPr>
      <w:r>
        <w:rPr>
          <w:noProof/>
        </w:rPr>
        <w:t xml:space="preserve">Derudover bemyndigede Rådet Kommissionen til i nødvendigt omfang at søge godkendelse af landetildelingen af toldkontingentet fra andre </w:t>
      </w:r>
      <w:r>
        <w:rPr>
          <w:noProof/>
        </w:rPr>
        <w:t>lande, der har en væsentlig interesse i at levere varen, i overensstemmelse med de gældende WTO-regler. Når et toldkontingent skal fordeles blandt leverandørlande, bør den part, der skal tildele toldkontingentet, ifølge artikel XIII, stk. 2, i den almindel</w:t>
      </w:r>
      <w:r>
        <w:rPr>
          <w:noProof/>
        </w:rPr>
        <w:t xml:space="preserve">ige overenskomst om told og udenrigshandel (GATT), søge at opnå overenskomst med alle andre parter, der har en væsentlig interesse i levering af varen, om tildelingen af andele af toldkontingentet. For at sikre sig, at landetildelingen af toldkontingentet </w:t>
      </w:r>
      <w:r>
        <w:rPr>
          <w:noProof/>
        </w:rPr>
        <w:t xml:space="preserve">er i overensstemmelse med EU's WTO-forpligtelser, skal EU derfor søge godkendelse fra de andre parter, der har en væsentlig interesse i at levere varen inden for toldkontingentet (Australien, Uruguay og Argentina). Kommissionen har derfor søgt godkendelse </w:t>
      </w:r>
      <w:r>
        <w:rPr>
          <w:noProof/>
        </w:rPr>
        <w:t>fra de lande, der har en væsentlig interesse i at levere varen, og har modtaget disses skriftlige samtykke i, at USA tildeles en andel af toldkontingentet, i form af godkendelsesbreve modtaget henholdsvis den 10., 20. og 31. maj 2019.</w:t>
      </w:r>
    </w:p>
    <w:p w:rsidR="00D67760" w:rsidRDefault="002D730B">
      <w:pPr>
        <w:pStyle w:val="ManualHeading2"/>
        <w:rPr>
          <w:rFonts w:eastAsia="Arial Unicode MS"/>
          <w:noProof/>
          <w:color w:val="000000"/>
          <w:u w:color="000000"/>
          <w:bdr w:val="nil"/>
        </w:rPr>
      </w:pPr>
      <w:r>
        <w:rPr>
          <w:noProof/>
          <w:color w:val="000000"/>
          <w:u w:color="000000"/>
          <w:bdr w:val="nil"/>
        </w:rPr>
        <w:t>•</w:t>
      </w:r>
      <w:r>
        <w:rPr>
          <w:noProof/>
        </w:rPr>
        <w:tab/>
        <w:t>Sammenhæng med de g</w:t>
      </w:r>
      <w:r>
        <w:rPr>
          <w:noProof/>
        </w:rPr>
        <w:t>ældende regler på samme område</w:t>
      </w:r>
    </w:p>
    <w:p w:rsidR="00D67760" w:rsidRDefault="002D730B">
      <w:pPr>
        <w:rPr>
          <w:noProof/>
        </w:rPr>
      </w:pPr>
      <w:r>
        <w:rPr>
          <w:noProof/>
        </w:rPr>
        <w:t>Ikke relevant.</w:t>
      </w:r>
    </w:p>
    <w:p w:rsidR="00D67760" w:rsidRDefault="002D730B">
      <w:pPr>
        <w:pStyle w:val="ManualHeading2"/>
        <w:rPr>
          <w:rFonts w:eastAsia="Arial Unicode MS"/>
          <w:noProof/>
        </w:rPr>
      </w:pPr>
      <w:r>
        <w:rPr>
          <w:noProof/>
          <w:color w:val="000000"/>
          <w:u w:color="000000"/>
          <w:bdr w:val="nil"/>
        </w:rPr>
        <w:t>•</w:t>
      </w:r>
      <w:r>
        <w:rPr>
          <w:noProof/>
        </w:rPr>
        <w:tab/>
        <w:t>Sammenhæng med Unionens politik på andre områder</w:t>
      </w:r>
    </w:p>
    <w:p w:rsidR="00D67760" w:rsidRDefault="002D730B">
      <w:pPr>
        <w:rPr>
          <w:noProof/>
        </w:rPr>
      </w:pPr>
      <w:r>
        <w:rPr>
          <w:noProof/>
        </w:rPr>
        <w:t>Ikke relevant.</w:t>
      </w:r>
    </w:p>
    <w:p w:rsidR="00D67760" w:rsidRDefault="002D730B">
      <w:pPr>
        <w:pStyle w:val="ManualHeading1"/>
        <w:rPr>
          <w:noProof/>
        </w:rPr>
      </w:pPr>
      <w:r>
        <w:rPr>
          <w:noProof/>
        </w:rPr>
        <w:t>2.</w:t>
      </w:r>
      <w:r>
        <w:rPr>
          <w:noProof/>
        </w:rPr>
        <w:tab/>
        <w:t>RETSGRUNDLAG, NÆRHEDSPRINCIPPET OG PROPORTIONALITETSPRINCIPPET</w:t>
      </w:r>
    </w:p>
    <w:p w:rsidR="00D67760" w:rsidRDefault="002D730B">
      <w:pPr>
        <w:pStyle w:val="ManualHeading2"/>
        <w:rPr>
          <w:rFonts w:eastAsia="Arial Unicode MS"/>
          <w:noProof/>
          <w:u w:color="000000"/>
          <w:bdr w:val="nil"/>
        </w:rPr>
      </w:pPr>
      <w:r>
        <w:rPr>
          <w:noProof/>
        </w:rPr>
        <w:t>•</w:t>
      </w:r>
      <w:r>
        <w:rPr>
          <w:noProof/>
        </w:rPr>
        <w:tab/>
        <w:t>Retsgrundlag</w:t>
      </w:r>
    </w:p>
    <w:p w:rsidR="00D67760" w:rsidRDefault="002D730B">
      <w:pPr>
        <w:rPr>
          <w:noProof/>
        </w:rPr>
      </w:pPr>
      <w:r>
        <w:rPr>
          <w:noProof/>
        </w:rPr>
        <w:t xml:space="preserve">Artikel 207, stk. 3, og artikel 207, stk. 4, første afsnit, </w:t>
      </w:r>
      <w:r>
        <w:rPr>
          <w:noProof/>
        </w:rPr>
        <w:t>sammenholdt med artikel 218, stk. 6, litra a, nr. v), andet afsnit, i TEUF.</w:t>
      </w:r>
    </w:p>
    <w:p w:rsidR="00D67760" w:rsidRDefault="002D730B">
      <w:pPr>
        <w:pStyle w:val="ManualHeading2"/>
        <w:rPr>
          <w:rFonts w:eastAsia="Arial Unicode MS"/>
          <w:noProof/>
          <w:u w:color="000000"/>
          <w:bdr w:val="nil"/>
        </w:rPr>
      </w:pPr>
      <w:r>
        <w:rPr>
          <w:noProof/>
        </w:rPr>
        <w:t>•</w:t>
      </w:r>
      <w:r>
        <w:rPr>
          <w:noProof/>
        </w:rPr>
        <w:tab/>
        <w:t xml:space="preserve">Nærhedsprincippet (for områder, der ikke er omfattet af enekompetence) </w:t>
      </w:r>
    </w:p>
    <w:p w:rsidR="00D67760" w:rsidRDefault="002D730B">
      <w:pPr>
        <w:rPr>
          <w:noProof/>
        </w:rPr>
      </w:pPr>
      <w:r>
        <w:rPr>
          <w:noProof/>
        </w:rPr>
        <w:t>Ikke relevant, da Unionen har enekompetence på området den fælles handelspolitik, jf. artikel 3, stk. 1, l</w:t>
      </w:r>
      <w:r>
        <w:rPr>
          <w:noProof/>
        </w:rPr>
        <w:t>itra e), i TEUF.</w:t>
      </w:r>
    </w:p>
    <w:p w:rsidR="00D67760" w:rsidRDefault="002D730B">
      <w:pPr>
        <w:pStyle w:val="ManualHeading2"/>
        <w:rPr>
          <w:rFonts w:eastAsia="Arial Unicode MS"/>
          <w:noProof/>
          <w:u w:color="000000"/>
          <w:bdr w:val="nil"/>
        </w:rPr>
      </w:pPr>
      <w:r>
        <w:rPr>
          <w:noProof/>
        </w:rPr>
        <w:t>•</w:t>
      </w:r>
      <w:r>
        <w:rPr>
          <w:noProof/>
        </w:rPr>
        <w:tab/>
        <w:t>Proportionalitetsprincippet</w:t>
      </w:r>
    </w:p>
    <w:p w:rsidR="00D67760" w:rsidRDefault="002D730B">
      <w:pPr>
        <w:rPr>
          <w:noProof/>
        </w:rPr>
      </w:pPr>
      <w:r>
        <w:rPr>
          <w:noProof/>
        </w:rPr>
        <w:t>Ikke relevant.</w:t>
      </w:r>
    </w:p>
    <w:p w:rsidR="00D67760" w:rsidRDefault="002D730B">
      <w:pPr>
        <w:pStyle w:val="ManualHeading2"/>
        <w:rPr>
          <w:rFonts w:eastAsia="Arial Unicode MS"/>
          <w:noProof/>
          <w:u w:color="000000"/>
          <w:bdr w:val="nil"/>
        </w:rPr>
      </w:pPr>
      <w:r>
        <w:rPr>
          <w:noProof/>
        </w:rPr>
        <w:t>•</w:t>
      </w:r>
      <w:r>
        <w:rPr>
          <w:noProof/>
        </w:rPr>
        <w:tab/>
        <w:t>Valg af retsakt</w:t>
      </w:r>
    </w:p>
    <w:p w:rsidR="00D67760" w:rsidRDefault="002D730B">
      <w:pPr>
        <w:rPr>
          <w:noProof/>
        </w:rPr>
      </w:pPr>
      <w:r>
        <w:rPr>
          <w:noProof/>
        </w:rPr>
        <w:t>En interational aftale er det rette valg, da der er tale om tildeling til USA af en andel af toldkontingentet.</w:t>
      </w:r>
    </w:p>
    <w:p w:rsidR="00D67760" w:rsidRDefault="002D730B">
      <w:pPr>
        <w:pStyle w:val="ManualHeading1"/>
        <w:rPr>
          <w:noProof/>
        </w:rPr>
      </w:pPr>
      <w:r>
        <w:rPr>
          <w:noProof/>
        </w:rPr>
        <w:t>3.</w:t>
      </w:r>
      <w:r>
        <w:rPr>
          <w:noProof/>
        </w:rPr>
        <w:tab/>
        <w:t>RESULTATER AF EFTERFØLGENDE EVALUERINGER, HØRINGER AF INTERESS</w:t>
      </w:r>
      <w:r>
        <w:rPr>
          <w:noProof/>
        </w:rPr>
        <w:t>EREDE PARTER OG KONSEKVENSANALYSER</w:t>
      </w:r>
    </w:p>
    <w:p w:rsidR="00D67760" w:rsidRDefault="002D730B">
      <w:pPr>
        <w:pStyle w:val="ManualHeading2"/>
        <w:rPr>
          <w:rFonts w:eastAsia="Arial Unicode MS"/>
          <w:noProof/>
          <w:u w:color="000000"/>
          <w:bdr w:val="nil"/>
        </w:rPr>
      </w:pPr>
      <w:r>
        <w:rPr>
          <w:noProof/>
        </w:rPr>
        <w:t>•</w:t>
      </w:r>
      <w:r>
        <w:rPr>
          <w:noProof/>
        </w:rPr>
        <w:tab/>
        <w:t>Efterfølgende evalueringer/kvalitetskontrol af gældende lovgivning</w:t>
      </w:r>
    </w:p>
    <w:p w:rsidR="00D67760" w:rsidRDefault="002D730B">
      <w:pPr>
        <w:rPr>
          <w:noProof/>
        </w:rPr>
      </w:pPr>
      <w:r>
        <w:rPr>
          <w:noProof/>
        </w:rPr>
        <w:t>Ikke relevant.</w:t>
      </w:r>
    </w:p>
    <w:p w:rsidR="00D67760" w:rsidRDefault="002D730B">
      <w:pPr>
        <w:pStyle w:val="ManualHeading2"/>
        <w:rPr>
          <w:rFonts w:eastAsia="Arial Unicode MS"/>
          <w:noProof/>
          <w:u w:color="000000"/>
          <w:bdr w:val="nil"/>
        </w:rPr>
      </w:pPr>
      <w:r>
        <w:rPr>
          <w:noProof/>
        </w:rPr>
        <w:t>•</w:t>
      </w:r>
      <w:r>
        <w:rPr>
          <w:noProof/>
        </w:rPr>
        <w:tab/>
        <w:t>Høringer af interesserede parter</w:t>
      </w:r>
    </w:p>
    <w:p w:rsidR="00D67760" w:rsidRDefault="002D730B">
      <w:pPr>
        <w:rPr>
          <w:noProof/>
        </w:rPr>
      </w:pPr>
      <w:r>
        <w:rPr>
          <w:noProof/>
        </w:rPr>
        <w:t>Ikke relevant.</w:t>
      </w:r>
    </w:p>
    <w:p w:rsidR="00D67760" w:rsidRDefault="002D730B">
      <w:pPr>
        <w:pStyle w:val="ManualHeading2"/>
        <w:rPr>
          <w:rFonts w:eastAsia="Arial Unicode MS"/>
          <w:noProof/>
          <w:u w:color="000000"/>
          <w:bdr w:val="nil"/>
        </w:rPr>
      </w:pPr>
      <w:r>
        <w:rPr>
          <w:noProof/>
        </w:rPr>
        <w:t>•</w:t>
      </w:r>
      <w:r>
        <w:rPr>
          <w:noProof/>
        </w:rPr>
        <w:tab/>
        <w:t>Indhentning og brug af ekspertbistand</w:t>
      </w:r>
    </w:p>
    <w:p w:rsidR="00D67760" w:rsidRDefault="002D730B">
      <w:pPr>
        <w:rPr>
          <w:noProof/>
        </w:rPr>
      </w:pPr>
      <w:r>
        <w:rPr>
          <w:noProof/>
        </w:rPr>
        <w:t>Ikke relevant.</w:t>
      </w:r>
    </w:p>
    <w:p w:rsidR="00D67760" w:rsidRDefault="002D730B">
      <w:pPr>
        <w:pStyle w:val="ManualHeading2"/>
        <w:rPr>
          <w:rFonts w:eastAsia="Arial Unicode MS"/>
          <w:noProof/>
          <w:u w:color="000000"/>
          <w:bdr w:val="nil"/>
        </w:rPr>
      </w:pPr>
      <w:r>
        <w:rPr>
          <w:noProof/>
        </w:rPr>
        <w:t>•</w:t>
      </w:r>
      <w:r>
        <w:rPr>
          <w:noProof/>
        </w:rPr>
        <w:tab/>
        <w:t>Konsekvensanalyse</w:t>
      </w:r>
    </w:p>
    <w:p w:rsidR="00D67760" w:rsidRDefault="002D730B">
      <w:pPr>
        <w:rPr>
          <w:noProof/>
        </w:rPr>
      </w:pPr>
      <w:r>
        <w:rPr>
          <w:noProof/>
        </w:rPr>
        <w:t xml:space="preserve">Ikke </w:t>
      </w:r>
      <w:r>
        <w:rPr>
          <w:noProof/>
        </w:rPr>
        <w:t>relevant.</w:t>
      </w:r>
    </w:p>
    <w:p w:rsidR="00D67760" w:rsidRDefault="002D730B">
      <w:pPr>
        <w:pStyle w:val="ManualHeading2"/>
        <w:rPr>
          <w:rFonts w:eastAsia="Arial Unicode MS"/>
          <w:noProof/>
          <w:u w:color="000000"/>
          <w:bdr w:val="nil"/>
        </w:rPr>
      </w:pPr>
      <w:r>
        <w:rPr>
          <w:noProof/>
        </w:rPr>
        <w:t>•</w:t>
      </w:r>
      <w:r>
        <w:rPr>
          <w:noProof/>
        </w:rPr>
        <w:tab/>
        <w:t>Målrettet regulering og forenkling</w:t>
      </w:r>
    </w:p>
    <w:p w:rsidR="00D67760" w:rsidRDefault="002D730B">
      <w:pPr>
        <w:rPr>
          <w:noProof/>
        </w:rPr>
      </w:pPr>
      <w:r>
        <w:rPr>
          <w:noProof/>
        </w:rPr>
        <w:t>Ikke relevant.</w:t>
      </w:r>
    </w:p>
    <w:p w:rsidR="00D67760" w:rsidRDefault="002D730B">
      <w:pPr>
        <w:pStyle w:val="ManualHeading2"/>
        <w:rPr>
          <w:rFonts w:eastAsia="Arial Unicode MS"/>
          <w:noProof/>
          <w:u w:color="000000"/>
          <w:bdr w:val="nil"/>
        </w:rPr>
      </w:pPr>
      <w:r>
        <w:rPr>
          <w:noProof/>
        </w:rPr>
        <w:t>•</w:t>
      </w:r>
      <w:r>
        <w:rPr>
          <w:noProof/>
        </w:rPr>
        <w:tab/>
        <w:t>Grundlæggende rettigheder</w:t>
      </w:r>
    </w:p>
    <w:p w:rsidR="00D67760" w:rsidRDefault="002D730B">
      <w:pPr>
        <w:rPr>
          <w:noProof/>
        </w:rPr>
      </w:pPr>
      <w:r>
        <w:rPr>
          <w:noProof/>
        </w:rPr>
        <w:t>Ikke relevant.</w:t>
      </w:r>
    </w:p>
    <w:p w:rsidR="00D67760" w:rsidRDefault="002D730B">
      <w:pPr>
        <w:pStyle w:val="ManualHeading1"/>
        <w:rPr>
          <w:noProof/>
        </w:rPr>
      </w:pPr>
      <w:r>
        <w:rPr>
          <w:noProof/>
        </w:rPr>
        <w:t>4.</w:t>
      </w:r>
      <w:r>
        <w:rPr>
          <w:noProof/>
        </w:rPr>
        <w:tab/>
        <w:t>VIRKNINGER FOR BUDGETTET</w:t>
      </w:r>
    </w:p>
    <w:p w:rsidR="00D67760" w:rsidRDefault="002D730B">
      <w:pPr>
        <w:rPr>
          <w:noProof/>
        </w:rPr>
        <w:sectPr w:rsidR="00D67760" w:rsidSect="000137B9">
          <w:footerReference w:type="default" r:id="rId14"/>
          <w:footerReference w:type="first" r:id="rId15"/>
          <w:pgSz w:w="11907" w:h="16839"/>
          <w:pgMar w:top="1134" w:right="1417" w:bottom="1134" w:left="1417" w:header="709" w:footer="709" w:gutter="0"/>
          <w:cols w:space="708"/>
          <w:docGrid w:linePitch="360"/>
        </w:sectPr>
      </w:pPr>
      <w:r>
        <w:rPr>
          <w:noProof/>
        </w:rPr>
        <w:t>Ingen.</w:t>
      </w:r>
    </w:p>
    <w:p w:rsidR="00D67760" w:rsidRDefault="000137B9" w:rsidP="000137B9">
      <w:pPr>
        <w:pStyle w:val="Rfrenceinterinstitutionnelle"/>
        <w:rPr>
          <w:noProof/>
        </w:rPr>
      </w:pPr>
      <w:r w:rsidRPr="000137B9">
        <w:t>2019/0142 (NLE)</w:t>
      </w:r>
    </w:p>
    <w:p w:rsidR="00D67760" w:rsidRDefault="000137B9" w:rsidP="000137B9">
      <w:pPr>
        <w:pStyle w:val="Statut"/>
        <w:rPr>
          <w:noProof/>
        </w:rPr>
      </w:pPr>
      <w:r w:rsidRPr="000137B9">
        <w:t>Forslag til</w:t>
      </w:r>
    </w:p>
    <w:p w:rsidR="00D67760" w:rsidRDefault="000137B9" w:rsidP="000137B9">
      <w:pPr>
        <w:pStyle w:val="Typedudocument"/>
        <w:rPr>
          <w:noProof/>
        </w:rPr>
      </w:pPr>
      <w:r w:rsidRPr="000137B9">
        <w:t>RÅDETS AFGØRELSE</w:t>
      </w:r>
    </w:p>
    <w:p w:rsidR="00D67760" w:rsidRDefault="000137B9" w:rsidP="000137B9">
      <w:pPr>
        <w:pStyle w:val="Titreobjet"/>
        <w:rPr>
          <w:noProof/>
        </w:rPr>
      </w:pPr>
      <w:r w:rsidRPr="000137B9">
        <w:t>om indgåelse af en aftale med Amerikas Forenede Stater om tildelingen til USA af en andel af det toldkontingent, der er fastsat ved forordning (EF) nr. 617/2009 af 13. juli 2009 om åbning af et autonomt toldkontingent for import af oksekød af høj kvalitet</w:t>
      </w:r>
    </w:p>
    <w:p w:rsidR="00D67760" w:rsidRDefault="002D730B">
      <w:pPr>
        <w:pStyle w:val="Institutionquiagit"/>
        <w:rPr>
          <w:noProof/>
        </w:rPr>
      </w:pPr>
      <w:r>
        <w:rPr>
          <w:noProof/>
        </w:rPr>
        <w:t>R</w:t>
      </w:r>
      <w:r>
        <w:rPr>
          <w:noProof/>
        </w:rPr>
        <w:t>ÅDET FOR DEN E</w:t>
      </w:r>
      <w:r>
        <w:rPr>
          <w:noProof/>
        </w:rPr>
        <w:t>UROPÆISKE UNION HAR —</w:t>
      </w:r>
    </w:p>
    <w:p w:rsidR="00D67760" w:rsidRDefault="002D730B">
      <w:pPr>
        <w:rPr>
          <w:noProof/>
        </w:rPr>
      </w:pPr>
      <w:r>
        <w:rPr>
          <w:noProof/>
        </w:rPr>
        <w:t>under henvisning til traktaten om Den Europæiske Unions funktionsmåde, særlig artikel 207, stk. 3, og artikel 207, stk. 4, første afsnit, sammenholdt med artikel 218, stk. 6, litra a), nr. v), andet afsnit,</w:t>
      </w:r>
    </w:p>
    <w:p w:rsidR="00D67760" w:rsidRDefault="002D730B">
      <w:pPr>
        <w:rPr>
          <w:noProof/>
        </w:rPr>
      </w:pPr>
      <w:r>
        <w:rPr>
          <w:noProof/>
        </w:rPr>
        <w:t>under henvisning til forsla</w:t>
      </w:r>
      <w:r>
        <w:rPr>
          <w:noProof/>
        </w:rPr>
        <w:t>g fra Europa-Kommissionen,</w:t>
      </w:r>
    </w:p>
    <w:p w:rsidR="00D67760" w:rsidRDefault="002D730B">
      <w:pPr>
        <w:rPr>
          <w:noProof/>
        </w:rPr>
      </w:pPr>
      <w:r>
        <w:rPr>
          <w:noProof/>
        </w:rPr>
        <w:t>under henvisning til godkendelse fra Europa-Parlamentet, og</w:t>
      </w:r>
    </w:p>
    <w:p w:rsidR="00D67760" w:rsidRDefault="002D730B">
      <w:pPr>
        <w:rPr>
          <w:noProof/>
        </w:rPr>
      </w:pPr>
      <w:r>
        <w:rPr>
          <w:noProof/>
        </w:rPr>
        <w:t>ud fra følgende betragtninger:</w:t>
      </w:r>
    </w:p>
    <w:p w:rsidR="00D67760" w:rsidRDefault="002D730B">
      <w:pPr>
        <w:pStyle w:val="ManualConsidrant"/>
        <w:rPr>
          <w:noProof/>
        </w:rPr>
      </w:pPr>
      <w:r>
        <w:rPr>
          <w:noProof/>
        </w:rPr>
        <w:t>(1)</w:t>
      </w:r>
      <w:r>
        <w:rPr>
          <w:noProof/>
        </w:rPr>
        <w:tab/>
        <w:t>I overensstemmelse med Rådets afgørelse 2019/XXX/EU blev aftalen mellem Amerikas Forenede Stater om tildelingen til USA af en andel af</w:t>
      </w:r>
      <w:r>
        <w:rPr>
          <w:noProof/>
        </w:rPr>
        <w:t xml:space="preserve"> toldkontingentet for oksekød af høj kvalitet, der er omhandlet i det reviderede aftalememorandum mellem Amerikas Forenede Stater og Den Europæiske Union om import af oksekød fra dyr, der ikke er behandlet med visse væksthormoner, og den af USA anvendte fo</w:t>
      </w:r>
      <w:r>
        <w:rPr>
          <w:noProof/>
        </w:rPr>
        <w:t>rhøjede told for visse produkter fra Den Europæiske Union (2014), undertegnet den XXXX med forbehold af indgåelse af aftalen.</w:t>
      </w:r>
    </w:p>
    <w:p w:rsidR="00D67760" w:rsidRDefault="002D730B">
      <w:pPr>
        <w:pStyle w:val="ManualConsidrant"/>
        <w:rPr>
          <w:noProof/>
        </w:rPr>
      </w:pPr>
      <w:r>
        <w:rPr>
          <w:noProof/>
        </w:rPr>
        <w:t>(2)</w:t>
      </w:r>
      <w:r>
        <w:rPr>
          <w:noProof/>
        </w:rPr>
        <w:tab/>
        <w:t>Aftalen bør godkendes på Unionens vegne —</w:t>
      </w:r>
    </w:p>
    <w:p w:rsidR="00D67760" w:rsidRDefault="002D730B">
      <w:pPr>
        <w:pStyle w:val="Formuledadoption"/>
        <w:rPr>
          <w:noProof/>
        </w:rPr>
      </w:pPr>
      <w:r>
        <w:rPr>
          <w:noProof/>
        </w:rPr>
        <w:t xml:space="preserve">VEDTAGET DENNE AFGØRELSE: </w:t>
      </w:r>
    </w:p>
    <w:p w:rsidR="00D67760" w:rsidRDefault="002D730B">
      <w:pPr>
        <w:pStyle w:val="Titrearticle"/>
        <w:rPr>
          <w:noProof/>
        </w:rPr>
      </w:pPr>
      <w:r>
        <w:rPr>
          <w:noProof/>
        </w:rPr>
        <w:t>Artikel 1</w:t>
      </w:r>
    </w:p>
    <w:p w:rsidR="00D67760" w:rsidRDefault="002D730B">
      <w:pPr>
        <w:keepLines/>
        <w:rPr>
          <w:noProof/>
        </w:rPr>
      </w:pPr>
      <w:r>
        <w:rPr>
          <w:noProof/>
        </w:rPr>
        <w:t xml:space="preserve">Aftalen med Amerikas Forenede Stater om </w:t>
      </w:r>
      <w:r>
        <w:rPr>
          <w:noProof/>
        </w:rPr>
        <w:t>tildelingen til USA af en andel af toldkontingentet for oksekød af høj kvalitet, der er omhandlet i det reviderede aftalememorandum mellem Amerikas Forenede Stater og Den Europæiske Union om import af oksekød fra dyr, der ikke er behandlet med visse væksth</w:t>
      </w:r>
      <w:r>
        <w:rPr>
          <w:noProof/>
        </w:rPr>
        <w:t>ormoner, og den af USA anvendte forhøjede told for visse produkter fra Den Europæiske Union (2014), indgås hermed på Unionens vegne.</w:t>
      </w:r>
    </w:p>
    <w:p w:rsidR="00D67760" w:rsidRDefault="002D730B">
      <w:pPr>
        <w:keepLines/>
        <w:rPr>
          <w:noProof/>
        </w:rPr>
      </w:pPr>
      <w:r>
        <w:rPr>
          <w:noProof/>
        </w:rPr>
        <w:t>Teksten til aftalen er knyttet til denne afgørelse.</w:t>
      </w:r>
    </w:p>
    <w:p w:rsidR="00D67760" w:rsidRDefault="002D730B">
      <w:pPr>
        <w:pStyle w:val="Titrearticle"/>
        <w:rPr>
          <w:noProof/>
        </w:rPr>
      </w:pPr>
      <w:r>
        <w:rPr>
          <w:noProof/>
        </w:rPr>
        <w:t>Artikel 2</w:t>
      </w:r>
    </w:p>
    <w:p w:rsidR="00D67760" w:rsidRDefault="002D730B">
      <w:pPr>
        <w:keepNext/>
        <w:keepLines/>
        <w:rPr>
          <w:noProof/>
        </w:rPr>
      </w:pPr>
      <w:r>
        <w:rPr>
          <w:noProof/>
        </w:rPr>
        <w:t>Denne afgørelse træder i kraft på dagen efter offentliggørels</w:t>
      </w:r>
      <w:r>
        <w:rPr>
          <w:noProof/>
        </w:rPr>
        <w:t xml:space="preserve">en i </w:t>
      </w:r>
      <w:r>
        <w:rPr>
          <w:i/>
          <w:noProof/>
        </w:rPr>
        <w:t>Den Europæiske Unions Tidende</w:t>
      </w:r>
      <w:r>
        <w:rPr>
          <w:noProof/>
        </w:rPr>
        <w:t>.</w:t>
      </w:r>
    </w:p>
    <w:p w:rsidR="00D67760" w:rsidRDefault="000137B9" w:rsidP="000137B9">
      <w:pPr>
        <w:pStyle w:val="Fait"/>
        <w:rPr>
          <w:noProof/>
        </w:rPr>
      </w:pPr>
      <w:r w:rsidRPr="000137B9">
        <w:t xml:space="preserve">Udfærdiget i Bruxelles, den </w:t>
      </w:r>
      <w:r w:rsidRPr="000137B9">
        <w:rPr>
          <w:rStyle w:val="Marker"/>
        </w:rPr>
        <w:t>[…]</w:t>
      </w:r>
      <w:r w:rsidRPr="000137B9">
        <w:t>.</w:t>
      </w:r>
    </w:p>
    <w:p w:rsidR="00D67760" w:rsidRDefault="002D730B">
      <w:pPr>
        <w:pStyle w:val="Institutionquisigne"/>
        <w:rPr>
          <w:noProof/>
        </w:rPr>
      </w:pPr>
      <w:r>
        <w:rPr>
          <w:noProof/>
        </w:rPr>
        <w:tab/>
      </w:r>
      <w:r>
        <w:rPr>
          <w:noProof/>
        </w:rPr>
        <w:t>På Rådets vegne</w:t>
      </w:r>
    </w:p>
    <w:p w:rsidR="00D67760" w:rsidRDefault="002D730B">
      <w:pPr>
        <w:pStyle w:val="Personnequisigne"/>
        <w:rPr>
          <w:noProof/>
        </w:rPr>
      </w:pPr>
      <w:r>
        <w:rPr>
          <w:noProof/>
        </w:rPr>
        <w:tab/>
        <w:t>Formand</w:t>
      </w:r>
    </w:p>
    <w:sectPr w:rsidR="00D67760" w:rsidSect="000137B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760" w:rsidRDefault="002D730B">
      <w:pPr>
        <w:spacing w:before="0" w:after="0"/>
      </w:pPr>
      <w:r>
        <w:separator/>
      </w:r>
    </w:p>
  </w:endnote>
  <w:endnote w:type="continuationSeparator" w:id="0">
    <w:p w:rsidR="00D67760" w:rsidRDefault="002D73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B9" w:rsidRPr="000137B9" w:rsidRDefault="000137B9" w:rsidP="00013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760" w:rsidRPr="000137B9" w:rsidRDefault="000137B9" w:rsidP="000137B9">
    <w:pPr>
      <w:pStyle w:val="Footer"/>
      <w:rPr>
        <w:rFonts w:ascii="Arial" w:hAnsi="Arial" w:cs="Arial"/>
        <w:b/>
        <w:sz w:val="48"/>
      </w:rPr>
    </w:pPr>
    <w:r w:rsidRPr="000137B9">
      <w:rPr>
        <w:rFonts w:ascii="Arial" w:hAnsi="Arial" w:cs="Arial"/>
        <w:b/>
        <w:sz w:val="48"/>
      </w:rPr>
      <w:t>DA</w:t>
    </w:r>
    <w:r w:rsidRPr="000137B9">
      <w:rPr>
        <w:rFonts w:ascii="Arial" w:hAnsi="Arial" w:cs="Arial"/>
        <w:b/>
        <w:sz w:val="48"/>
      </w:rPr>
      <w:tab/>
    </w:r>
    <w:r w:rsidRPr="000137B9">
      <w:rPr>
        <w:rFonts w:ascii="Arial" w:hAnsi="Arial" w:cs="Arial"/>
        <w:b/>
        <w:sz w:val="48"/>
      </w:rPr>
      <w:tab/>
    </w:r>
    <w:r w:rsidRPr="000137B9">
      <w:tab/>
    </w:r>
    <w:r w:rsidRPr="000137B9">
      <w:rPr>
        <w:rFonts w:ascii="Arial" w:hAnsi="Arial" w:cs="Arial"/>
        <w:b/>
        <w:sz w:val="48"/>
      </w:rPr>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B9" w:rsidRPr="000137B9" w:rsidRDefault="000137B9" w:rsidP="000137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760" w:rsidRPr="000137B9" w:rsidRDefault="000137B9" w:rsidP="000137B9">
    <w:pPr>
      <w:pStyle w:val="Footer"/>
      <w:rPr>
        <w:rFonts w:ascii="Arial" w:hAnsi="Arial" w:cs="Arial"/>
        <w:b/>
        <w:sz w:val="48"/>
      </w:rPr>
    </w:pPr>
    <w:r w:rsidRPr="000137B9">
      <w:rPr>
        <w:rFonts w:ascii="Arial" w:hAnsi="Arial" w:cs="Arial"/>
        <w:b/>
        <w:sz w:val="48"/>
      </w:rPr>
      <w:t>DA</w:t>
    </w:r>
    <w:r w:rsidRPr="000137B9">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rsidRPr="000137B9">
      <w:tab/>
    </w:r>
    <w:r w:rsidRPr="000137B9">
      <w:rPr>
        <w:rFonts w:ascii="Arial" w:hAnsi="Arial" w:cs="Arial"/>
        <w:b/>
        <w:sz w:val="48"/>
      </w:rPr>
      <w:t>DA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B9" w:rsidRPr="000137B9" w:rsidRDefault="000137B9" w:rsidP="00013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760" w:rsidRDefault="002D730B">
      <w:pPr>
        <w:spacing w:before="0" w:after="0"/>
      </w:pPr>
      <w:r>
        <w:separator/>
      </w:r>
    </w:p>
  </w:footnote>
  <w:footnote w:type="continuationSeparator" w:id="0">
    <w:p w:rsidR="00D67760" w:rsidRDefault="002D730B">
      <w:pPr>
        <w:spacing w:before="0" w:after="0"/>
      </w:pPr>
      <w:r>
        <w:continuationSeparator/>
      </w:r>
    </w:p>
  </w:footnote>
  <w:footnote w:id="1">
    <w:p w:rsidR="00D67760" w:rsidRDefault="002D730B">
      <w:pPr>
        <w:pStyle w:val="FootnoteText"/>
      </w:pPr>
      <w:r>
        <w:rPr>
          <w:rStyle w:val="FootnoteReference"/>
        </w:rPr>
        <w:footnoteRef/>
      </w:r>
      <w:r>
        <w:tab/>
        <w:t>Rådets forordning (EF) nr. 617/2009 af 13. juli 2009 om åbning af et autonomt toldkontingent for import af oksekød af høj kvalitet (EUT L 182 af 15.7.2009,</w:t>
      </w:r>
      <w:r>
        <w:t xml:space="preserve"> s.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B9" w:rsidRPr="000137B9" w:rsidRDefault="000137B9" w:rsidP="00013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B9" w:rsidRPr="000137B9" w:rsidRDefault="000137B9" w:rsidP="00013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B9" w:rsidRPr="000137B9" w:rsidRDefault="000137B9" w:rsidP="00013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C42E6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D09EF23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8CF88A86"/>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DABCFC4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B3A9AA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FC224D8"/>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F400B5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30EE819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8 09:06: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LW_CORRIGENDUM" w:val="&lt;UNUSED&gt;"/>
    <w:docVar w:name="LW_COVERPAGE_EXISTS" w:val="True"/>
    <w:docVar w:name="LW_COVERPAGE_GUID" w:val="4F491FE4-113C-4CF0-8EDF-394934AF9F19"/>
    <w:docVar w:name="LW_COVERPAGE_TYPE" w:val="1"/>
    <w:docVar w:name="LW_CROSSREFERENCE" w:val="&lt;UNUSED&gt;"/>
    <w:docVar w:name="LW_DocType" w:val="COM"/>
    <w:docVar w:name="LW_EMISSION" w:val="24.6.2019"/>
    <w:docVar w:name="LW_EMISSION_ISODATE" w:val="2019-06-24"/>
    <w:docVar w:name="LW_EMISSION_LOCATION" w:val="BRX"/>
    <w:docVar w:name="LW_EMISSION_PREFIX" w:val="Bruxelles,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142"/>
    <w:docVar w:name="LW_REF.II.NEW.CP_YEAR" w:val="2019"/>
    <w:docVar w:name="LW_REF.INST.NEW" w:val="COM"/>
    <w:docVar w:name="LW_REF.INST.NEW_ADOPTED" w:val="final/2 \u8211? DOWNGRADED on 16.7.2019"/>
    <w:docVar w:name="LW_REF.INST.NEW_TEXT" w:val="(2019) 2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indgåelse af en aftale med Amerikas Forenede Stater om tildelingen til USA af en andel af det toldkontingent, der er fastsat ved forordning (EF) nr. 617/2009 af 13. juli 2009 om åbning af et autonomt toldkontingent for import af oksekød af høj kvalitet"/>
    <w:docVar w:name="LW_TYPE.DOC.CP" w:val="RÅDETS AFGØRELSE"/>
  </w:docVars>
  <w:rsids>
    <w:rsidRoot w:val="00D67760"/>
    <w:rsid w:val="000137B9"/>
    <w:rsid w:val="002D730B"/>
    <w:rsid w:val="00D6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EC7DB72-3F1A-4A09-9CF9-B455FF14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0137B9"/>
    <w:pPr>
      <w:tabs>
        <w:tab w:val="center" w:pos="4535"/>
        <w:tab w:val="right" w:pos="9071"/>
      </w:tabs>
      <w:spacing w:before="0"/>
    </w:pPr>
  </w:style>
  <w:style w:type="character" w:customStyle="1" w:styleId="HeaderChar">
    <w:name w:val="Header Char"/>
    <w:basedOn w:val="DefaultParagraphFont"/>
    <w:link w:val="Header"/>
    <w:uiPriority w:val="99"/>
    <w:rsid w:val="000137B9"/>
    <w:rPr>
      <w:rFonts w:ascii="Times New Roman" w:hAnsi="Times New Roman" w:cs="Times New Roman"/>
      <w:sz w:val="24"/>
      <w:lang w:val="da-DK"/>
    </w:rPr>
  </w:style>
  <w:style w:type="paragraph" w:styleId="Footer">
    <w:name w:val="footer"/>
    <w:basedOn w:val="Normal"/>
    <w:link w:val="FooterChar"/>
    <w:uiPriority w:val="99"/>
    <w:unhideWhenUsed/>
    <w:rsid w:val="000137B9"/>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0137B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137B9"/>
    <w:pPr>
      <w:tabs>
        <w:tab w:val="center" w:pos="7285"/>
        <w:tab w:val="right" w:pos="14003"/>
      </w:tabs>
      <w:spacing w:before="0"/>
    </w:pPr>
  </w:style>
  <w:style w:type="paragraph" w:customStyle="1" w:styleId="FooterLandscape">
    <w:name w:val="FooterLandscape"/>
    <w:basedOn w:val="Normal"/>
    <w:rsid w:val="000137B9"/>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0137B9"/>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0137B9"/>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17</TotalTime>
  <Pages>5</Pages>
  <Words>914</Words>
  <Characters>5398</Characters>
  <Application>Microsoft Office Word</Application>
  <DocSecurity>0</DocSecurity>
  <Lines>112</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ANTONACCIO Raimondo (SG)</cp:lastModifiedBy>
  <cp:revision>36</cp:revision>
  <cp:lastPrinted>2019-06-14T11:51:00Z</cp:lastPrinted>
  <dcterms:created xsi:type="dcterms:W3CDTF">2019-06-25T07:31:00Z</dcterms:created>
  <dcterms:modified xsi:type="dcterms:W3CDTF">2019-07-18T10:32:00Z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Yellow (DQC version 03)</vt:lpwstr>
  </property>
</Properties>
</file>