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ED" w:rsidRDefault="00070A33" w:rsidP="00070A33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97B21944-8FAE-417B-AF39-C4926659EC06" style="width:450.75pt;height:438pt">
            <v:imagedata r:id="rId7" o:title=""/>
          </v:shape>
        </w:pict>
      </w:r>
    </w:p>
    <w:p w:rsidR="009E2EED" w:rsidRDefault="009E2EED">
      <w:pPr>
        <w:rPr>
          <w:noProof/>
        </w:rPr>
        <w:sectPr w:rsidR="009E2EED" w:rsidSect="00070A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9E2EED" w:rsidRDefault="00070A33"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PRÍLOHA </w:t>
      </w:r>
    </w:p>
    <w:p w:rsidR="009E2EED" w:rsidRDefault="00070A33">
      <w:pPr>
        <w:widowControl w:val="0"/>
        <w:spacing w:before="0" w:after="0" w:line="269" w:lineRule="exact"/>
        <w:ind w:right="40"/>
        <w:jc w:val="center"/>
        <w:rPr>
          <w:rFonts w:eastAsia="Times New Roman"/>
          <w:b/>
          <w:bCs/>
          <w:noProof/>
          <w:sz w:val="22"/>
        </w:rPr>
      </w:pPr>
      <w:r>
        <w:rPr>
          <w:b/>
          <w:noProof/>
          <w:sz w:val="22"/>
        </w:rPr>
        <w:t>DOHODA MEDZI</w:t>
      </w:r>
    </w:p>
    <w:p w:rsidR="009E2EED" w:rsidRDefault="00070A33">
      <w:pPr>
        <w:widowControl w:val="0"/>
        <w:spacing w:before="0" w:after="0" w:line="269" w:lineRule="exact"/>
        <w:ind w:right="40"/>
        <w:jc w:val="center"/>
        <w:rPr>
          <w:rFonts w:eastAsia="Times New Roman"/>
          <w:b/>
          <w:bCs/>
          <w:noProof/>
          <w:sz w:val="22"/>
        </w:rPr>
      </w:pPr>
      <w:r>
        <w:rPr>
          <w:b/>
          <w:noProof/>
          <w:sz w:val="22"/>
        </w:rPr>
        <w:t>SPOJENÝMI ŠTÁTMI AMERICKÝMI</w:t>
      </w:r>
    </w:p>
    <w:p w:rsidR="009E2EED" w:rsidRDefault="00070A33">
      <w:pPr>
        <w:widowControl w:val="0"/>
        <w:spacing w:before="0" w:after="240" w:line="269" w:lineRule="exact"/>
        <w:ind w:right="40"/>
        <w:jc w:val="center"/>
        <w:rPr>
          <w:rFonts w:eastAsia="Times New Roman"/>
          <w:b/>
          <w:bCs/>
          <w:i/>
          <w:noProof/>
          <w:sz w:val="22"/>
        </w:rPr>
      </w:pPr>
      <w:r>
        <w:rPr>
          <w:b/>
          <w:noProof/>
          <w:sz w:val="22"/>
        </w:rPr>
        <w:t>A EURÓPSKOU ÚNIOU</w:t>
      </w:r>
      <w:r>
        <w:rPr>
          <w:rFonts w:eastAsia="Times New Roman"/>
          <w:b/>
          <w:bCs/>
          <w:noProof/>
          <w:sz w:val="22"/>
        </w:rPr>
        <w:br/>
      </w:r>
      <w:r>
        <w:rPr>
          <w:b/>
          <w:noProof/>
          <w:sz w:val="22"/>
        </w:rPr>
        <w:t xml:space="preserve">O PRIDELENÍ PODIELU COLNEJ KVÓTY SPOJENÝM ŠTÁTOM AMERICKÝM NA VYSOKOKVALITNÉ </w:t>
      </w:r>
      <w:r>
        <w:rPr>
          <w:b/>
          <w:noProof/>
          <w:sz w:val="22"/>
        </w:rPr>
        <w:t>HOVÄDZIE MÄSO V ZMYSLE</w:t>
      </w:r>
      <w:r>
        <w:rPr>
          <w:b/>
          <w:noProof/>
          <w:color w:val="FF0000"/>
          <w:sz w:val="22"/>
        </w:rPr>
        <w:t xml:space="preserve"> </w:t>
      </w:r>
    </w:p>
    <w:p w:rsidR="009E2EED" w:rsidRDefault="00070A33">
      <w:pPr>
        <w:widowControl w:val="0"/>
        <w:spacing w:before="0" w:after="360" w:line="269" w:lineRule="exact"/>
        <w:ind w:right="40"/>
        <w:jc w:val="center"/>
        <w:rPr>
          <w:rFonts w:eastAsia="Times New Roman"/>
          <w:b/>
          <w:bCs/>
          <w:i/>
          <w:noProof/>
          <w:sz w:val="22"/>
        </w:rPr>
      </w:pPr>
      <w:r>
        <w:rPr>
          <w:b/>
          <w:i/>
          <w:noProof/>
          <w:sz w:val="22"/>
        </w:rPr>
        <w:t>REVIDOVANÉHO MEMORANDA O POROZUMENÍ</w:t>
      </w:r>
      <w:r>
        <w:rPr>
          <w:rFonts w:eastAsia="Times New Roman"/>
          <w:b/>
          <w:bCs/>
          <w:i/>
          <w:noProof/>
          <w:sz w:val="22"/>
        </w:rPr>
        <w:br/>
      </w:r>
      <w:r>
        <w:rPr>
          <w:b/>
          <w:i/>
          <w:noProof/>
          <w:sz w:val="22"/>
        </w:rPr>
        <w:t>O DOVOZE HOVÄDZIEHO MÄSA ZO ZVIERAT, KTORÝM SA NEPODÁVALI URČITÉ RASTOVÉ HORMÓNY, A O ZVÝŠENÝCH CLÁCH UPLATŇOVANÝCH SPOJENÝMI ŠTÁTMI NA URČITÉ VÝROBKY EURÓPSKEJ ÚNIE (2014).</w:t>
      </w:r>
    </w:p>
    <w:p w:rsidR="009E2EED" w:rsidRDefault="00070A33">
      <w:pPr>
        <w:rPr>
          <w:noProof/>
        </w:rPr>
      </w:pPr>
      <w:r>
        <w:rPr>
          <w:noProof/>
        </w:rPr>
        <w:t>Spojené štáty americké</w:t>
      </w:r>
      <w:r>
        <w:rPr>
          <w:noProof/>
        </w:rPr>
        <w:t xml:space="preserve"> a Európska únia, ktoré sú zmluvnými stranami Revidovaného memoranda o porozumení medzi Spojenými štátmi americkými a Európskou úniou o dovoze hovädzieho mäsa zo zvierat, ktorým sa nepodávali určité rastové hormóny, a o zvýšených clách uplatňovaných Spojen</w:t>
      </w:r>
      <w:r>
        <w:rPr>
          <w:noProof/>
        </w:rPr>
        <w:t>ými štátmi na určité výrobky Európskej únie z 21. októbra 2013 (ďalej len „memorandum o porozumení z roku 2014“), sa dohodli takto:</w:t>
      </w:r>
    </w:p>
    <w:p w:rsidR="009E2EED" w:rsidRDefault="00070A33">
      <w:pPr>
        <w:widowControl w:val="0"/>
        <w:spacing w:before="240" w:after="280" w:line="269" w:lineRule="exact"/>
        <w:jc w:val="center"/>
        <w:rPr>
          <w:rFonts w:eastAsia="Arial"/>
          <w:bCs/>
          <w:noProof/>
          <w:color w:val="000000"/>
          <w:sz w:val="22"/>
          <w:shd w:val="clear" w:color="auto" w:fill="FFFFFF"/>
        </w:rPr>
      </w:pPr>
      <w:r>
        <w:rPr>
          <w:noProof/>
          <w:color w:val="000000"/>
          <w:sz w:val="22"/>
          <w:shd w:val="clear" w:color="auto" w:fill="FFFFFF"/>
        </w:rPr>
        <w:t>Článok 1</w:t>
      </w:r>
    </w:p>
    <w:p w:rsidR="009E2EED" w:rsidRDefault="00070A33">
      <w:pPr>
        <w:widowControl w:val="0"/>
        <w:spacing w:before="0" w:after="280" w:line="269" w:lineRule="exact"/>
        <w:jc w:val="center"/>
        <w:rPr>
          <w:rFonts w:eastAsia="Arial"/>
          <w:b/>
          <w:bCs/>
          <w:noProof/>
          <w:color w:val="000000"/>
          <w:sz w:val="22"/>
          <w:shd w:val="clear" w:color="auto" w:fill="FFFFFF"/>
        </w:rPr>
      </w:pPr>
      <w:r>
        <w:rPr>
          <w:b/>
          <w:noProof/>
          <w:color w:val="000000"/>
          <w:sz w:val="22"/>
          <w:shd w:val="clear" w:color="auto" w:fill="FFFFFF"/>
        </w:rPr>
        <w:t>Ciele</w:t>
      </w:r>
    </w:p>
    <w:p w:rsidR="009E2EED" w:rsidRDefault="00070A33">
      <w:pPr>
        <w:rPr>
          <w:noProof/>
        </w:rPr>
      </w:pPr>
      <w:r>
        <w:rPr>
          <w:noProof/>
        </w:rPr>
        <w:t>Dohoda má tieto ciele:</w:t>
      </w:r>
    </w:p>
    <w:p w:rsidR="009E2EED" w:rsidRDefault="00070A33">
      <w:pPr>
        <w:pStyle w:val="NumPar1"/>
        <w:numPr>
          <w:ilvl w:val="0"/>
          <w:numId w:val="26"/>
        </w:numPr>
        <w:rPr>
          <w:noProof/>
        </w:rPr>
      </w:pPr>
      <w:r>
        <w:rPr>
          <w:noProof/>
        </w:rPr>
        <w:t xml:space="preserve">prideliť Spojeným štátom podiel autonómnej colnej kvóty na vysokokvalitné hovädzie </w:t>
      </w:r>
      <w:r>
        <w:rPr>
          <w:noProof/>
        </w:rPr>
        <w:t>mäso v objeme 45 000 ton, ako sa uvádza v článku II.4, článku II.5 a článku VI memoranda o porozumení z roku 2014 a</w:t>
      </w:r>
    </w:p>
    <w:p w:rsidR="009E2EED" w:rsidRDefault="00070A33">
      <w:pPr>
        <w:pStyle w:val="NumPar1"/>
        <w:rPr>
          <w:noProof/>
        </w:rPr>
      </w:pPr>
      <w:r>
        <w:rPr>
          <w:noProof/>
        </w:rPr>
        <w:t>doplniť alebo upraviť určité práva a povinnosti zmluvných strán uvedených v článkoch III, IV, V, VII a VIII memoranda o porozumení z roku 20</w:t>
      </w:r>
      <w:r>
        <w:rPr>
          <w:noProof/>
        </w:rPr>
        <w:t>14.</w:t>
      </w:r>
    </w:p>
    <w:p w:rsidR="009E2EED" w:rsidRDefault="00070A33">
      <w:pPr>
        <w:widowControl w:val="0"/>
        <w:spacing w:before="240" w:after="280" w:line="269" w:lineRule="exact"/>
        <w:jc w:val="center"/>
        <w:rPr>
          <w:rFonts w:eastAsia="Arial"/>
          <w:noProof/>
          <w:color w:val="000000"/>
          <w:sz w:val="22"/>
          <w:shd w:val="clear" w:color="auto" w:fill="FFFFFF"/>
        </w:rPr>
      </w:pPr>
      <w:r>
        <w:rPr>
          <w:noProof/>
          <w:color w:val="000000"/>
          <w:sz w:val="22"/>
          <w:shd w:val="clear" w:color="auto" w:fill="FFFFFF"/>
        </w:rPr>
        <w:t>Článok 2</w:t>
      </w:r>
    </w:p>
    <w:p w:rsidR="009E2EED" w:rsidRDefault="00070A33">
      <w:pPr>
        <w:widowControl w:val="0"/>
        <w:spacing w:before="0" w:after="280" w:line="269" w:lineRule="exact"/>
        <w:jc w:val="center"/>
        <w:rPr>
          <w:rFonts w:ascii="Arial" w:eastAsia="Arial" w:hAnsi="Arial" w:cs="Arial"/>
          <w:b/>
          <w:bCs/>
          <w:i/>
          <w:iCs/>
          <w:noProof/>
          <w:sz w:val="19"/>
          <w:szCs w:val="19"/>
          <w:shd w:val="clear" w:color="auto" w:fill="FFFFFF"/>
        </w:rPr>
      </w:pPr>
      <w:r>
        <w:rPr>
          <w:b/>
          <w:noProof/>
          <w:color w:val="000000"/>
          <w:sz w:val="22"/>
          <w:shd w:val="clear" w:color="auto" w:fill="FFFFFF"/>
        </w:rPr>
        <w:t>Pridelené podiely v rámci kvóty</w:t>
      </w:r>
    </w:p>
    <w:p w:rsidR="009E2EED" w:rsidRDefault="00070A33">
      <w:pPr>
        <w:pStyle w:val="NumPar1"/>
        <w:numPr>
          <w:ilvl w:val="0"/>
          <w:numId w:val="9"/>
        </w:numPr>
        <w:rPr>
          <w:noProof/>
        </w:rPr>
      </w:pPr>
      <w:r>
        <w:rPr>
          <w:noProof/>
        </w:rPr>
        <w:t>Európska únia pridelí Spojeným štátom 35 000 metrických ton v rámci colnej kvóty v objeme 45 000 metrických ton uvedenej v článku 1. Zvyšné množstvo 10 000 metrických ton sa sprístupní všetkým ďalším krajinám. P</w:t>
      </w:r>
      <w:r>
        <w:rPr>
          <w:noProof/>
        </w:rPr>
        <w:t>ridelené podiely sa postupne poskytnú počas obdobia siedmich rokov („obdobie uplatňovania“) takto: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1"/>
        <w:gridCol w:w="2750"/>
        <w:gridCol w:w="2783"/>
      </w:tblGrid>
      <w:tr w:rsidR="009E2EED">
        <w:tc>
          <w:tcPr>
            <w:tcW w:w="2811" w:type="dxa"/>
          </w:tcPr>
          <w:p w:rsidR="009E2EED" w:rsidRDefault="009E2EED">
            <w:pPr>
              <w:spacing w:before="0" w:after="0" w:line="269" w:lineRule="exact"/>
              <w:jc w:val="left"/>
              <w:rPr>
                <w:noProof/>
                <w:sz w:val="22"/>
              </w:rPr>
            </w:pPr>
          </w:p>
        </w:tc>
        <w:tc>
          <w:tcPr>
            <w:tcW w:w="2750" w:type="dxa"/>
          </w:tcPr>
          <w:p w:rsidR="009E2EED" w:rsidRDefault="00070A33">
            <w:pPr>
              <w:spacing w:before="0" w:after="0" w:line="269" w:lineRule="exact"/>
              <w:jc w:val="left"/>
              <w:rPr>
                <w:noProof/>
                <w:sz w:val="22"/>
                <w:u w:val="single"/>
              </w:rPr>
            </w:pPr>
            <w:r>
              <w:rPr>
                <w:noProof/>
                <w:sz w:val="22"/>
                <w:u w:val="single"/>
              </w:rPr>
              <w:t>Spojené štáty americké</w:t>
            </w:r>
          </w:p>
        </w:tc>
        <w:tc>
          <w:tcPr>
            <w:tcW w:w="2783" w:type="dxa"/>
          </w:tcPr>
          <w:p w:rsidR="009E2EED" w:rsidRDefault="00070A33">
            <w:pPr>
              <w:spacing w:before="0" w:after="0" w:line="269" w:lineRule="exact"/>
              <w:jc w:val="left"/>
              <w:rPr>
                <w:noProof/>
                <w:sz w:val="22"/>
                <w:u w:val="single"/>
              </w:rPr>
            </w:pPr>
            <w:r>
              <w:rPr>
                <w:noProof/>
                <w:sz w:val="22"/>
                <w:u w:val="single"/>
              </w:rPr>
              <w:t>Všetky ostatné krajiny</w:t>
            </w:r>
          </w:p>
        </w:tc>
      </w:tr>
      <w:tr w:rsidR="009E2EED">
        <w:tc>
          <w:tcPr>
            <w:tcW w:w="2811" w:type="dxa"/>
          </w:tcPr>
          <w:p w:rsidR="009E2EED" w:rsidRDefault="00070A33">
            <w:pPr>
              <w:spacing w:before="0" w:after="0" w:line="269" w:lineRule="exact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Rok 1</w:t>
            </w:r>
          </w:p>
        </w:tc>
        <w:tc>
          <w:tcPr>
            <w:tcW w:w="2750" w:type="dxa"/>
          </w:tcPr>
          <w:p w:rsidR="009E2EED" w:rsidRDefault="00070A33">
            <w:pPr>
              <w:spacing w:before="0" w:after="0" w:line="269" w:lineRule="exact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18 500 metrických ton</w:t>
            </w:r>
          </w:p>
        </w:tc>
        <w:tc>
          <w:tcPr>
            <w:tcW w:w="2783" w:type="dxa"/>
          </w:tcPr>
          <w:p w:rsidR="009E2EED" w:rsidRDefault="00070A33">
            <w:pPr>
              <w:spacing w:before="0" w:after="0" w:line="269" w:lineRule="exact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26 500 metrických ton</w:t>
            </w:r>
          </w:p>
        </w:tc>
      </w:tr>
      <w:tr w:rsidR="009E2EED">
        <w:tc>
          <w:tcPr>
            <w:tcW w:w="2811" w:type="dxa"/>
          </w:tcPr>
          <w:p w:rsidR="009E2EED" w:rsidRDefault="00070A33">
            <w:pPr>
              <w:spacing w:before="0" w:after="0" w:line="269" w:lineRule="exact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Rok 2</w:t>
            </w:r>
          </w:p>
        </w:tc>
        <w:tc>
          <w:tcPr>
            <w:tcW w:w="2750" w:type="dxa"/>
          </w:tcPr>
          <w:p w:rsidR="009E2EED" w:rsidRDefault="00070A33">
            <w:pPr>
              <w:spacing w:before="0" w:after="0" w:line="269" w:lineRule="exact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23 000 metrických ton</w:t>
            </w:r>
          </w:p>
        </w:tc>
        <w:tc>
          <w:tcPr>
            <w:tcW w:w="2783" w:type="dxa"/>
          </w:tcPr>
          <w:p w:rsidR="009E2EED" w:rsidRDefault="00070A33">
            <w:pPr>
              <w:spacing w:before="0" w:after="0" w:line="269" w:lineRule="exact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22 000 metrických ton</w:t>
            </w:r>
          </w:p>
        </w:tc>
      </w:tr>
      <w:tr w:rsidR="009E2EED">
        <w:tc>
          <w:tcPr>
            <w:tcW w:w="2811" w:type="dxa"/>
          </w:tcPr>
          <w:p w:rsidR="009E2EED" w:rsidRDefault="00070A33">
            <w:pPr>
              <w:spacing w:before="0" w:after="0" w:line="269" w:lineRule="exact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Rok 3</w:t>
            </w:r>
          </w:p>
        </w:tc>
        <w:tc>
          <w:tcPr>
            <w:tcW w:w="2750" w:type="dxa"/>
          </w:tcPr>
          <w:p w:rsidR="009E2EED" w:rsidRDefault="00070A33">
            <w:pPr>
              <w:spacing w:before="0" w:after="0" w:line="269" w:lineRule="exact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25 400 metrických ton</w:t>
            </w:r>
          </w:p>
        </w:tc>
        <w:tc>
          <w:tcPr>
            <w:tcW w:w="2783" w:type="dxa"/>
          </w:tcPr>
          <w:p w:rsidR="009E2EED" w:rsidRDefault="00070A33">
            <w:pPr>
              <w:spacing w:before="0" w:after="0" w:line="269" w:lineRule="exact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19 600 metrických ton</w:t>
            </w:r>
          </w:p>
        </w:tc>
      </w:tr>
      <w:tr w:rsidR="009E2EED">
        <w:tc>
          <w:tcPr>
            <w:tcW w:w="2811" w:type="dxa"/>
          </w:tcPr>
          <w:p w:rsidR="009E2EED" w:rsidRDefault="00070A33">
            <w:pPr>
              <w:spacing w:before="0" w:after="0" w:line="269" w:lineRule="exact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Rok 4</w:t>
            </w:r>
          </w:p>
        </w:tc>
        <w:tc>
          <w:tcPr>
            <w:tcW w:w="2750" w:type="dxa"/>
          </w:tcPr>
          <w:p w:rsidR="009E2EED" w:rsidRDefault="00070A33">
            <w:pPr>
              <w:spacing w:before="0" w:after="0" w:line="269" w:lineRule="exact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27 800 metrických ton</w:t>
            </w:r>
          </w:p>
        </w:tc>
        <w:tc>
          <w:tcPr>
            <w:tcW w:w="2783" w:type="dxa"/>
          </w:tcPr>
          <w:p w:rsidR="009E2EED" w:rsidRDefault="00070A33">
            <w:pPr>
              <w:spacing w:before="0" w:after="0" w:line="269" w:lineRule="exact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17 200 metrických ton</w:t>
            </w:r>
          </w:p>
        </w:tc>
      </w:tr>
      <w:tr w:rsidR="009E2EED">
        <w:tc>
          <w:tcPr>
            <w:tcW w:w="2811" w:type="dxa"/>
          </w:tcPr>
          <w:p w:rsidR="009E2EED" w:rsidRDefault="00070A33">
            <w:pPr>
              <w:spacing w:before="0" w:after="0" w:line="269" w:lineRule="exact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Rok 5</w:t>
            </w:r>
          </w:p>
        </w:tc>
        <w:tc>
          <w:tcPr>
            <w:tcW w:w="2750" w:type="dxa"/>
          </w:tcPr>
          <w:p w:rsidR="009E2EED" w:rsidRDefault="00070A33">
            <w:pPr>
              <w:spacing w:before="0" w:after="0" w:line="269" w:lineRule="exact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30 200 metrických ton</w:t>
            </w:r>
          </w:p>
        </w:tc>
        <w:tc>
          <w:tcPr>
            <w:tcW w:w="2783" w:type="dxa"/>
          </w:tcPr>
          <w:p w:rsidR="009E2EED" w:rsidRDefault="00070A33">
            <w:pPr>
              <w:spacing w:before="0" w:after="0" w:line="269" w:lineRule="exact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14 800 metrických ton</w:t>
            </w:r>
          </w:p>
        </w:tc>
      </w:tr>
      <w:tr w:rsidR="009E2EED">
        <w:tc>
          <w:tcPr>
            <w:tcW w:w="2811" w:type="dxa"/>
          </w:tcPr>
          <w:p w:rsidR="009E2EED" w:rsidRDefault="00070A33">
            <w:pPr>
              <w:spacing w:before="0" w:after="0" w:line="269" w:lineRule="exact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Rok 6</w:t>
            </w:r>
          </w:p>
        </w:tc>
        <w:tc>
          <w:tcPr>
            <w:tcW w:w="2750" w:type="dxa"/>
          </w:tcPr>
          <w:p w:rsidR="009E2EED" w:rsidRDefault="00070A33">
            <w:pPr>
              <w:spacing w:before="0" w:after="0" w:line="269" w:lineRule="exact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32 600 metrických ton</w:t>
            </w:r>
          </w:p>
        </w:tc>
        <w:tc>
          <w:tcPr>
            <w:tcW w:w="2783" w:type="dxa"/>
          </w:tcPr>
          <w:p w:rsidR="009E2EED" w:rsidRDefault="00070A33">
            <w:pPr>
              <w:spacing w:before="0" w:after="0" w:line="269" w:lineRule="exact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12 400 metrických ton</w:t>
            </w:r>
          </w:p>
        </w:tc>
      </w:tr>
      <w:tr w:rsidR="009E2EED">
        <w:tc>
          <w:tcPr>
            <w:tcW w:w="2811" w:type="dxa"/>
          </w:tcPr>
          <w:p w:rsidR="009E2EED" w:rsidRDefault="00070A33">
            <w:pPr>
              <w:spacing w:before="0" w:after="0" w:line="269" w:lineRule="exact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Rok 7 a ďalšie roky</w:t>
            </w:r>
          </w:p>
        </w:tc>
        <w:tc>
          <w:tcPr>
            <w:tcW w:w="2750" w:type="dxa"/>
          </w:tcPr>
          <w:p w:rsidR="009E2EED" w:rsidRDefault="00070A33">
            <w:pPr>
              <w:spacing w:before="0" w:after="0" w:line="269" w:lineRule="exact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35 000 metrických ton</w:t>
            </w:r>
          </w:p>
        </w:tc>
        <w:tc>
          <w:tcPr>
            <w:tcW w:w="2783" w:type="dxa"/>
          </w:tcPr>
          <w:p w:rsidR="009E2EED" w:rsidRDefault="00070A33">
            <w:pPr>
              <w:spacing w:before="0" w:after="0" w:line="269" w:lineRule="exact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10 000 metrických ton </w:t>
            </w:r>
          </w:p>
          <w:p w:rsidR="009E2EED" w:rsidRDefault="009E2EED">
            <w:pPr>
              <w:spacing w:before="0" w:after="0" w:line="269" w:lineRule="exact"/>
              <w:jc w:val="left"/>
              <w:rPr>
                <w:noProof/>
                <w:sz w:val="22"/>
              </w:rPr>
            </w:pPr>
          </w:p>
        </w:tc>
      </w:tr>
    </w:tbl>
    <w:p w:rsidR="009E2EED" w:rsidRDefault="009E2EED">
      <w:pPr>
        <w:widowControl w:val="0"/>
        <w:spacing w:before="0" w:after="0" w:line="269" w:lineRule="exact"/>
        <w:ind w:left="720"/>
        <w:jc w:val="left"/>
        <w:rPr>
          <w:rFonts w:eastAsia="Times New Roman"/>
          <w:noProof/>
          <w:sz w:val="22"/>
        </w:rPr>
      </w:pPr>
    </w:p>
    <w:p w:rsidR="009E2EED" w:rsidRDefault="00070A33">
      <w:pPr>
        <w:pStyle w:val="NumPar1"/>
        <w:rPr>
          <w:noProof/>
        </w:rPr>
      </w:pPr>
      <w:r>
        <w:rPr>
          <w:noProof/>
        </w:rPr>
        <w:t>V záujme istoty sa na podiel colnej kvóty pridelenej Spojeným štátom vzťahujú základné povinnosti uvedené v článku II.1 memoranda o porozumení z roku 2014 vrátane colnej sadzby v rámci kvóty vo výške 0 %.</w:t>
      </w:r>
    </w:p>
    <w:p w:rsidR="009E2EED" w:rsidRDefault="00070A33">
      <w:pPr>
        <w:pStyle w:val="NumPar1"/>
        <w:rPr>
          <w:noProof/>
        </w:rPr>
      </w:pPr>
      <w:r>
        <w:rPr>
          <w:noProof/>
        </w:rPr>
        <w:t xml:space="preserve">Ročný objem colnej kvóty </w:t>
      </w:r>
      <w:r>
        <w:rPr>
          <w:noProof/>
        </w:rPr>
        <w:t xml:space="preserve">sa rovnomerne rozdelí medzi štyri čiastkové obdobia. Kvótový rok sa začína 1. júla a končí sa 30. júna. </w:t>
      </w:r>
    </w:p>
    <w:p w:rsidR="009E2EED" w:rsidRDefault="00070A33">
      <w:pPr>
        <w:pStyle w:val="Text1"/>
        <w:rPr>
          <w:noProof/>
        </w:rPr>
      </w:pPr>
      <w:r>
        <w:rPr>
          <w:noProof/>
        </w:rPr>
        <w:t>Ak táto dohoda nadobudne platnosť v iný deň ako 1. júla, rok 1 obdobia uplatňovania sa začne v prvý deň ďalšieho čiastkového obdobia kvótového roka a m</w:t>
      </w:r>
      <w:r>
        <w:rPr>
          <w:noProof/>
        </w:rPr>
        <w:t>usí trvať štyri po sebe nasledujúce čiastkové obdobia</w:t>
      </w:r>
      <w:r>
        <w:rPr>
          <w:rStyle w:val="FootnoteReference"/>
          <w:noProof/>
        </w:rPr>
        <w:footnoteReference w:id="1"/>
      </w:r>
      <w:r>
        <w:rPr>
          <w:noProof/>
        </w:rPr>
        <w:t>. Všetky nevyužité množstvá z čiastkových období, ktoré v danom kvótovom roku predchádzali prvému dňu roku 1, sa pripočítajú k množstvám, ktoré sú k dispozícii v prvom čiastkovom období roku 1 obdobia u</w:t>
      </w:r>
      <w:r>
        <w:rPr>
          <w:noProof/>
        </w:rPr>
        <w:t>platňovania. Tieto množstvá sa pripočítajú k množstvám prideleným Spojeným štátom a všetkým ostatným úmerne k ich podielom v rámci celkového objemu colnej kvóty.</w:t>
      </w:r>
    </w:p>
    <w:p w:rsidR="009E2EED" w:rsidRDefault="00070A33">
      <w:pPr>
        <w:widowControl w:val="0"/>
        <w:spacing w:before="0" w:after="280" w:line="269" w:lineRule="exact"/>
        <w:jc w:val="center"/>
        <w:rPr>
          <w:rFonts w:eastAsia="Arial"/>
          <w:noProof/>
          <w:color w:val="000000"/>
          <w:sz w:val="22"/>
          <w:shd w:val="clear" w:color="auto" w:fill="FFFFFF"/>
        </w:rPr>
      </w:pPr>
      <w:r>
        <w:rPr>
          <w:noProof/>
          <w:color w:val="000000"/>
          <w:sz w:val="22"/>
          <w:shd w:val="clear" w:color="auto" w:fill="FFFFFF"/>
        </w:rPr>
        <w:t>Článok 3</w:t>
      </w:r>
    </w:p>
    <w:p w:rsidR="009E2EED" w:rsidRDefault="00070A33">
      <w:pPr>
        <w:widowControl w:val="0"/>
        <w:spacing w:before="0" w:after="280" w:line="269" w:lineRule="exact"/>
        <w:jc w:val="center"/>
        <w:rPr>
          <w:rFonts w:ascii="Arial" w:eastAsia="Arial" w:hAnsi="Arial" w:cs="Arial"/>
          <w:b/>
          <w:bCs/>
          <w:i/>
          <w:iCs/>
          <w:noProof/>
          <w:sz w:val="19"/>
          <w:szCs w:val="19"/>
          <w:shd w:val="clear" w:color="auto" w:fill="FFFFFF"/>
        </w:rPr>
      </w:pPr>
      <w:r>
        <w:rPr>
          <w:b/>
          <w:noProof/>
          <w:color w:val="000000"/>
          <w:sz w:val="22"/>
          <w:shd w:val="clear" w:color="auto" w:fill="FFFFFF"/>
        </w:rPr>
        <w:t>Správa kvót</w:t>
      </w:r>
    </w:p>
    <w:p w:rsidR="009E2EED" w:rsidRDefault="00070A33">
      <w:pPr>
        <w:rPr>
          <w:noProof/>
        </w:rPr>
      </w:pPr>
      <w:r>
        <w:rPr>
          <w:noProof/>
        </w:rPr>
        <w:t xml:space="preserve">Podiel colnej kvóty na vysokokvalitné hovädzie mäso pridelený Spojeným </w:t>
      </w:r>
      <w:r>
        <w:rPr>
          <w:noProof/>
        </w:rPr>
        <w:t>štátom spravuje Európska únia podľa zásady „kto prv príde, ten prv berie“. Európska únia vynaloží maximálne úsilie na správu podielu colnej kvóty prideleného Spojeným štátom tak, aby ho dovozcovia mohli v plnej miere využívať. Týmto článkom sa nahrádza člá</w:t>
      </w:r>
      <w:r>
        <w:rPr>
          <w:noProof/>
        </w:rPr>
        <w:t>nok III memoranda o porozumení z roku 2014.</w:t>
      </w:r>
    </w:p>
    <w:p w:rsidR="009E2EED" w:rsidRDefault="00070A33">
      <w:pPr>
        <w:widowControl w:val="0"/>
        <w:spacing w:before="0" w:after="280" w:line="269" w:lineRule="exact"/>
        <w:jc w:val="center"/>
        <w:rPr>
          <w:rFonts w:ascii="Arial" w:eastAsia="Arial" w:hAnsi="Arial" w:cs="Arial"/>
          <w:b/>
          <w:bCs/>
          <w:i/>
          <w:iCs/>
          <w:noProof/>
          <w:sz w:val="19"/>
          <w:szCs w:val="19"/>
          <w:shd w:val="clear" w:color="auto" w:fill="FFFFFF"/>
        </w:rPr>
      </w:pPr>
      <w:r>
        <w:rPr>
          <w:noProof/>
          <w:color w:val="000000"/>
          <w:sz w:val="22"/>
          <w:shd w:val="clear" w:color="auto" w:fill="FFFFFF"/>
        </w:rPr>
        <w:t>Článok 4</w:t>
      </w:r>
    </w:p>
    <w:p w:rsidR="009E2EED" w:rsidRDefault="00070A33">
      <w:pPr>
        <w:widowControl w:val="0"/>
        <w:spacing w:before="0" w:after="280" w:line="269" w:lineRule="exact"/>
        <w:jc w:val="center"/>
        <w:rPr>
          <w:rFonts w:eastAsia="Arial"/>
          <w:b/>
          <w:noProof/>
          <w:color w:val="000000"/>
          <w:sz w:val="22"/>
          <w:shd w:val="clear" w:color="auto" w:fill="FFFFFF"/>
        </w:rPr>
      </w:pPr>
      <w:r>
        <w:rPr>
          <w:b/>
          <w:noProof/>
          <w:color w:val="000000"/>
          <w:sz w:val="22"/>
          <w:shd w:val="clear" w:color="auto" w:fill="FFFFFF"/>
        </w:rPr>
        <w:t>Spor ES – Hormóny</w:t>
      </w:r>
    </w:p>
    <w:p w:rsidR="009E2EED" w:rsidRDefault="00070A33">
      <w:pPr>
        <w:pStyle w:val="NumPar1"/>
        <w:numPr>
          <w:ilvl w:val="0"/>
          <w:numId w:val="10"/>
        </w:numPr>
        <w:rPr>
          <w:noProof/>
        </w:rPr>
      </w:pPr>
      <w:r>
        <w:rPr>
          <w:noProof/>
        </w:rPr>
        <w:t>Obchodný predstaviteľ Spojených štátov uzavrie konanie iniciované v decembri 2016 podľa oddielu 306 písm. c) zákona o obchode z roku 1974 v znení zmien s cieľom neobnoviť opatrenie týka</w:t>
      </w:r>
      <w:r>
        <w:rPr>
          <w:noProof/>
        </w:rPr>
        <w:t>júce sa uplatnenia povolenia v zmysle dokumentu WT/DS26/21. Spojené štáty uverejnia svoje rozhodnutie najneskôr v deň nadobudnutia účinnosti kvót pridelených jednotlivým krajinám, ktoré sa v súvislosti s rokom 1 vymedzujú v článku 2.</w:t>
      </w:r>
    </w:p>
    <w:p w:rsidR="009E2EED" w:rsidRDefault="00070A33">
      <w:pPr>
        <w:pStyle w:val="NumPar1"/>
        <w:rPr>
          <w:noProof/>
        </w:rPr>
      </w:pPr>
      <w:r>
        <w:rPr>
          <w:noProof/>
        </w:rPr>
        <w:t>Počas obdobia uplatňov</w:t>
      </w:r>
      <w:r>
        <w:rPr>
          <w:noProof/>
        </w:rPr>
        <w:t>ania uvedeného v článku 2 ods. 1, počas obdobia preskúmania uvedeného v článku 4 ods. 3 a dovtedy, kým sa neoznámi vzájomne dohodnuté riešenie uvedené v článku 4 ods. 3:</w:t>
      </w:r>
    </w:p>
    <w:p w:rsidR="009E2EED" w:rsidRDefault="00070A33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zmluvné strany nepožiadajú o zriadenie poroty podľa článku 21.5 dohovoru WTO o prav</w:t>
      </w:r>
      <w:r>
        <w:rPr>
          <w:noProof/>
        </w:rPr>
        <w:t xml:space="preserve">idlách a postupoch pri urovnávaní sporov (ďalej len „dohovor o urovnávaní sporov“) vo veci WT/DS26 </w:t>
      </w:r>
      <w:r>
        <w:rPr>
          <w:i/>
          <w:noProof/>
        </w:rPr>
        <w:t>„Opatrenia týkajúce sa mäsa a mäsových výrobkov (Hormóny)“</w:t>
      </w:r>
      <w:r>
        <w:rPr>
          <w:noProof/>
        </w:rPr>
        <w:t xml:space="preserve"> (</w:t>
      </w:r>
      <w:r>
        <w:rPr>
          <w:i/>
          <w:noProof/>
        </w:rPr>
        <w:t>ES — Hormóny</w:t>
      </w:r>
      <w:r>
        <w:rPr>
          <w:noProof/>
        </w:rPr>
        <w:t>);</w:t>
      </w:r>
    </w:p>
    <w:p w:rsidR="009E2EED" w:rsidRDefault="00070A33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Spojené štáty nepozastavia v prípade Európskej únie uplatňovanie colných konces</w:t>
      </w:r>
      <w:r>
        <w:rPr>
          <w:noProof/>
        </w:rPr>
        <w:t xml:space="preserve">ií </w:t>
      </w:r>
      <w:r>
        <w:rPr>
          <w:i/>
          <w:noProof/>
        </w:rPr>
        <w:t>a</w:t>
      </w:r>
      <w:r>
        <w:rPr>
          <w:noProof/>
        </w:rPr>
        <w:t xml:space="preserve"> súvisiacich povinností, ktoré schválil orgán Svetovej obchodnej organizácie na urovnávanie sporov vo veci </w:t>
      </w:r>
      <w:r>
        <w:rPr>
          <w:i/>
          <w:noProof/>
        </w:rPr>
        <w:t>ES – Hormóny</w:t>
      </w:r>
      <w:r>
        <w:rPr>
          <w:noProof/>
        </w:rPr>
        <w:t xml:space="preserve"> v prípade odvolania sa zo strany Spojených štátov na článok 22.7 dohovoru o urovnávaní sporov WT/DS26/21.</w:t>
      </w:r>
    </w:p>
    <w:p w:rsidR="009E2EED" w:rsidRDefault="00070A33">
      <w:pPr>
        <w:pStyle w:val="NumPar1"/>
        <w:rPr>
          <w:noProof/>
        </w:rPr>
      </w:pPr>
      <w:r>
        <w:rPr>
          <w:noProof/>
        </w:rPr>
        <w:t>Najneskôr do desiatich (10</w:t>
      </w:r>
      <w:r>
        <w:rPr>
          <w:noProof/>
        </w:rPr>
        <w:t>) rokov po nadobudnutí platnosti tejto dohody uskutočnia Spojené štáty a EÚ spoločné stretnutie, ktorého účelom bude preskúmať uplatňovanie colnej kvóty s cieľom dospieť k vzájomne dohodnutému riešeniu, ktoré sa do konca predmetného preskúmania oznámi orgá</w:t>
      </w:r>
      <w:r>
        <w:rPr>
          <w:noProof/>
        </w:rPr>
        <w:t>nu WTO na urovnávanie sporov v súlade s článkom 3.6 dohovoru o urovnávaní sporov. Preskúmanie sa ukončí najneskôr 11 rokov po nadobudnutí platnosti tejto dohody. Týmto ustanovením sa nahrádza článok IV memoranda o porozumení z roku 2014.</w:t>
      </w:r>
    </w:p>
    <w:p w:rsidR="009E2EED" w:rsidRDefault="00070A33">
      <w:pPr>
        <w:pStyle w:val="NumPar1"/>
        <w:rPr>
          <w:noProof/>
        </w:rPr>
      </w:pPr>
      <w:r>
        <w:rPr>
          <w:noProof/>
        </w:rPr>
        <w:t xml:space="preserve">Ak zmluvné strany </w:t>
      </w:r>
      <w:r>
        <w:rPr>
          <w:noProof/>
        </w:rPr>
        <w:t>spoločne neoznámia dané vzájomne dohodnuté riešenie orgánu WTO na urovnávanie sporov do 11 rokov od nadobudnutia platnosti tejto dohody, ktorákoľvek zo zmluvných strán môže dohodu vypovedať v súlade s článkom 6.1.</w:t>
      </w:r>
    </w:p>
    <w:p w:rsidR="009E2EED" w:rsidRDefault="00070A33">
      <w:pPr>
        <w:widowControl w:val="0"/>
        <w:tabs>
          <w:tab w:val="left" w:pos="774"/>
        </w:tabs>
        <w:spacing w:before="0" w:after="280" w:line="269" w:lineRule="exact"/>
        <w:ind w:left="760"/>
        <w:jc w:val="center"/>
        <w:rPr>
          <w:rFonts w:eastAsia="Times New Roman"/>
          <w:noProof/>
          <w:sz w:val="22"/>
        </w:rPr>
      </w:pPr>
      <w:r>
        <w:rPr>
          <w:noProof/>
          <w:sz w:val="22"/>
        </w:rPr>
        <w:t>Článok 5</w:t>
      </w:r>
    </w:p>
    <w:p w:rsidR="009E2EED" w:rsidRDefault="00070A33">
      <w:pPr>
        <w:widowControl w:val="0"/>
        <w:tabs>
          <w:tab w:val="left" w:pos="774"/>
        </w:tabs>
        <w:spacing w:before="0" w:after="280" w:line="269" w:lineRule="exact"/>
        <w:ind w:left="760"/>
        <w:jc w:val="center"/>
        <w:rPr>
          <w:rFonts w:eastAsia="Times New Roman"/>
          <w:b/>
          <w:noProof/>
          <w:sz w:val="22"/>
        </w:rPr>
      </w:pPr>
      <w:r>
        <w:rPr>
          <w:b/>
          <w:noProof/>
          <w:sz w:val="22"/>
        </w:rPr>
        <w:t>Kontroly na mieste</w:t>
      </w:r>
    </w:p>
    <w:p w:rsidR="009E2EED" w:rsidRDefault="00070A33">
      <w:pPr>
        <w:rPr>
          <w:noProof/>
        </w:rPr>
      </w:pPr>
      <w:r>
        <w:rPr>
          <w:noProof/>
        </w:rPr>
        <w:t>Komisia môže v</w:t>
      </w:r>
      <w:r>
        <w:rPr>
          <w:noProof/>
        </w:rPr>
        <w:t>ládu Spojených štátov požiadať, aby zástupcom Komisie povolila vykonávať kontroly na mieste v Spojených štátoch za predpokladu, že sa takéto kontroly na mieste vykonávajú na nediskriminačnom základe vzhľadom na dodávateľov z iných krajín. Tieto kontroly sa</w:t>
      </w:r>
      <w:r>
        <w:rPr>
          <w:noProof/>
        </w:rPr>
        <w:t xml:space="preserve"> vykonávajú spoločne s príslušnými orgánmi Spojených štátov.</w:t>
      </w:r>
    </w:p>
    <w:p w:rsidR="009E2EED" w:rsidRDefault="00070A33">
      <w:pPr>
        <w:widowControl w:val="0"/>
        <w:tabs>
          <w:tab w:val="left" w:pos="774"/>
        </w:tabs>
        <w:spacing w:before="0" w:after="280" w:line="269" w:lineRule="exact"/>
        <w:ind w:left="760"/>
        <w:jc w:val="center"/>
        <w:rPr>
          <w:rFonts w:eastAsia="Times New Roman"/>
          <w:noProof/>
          <w:sz w:val="22"/>
        </w:rPr>
      </w:pPr>
      <w:r>
        <w:rPr>
          <w:noProof/>
          <w:sz w:val="22"/>
        </w:rPr>
        <w:t>Článok 6</w:t>
      </w:r>
    </w:p>
    <w:p w:rsidR="009E2EED" w:rsidRDefault="00070A33">
      <w:pPr>
        <w:widowControl w:val="0"/>
        <w:tabs>
          <w:tab w:val="left" w:pos="774"/>
        </w:tabs>
        <w:spacing w:before="0" w:after="280" w:line="269" w:lineRule="exact"/>
        <w:ind w:left="760"/>
        <w:jc w:val="center"/>
        <w:rPr>
          <w:rFonts w:eastAsia="Times New Roman"/>
          <w:b/>
          <w:noProof/>
          <w:sz w:val="22"/>
        </w:rPr>
      </w:pPr>
      <w:r>
        <w:rPr>
          <w:b/>
          <w:noProof/>
          <w:sz w:val="22"/>
        </w:rPr>
        <w:t>Odstúpenie od dohody a jeho účinky</w:t>
      </w:r>
    </w:p>
    <w:p w:rsidR="009E2EED" w:rsidRDefault="00070A33">
      <w:pPr>
        <w:pStyle w:val="NumPar1"/>
        <w:numPr>
          <w:ilvl w:val="0"/>
          <w:numId w:val="11"/>
        </w:numPr>
        <w:rPr>
          <w:noProof/>
        </w:rPr>
      </w:pPr>
      <w:r>
        <w:rPr>
          <w:noProof/>
        </w:rPr>
        <w:t>Ktorákoľvek zmluvná strana môže od tejto dohody odstúpiť na základe predloženia písomného oznámenia druhej zmluvnej strane. Platnosť tejto dohody sa sk</w:t>
      </w:r>
      <w:r>
        <w:rPr>
          <w:noProof/>
        </w:rPr>
        <w:t>ončí šesť mesiacov odo dňa doručenia uvedeného oznámenia druhej zmluvnej strane. Odstúpenie od tejto dohody nepredstavuje odstúpenie od memoranda o porozumení z roku 2014, pokiaľ zmluvné strany takýto úmysel výslovne nevyjadria.</w:t>
      </w:r>
    </w:p>
    <w:p w:rsidR="009E2EED" w:rsidRDefault="00070A33">
      <w:pPr>
        <w:pStyle w:val="NumPar1"/>
        <w:rPr>
          <w:noProof/>
        </w:rPr>
      </w:pPr>
      <w:r>
        <w:rPr>
          <w:noProof/>
        </w:rPr>
        <w:t>Odstúpenie od memoranda o p</w:t>
      </w:r>
      <w:r>
        <w:rPr>
          <w:noProof/>
        </w:rPr>
        <w:t>orozumení z roku 2014 podľa článku V.4 tohto memoranda znamená odstúpenie od tejto dohody. Počas šesťmesačného obdobia, ktoré sa začína dňom predloženia oznámenia o odstúpení od zmluvy uvedeného v článku V.4 memoranda o porozumení z roku 2014, musia zmluvn</w:t>
      </w:r>
      <w:r>
        <w:rPr>
          <w:noProof/>
        </w:rPr>
        <w:t xml:space="preserve">é strany dodržiavať základné povinnosti uvedené v článku II memoranda. </w:t>
      </w:r>
    </w:p>
    <w:p w:rsidR="009E2EED" w:rsidRDefault="00070A33">
      <w:pPr>
        <w:pStyle w:val="NumPar1"/>
        <w:rPr>
          <w:noProof/>
        </w:rPr>
      </w:pPr>
      <w:r>
        <w:rPr>
          <w:noProof/>
        </w:rPr>
        <w:t>Ak nedôjde k oznámeniu vzájomne dohodnutého riešenia orgánu WTO na urovnávanie sporov podľa článku 4 ods. 3, nemožno žiadne ustanovenie tejto dohody chápať ako zmenu príslušných práv a</w:t>
      </w:r>
      <w:r>
        <w:rPr>
          <w:noProof/>
        </w:rPr>
        <w:t xml:space="preserve">lebo povinností ktorejkoľvek zo zmluvných strán podľa dohovoru o urovnávaní sporov v súvislosti s vecou </w:t>
      </w:r>
      <w:r>
        <w:rPr>
          <w:i/>
          <w:noProof/>
        </w:rPr>
        <w:t>ES –Hormóny</w:t>
      </w:r>
      <w:r>
        <w:rPr>
          <w:noProof/>
        </w:rPr>
        <w:t>.</w:t>
      </w:r>
    </w:p>
    <w:p w:rsidR="009E2EED" w:rsidRDefault="00070A33">
      <w:pPr>
        <w:pStyle w:val="NumPar1"/>
        <w:rPr>
          <w:noProof/>
        </w:rPr>
      </w:pPr>
      <w:r>
        <w:rPr>
          <w:noProof/>
        </w:rPr>
        <w:t xml:space="preserve">Žiadne z ustanovení tejto dohody nemožno chápať tak, že sa nimi osobám udeľujú práva alebo ukladajú povinnosti iné ako práva a povinnosti </w:t>
      </w:r>
      <w:r>
        <w:rPr>
          <w:noProof/>
        </w:rPr>
        <w:t>vytvorené medzi samotnými zmluvnými stranami, ani ich nemožno vykladať tak, že umožňujú priamo sa dovolávať uplatňovania tejto dohody na súdoch alebo v rámci vnútroštátnych právnych systémov zmluvných strán.</w:t>
      </w:r>
    </w:p>
    <w:p w:rsidR="009E2EED" w:rsidRDefault="00070A33">
      <w:pPr>
        <w:pStyle w:val="NumPar1"/>
        <w:rPr>
          <w:noProof/>
        </w:rPr>
      </w:pPr>
      <w:r>
        <w:rPr>
          <w:noProof/>
        </w:rPr>
        <w:t>Táto dohoda nadobúda platnosť prvým dňom nasledu</w:t>
      </w:r>
      <w:r>
        <w:rPr>
          <w:noProof/>
        </w:rPr>
        <w:t>júcom po dni, keď sa obidve strany navzájom informujú o ukončení vnútorných postupov, ktoré sú potrebné na zabezpečenie plnenia povinností zmluvných strán podľa článku 2 a článku 4 ods. 1.</w:t>
      </w:r>
    </w:p>
    <w:p w:rsidR="009E2EED" w:rsidRDefault="00070A33">
      <w:pPr>
        <w:rPr>
          <w:noProof/>
        </w:rPr>
      </w:pPr>
      <w:r>
        <w:rPr>
          <w:noProof/>
        </w:rPr>
        <w:t>NA DÔKAZ TOHO podpísaní, ktorí boli riadne splnomocnení svojou vlád</w:t>
      </w:r>
      <w:r>
        <w:rPr>
          <w:noProof/>
        </w:rPr>
        <w:t>ou, podpísali túto dohodu.</w:t>
      </w:r>
    </w:p>
    <w:p w:rsidR="009E2EED" w:rsidRDefault="00070A33">
      <w:pPr>
        <w:rPr>
          <w:noProof/>
          <w:color w:val="000000"/>
          <w:sz w:val="19"/>
          <w:szCs w:val="19"/>
        </w:rPr>
      </w:pPr>
      <w:r>
        <w:rPr>
          <w:noProof/>
        </w:rPr>
        <w:t>V &lt;MIESTO&gt; dňa &lt;DÁTUM&gt; v dvoch vyhotoveniach v anglickom jazyku, ktorý je autentickým znením tejto dohody.</w:t>
      </w:r>
    </w:p>
    <w:p w:rsidR="009E2EED" w:rsidRDefault="009E2EED">
      <w:pPr>
        <w:rPr>
          <w:noProof/>
        </w:rPr>
      </w:pPr>
    </w:p>
    <w:p w:rsidR="009E2EED" w:rsidRDefault="00070A33">
      <w:pPr>
        <w:rPr>
          <w:noProof/>
        </w:rPr>
      </w:pPr>
      <w:r>
        <w:rPr>
          <w:noProof/>
        </w:rPr>
        <w:t>Za Spojené štáty americké: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Za Európsku úniu</w:t>
      </w:r>
    </w:p>
    <w:p w:rsidR="009E2EED" w:rsidRDefault="009E2EED">
      <w:pPr>
        <w:rPr>
          <w:noProof/>
        </w:rPr>
      </w:pPr>
    </w:p>
    <w:p w:rsidR="009E2EED" w:rsidRDefault="009E2EED">
      <w:pPr>
        <w:rPr>
          <w:noProof/>
        </w:rPr>
      </w:pPr>
    </w:p>
    <w:sectPr w:rsidR="009E2EED" w:rsidSect="00070A33">
      <w:footerReference w:type="default" r:id="rId14"/>
      <w:footerReference w:type="first" r:id="rId15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EED" w:rsidRDefault="00070A33">
      <w:pPr>
        <w:spacing w:before="0" w:after="0"/>
      </w:pPr>
      <w:r>
        <w:separator/>
      </w:r>
    </w:p>
  </w:endnote>
  <w:endnote w:type="continuationSeparator" w:id="0">
    <w:p w:rsidR="009E2EED" w:rsidRDefault="00070A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A33" w:rsidRPr="00070A33" w:rsidRDefault="00070A33" w:rsidP="00070A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A33" w:rsidRPr="00070A33" w:rsidRDefault="00070A33" w:rsidP="00070A33">
    <w:pPr>
      <w:pStyle w:val="Footer"/>
      <w:rPr>
        <w:rFonts w:ascii="Arial" w:hAnsi="Arial" w:cs="Arial"/>
        <w:b/>
        <w:sz w:val="48"/>
      </w:rPr>
    </w:pPr>
    <w:r w:rsidRPr="00070A33">
      <w:rPr>
        <w:rFonts w:ascii="Arial" w:hAnsi="Arial" w:cs="Arial"/>
        <w:b/>
        <w:sz w:val="48"/>
      </w:rPr>
      <w:t>SK</w:t>
    </w:r>
    <w:r w:rsidRPr="00070A33">
      <w:rPr>
        <w:rFonts w:ascii="Arial" w:hAnsi="Arial" w:cs="Arial"/>
        <w:b/>
        <w:sz w:val="48"/>
      </w:rPr>
      <w:tab/>
    </w:r>
    <w:r w:rsidRPr="00070A33">
      <w:rPr>
        <w:rFonts w:ascii="Arial" w:hAnsi="Arial" w:cs="Arial"/>
        <w:b/>
        <w:sz w:val="48"/>
      </w:rPr>
      <w:tab/>
    </w:r>
    <w:r w:rsidRPr="00070A33">
      <w:tab/>
    </w:r>
    <w:r w:rsidRPr="00070A33"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A33" w:rsidRPr="00070A33" w:rsidRDefault="00070A33" w:rsidP="00070A3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A33" w:rsidRPr="00070A33" w:rsidRDefault="00070A33" w:rsidP="00070A33">
    <w:pPr>
      <w:pStyle w:val="Footer"/>
      <w:rPr>
        <w:rFonts w:ascii="Arial" w:hAnsi="Arial" w:cs="Arial"/>
        <w:b/>
        <w:sz w:val="48"/>
      </w:rPr>
    </w:pPr>
    <w:r w:rsidRPr="00070A33">
      <w:rPr>
        <w:rFonts w:ascii="Arial" w:hAnsi="Arial" w:cs="Arial"/>
        <w:b/>
        <w:sz w:val="48"/>
      </w:rPr>
      <w:t>SK</w:t>
    </w:r>
    <w:r w:rsidRPr="00070A33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tab/>
    </w:r>
    <w:r w:rsidRPr="00070A33">
      <w:tab/>
    </w:r>
    <w:r w:rsidRPr="00070A33"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A33" w:rsidRPr="00070A33" w:rsidRDefault="00070A33" w:rsidP="00070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EED" w:rsidRDefault="00070A33">
      <w:pPr>
        <w:spacing w:before="0" w:after="0"/>
      </w:pPr>
      <w:r>
        <w:separator/>
      </w:r>
    </w:p>
  </w:footnote>
  <w:footnote w:type="continuationSeparator" w:id="0">
    <w:p w:rsidR="009E2EED" w:rsidRDefault="00070A33">
      <w:pPr>
        <w:spacing w:before="0" w:after="0"/>
      </w:pPr>
      <w:r>
        <w:continuationSeparator/>
      </w:r>
    </w:p>
  </w:footnote>
  <w:footnote w:id="1">
    <w:p w:rsidR="009E2EED" w:rsidRDefault="00070A33">
      <w:pPr>
        <w:pStyle w:val="FootnoteText"/>
      </w:pPr>
      <w:r>
        <w:rPr>
          <w:rStyle w:val="FootnoteReference"/>
        </w:rPr>
        <w:footnoteRef/>
      </w:r>
      <w:r>
        <w:tab/>
        <w:t xml:space="preserve">V záujme väčšej </w:t>
      </w:r>
      <w:r>
        <w:t>zrozumiteľnosti, ak táto dohoda nadobudne platnosť na začiatku čiastkového obdobia n určitého kvótového roka, objem na rok 1 sa sprístupní v štyroch po sebe nasledujúcich čiastkových obdobiach, a to tak, že sa rovnomerne rozdelí medzi uvedené čiastkové obd</w:t>
      </w:r>
      <w:r>
        <w:t>obia počnúc čiastkovým obdobím n daného kvótového roku a končiac čiastkovým obdobím n-1 nasledujúceho kvótového roku. Počnúc rokom 2 sa objemy sprístupnia v štyroch po sebe nasledujúcich čiastkových obdobiach, a to tak, že sa rovnomerne rozdelia medzi uved</w:t>
      </w:r>
      <w:r>
        <w:t>ené čiastkové obdobia počnúc čiastkovým obdobím n nasledujúceho kvótového roka.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A33" w:rsidRPr="00070A33" w:rsidRDefault="00070A33" w:rsidP="00070A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A33" w:rsidRPr="00070A33" w:rsidRDefault="00070A33" w:rsidP="00070A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A33" w:rsidRPr="00070A33" w:rsidRDefault="00070A33" w:rsidP="00070A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5958205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FA00829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CFBAA8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58505DD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4D3EBF7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1B22F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31FE5F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A16B2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2"/>
  </w:num>
  <w:num w:numId="14">
    <w:abstractNumId w:val="20"/>
  </w:num>
  <w:num w:numId="15">
    <w:abstractNumId w:val="11"/>
  </w:num>
  <w:num w:numId="16">
    <w:abstractNumId w:val="13"/>
  </w:num>
  <w:num w:numId="17">
    <w:abstractNumId w:val="9"/>
  </w:num>
  <w:num w:numId="18">
    <w:abstractNumId w:val="19"/>
  </w:num>
  <w:num w:numId="19">
    <w:abstractNumId w:val="8"/>
  </w:num>
  <w:num w:numId="20">
    <w:abstractNumId w:val="14"/>
  </w:num>
  <w:num w:numId="21">
    <w:abstractNumId w:val="16"/>
  </w:num>
  <w:num w:numId="22">
    <w:abstractNumId w:val="17"/>
  </w:num>
  <w:num w:numId="23">
    <w:abstractNumId w:val="10"/>
  </w:num>
  <w:num w:numId="24">
    <w:abstractNumId w:val="15"/>
  </w:num>
  <w:num w:numId="25">
    <w:abstractNumId w:val="2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2"/>
  </w:num>
  <w:num w:numId="30">
    <w:abstractNumId w:val="20"/>
  </w:num>
  <w:num w:numId="31">
    <w:abstractNumId w:val="11"/>
  </w:num>
  <w:num w:numId="32">
    <w:abstractNumId w:val="13"/>
  </w:num>
  <w:num w:numId="33">
    <w:abstractNumId w:val="9"/>
  </w:num>
  <w:num w:numId="34">
    <w:abstractNumId w:val="19"/>
  </w:num>
  <w:num w:numId="35">
    <w:abstractNumId w:val="8"/>
  </w:num>
  <w:num w:numId="36">
    <w:abstractNumId w:val="14"/>
  </w:num>
  <w:num w:numId="37">
    <w:abstractNumId w:val="16"/>
  </w:num>
  <w:num w:numId="38">
    <w:abstractNumId w:val="17"/>
  </w:num>
  <w:num w:numId="39">
    <w:abstractNumId w:val="10"/>
  </w:num>
  <w:num w:numId="40">
    <w:abstractNumId w:val="15"/>
  </w:num>
  <w:num w:numId="41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7-18 09:08:2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9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4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97B21944-8FAE-417B-AF39-C4926659EC06"/>
    <w:docVar w:name="LW_COVERPAGE_TYPE" w:val="1"/>
    <w:docVar w:name="LW_CROSSREFERENCE" w:val="&lt;UNUSED&gt;"/>
    <w:docVar w:name="LW_DocType" w:val="ANNEX"/>
    <w:docVar w:name="LW_EMISSION" w:val="24. 6. 2019"/>
    <w:docVar w:name="LW_EMISSION_ISODATE" w:val="2019-06-24"/>
    <w:docVar w:name="LW_EMISSION_LOCATION" w:val="BRX"/>
    <w:docVar w:name="LW_EMISSION_PREFIX" w:val="V Bruseli"/>
    <w:docVar w:name="LW_EMISSION_SUFFIX" w:val=" "/>
    <w:docVar w:name="LW_ID_DOCSTRUCTURE" w:val="COM/ANNEX"/>
    <w:docVar w:name="LW_ID_DOCTYPE" w:val="SG-017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" w:val="o uzavretí dohody so Spojenými \u353?tátmi americkými o pridelení podielu colnej kvóty Spojeným \u353?tátom americkým v zmysle nariadenia (ES) \u269?. 617/2009 z 13. júla 2009, ktorým sa otvára autonómna colná kvóta na dovoz vysokokvalitného hovädzieho mäsa"/>
    <w:docVar w:name="LW_OBJETACTEPRINCIPAL.CP" w:val="o uzavretí dohody so Spojenými \u353?tátmi americkými o pridelení podielu colnej kvóty Spojeným \u353?tátom americkým v zmysle nariadenia (ES) \u269?. 617/2009 z 13. júla 2009, ktorým sa otvára autonómna colná kvóta na dovoz vysokokvalitného hovädzieho mäsa"/>
    <w:docVar w:name="LW_PART_NBR" w:val="1"/>
    <w:docVar w:name="LW_PART_NBR_TOTAL" w:val="1"/>
    <w:docVar w:name="LW_REF.INST.NEW" w:val="COM"/>
    <w:docVar w:name="LW_REF.INST.NEW_ADOPTED" w:val="final/2 \u8211? DOWNGRADED on 16.7.2019"/>
    <w:docVar w:name="LW_REF.INST.NEW_TEXT" w:val="(2019) 29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ÍLOHA"/>
    <w:docVar w:name="LW_TYPE.DOC.CP" w:val="PRÍLOHA"/>
    <w:docVar w:name="LW_TYPEACTEPRINCIPAL" w:val="návrhu na_x000b__x000b_ROZHODNUTIE RADY"/>
    <w:docVar w:name="LW_TYPEACTEPRINCIPAL.CP" w:val="návrhu na_x000b__x000b_ROZHODNUTIE RADY"/>
  </w:docVars>
  <w:rsids>
    <w:rsidRoot w:val="009E2EED"/>
    <w:rsid w:val="00070A33"/>
    <w:rsid w:val="009E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6CBE277-8ADA-44BC-898D-B5DF0B28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4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4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4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4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A33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70A33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rsid w:val="00070A33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070A33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070A33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070A33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070A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rsid w:val="00070A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8"/>
      </w:numPr>
    </w:pPr>
  </w:style>
  <w:style w:type="paragraph" w:customStyle="1" w:styleId="Tiret1">
    <w:name w:val="Tiret 1"/>
    <w:basedOn w:val="Point1"/>
    <w:pPr>
      <w:numPr>
        <w:numId w:val="29"/>
      </w:numPr>
    </w:pPr>
  </w:style>
  <w:style w:type="paragraph" w:customStyle="1" w:styleId="Tiret2">
    <w:name w:val="Tiret 2"/>
    <w:basedOn w:val="Point2"/>
    <w:pPr>
      <w:numPr>
        <w:numId w:val="30"/>
      </w:numPr>
    </w:pPr>
  </w:style>
  <w:style w:type="paragraph" w:customStyle="1" w:styleId="Tiret3">
    <w:name w:val="Tiret 3"/>
    <w:basedOn w:val="Point3"/>
    <w:pPr>
      <w:numPr>
        <w:numId w:val="31"/>
      </w:numPr>
    </w:pPr>
  </w:style>
  <w:style w:type="paragraph" w:customStyle="1" w:styleId="Tiret4">
    <w:name w:val="Tiret 4"/>
    <w:basedOn w:val="Point4"/>
    <w:pPr>
      <w:numPr>
        <w:numId w:val="32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3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3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3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3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5"/>
      </w:numPr>
    </w:pPr>
  </w:style>
  <w:style w:type="paragraph" w:customStyle="1" w:styleId="Point1number">
    <w:name w:val="Point 1 (number)"/>
    <w:basedOn w:val="Normal"/>
    <w:pPr>
      <w:numPr>
        <w:ilvl w:val="2"/>
        <w:numId w:val="35"/>
      </w:numPr>
    </w:pPr>
  </w:style>
  <w:style w:type="paragraph" w:customStyle="1" w:styleId="Point2number">
    <w:name w:val="Point 2 (number)"/>
    <w:basedOn w:val="Normal"/>
    <w:pPr>
      <w:numPr>
        <w:ilvl w:val="4"/>
        <w:numId w:val="35"/>
      </w:numPr>
    </w:pPr>
  </w:style>
  <w:style w:type="paragraph" w:customStyle="1" w:styleId="Point3number">
    <w:name w:val="Point 3 (number)"/>
    <w:basedOn w:val="Normal"/>
    <w:pPr>
      <w:numPr>
        <w:ilvl w:val="6"/>
        <w:numId w:val="35"/>
      </w:numPr>
    </w:pPr>
  </w:style>
  <w:style w:type="paragraph" w:customStyle="1" w:styleId="Point0letter">
    <w:name w:val="Point 0 (letter)"/>
    <w:basedOn w:val="Normal"/>
    <w:pPr>
      <w:numPr>
        <w:ilvl w:val="1"/>
        <w:numId w:val="35"/>
      </w:numPr>
    </w:pPr>
  </w:style>
  <w:style w:type="paragraph" w:customStyle="1" w:styleId="Point1letter">
    <w:name w:val="Point 1 (letter)"/>
    <w:basedOn w:val="Normal"/>
    <w:pPr>
      <w:numPr>
        <w:ilvl w:val="3"/>
        <w:numId w:val="35"/>
      </w:numPr>
    </w:pPr>
  </w:style>
  <w:style w:type="paragraph" w:customStyle="1" w:styleId="Point2letter">
    <w:name w:val="Point 2 (letter)"/>
    <w:basedOn w:val="Normal"/>
    <w:pPr>
      <w:numPr>
        <w:ilvl w:val="5"/>
        <w:numId w:val="35"/>
      </w:numPr>
    </w:pPr>
  </w:style>
  <w:style w:type="paragraph" w:customStyle="1" w:styleId="Point3letter">
    <w:name w:val="Point 3 (letter)"/>
    <w:basedOn w:val="Normal"/>
    <w:pPr>
      <w:numPr>
        <w:ilvl w:val="7"/>
        <w:numId w:val="35"/>
      </w:numPr>
    </w:pPr>
  </w:style>
  <w:style w:type="paragraph" w:customStyle="1" w:styleId="Point4letter">
    <w:name w:val="Point 4 (letter)"/>
    <w:basedOn w:val="Normal"/>
    <w:pPr>
      <w:numPr>
        <w:ilvl w:val="8"/>
        <w:numId w:val="35"/>
      </w:numPr>
    </w:pPr>
  </w:style>
  <w:style w:type="paragraph" w:customStyle="1" w:styleId="Bullet0">
    <w:name w:val="Bullet 0"/>
    <w:basedOn w:val="Normal"/>
    <w:pPr>
      <w:numPr>
        <w:numId w:val="36"/>
      </w:numPr>
    </w:pPr>
  </w:style>
  <w:style w:type="paragraph" w:customStyle="1" w:styleId="Bullet1">
    <w:name w:val="Bullet 1"/>
    <w:basedOn w:val="Normal"/>
    <w:pPr>
      <w:numPr>
        <w:numId w:val="37"/>
      </w:numPr>
    </w:pPr>
  </w:style>
  <w:style w:type="paragraph" w:customStyle="1" w:styleId="Bullet2">
    <w:name w:val="Bullet 2"/>
    <w:basedOn w:val="Normal"/>
    <w:pPr>
      <w:numPr>
        <w:numId w:val="38"/>
      </w:numPr>
    </w:pPr>
  </w:style>
  <w:style w:type="paragraph" w:customStyle="1" w:styleId="Bullet3">
    <w:name w:val="Bullet 3"/>
    <w:basedOn w:val="Normal"/>
    <w:pPr>
      <w:numPr>
        <w:numId w:val="39"/>
      </w:numPr>
    </w:pPr>
  </w:style>
  <w:style w:type="paragraph" w:customStyle="1" w:styleId="Bullet4">
    <w:name w:val="Bullet 4"/>
    <w:basedOn w:val="Normal"/>
    <w:pPr>
      <w:numPr>
        <w:numId w:val="40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6</TotalTime>
  <Pages>3</Pages>
  <Words>1139</Words>
  <Characters>6338</Characters>
  <Application>Microsoft Office Word</Application>
  <DocSecurity>0</DocSecurity>
  <Lines>144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ORDEIG VILA Joaquim (AGRI)</dc:creator>
  <cp:keywords/>
  <dc:description/>
  <cp:lastModifiedBy>ANTONACCIO Raimondo (SG)</cp:lastModifiedBy>
  <cp:revision>16</cp:revision>
  <dcterms:created xsi:type="dcterms:W3CDTF">2019-06-25T07:20:00Z</dcterms:created>
  <dcterms:modified xsi:type="dcterms:W3CDTF">2019-07-18T12:07:00Z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Yellow (DQC version 03)</vt:lpwstr>
  </property>
</Properties>
</file>