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6F" w:rsidRDefault="00EB33CD" w:rsidP="00EB33C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9C0AC62-2E13-4302-827F-36A4A05D8566" style="width:450.75pt;height:465.75pt">
            <v:imagedata r:id="rId7" o:title=""/>
          </v:shape>
        </w:pict>
      </w:r>
    </w:p>
    <w:p w:rsidR="00EA6E6F" w:rsidRDefault="00EA6E6F">
      <w:pPr>
        <w:rPr>
          <w:noProof/>
        </w:rPr>
        <w:sectPr w:rsidR="00EA6E6F" w:rsidSect="00EB33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A6E6F" w:rsidRDefault="00EB33CD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 w:rsidR="00EA6E6F" w:rsidRDefault="00EB33CD">
      <w:pPr>
        <w:widowControl w:val="0"/>
        <w:spacing w:before="0" w:after="0" w:line="269" w:lineRule="exact"/>
        <w:ind w:right="40"/>
        <w:jc w:val="center"/>
        <w:rPr>
          <w:rFonts w:eastAsia="Times New Roman"/>
          <w:b/>
          <w:bCs/>
          <w:noProof/>
          <w:sz w:val="22"/>
        </w:rPr>
      </w:pPr>
      <w:r>
        <w:rPr>
          <w:b/>
          <w:noProof/>
          <w:sz w:val="22"/>
        </w:rPr>
        <w:t>MEGÁLLAPODÁS</w:t>
      </w:r>
    </w:p>
    <w:p w:rsidR="00EA6E6F" w:rsidRDefault="00EB33CD">
      <w:pPr>
        <w:widowControl w:val="0"/>
        <w:spacing w:before="0" w:after="0" w:line="269" w:lineRule="exact"/>
        <w:ind w:right="40"/>
        <w:jc w:val="center"/>
        <w:rPr>
          <w:rFonts w:eastAsia="Times New Roman"/>
          <w:b/>
          <w:bCs/>
          <w:noProof/>
          <w:sz w:val="22"/>
        </w:rPr>
      </w:pPr>
      <w:r>
        <w:rPr>
          <w:b/>
          <w:noProof/>
          <w:sz w:val="22"/>
        </w:rPr>
        <w:t>AZ AMERIKAI EGYESÜLT ÁLLAMOK</w:t>
      </w:r>
    </w:p>
    <w:p w:rsidR="00EA6E6F" w:rsidRDefault="00EB33CD">
      <w:pPr>
        <w:widowControl w:val="0"/>
        <w:spacing w:before="0" w:after="240" w:line="269" w:lineRule="exact"/>
        <w:ind w:right="40"/>
        <w:jc w:val="center"/>
        <w:rPr>
          <w:b/>
          <w:noProof/>
          <w:sz w:val="22"/>
        </w:rPr>
      </w:pPr>
      <w:r>
        <w:rPr>
          <w:b/>
          <w:noProof/>
          <w:sz w:val="22"/>
        </w:rPr>
        <w:t>ÉS AZ EURÓPAI UNIÓ KÖZÖTT</w:t>
      </w:r>
    </w:p>
    <w:p w:rsidR="00EA6E6F" w:rsidRDefault="00EB33CD">
      <w:pPr>
        <w:widowControl w:val="0"/>
        <w:spacing w:before="0" w:after="240" w:line="269" w:lineRule="exact"/>
        <w:ind w:right="40"/>
        <w:jc w:val="center"/>
        <w:rPr>
          <w:b/>
          <w:i/>
          <w:noProof/>
          <w:sz w:val="22"/>
        </w:rPr>
      </w:pPr>
      <w:r>
        <w:rPr>
          <w:b/>
          <w:i/>
          <w:noProof/>
          <w:sz w:val="22"/>
        </w:rPr>
        <w:t xml:space="preserve">A BIZONYOS NÖVEKEDÉSSERKENTŐ HORMONOKKAL NEM KEZELT ÁLLATOKBÓL </w:t>
      </w:r>
      <w:r>
        <w:rPr>
          <w:b/>
          <w:i/>
          <w:noProof/>
          <w:sz w:val="22"/>
        </w:rPr>
        <w:t>SZÁRMAZÓ MARHAHÚS BEHOZATALÁRÓL, VALAMINT AZ AMERIKAI EGYESÜLT ÁLLAMOK ÁLTAL AZ EURÓPAI UNIÓBÓL SZÁRMAZÓ BIZONYOS TERMÉKEKRE KIVETETT EMELT VÁMOKRÓL SZÓLÓ FELÜLVIZSGÁLT EGYETÉRTÉSI MEGÁLLAPODÁSBAN (2014)</w:t>
      </w:r>
    </w:p>
    <w:p w:rsidR="00EA6E6F" w:rsidRDefault="00EB33CD">
      <w:pPr>
        <w:widowControl w:val="0"/>
        <w:spacing w:before="0" w:after="240" w:line="269" w:lineRule="exact"/>
        <w:ind w:right="40"/>
        <w:jc w:val="center"/>
        <w:rPr>
          <w:rFonts w:eastAsia="Times New Roman"/>
          <w:b/>
          <w:bCs/>
          <w:noProof/>
          <w:sz w:val="22"/>
        </w:rPr>
      </w:pPr>
      <w:r>
        <w:rPr>
          <w:b/>
          <w:noProof/>
          <w:sz w:val="22"/>
        </w:rPr>
        <w:t>EMLÍTETT, KIVÁLÓ MINŐSÉGŰ MARHAHÚS BEHOZATALÁRA VONA</w:t>
      </w:r>
      <w:r>
        <w:rPr>
          <w:b/>
          <w:noProof/>
          <w:sz w:val="22"/>
        </w:rPr>
        <w:t>TKOZÓ VÁMKONTINGENS EGY RÉSZÉNEK AZ EGYESÜLT ÁLLAMOK SZÁMÁRA TÖRTÉNŐ KIOSZTÁSÁRÓL</w:t>
      </w:r>
    </w:p>
    <w:p w:rsidR="00EA6E6F" w:rsidRDefault="00EB33CD">
      <w:pPr>
        <w:rPr>
          <w:noProof/>
        </w:rPr>
      </w:pPr>
      <w:r>
        <w:rPr>
          <w:noProof/>
        </w:rPr>
        <w:t xml:space="preserve">Az Amerikai Egyesült Államok és az Európai Unió között létrejött, a bizonyos növekedésserkentő hormonokkal nem kezelt állatokból származó marhahús behozataláról, valamint az </w:t>
      </w:r>
      <w:r>
        <w:rPr>
          <w:noProof/>
        </w:rPr>
        <w:t>Amerikai Egyesült Államok által az Európai Unióból származó bizonyos termékekre kivetett emelt vámokról szóló, 2013. október 21-i felülvizsgált egyetértési megállapodás (a továbbiakban: 2014. évi egyetértési megállapodás) részes feleiként az Amerikai Egyes</w:t>
      </w:r>
      <w:r>
        <w:rPr>
          <w:noProof/>
        </w:rPr>
        <w:t>ült Államok és az Európai Unió a következőkben állapodtak meg:</w:t>
      </w:r>
    </w:p>
    <w:p w:rsidR="00EA6E6F" w:rsidRDefault="00EB33CD">
      <w:pPr>
        <w:widowControl w:val="0"/>
        <w:spacing w:before="240" w:after="280" w:line="269" w:lineRule="exact"/>
        <w:jc w:val="center"/>
        <w:rPr>
          <w:rFonts w:eastAsia="Arial"/>
          <w:bCs/>
          <w:noProof/>
          <w:color w:val="000000"/>
          <w:sz w:val="22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1. cikk</w:t>
      </w:r>
    </w:p>
    <w:p w:rsidR="00EA6E6F" w:rsidRDefault="00EB33CD">
      <w:pPr>
        <w:widowControl w:val="0"/>
        <w:spacing w:before="0" w:after="280" w:line="269" w:lineRule="exact"/>
        <w:jc w:val="center"/>
        <w:rPr>
          <w:rFonts w:eastAsia="Arial"/>
          <w:b/>
          <w:bCs/>
          <w:noProof/>
          <w:color w:val="000000"/>
          <w:sz w:val="22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Célkitűzések</w:t>
      </w:r>
    </w:p>
    <w:p w:rsidR="00EA6E6F" w:rsidRDefault="00EB33CD">
      <w:pPr>
        <w:rPr>
          <w:noProof/>
        </w:rPr>
      </w:pPr>
      <w:r>
        <w:rPr>
          <w:noProof/>
        </w:rPr>
        <w:t>E megállapodás célkitűzései a következők:</w:t>
      </w:r>
    </w:p>
    <w:p w:rsidR="00EA6E6F" w:rsidRDefault="00EB33CD">
      <w:pPr>
        <w:pStyle w:val="NumPar1"/>
        <w:numPr>
          <w:ilvl w:val="0"/>
          <w:numId w:val="26"/>
        </w:numPr>
        <w:rPr>
          <w:noProof/>
        </w:rPr>
      </w:pPr>
      <w:r>
        <w:rPr>
          <w:noProof/>
        </w:rPr>
        <w:t>a 2014. évi egyetértési megállapodás II. cikke (4) és (5) bekezdésében, valamint VI. cikkében említett, kiváló minőségű marhahúsra</w:t>
      </w:r>
      <w:r>
        <w:rPr>
          <w:noProof/>
        </w:rPr>
        <w:t xml:space="preserve"> vonatkozó, 45 000 metrikus tonna terméksúlyban kifejezett mennyiségű megfelelő autonóm vámkontingens egy részének az Egyesült Államok részére történő kiosztása; valamint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a felek egyes, a 2014. évi egyetértési megállapodás III., IV., V., VII. és VIII. cikk</w:t>
      </w:r>
      <w:r>
        <w:rPr>
          <w:noProof/>
        </w:rPr>
        <w:t>ében említett jogainak és kötelezettségeinek a kiegészítése vagy módosítása.</w:t>
      </w:r>
    </w:p>
    <w:p w:rsidR="00EA6E6F" w:rsidRDefault="00EB33CD">
      <w:pPr>
        <w:widowControl w:val="0"/>
        <w:spacing w:before="240" w:after="280" w:line="269" w:lineRule="exact"/>
        <w:jc w:val="center"/>
        <w:rPr>
          <w:rFonts w:eastAsia="Arial"/>
          <w:noProof/>
          <w:color w:val="000000"/>
          <w:sz w:val="22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2. cikk</w:t>
      </w:r>
    </w:p>
    <w:p w:rsidR="00EA6E6F" w:rsidRDefault="00EB33CD">
      <w:pPr>
        <w:widowControl w:val="0"/>
        <w:spacing w:before="0" w:after="280" w:line="269" w:lineRule="exact"/>
        <w:jc w:val="center"/>
        <w:rPr>
          <w:rFonts w:ascii="Arial" w:eastAsia="Arial" w:hAnsi="Arial" w:cs="Arial"/>
          <w:b/>
          <w:bCs/>
          <w:i/>
          <w:iCs/>
          <w:noProof/>
          <w:sz w:val="19"/>
          <w:szCs w:val="19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Kvóták a kontingensen belül</w:t>
      </w:r>
    </w:p>
    <w:p w:rsidR="00EA6E6F" w:rsidRDefault="00EB33CD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Az Európai Unió az 1. cikkben említett 45 000 metrikus tonna vámkontingensből 35 000 metrikus tonnát az Egyesült Államok részére oszt ki. A fen</w:t>
      </w:r>
      <w:r>
        <w:rPr>
          <w:noProof/>
        </w:rPr>
        <w:t>nmaradó 10 000 metrikus tonna mennyiséget a többi ország számára kell hozzáférhetővé tenni. A kvóták hét év alatt (a továbbiakban: végrehajtási időszak) fokozatosan kerülnek bevezetésre, az alábbiak szerint: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750"/>
        <w:gridCol w:w="2783"/>
      </w:tblGrid>
      <w:tr w:rsidR="00EA6E6F">
        <w:tc>
          <w:tcPr>
            <w:tcW w:w="2811" w:type="dxa"/>
          </w:tcPr>
          <w:p w:rsidR="00EA6E6F" w:rsidRDefault="00EA6E6F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Egyesült Államok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Összes többi ország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 év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18 </w:t>
            </w:r>
            <w:r>
              <w:rPr>
                <w:noProof/>
                <w:sz w:val="22"/>
              </w:rPr>
              <w:t>500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26 500 metrikus tonna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 év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23 000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22 000 metrikus tonna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 év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25 400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19 600 metrikus tonna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 év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27 800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17 200 metrikus tonna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 év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30 200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14 800 metrikus tonna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 év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32 600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12 400 metrikus tonna</w:t>
            </w:r>
          </w:p>
        </w:tc>
      </w:tr>
      <w:tr w:rsidR="00EA6E6F">
        <w:tc>
          <w:tcPr>
            <w:tcW w:w="2811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 év és az azt követő évek</w:t>
            </w:r>
          </w:p>
        </w:tc>
        <w:tc>
          <w:tcPr>
            <w:tcW w:w="2750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35 000 metrikus tonna</w:t>
            </w:r>
          </w:p>
        </w:tc>
        <w:tc>
          <w:tcPr>
            <w:tcW w:w="2783" w:type="dxa"/>
          </w:tcPr>
          <w:p w:rsidR="00EA6E6F" w:rsidRDefault="00EB33CD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10 000 metrikus tonna </w:t>
            </w:r>
          </w:p>
          <w:p w:rsidR="00EA6E6F" w:rsidRDefault="00EA6E6F">
            <w:pPr>
              <w:spacing w:before="0" w:after="0" w:line="269" w:lineRule="exact"/>
              <w:jc w:val="left"/>
              <w:rPr>
                <w:noProof/>
                <w:sz w:val="22"/>
              </w:rPr>
            </w:pPr>
          </w:p>
        </w:tc>
      </w:tr>
    </w:tbl>
    <w:p w:rsidR="00EA6E6F" w:rsidRDefault="00EA6E6F">
      <w:pPr>
        <w:widowControl w:val="0"/>
        <w:spacing w:before="0" w:after="0" w:line="269" w:lineRule="exact"/>
        <w:ind w:left="720"/>
        <w:jc w:val="left"/>
        <w:rPr>
          <w:rFonts w:eastAsia="Times New Roman"/>
          <w:noProof/>
          <w:sz w:val="22"/>
        </w:rPr>
      </w:pPr>
    </w:p>
    <w:p w:rsidR="00EA6E6F" w:rsidRDefault="00EB33CD">
      <w:pPr>
        <w:pStyle w:val="NumPar1"/>
        <w:rPr>
          <w:noProof/>
        </w:rPr>
      </w:pPr>
      <w:r>
        <w:rPr>
          <w:noProof/>
        </w:rPr>
        <w:t>Az egyértelműség érdekében a 2014. évi egyetértési megállapodás II. cikkének (1) bekezdésében foglalt alapkötelezettségek – beleértve a</w:t>
      </w:r>
      <w:r>
        <w:rPr>
          <w:noProof/>
        </w:rPr>
        <w:t xml:space="preserve"> kontingensen belüli nulla (0) százalékos vámtarifát is – a vámkontingens Egyesült Államoknak kiosztott részére vonatkoznak.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A vámkontingens éves mennyiségét négy negyedéves alidőszak között egyenlően el kell osztani. A kontingensév július 1-jén kezdődik é</w:t>
      </w:r>
      <w:r>
        <w:rPr>
          <w:noProof/>
        </w:rPr>
        <w:t xml:space="preserve">s június 30-án ér véget. </w:t>
      </w:r>
    </w:p>
    <w:p w:rsidR="00EA6E6F" w:rsidRDefault="00EB33CD">
      <w:pPr>
        <w:pStyle w:val="Text1"/>
        <w:rPr>
          <w:noProof/>
        </w:rPr>
      </w:pPr>
      <w:r>
        <w:rPr>
          <w:noProof/>
        </w:rPr>
        <w:t>Amennyiben ez a megállapodás valamely, július 1-jétől eltérő időpontban lép hatályba, a végrehajtási időszak 1. éve a végrehajtási időszak a kontingensév következő alidőszakának első napján kezdődik, és négy egymást követő alidősz</w:t>
      </w:r>
      <w:r>
        <w:rPr>
          <w:noProof/>
        </w:rPr>
        <w:t>akon át tart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A szóban forgó kontingensév korábbi alidőszakaiban rendelkezésre álló fel nem használt mennyiségeket az 1. év első napján hozzá kell adni a végrehajtási időszak 1. évének első alidőszakában rendelkezésre álló mennyiségekhez. E mennyiségeket </w:t>
      </w:r>
      <w:r>
        <w:rPr>
          <w:noProof/>
        </w:rPr>
        <w:t>a teljes vámkontingensben való részesedésük arányában hozzá kell adni az Egyesült Államok részére, illetve a többi ország részére kiosztott mennyiségekhez.</w:t>
      </w:r>
    </w:p>
    <w:p w:rsidR="00EA6E6F" w:rsidRDefault="00EB33CD">
      <w:pPr>
        <w:widowControl w:val="0"/>
        <w:spacing w:before="0" w:after="280" w:line="269" w:lineRule="exact"/>
        <w:jc w:val="center"/>
        <w:rPr>
          <w:rFonts w:eastAsia="Arial"/>
          <w:noProof/>
          <w:color w:val="000000"/>
          <w:sz w:val="22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3. cikk</w:t>
      </w:r>
    </w:p>
    <w:p w:rsidR="00EA6E6F" w:rsidRDefault="00EB33CD">
      <w:pPr>
        <w:widowControl w:val="0"/>
        <w:spacing w:before="0" w:after="280" w:line="269" w:lineRule="exact"/>
        <w:jc w:val="center"/>
        <w:rPr>
          <w:rFonts w:ascii="Arial" w:eastAsia="Arial" w:hAnsi="Arial" w:cs="Arial"/>
          <w:b/>
          <w:bCs/>
          <w:i/>
          <w:iCs/>
          <w:noProof/>
          <w:sz w:val="19"/>
          <w:szCs w:val="19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Kvótakezelés</w:t>
      </w:r>
    </w:p>
    <w:p w:rsidR="00EA6E6F" w:rsidRDefault="00EB33CD">
      <w:pPr>
        <w:rPr>
          <w:noProof/>
        </w:rPr>
      </w:pPr>
      <w:r>
        <w:rPr>
          <w:noProof/>
        </w:rPr>
        <w:t xml:space="preserve">A kiváló minőségű marhahúsra vonatkozó vámkontingens Egyesült Államok számára </w:t>
      </w:r>
      <w:r>
        <w:rPr>
          <w:noProof/>
        </w:rPr>
        <w:t>kiosztott részét az Európai Unió kezeli az érkezési sorrend elve alapján. Az Európai Unió minden erőfeszítést megtesz annak érdekében, hogy a vámkontingens Egyesült Államok számára kiosztott részét oly módon kezelje, amely lehetővé teszi az importőrök szám</w:t>
      </w:r>
      <w:r>
        <w:rPr>
          <w:noProof/>
        </w:rPr>
        <w:t>ára annak maradéktalan kihasználását. E cikk a 2014. évi egyetértési megállapodás III. cikke helyébe lép.</w:t>
      </w:r>
    </w:p>
    <w:p w:rsidR="00EA6E6F" w:rsidRDefault="00EB33CD">
      <w:pPr>
        <w:widowControl w:val="0"/>
        <w:spacing w:before="0" w:after="280" w:line="269" w:lineRule="exact"/>
        <w:jc w:val="center"/>
        <w:rPr>
          <w:rFonts w:ascii="Arial" w:eastAsia="Arial" w:hAnsi="Arial" w:cs="Arial"/>
          <w:b/>
          <w:bCs/>
          <w:i/>
          <w:iCs/>
          <w:noProof/>
          <w:sz w:val="19"/>
          <w:szCs w:val="19"/>
          <w:shd w:val="clear" w:color="auto" w:fill="FFFFFF"/>
        </w:rPr>
      </w:pPr>
      <w:r>
        <w:rPr>
          <w:noProof/>
          <w:color w:val="000000"/>
          <w:sz w:val="22"/>
          <w:shd w:val="clear" w:color="auto" w:fill="FFFFFF"/>
        </w:rPr>
        <w:t>4. cikk</w:t>
      </w:r>
    </w:p>
    <w:p w:rsidR="00EA6E6F" w:rsidRDefault="00EB33CD">
      <w:pPr>
        <w:widowControl w:val="0"/>
        <w:spacing w:before="0" w:after="280" w:line="269" w:lineRule="exact"/>
        <w:jc w:val="center"/>
        <w:rPr>
          <w:rFonts w:eastAsia="Arial"/>
          <w:b/>
          <w:noProof/>
          <w:color w:val="000000"/>
          <w:sz w:val="22"/>
          <w:shd w:val="clear" w:color="auto" w:fill="FFFFFF"/>
        </w:rPr>
      </w:pPr>
      <w:r>
        <w:rPr>
          <w:b/>
          <w:noProof/>
          <w:color w:val="000000"/>
          <w:sz w:val="22"/>
          <w:shd w:val="clear" w:color="auto" w:fill="FFFFFF"/>
        </w:rPr>
        <w:t>„EK–Hormonok” ügy</w:t>
      </w:r>
    </w:p>
    <w:p w:rsidR="00EA6E6F" w:rsidRDefault="00EB33CD"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Az Egyesült Államok kereskedelmi képviselője az 1974. évi módosított kereskedelmi törvény (Trade Act) 306. szakaszának c) po</w:t>
      </w:r>
      <w:r>
        <w:rPr>
          <w:noProof/>
        </w:rPr>
        <w:t>ntja alapján 2016 decemberében indított eljárást azzal az elhatározással zárja le, hogy a WT/DS26/21 dokumentumban említett jóváhagyás tárgyát képező intézkedés gyakorlását nem állítja vissza. Az Egyesült Államok az említett elhatározását legkésőbb a 2. ci</w:t>
      </w:r>
      <w:r>
        <w:rPr>
          <w:noProof/>
        </w:rPr>
        <w:t>kkben az 1. évre meghatározott országkvóták hatálybalépésének napján közzéteszi.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A 2. cikk (1) bekezdésében említett végrehajtási időszak alatt, a 4. cikk (3) bekezdésében említett felülvizsgálati időszak alatt és 4. cikk (3) bekezdésében említett, kölcsön</w:t>
      </w:r>
      <w:r>
        <w:rPr>
          <w:noProof/>
        </w:rPr>
        <w:t>ösen elfogadott megoldás bejelentéséig:</w:t>
      </w:r>
    </w:p>
    <w:p w:rsidR="00EA6E6F" w:rsidRDefault="00EB33CD">
      <w:pPr>
        <w:pStyle w:val="Point1letter"/>
        <w:numPr>
          <w:ilvl w:val="3"/>
          <w:numId w:val="27"/>
        </w:numPr>
        <w:rPr>
          <w:noProof/>
        </w:rPr>
      </w:pPr>
      <w:r>
        <w:rPr>
          <w:noProof/>
        </w:rPr>
        <w:t xml:space="preserve">a felek nem kérik a WTO-egyezményhez mellékelt, a vitarendezés szabályaira és eljárásaira vonatkozó egyetértés (a továbbiakban: vitarendezési egyetértés) 21. cikkének (5) bekezdése szerinti testület felállítását az </w:t>
      </w:r>
      <w:r>
        <w:rPr>
          <w:i/>
          <w:noProof/>
        </w:rPr>
        <w:t>„</w:t>
      </w:r>
      <w:r>
        <w:rPr>
          <w:i/>
          <w:noProof/>
        </w:rPr>
        <w:t>Európai Közösségek – Húsra és húskészítményekre (hormonokra) vonatkozó intézkedések”</w:t>
      </w:r>
      <w:r>
        <w:rPr>
          <w:noProof/>
        </w:rPr>
        <w:t xml:space="preserve"> (WT/DS26) </w:t>
      </w:r>
      <w:r>
        <w:rPr>
          <w:i/>
          <w:noProof/>
        </w:rPr>
        <w:t>(„EK–Hormonok”)</w:t>
      </w:r>
      <w:r>
        <w:rPr>
          <w:noProof/>
        </w:rPr>
        <w:t xml:space="preserve"> ügyben;</w:t>
      </w:r>
    </w:p>
    <w:p w:rsidR="00EA6E6F" w:rsidRDefault="00EB33CD">
      <w:pPr>
        <w:pStyle w:val="Point1letter"/>
        <w:rPr>
          <w:noProof/>
        </w:rPr>
      </w:pPr>
      <w:r>
        <w:rPr>
          <w:noProof/>
        </w:rPr>
        <w:t>az Egyesült Államok nem függeszti fel a Kereskedelmi Világszervezet Vitarendezési Testületének az „</w:t>
      </w:r>
      <w:r>
        <w:rPr>
          <w:i/>
          <w:noProof/>
        </w:rPr>
        <w:t>»EK–Hormonok«</w:t>
      </w:r>
      <w:r>
        <w:rPr>
          <w:noProof/>
        </w:rPr>
        <w:t xml:space="preserve"> – A vitarendezési egyeté</w:t>
      </w:r>
      <w:r>
        <w:rPr>
          <w:noProof/>
        </w:rPr>
        <w:t xml:space="preserve">rtés 22. cikke (7) bekezdésének Egyesült Államok általi alkalmazása, WT/DS26/21” dokumentuma szerinti engedély tárgyát képező vámengedmények </w:t>
      </w:r>
      <w:r>
        <w:rPr>
          <w:i/>
          <w:noProof/>
        </w:rPr>
        <w:t>és</w:t>
      </w:r>
      <w:r>
        <w:rPr>
          <w:noProof/>
        </w:rPr>
        <w:t xml:space="preserve"> kapcsolódó kötelezettségek Európai Unióra történő alkalmazását.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 xml:space="preserve">Az Egyesült Államok és az EU legkésőbb tíz (10) </w:t>
      </w:r>
      <w:r>
        <w:rPr>
          <w:noProof/>
        </w:rPr>
        <w:t>évvel e megállapodás hatálybalépését követően összeül, hogy felülvizsgálja a vámkontingens működését annak érdekében, hogy a WTO Vitarendezési Testületének a vitarendezési egyetértés 3. cikkének (6) bekezdésével összhangban a felülvizsgálat végéig bejelent</w:t>
      </w:r>
      <w:r>
        <w:rPr>
          <w:noProof/>
        </w:rPr>
        <w:t>endő kölcsönösen elfogadott megoldás születhessen. A felülvizsgálatot legkésőbb az e megállapodás hatálybalépésétől számított 11 éven belül le kell zárni. E rendelkezés a 2014. évi egyetértési megállapodás IV. cikke helyébe lép.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Amennyiben a felek az e meg</w:t>
      </w:r>
      <w:r>
        <w:rPr>
          <w:noProof/>
        </w:rPr>
        <w:t>állapodás hatálybalépését követő 11 éven belül nem értesítik közösen a WTO Vitarendezési Testületét az említett kölcsönösen elfogadott megoldásról, akkor a megállapodást a 6. cikk (1) bekezdésével összhangban bármelyik fél felmondhatja.</w:t>
      </w:r>
    </w:p>
    <w:p w:rsidR="00EA6E6F" w:rsidRDefault="00EB33CD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noProof/>
          <w:sz w:val="22"/>
        </w:rPr>
      </w:pPr>
      <w:r>
        <w:rPr>
          <w:noProof/>
          <w:sz w:val="22"/>
        </w:rPr>
        <w:t>5. cikk</w:t>
      </w:r>
    </w:p>
    <w:p w:rsidR="00EA6E6F" w:rsidRDefault="00EB33CD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b/>
          <w:noProof/>
          <w:sz w:val="22"/>
        </w:rPr>
      </w:pPr>
      <w:r>
        <w:rPr>
          <w:b/>
          <w:noProof/>
          <w:sz w:val="22"/>
        </w:rPr>
        <w:t>Helyszíni e</w:t>
      </w:r>
      <w:r>
        <w:rPr>
          <w:b/>
          <w:noProof/>
          <w:sz w:val="22"/>
        </w:rPr>
        <w:t>llenőrzések</w:t>
      </w:r>
    </w:p>
    <w:p w:rsidR="00EA6E6F" w:rsidRDefault="00EB33CD">
      <w:pPr>
        <w:rPr>
          <w:noProof/>
        </w:rPr>
      </w:pPr>
      <w:r>
        <w:rPr>
          <w:noProof/>
        </w:rPr>
        <w:t>A Bizottság felkérheti az Egyesült Államok kormányát, hogy hatalmazza fel a Bizottság képviselőit egyesült államokbeli helyszíni ellenőrzések elvégzésére, feltéve, hogy a szóban forgó helyszíni ellenőrzések megkülönböztetésmentesen elvégzésre k</w:t>
      </w:r>
      <w:r>
        <w:rPr>
          <w:noProof/>
        </w:rPr>
        <w:t>erülnek más országok szállítói tekintetében is. Ezeket az ellenőrzéseket az Egyesült Államok illetékes hatóságaival közösen kell elvégezni.</w:t>
      </w:r>
    </w:p>
    <w:p w:rsidR="00EA6E6F" w:rsidRDefault="00EB33CD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noProof/>
          <w:sz w:val="22"/>
        </w:rPr>
      </w:pPr>
      <w:r>
        <w:rPr>
          <w:noProof/>
          <w:sz w:val="22"/>
        </w:rPr>
        <w:t>6. cikk</w:t>
      </w:r>
    </w:p>
    <w:p w:rsidR="00EA6E6F" w:rsidRDefault="00EB33CD">
      <w:pPr>
        <w:widowControl w:val="0"/>
        <w:tabs>
          <w:tab w:val="left" w:pos="774"/>
        </w:tabs>
        <w:spacing w:before="0" w:after="280" w:line="269" w:lineRule="exact"/>
        <w:ind w:left="760"/>
        <w:jc w:val="center"/>
        <w:rPr>
          <w:rFonts w:eastAsia="Times New Roman"/>
          <w:b/>
          <w:noProof/>
          <w:sz w:val="22"/>
        </w:rPr>
      </w:pPr>
      <w:r>
        <w:rPr>
          <w:b/>
          <w:noProof/>
          <w:sz w:val="22"/>
        </w:rPr>
        <w:t>Felmondás és annak következményei</w:t>
      </w:r>
    </w:p>
    <w:p w:rsidR="00EA6E6F" w:rsidRDefault="00EB33CD"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E megállapodást a másik félhez intézett írásbeli értesítés útján bármelyik</w:t>
      </w:r>
      <w:r>
        <w:rPr>
          <w:noProof/>
        </w:rPr>
        <w:t xml:space="preserve"> fél felmondhatja. A megállapodás a szóban forgó értesítés másik fél általi kézhezvételétől számított hat hónap elteltével szűnik meg. A megállapodás felmondása nem jelenti a 2014. évi egyetértési megállapodás felmondását, kivéve, ha a felek e szándékukról</w:t>
      </w:r>
      <w:r>
        <w:rPr>
          <w:noProof/>
        </w:rPr>
        <w:t xml:space="preserve"> kifejezetten nyilatkoznak.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A 2014. évi egyetértési megállapodásnak az annak V. cikke (4) bekezdése szerinti felmondása e megállapodás felmondását is maga után vonja. A felek a 2014. évi egyetértési megállapodás V. cikkének (4) bekezdésében említett felmon</w:t>
      </w:r>
      <w:r>
        <w:rPr>
          <w:noProof/>
        </w:rPr>
        <w:t xml:space="preserve">dási értesítés megküldésétől számított hat hónapos időszak alatt tiszteletben tartják a megállapodás II. cikkében felsorolt alapkötelezettségeket. 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A 4. cikk (3) bekezdésének megfelelően a WTO Vitarendezési Testületnek küldött, kölcsönösen elfogadott megol</w:t>
      </w:r>
      <w:r>
        <w:rPr>
          <w:noProof/>
        </w:rPr>
        <w:t xml:space="preserve">dásra vonatkozó értesítés hiányában e megállapodás egyetlen rendelkezése sem értelmezhető úgy, hogy az módosítaná bármely félnek a vitarendezési egyetértés szerinti vonatkozó jogait vagy kötelezettségeit az </w:t>
      </w:r>
      <w:r>
        <w:rPr>
          <w:i/>
          <w:noProof/>
        </w:rPr>
        <w:t>„EK–Hormonok”</w:t>
      </w:r>
      <w:r>
        <w:rPr>
          <w:noProof/>
        </w:rPr>
        <w:t xml:space="preserve"> ügy tekintetében.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 xml:space="preserve">E megállapodás </w:t>
      </w:r>
      <w:r>
        <w:rPr>
          <w:noProof/>
        </w:rPr>
        <w:t>egyetlen rendelkezése sem értelmezhető úgy, hogy az bármely személy vonatkozásában a felek által megállapítottakon kívüli jogokat vagy kötelezettségeket keletkeztetne, illetve hogy e megállapodás bíróság előtt és a felek belső jogrendjében közvetlen hivatk</w:t>
      </w:r>
      <w:r>
        <w:rPr>
          <w:noProof/>
        </w:rPr>
        <w:t>ozási alapként szolgálhatna.</w:t>
      </w:r>
    </w:p>
    <w:p w:rsidR="00EA6E6F" w:rsidRDefault="00EB33CD">
      <w:pPr>
        <w:pStyle w:val="NumPar1"/>
        <w:rPr>
          <w:noProof/>
        </w:rPr>
      </w:pPr>
      <w:r>
        <w:rPr>
          <w:noProof/>
        </w:rPr>
        <w:t>E megállapodás az azt a napot követő első napon lép hatályba, amelyen a felek értesítik egymást a 2. cikk és a 4. cikk (1) bekezdése szerinti kötelezettségeik teljesítéséhez szükséges belső eljárások lezárásáról.</w:t>
      </w:r>
    </w:p>
    <w:p w:rsidR="00EA6E6F" w:rsidRDefault="00EB33CD">
      <w:pPr>
        <w:rPr>
          <w:noProof/>
        </w:rPr>
      </w:pPr>
      <w:r>
        <w:rPr>
          <w:noProof/>
        </w:rPr>
        <w:t>FENTIEK HITELÉ</w:t>
      </w:r>
      <w:r>
        <w:rPr>
          <w:noProof/>
        </w:rPr>
        <w:t>ÜL a kormányuk által megfelelően felhatalmazott alulírottak aláírták ezt a megállapodást.</w:t>
      </w:r>
    </w:p>
    <w:p w:rsidR="00EA6E6F" w:rsidRDefault="00EB33CD">
      <w:pPr>
        <w:rPr>
          <w:noProof/>
          <w:color w:val="000000"/>
          <w:sz w:val="19"/>
          <w:szCs w:val="19"/>
        </w:rPr>
      </w:pPr>
      <w:r>
        <w:rPr>
          <w:noProof/>
        </w:rPr>
        <w:t>KELT &lt;HELY&gt;-ban/-ben &lt;DÁTUM&gt;-án/-én két példányban angol nyelven, amely a megállapodás hiteles nyelvi változata.</w:t>
      </w:r>
    </w:p>
    <w:p w:rsidR="00EA6E6F" w:rsidRDefault="00EA6E6F">
      <w:pPr>
        <w:rPr>
          <w:noProof/>
        </w:rPr>
      </w:pPr>
    </w:p>
    <w:p w:rsidR="00EA6E6F" w:rsidRDefault="00EB33CD">
      <w:pPr>
        <w:rPr>
          <w:noProof/>
        </w:rPr>
      </w:pPr>
      <w:r>
        <w:rPr>
          <w:noProof/>
        </w:rPr>
        <w:t>az Amerikai Egyesült Államok részéről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az Európai </w:t>
      </w:r>
      <w:r>
        <w:rPr>
          <w:noProof/>
        </w:rPr>
        <w:t>Unió részéről</w:t>
      </w:r>
    </w:p>
    <w:p w:rsidR="00EA6E6F" w:rsidRDefault="00EA6E6F">
      <w:pPr>
        <w:rPr>
          <w:noProof/>
        </w:rPr>
      </w:pPr>
    </w:p>
    <w:p w:rsidR="00EA6E6F" w:rsidRDefault="00EA6E6F">
      <w:pPr>
        <w:rPr>
          <w:noProof/>
        </w:rPr>
      </w:pPr>
    </w:p>
    <w:sectPr w:rsidR="00EA6E6F" w:rsidSect="00EB33CD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F" w:rsidRDefault="00EB33CD">
      <w:pPr>
        <w:spacing w:before="0" w:after="0"/>
      </w:pPr>
      <w:r>
        <w:separator/>
      </w:r>
    </w:p>
  </w:endnote>
  <w:endnote w:type="continuationSeparator" w:id="0">
    <w:p w:rsidR="00EA6E6F" w:rsidRDefault="00EB33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F" w:rsidRPr="00EB33CD" w:rsidRDefault="00EB33CD" w:rsidP="00EB33CD">
    <w:pPr>
      <w:pStyle w:val="Footer"/>
      <w:rPr>
        <w:rFonts w:ascii="Arial" w:hAnsi="Arial" w:cs="Arial"/>
        <w:b/>
        <w:sz w:val="48"/>
      </w:rPr>
    </w:pPr>
    <w:r w:rsidRPr="00EB33CD">
      <w:rPr>
        <w:rFonts w:ascii="Arial" w:hAnsi="Arial" w:cs="Arial"/>
        <w:b/>
        <w:sz w:val="48"/>
      </w:rPr>
      <w:t>HU</w:t>
    </w:r>
    <w:r w:rsidRPr="00EB33CD">
      <w:rPr>
        <w:rFonts w:ascii="Arial" w:hAnsi="Arial" w:cs="Arial"/>
        <w:b/>
        <w:sz w:val="48"/>
      </w:rPr>
      <w:tab/>
    </w:r>
    <w:r w:rsidRPr="00EB33CD">
      <w:rPr>
        <w:rFonts w:ascii="Arial" w:hAnsi="Arial" w:cs="Arial"/>
        <w:b/>
        <w:sz w:val="48"/>
      </w:rPr>
      <w:tab/>
    </w:r>
    <w:r w:rsidRPr="00EB33CD">
      <w:tab/>
    </w:r>
    <w:r w:rsidRPr="00EB33CD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Footer"/>
      <w:rPr>
        <w:rFonts w:ascii="Arial" w:hAnsi="Arial" w:cs="Arial"/>
        <w:b/>
        <w:sz w:val="48"/>
      </w:rPr>
    </w:pPr>
    <w:r w:rsidRPr="00EB33CD">
      <w:rPr>
        <w:rFonts w:ascii="Arial" w:hAnsi="Arial" w:cs="Arial"/>
        <w:b/>
        <w:sz w:val="48"/>
      </w:rPr>
      <w:t>HU</w:t>
    </w:r>
    <w:r w:rsidRPr="00EB33C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  <w:r>
      <w:tab/>
    </w:r>
    <w:r w:rsidRPr="00EB33CD">
      <w:tab/>
    </w:r>
    <w:r w:rsidRPr="00EB33CD"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F" w:rsidRDefault="00EB33CD">
      <w:pPr>
        <w:spacing w:before="0" w:after="0"/>
      </w:pPr>
      <w:r>
        <w:separator/>
      </w:r>
    </w:p>
  </w:footnote>
  <w:footnote w:type="continuationSeparator" w:id="0">
    <w:p w:rsidR="00EA6E6F" w:rsidRDefault="00EB33CD">
      <w:pPr>
        <w:spacing w:before="0" w:after="0"/>
      </w:pPr>
      <w:r>
        <w:continuationSeparator/>
      </w:r>
    </w:p>
  </w:footnote>
  <w:footnote w:id="1">
    <w:p w:rsidR="00EA6E6F" w:rsidRDefault="00EB33CD">
      <w:pPr>
        <w:pStyle w:val="FootnoteText"/>
      </w:pPr>
      <w:r>
        <w:rPr>
          <w:rStyle w:val="FootnoteReference"/>
        </w:rPr>
        <w:footnoteRef/>
      </w:r>
      <w:r>
        <w:tab/>
        <w:t>A nagyobb egyértelműség érdekében, ha ez a megállapodás valamely kontingensév n. alidőszakának az elején lép hatályba, az 1. évre vonatkozó mennyiséget négy egymást követő alidőszakban, azok között e</w:t>
      </w:r>
      <w:r>
        <w:t>gyenlően elosztva kell rendelkezésre bocsátani úgy, hogy az első alidőszak az adott kontingensév n. alidőszaka, az utolsó pedig a következő kontingensév n–1. alidőszaka. A 2. évtől kezdődően a mennyiségeket négy egymást követő alidőszakban, azok között egy</w:t>
      </w:r>
      <w:r>
        <w:t>enlően elosztva kell rendelkezésre bocsátani, a következő kontingensév n. alidőszakától kezdve.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D" w:rsidRPr="00EB33CD" w:rsidRDefault="00EB33CD" w:rsidP="00EB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95820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A0082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FBAA8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8505D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D3EBF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1B22F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1FE5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A16B2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20"/>
  </w:num>
  <w:num w:numId="31">
    <w:abstractNumId w:val="11"/>
  </w:num>
  <w:num w:numId="32">
    <w:abstractNumId w:val="13"/>
  </w:num>
  <w:num w:numId="33">
    <w:abstractNumId w:val="9"/>
  </w:num>
  <w:num w:numId="34">
    <w:abstractNumId w:val="19"/>
  </w:num>
  <w:num w:numId="35">
    <w:abstractNumId w:val="8"/>
  </w:num>
  <w:num w:numId="36">
    <w:abstractNumId w:val="14"/>
  </w:num>
  <w:num w:numId="37">
    <w:abstractNumId w:val="16"/>
  </w:num>
  <w:num w:numId="38">
    <w:abstractNumId w:val="17"/>
  </w:num>
  <w:num w:numId="39">
    <w:abstractNumId w:val="10"/>
  </w:num>
  <w:num w:numId="40">
    <w:abstractNumId w:val="15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8 09:04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9C0AC62-2E13-4302-827F-36A4A05D8566"/>
    <w:docVar w:name="LW_COVERPAGE_TYPE" w:val="1"/>
    <w:docVar w:name="LW_CROSSREFERENCE" w:val="&lt;UNUSED&gt;"/>
    <w:docVar w:name="LW_DocType" w:val="ANNEX"/>
    <w:docVar w:name="LW_EMISSION" w:val="2019.6.24."/>
    <w:docVar w:name="LW_EMISSION_ISODATE" w:val="2019-06-24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kiváló min\u337?ség\u369? marhahús behozatalára vonatkozó autonóm vámkontingens megnyitásáról szóló, 2009. július 13-i 617/2009/EK rendeletben meghatározott vámkontingens egy részének az Amerikai Egyesült Államok számára történ\u337? kiosztása tekintetében az Amerikai Egyesült Államokkal létrejött megállapodás megkötésér\u337?l_x000b_"/>
    <w:docVar w:name="LW_OBJETACTEPRINCIPAL.CP" w:val="a kiváló min\u337?ség\u369? marhahús behozatalára vonatkozó autonóm vámkontingens megnyitásáról szóló, 2009. július 13-i 617/2009/EK rendeletben meghatározott vámkontingens egy részének az Amerikai Egyesült Államok számára történ\u337? kiosztása tekintetében az Amerikai Egyesült Államokkal létrejött megállapodás megkötésér\u337?l_x000b_"/>
    <w:docVar w:name="LW_PART_NBR" w:val="1"/>
    <w:docVar w:name="LW_PART_NBR_TOTAL" w:val="1"/>
    <w:docVar w:name="LW_REF.INST.NEW" w:val="COM"/>
    <w:docVar w:name="LW_REF.INST.NEW_ADOPTED" w:val="final/2 \u8211? DOWNGRADED on 16.7.2019"/>
    <w:docVar w:name="LW_REF.INST.NEW_TEXT" w:val="(2019) 2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_x000b_A TANÁCS HATÁROZATA"/>
    <w:docVar w:name="LW_TYPEACTEPRINCIPAL.CP" w:val="Javaslat_x000b__x000b_A TANÁCS HATÁROZATA"/>
  </w:docVars>
  <w:rsids>
    <w:rsidRoot w:val="00EA6E6F"/>
    <w:rsid w:val="00EA6E6F"/>
    <w:rsid w:val="00E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00F42D-270B-4B69-BB49-56C15E8A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3CD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33CD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EB3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B33CD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B33CD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EB3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EB33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EB33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5</TotalTime>
  <Pages>5</Pages>
  <Words>1101</Words>
  <Characters>7245</Characters>
  <Application>Microsoft Office Word</Application>
  <DocSecurity>0</DocSecurity>
  <Lines>157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VILA Joaquim (AGRI)</dc:creator>
  <cp:keywords/>
  <dc:description/>
  <cp:lastModifiedBy>ANTONACCIO Raimondo (SG)</cp:lastModifiedBy>
  <cp:revision>16</cp:revision>
  <dcterms:created xsi:type="dcterms:W3CDTF">2019-06-25T08:12:00Z</dcterms:created>
  <dcterms:modified xsi:type="dcterms:W3CDTF">2019-07-18T12:01:00Z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