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6F4345A-BA2B-4901-BD98-DAECEB58711F" style="width:450.75pt;height:3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MOTIVERING</w:t>
      </w:r>
    </w:p>
    <w:p>
      <w:pPr>
        <w:pStyle w:val="ManualHeading1"/>
        <w:rPr>
          <w:rFonts w:eastAsia="Arial Unicode MS"/>
          <w:noProof/>
        </w:rPr>
      </w:pPr>
      <w:r>
        <w:t>1.</w:t>
      </w:r>
      <w:r>
        <w:tab/>
      </w:r>
      <w:r>
        <w:rPr>
          <w:noProof/>
        </w:rPr>
        <w:t>Fråga som behandlas i förslaget</w:t>
      </w:r>
    </w:p>
    <w:p>
      <w:pPr>
        <w:rPr>
          <w:rFonts w:eastAsia="Arial Unicode MS"/>
          <w:noProof/>
        </w:rPr>
      </w:pPr>
      <w:r>
        <w:rPr>
          <w:noProof/>
        </w:rPr>
        <w:t>Detta förslag avser beslutet om fastställande av den ståndpunkt som ska intas på Europeiska unionens vägnar i AEP-kommittén, som inrättats genom det inledande avtalet om ekonomiskt partnerskap mellan Ghana, å ena sidan, och Europeiska gemenskapen och dess medlemsstater, å andra sidan, beträffande det planerade antagandet av protokoll 1 till avtalet om definitionen av begreppet ”ursprungsprodukter” och metoder för administrativt samarbete.</w:t>
      </w:r>
    </w:p>
    <w:p>
      <w:pPr>
        <w:pStyle w:val="ManualHeading1"/>
        <w:rPr>
          <w:noProof/>
        </w:rPr>
      </w:pPr>
      <w:r>
        <w:t>2.</w:t>
      </w:r>
      <w:r>
        <w:tab/>
      </w:r>
      <w:r>
        <w:rPr>
          <w:noProof/>
        </w:rPr>
        <w:t>Bakgrund till förslaget</w:t>
      </w:r>
    </w:p>
    <w:p>
      <w:pPr>
        <w:pStyle w:val="ManualHeading2"/>
        <w:rPr>
          <w:noProof/>
        </w:rPr>
      </w:pPr>
      <w:r>
        <w:t>2.1.</w:t>
      </w:r>
      <w:r>
        <w:tab/>
      </w:r>
      <w:r>
        <w:rPr>
          <w:noProof/>
        </w:rPr>
        <w:t>Det inledande avtalet om ekonomiskt partnerskap mellan Ghana, å ena sidan, och Europeiska gemenskapen och dess medlemsstater, å andra sidan.</w:t>
      </w:r>
    </w:p>
    <w:p>
      <w:pPr>
        <w:rPr>
          <w:rFonts w:eastAsia="Arial Unicode MS"/>
          <w:noProof/>
        </w:rPr>
      </w:pPr>
      <w:r>
        <w:rPr>
          <w:noProof/>
        </w:rPr>
        <w:t xml:space="preserve">Det inledande avtalet om ekonomiskt partnerskap mellan Ghana, å ena sidan, och Europeiska gemenskapen och dess medlemsstater, å andra sidan, (nedan kallat </w:t>
      </w:r>
      <w:r>
        <w:rPr>
          <w:i/>
          <w:noProof/>
        </w:rPr>
        <w:t>avtalet</w:t>
      </w:r>
      <w:r>
        <w:rPr>
          <w:noProof/>
        </w:rPr>
        <w:t>) undertecknades av Europeiska unionen (EU) den 28 juli 2016</w:t>
      </w:r>
      <w:r>
        <w:rPr>
          <w:rStyle w:val="FootnoteReference"/>
          <w:noProof/>
        </w:rPr>
        <w:footnoteReference w:id="1"/>
      </w:r>
      <w:r>
        <w:rPr>
          <w:noProof/>
        </w:rPr>
        <w:t xml:space="preserve"> och har tillämpats provisoriskt sedan den 15 december 2016. </w:t>
      </w:r>
    </w:p>
    <w:p>
      <w:pPr>
        <w:rPr>
          <w:rFonts w:eastAsia="Arial Unicode MS"/>
          <w:noProof/>
        </w:rPr>
      </w:pPr>
      <w:r>
        <w:rPr>
          <w:noProof/>
        </w:rPr>
        <w:t xml:space="preserve">Avtalet syftar till att a) göra det möjligt för Ghana att omfattas av det förbättrade marknadstillträde som EU erbjuder, b) främja hållbar ekonomisk utveckling i Ghana och öka landets gradvisa integrering i världsekonomin, c) utifrån parternas gemensamma intressen upprätta ett frihandelsområde mellan Europeiska unionen och Ghana genom en gradvis liberalisering av handeln på ett sätt som är förenligt med tillämpliga WTO-regler och principen om asymmetri, med beaktande av Ghanas särskilda behov och kapacitetsbegränsningar, vad gäller tidsplanen för och omfattningen av de åtaganden som görs, d) inrätta lämpliga arrangemang för tvistlösning, samt e) sörja för lämpliga institutionella arrangemang. </w:t>
      </w:r>
    </w:p>
    <w:p>
      <w:pPr>
        <w:pStyle w:val="ManualHeading2"/>
        <w:rPr>
          <w:noProof/>
        </w:rPr>
      </w:pPr>
      <w:r>
        <w:t>2.2.</w:t>
      </w:r>
      <w:r>
        <w:tab/>
      </w:r>
      <w:r>
        <w:rPr>
          <w:noProof/>
        </w:rPr>
        <w:t>AEP-kommittén</w:t>
      </w:r>
    </w:p>
    <w:p>
      <w:pPr>
        <w:rPr>
          <w:noProof/>
        </w:rPr>
      </w:pPr>
      <w:r>
        <w:rPr>
          <w:noProof/>
        </w:rPr>
        <w:t xml:space="preserve">AEP-kommittén är ett organ som inrättats i enlighet med artikel 73 i avtalet. Den består av företrädare för EU och Ghana (nedan kallade </w:t>
      </w:r>
      <w:r>
        <w:rPr>
          <w:i/>
          <w:noProof/>
        </w:rPr>
        <w:t>parterna</w:t>
      </w:r>
      <w:r>
        <w:rPr>
          <w:noProof/>
        </w:rPr>
        <w:t xml:space="preserve">) och ordförandeskapet innehas gemensamt av en företrädare för var och en av parterna. AEP-kommittén antar själv sin arbetsordning. </w:t>
      </w:r>
    </w:p>
    <w:p>
      <w:pPr>
        <w:rPr>
          <w:rFonts w:eastAsia="Arial Unicode MS"/>
          <w:noProof/>
        </w:rPr>
      </w:pPr>
      <w:r>
        <w:rPr>
          <w:noProof/>
        </w:rPr>
        <w:t>AEP-kommittén behandlar alla frågor som är av central betydelse för genomförandet av avtalet, inbegripet utvecklingssamarbetet. Vid fullgörandet av sina uppgifter får AEP-kommittén a) inrätta och övervaka eventuella särskilda kommittéer eller organ som är nödvändiga för genomförandet av avtalet, b) sammanträda vid vilken tidpunkt som helst som parterna enats om, c) behandla alla frågor som uppkommer i samband med avtalet och vidta lämpliga åtgärder i samband med utövandet av sina uppgifter, d) fatta beslut eller utfärda rekommendationer i de fall som föreskrivs i avtalet, och e) anta ändringar av detta avtal.</w:t>
      </w:r>
    </w:p>
    <w:p>
      <w:pPr>
        <w:rPr>
          <w:rFonts w:eastAsia="Arial Unicode MS"/>
          <w:noProof/>
        </w:rPr>
      </w:pPr>
      <w:r>
        <w:rPr>
          <w:noProof/>
        </w:rPr>
        <w:t>AEP-kommittén får vid behov se över avtalet, dess genomförande, tillämpning och resultat och lägga fram förslag till lämpliga ändringar av avtalet för parterna.</w:t>
      </w:r>
    </w:p>
    <w:p>
      <w:pPr>
        <w:pStyle w:val="ManualHeading2"/>
        <w:rPr>
          <w:noProof/>
        </w:rPr>
      </w:pPr>
      <w:r>
        <w:t>2.3.</w:t>
      </w:r>
      <w:r>
        <w:tab/>
      </w:r>
      <w:r>
        <w:rPr>
          <w:noProof/>
        </w:rPr>
        <w:t>Den gemensamma kommitténs planerade akt</w:t>
      </w:r>
    </w:p>
    <w:p>
      <w:pPr>
        <w:rPr>
          <w:rFonts w:eastAsia="Arial Unicode MS"/>
          <w:noProof/>
        </w:rPr>
      </w:pPr>
      <w:r>
        <w:rPr>
          <w:noProof/>
        </w:rPr>
        <w:t xml:space="preserve">AEP-kommittén ska vid sitt nästa möte under 2019 anta ett beslut avseende antagandet av protokoll 1 om definitionen av begreppet ”ursprungsprodukter” och metoder för administrativt samarbete, såsom parterna enades om på teknisk nivå i mars 2019 (nedan kallad </w:t>
      </w:r>
      <w:r>
        <w:rPr>
          <w:i/>
          <w:noProof/>
        </w:rPr>
        <w:t>den planerade akten</w:t>
      </w:r>
      <w:r>
        <w:rPr>
          <w:noProof/>
        </w:rPr>
        <w:t>).</w:t>
      </w:r>
    </w:p>
    <w:p>
      <w:pPr>
        <w:rPr>
          <w:rFonts w:eastAsia="Arial Unicode MS"/>
          <w:noProof/>
        </w:rPr>
      </w:pPr>
      <w:r>
        <w:rPr>
          <w:noProof/>
        </w:rPr>
        <w:t xml:space="preserve">Syftet med den planerade akten är att upprätta en gemensam och ömsesidig ordning för ursprungsregler. </w:t>
      </w:r>
    </w:p>
    <w:p>
      <w:pPr>
        <w:rPr>
          <w:rFonts w:eastAsia="Arial Unicode MS"/>
          <w:noProof/>
        </w:rPr>
      </w:pPr>
      <w:r>
        <w:rPr>
          <w:noProof/>
        </w:rPr>
        <w:t>Avtalet trädde i kraft utan att en gemensam och ömsesidig ordning för ursprungsregler fanns på plats. Enligt artikel 14 i avtalet ska parterna fastställa sådana regler ”som bygger på ursprungsreglerna enligt Cotonouavtalet och innehåller bestämmelser om förbättring av dessa, med hänsyn till Ghanas utvecklingsmål”. Denna nya ordning kommer att införlivas i själva avtalet genom ett beslut av AEP-kommittén. I avsaknad av en sådan ordning ska bestämmelserna om ursprungsregler i bilaga II till förordning (EU) 2016/1076</w:t>
      </w:r>
      <w:r>
        <w:rPr>
          <w:rStyle w:val="FootnoteReference"/>
          <w:noProof/>
        </w:rPr>
        <w:footnoteReference w:id="2"/>
      </w:r>
      <w:r>
        <w:rPr>
          <w:noProof/>
        </w:rPr>
        <w:t xml:space="preserve"> (nedan kallad </w:t>
      </w:r>
      <w:r>
        <w:rPr>
          <w:i/>
          <w:noProof/>
        </w:rPr>
        <w:t>förordningen om marknadstillträde</w:t>
      </w:r>
      <w:r>
        <w:rPr>
          <w:noProof/>
        </w:rPr>
        <w:t xml:space="preserve">) tillämpas på export från Ghana till Europeiska unionen. </w:t>
      </w:r>
    </w:p>
    <w:p>
      <w:pPr>
        <w:pStyle w:val="ManualHeading1"/>
        <w:rPr>
          <w:rFonts w:eastAsia="Arial Unicode MS"/>
          <w:noProof/>
        </w:rPr>
      </w:pPr>
      <w:r>
        <w:t>3.</w:t>
      </w:r>
      <w:r>
        <w:tab/>
      </w:r>
      <w:r>
        <w:rPr>
          <w:noProof/>
        </w:rPr>
        <w:t>Den ståndpunkt som ska intas på unionens vägnar</w:t>
      </w:r>
    </w:p>
    <w:p>
      <w:pPr>
        <w:rPr>
          <w:rFonts w:eastAsia="Arial Unicode MS"/>
          <w:noProof/>
        </w:rPr>
      </w:pPr>
      <w:r>
        <w:rPr>
          <w:noProof/>
          <w:color w:val="000000"/>
        </w:rPr>
        <w:t xml:space="preserve">Parterna enades i mars 2019 på teknisk nivå om texten till ett protokoll 1 till avtalet om definitionen av begreppet ”ursprungsprodukter” och metoder för administrativt samarbete. </w:t>
      </w:r>
      <w:r>
        <w:rPr>
          <w:noProof/>
        </w:rPr>
        <w:t>Det protokoll 1 som man enats om bygger i sin tur på protokoll 1 till det ekonomiska partnerskapsavtalet mellan de västafrikanska staterna, Västafrikanska staters ekonomiska gemenskap (Ecowas) och Västafrikanska ekonomiska och monetära unionen (Waemu), å ena sidan, och Europeiska unionen och dess medlemsstater, å andra sidan</w:t>
      </w:r>
      <w:r>
        <w:rPr>
          <w:rStyle w:val="FootnoteReference"/>
          <w:noProof/>
        </w:rPr>
        <w:footnoteReference w:id="3"/>
      </w:r>
      <w:r>
        <w:rPr>
          <w:noProof/>
        </w:rPr>
        <w:t xml:space="preserve">, (som ingåtts men ännu ej trätt ikraft) vilket baseras på Cotonouavtalet. I det överenskomna protokoll 1 införs ett antal ändringar för att återspegla den senaste utvecklingen när det gäller ursprungsregler, inklusive de ändringar som ingår i de senast ingångna protokollen om ursprungsregler inom ramen för avtalen om ekonomiskt partnerskap med gruppen av stater i Afrika, Västindien och Stillahavsområdet (AVS). </w:t>
      </w:r>
    </w:p>
    <w:p>
      <w:pPr>
        <w:rPr>
          <w:rFonts w:eastAsia="Arial Unicode MS"/>
          <w:noProof/>
        </w:rPr>
      </w:pPr>
      <w:r>
        <w:rPr>
          <w:noProof/>
        </w:rPr>
        <w:t>De viktigaste ändringarna som införts är följande:</w:t>
      </w:r>
    </w:p>
    <w:p>
      <w:pPr>
        <w:pStyle w:val="Bullet0"/>
        <w:numPr>
          <w:ilvl w:val="0"/>
          <w:numId w:val="11"/>
        </w:numPr>
        <w:rPr>
          <w:noProof/>
        </w:rPr>
      </w:pPr>
      <w:r>
        <w:rPr>
          <w:noProof/>
        </w:rPr>
        <w:t>Artikel 15 med titeln ”Direkttransport” ersätts med en ny artikel 15 med titeln ”Oförändrat skick”, i syfte att möjliggöra mer flexibilitet för de ekonomiska aktörerna vad gäller de bevis som ska lämnas till importlandets tullmyndigheter då omlastning eller tullagring av ursprungsvaror äger rum i ett tredjeland.</w:t>
      </w:r>
    </w:p>
    <w:p>
      <w:pPr>
        <w:pStyle w:val="Bullet0"/>
        <w:rPr>
          <w:noProof/>
        </w:rPr>
      </w:pPr>
      <w:r>
        <w:rPr>
          <w:noProof/>
        </w:rPr>
        <w:t xml:space="preserve">Det införs större flexibilitet för ekonomiska aktörer att uppfylla kraven på ursprungsbevis genom att låta registrerade exportörer utfärda ursprungsdeklarationer på kommersiella dokument (”egen försäkran”) (artiklarna 17 och ”nya” 21). Ghana kommer att omfattas av en övergångsperiod på 3 år för att genomföra självcertifiering. </w:t>
      </w:r>
    </w:p>
    <w:p>
      <w:pPr>
        <w:pStyle w:val="Bullet0"/>
        <w:rPr>
          <w:noProof/>
        </w:rPr>
      </w:pPr>
      <w:r>
        <w:rPr>
          <w:noProof/>
        </w:rPr>
        <w:t>Strykning av inaktuella bestämmelser:</w:t>
      </w:r>
    </w:p>
    <w:p>
      <w:pPr>
        <w:pStyle w:val="Bullet1"/>
        <w:numPr>
          <w:ilvl w:val="0"/>
          <w:numId w:val="12"/>
        </w:numPr>
        <w:rPr>
          <w:noProof/>
        </w:rPr>
      </w:pPr>
      <w:r>
        <w:rPr>
          <w:noProof/>
        </w:rPr>
        <w:t>Artikel 3.2 d och 3.3 om krav på besättning för definitionen av ”deras fartyg” och ”deras fabriksfartyg”.</w:t>
      </w:r>
    </w:p>
    <w:p>
      <w:pPr>
        <w:pStyle w:val="Bullet1"/>
        <w:rPr>
          <w:noProof/>
        </w:rPr>
      </w:pPr>
      <w:r>
        <w:rPr>
          <w:noProof/>
        </w:rPr>
        <w:t>Artiklarna 7.4, 21, 40 och 41.5 samt bilaga IX till protokollet.</w:t>
      </w:r>
    </w:p>
    <w:p>
      <w:pPr>
        <w:pStyle w:val="Bullet0"/>
        <w:rPr>
          <w:noProof/>
        </w:rPr>
      </w:pPr>
      <w:r>
        <w:rPr>
          <w:noProof/>
        </w:rPr>
        <w:t>Regional ursprungskumulation tillåts med andra länder i Västafrika som omfattas av tull- och kvotfritt tillträde till EU.</w:t>
      </w:r>
    </w:p>
    <w:p>
      <w:pPr>
        <w:pStyle w:val="Bullet0"/>
        <w:rPr>
          <w:noProof/>
        </w:rPr>
      </w:pPr>
      <w:r>
        <w:rPr>
          <w:noProof/>
        </w:rPr>
        <w:t>Undantag för tonfisk och tonfiskfiléer som beviljas för 1 år (artikel 41.9).</w:t>
      </w:r>
    </w:p>
    <w:p>
      <w:pPr>
        <w:pStyle w:val="Bullet0"/>
        <w:rPr>
          <w:noProof/>
        </w:rPr>
      </w:pPr>
      <w:r>
        <w:rPr>
          <w:noProof/>
        </w:rPr>
        <w:t xml:space="preserve">Uppdatering av bilaga II: Införande av HS-nr 293980 alkaloider av icke-vegetabiliskt ursprung. Flexiblare regler för HS-nummer 2402 cigarrer av tobak och ex 2403 röktobak. Uppdatering av beskrivningen av HS ex 3002. </w:t>
      </w:r>
    </w:p>
    <w:p>
      <w:pPr>
        <w:rPr>
          <w:rFonts w:eastAsia="Arial Unicode MS"/>
          <w:noProof/>
          <w:color w:val="000000"/>
        </w:rPr>
      </w:pPr>
      <w:r>
        <w:rPr>
          <w:noProof/>
        </w:rPr>
        <w:t>Det föreslagna protokoll 1 om ursprungsregler innebär ytterligare förenklingar och flexibilitet vad gäller vissa ursprungsregler samt främjar en hållbar ekonomisk utveckling i Ghana och regional integration genom mer gynnsamma regler för kumulation.</w:t>
      </w:r>
      <w:r>
        <w:rPr>
          <w:noProof/>
          <w:color w:val="000000"/>
        </w:rPr>
        <w:t xml:space="preserve"> </w:t>
      </w:r>
    </w:p>
    <w:p>
      <w:pPr>
        <w:rPr>
          <w:rFonts w:eastAsia="Arial Unicode MS"/>
          <w:noProof/>
          <w:color w:val="000000"/>
        </w:rPr>
      </w:pPr>
      <w:r>
        <w:rPr>
          <w:noProof/>
          <w:color w:val="000000"/>
        </w:rPr>
        <w:t>Den planerade akten skulle göra det möjligt att ersätta de nuvarande ursprungsreglerna som är tillämpliga på export från Ghana till Europeiska unionen, såsom dessa fastställs i förordningen om marknadstillträde, genom en mer gynnsam och ömsesidig ordning.</w:t>
      </w:r>
    </w:p>
    <w:p>
      <w:pPr>
        <w:rPr>
          <w:rFonts w:eastAsia="Arial Unicode MS"/>
          <w:noProof/>
          <w:color w:val="000000"/>
        </w:rPr>
      </w:pPr>
      <w:r>
        <w:rPr>
          <w:noProof/>
          <w:color w:val="000000"/>
        </w:rPr>
        <w:t>Genom det föreslagna beslutet uppfyller EU sina skyldigheter enligt bestämmelserna i avtalet.</w:t>
      </w:r>
    </w:p>
    <w:p>
      <w:pPr>
        <w:pStyle w:val="ManualHeading1"/>
        <w:rPr>
          <w:noProof/>
        </w:rPr>
      </w:pPr>
      <w:r>
        <w:t>4.</w:t>
      </w:r>
      <w:r>
        <w:tab/>
      </w:r>
      <w:r>
        <w:rPr>
          <w:noProof/>
        </w:rPr>
        <w:t>Rättslig grund</w:t>
      </w:r>
    </w:p>
    <w:p>
      <w:pPr>
        <w:pStyle w:val="ManualHeading2"/>
        <w:rPr>
          <w:noProof/>
        </w:rPr>
      </w:pPr>
      <w:r>
        <w:t>4.1.</w:t>
      </w:r>
      <w:r>
        <w:tab/>
      </w:r>
      <w:r>
        <w:rPr>
          <w:noProof/>
        </w:rPr>
        <w:t>Förfarandemässig rättslig grund</w:t>
      </w:r>
    </w:p>
    <w:p>
      <w:pPr>
        <w:pStyle w:val="ManualHeading3"/>
        <w:rPr>
          <w:noProof/>
        </w:rPr>
      </w:pPr>
      <w:r>
        <w:t>4.1.1.</w:t>
      </w:r>
      <w:r>
        <w:tab/>
      </w:r>
      <w:r>
        <w:rPr>
          <w:noProof/>
        </w:rPr>
        <w:t>Principer</w:t>
      </w:r>
    </w:p>
    <w:p>
      <w:pPr>
        <w:rPr>
          <w:noProof/>
        </w:rPr>
      </w:pPr>
      <w:r>
        <w:rPr>
          <w:noProof/>
        </w:rPr>
        <w:t xml:space="preserve">I artikel 218.9 i fördraget om Europeiska unionens funktionssätt (nedan kallat </w:t>
      </w:r>
      <w:r>
        <w:rPr>
          <w:i/>
          <w:noProof/>
        </w:rPr>
        <w:t>EUF-fördraget</w:t>
      </w:r>
      <w:r>
        <w:rPr>
          <w:noProof/>
        </w:rPr>
        <w:t>) föreskrivs att beslut ska antas ”om fastställande av vilka ståndpunkter som på unionens vägnar ska intas i ett organ som inrättas genom ett avtal, om detta organ ska anta akter med rättslig verkan, med undantag av sådana akter som kompletterar eller ändrar avtalets institutionella ram.”.</w:t>
      </w:r>
    </w:p>
    <w:p>
      <w:pPr>
        <w:rPr>
          <w:noProof/>
        </w:rPr>
      </w:pPr>
      <w:r>
        <w:rPr>
          <w:noProof/>
        </w:rPr>
        <w:t>Begreppet ”akter med rättslig verkan” omfattar akter som har rättslig verkan med stöd av de regler i internationell rätt som tillämpas på organet i fråga. Det omfattar även instrument som inte har bindande verkan enligt internationell rätt, men som är ”ägnade att på ett avgörande sätt påverka innehållet i de bestämmelser som antas av unionslagstiftaren”</w:t>
      </w:r>
      <w:r>
        <w:rPr>
          <w:rStyle w:val="FootnoteReference"/>
          <w:noProof/>
        </w:rPr>
        <w:footnoteReference w:id="4"/>
      </w:r>
      <w:r>
        <w:rPr>
          <w:noProof/>
        </w:rPr>
        <w:t>.</w:t>
      </w:r>
    </w:p>
    <w:p>
      <w:pPr>
        <w:pStyle w:val="ManualHeading3"/>
        <w:rPr>
          <w:noProof/>
        </w:rPr>
      </w:pPr>
      <w:r>
        <w:t>4.1.2.</w:t>
      </w:r>
      <w:r>
        <w:tab/>
      </w:r>
      <w:r>
        <w:rPr>
          <w:noProof/>
        </w:rPr>
        <w:t>Tillämpning i det aktuella fallet</w:t>
      </w:r>
    </w:p>
    <w:p>
      <w:pPr>
        <w:rPr>
          <w:noProof/>
        </w:rPr>
      </w:pPr>
      <w:r>
        <w:rPr>
          <w:noProof/>
        </w:rPr>
        <w:t xml:space="preserve">Den akt som ska antas av kommittén utgör en akt med rättslig verkan. Den planerade akten kommer att bli bindande enligt internationell rätt i enlighet med artikel 14 i avtalet. </w:t>
      </w:r>
    </w:p>
    <w:p>
      <w:pPr>
        <w:rPr>
          <w:noProof/>
        </w:rPr>
      </w:pPr>
      <w:r>
        <w:rPr>
          <w:noProof/>
        </w:rPr>
        <w:t>Den planerade akten varken kompletterar eller ändrar avtalets institutionella ram.</w:t>
      </w:r>
    </w:p>
    <w:p>
      <w:pPr>
        <w:rPr>
          <w:noProof/>
        </w:rPr>
      </w:pPr>
      <w:r>
        <w:rPr>
          <w:noProof/>
        </w:rPr>
        <w:t>Den förfarandemässiga rättsliga grunden för det föreslagna beslutet är därför artikel 218.9 i EUF-fördraget.</w:t>
      </w:r>
    </w:p>
    <w:p>
      <w:pPr>
        <w:pStyle w:val="ManualHeading2"/>
        <w:rPr>
          <w:noProof/>
        </w:rPr>
      </w:pPr>
      <w:r>
        <w:t>4.2.</w:t>
      </w:r>
      <w:r>
        <w:tab/>
      </w:r>
      <w:r>
        <w:rPr>
          <w:noProof/>
        </w:rPr>
        <w:t>Materiell rättslig grund</w:t>
      </w:r>
    </w:p>
    <w:p>
      <w:pPr>
        <w:pStyle w:val="ManualHeading3"/>
        <w:rPr>
          <w:noProof/>
        </w:rPr>
      </w:pPr>
      <w:r>
        <w:t>4.2.1.</w:t>
      </w:r>
      <w:r>
        <w:tab/>
      </w:r>
      <w:r>
        <w:rPr>
          <w:noProof/>
        </w:rPr>
        <w:t>Principer</w:t>
      </w:r>
    </w:p>
    <w:p>
      <w:pPr>
        <w:rPr>
          <w:noProof/>
        </w:rPr>
      </w:pPr>
      <w:r>
        <w:rPr>
          <w:noProof/>
        </w:rPr>
        <w:t>Den materiella rättsliga grunden för ett beslut enligt artikel 218.9 i EUF-fördraget är främst beroende av syftet med och innehållet i den planerade akt avseende vilken en ståndpunkt intas på unionens vägnar. Om den planerade akten har två syften eller två beståndsdelar av vilka det ena syftet eller den ena beståndsdelen kan identifieras som det eller den huvudsakliga, medan det eller den andra endast är av underordnad betydelse, måste det beslut som antas enligt artikel 218.9 i EUF-fördraget ha en enda materiell rättslig grund, nämligen den som krävs med hänsyn till det huvudsakliga eller avgörande syftet eller den huvudsakliga eller avgörande beståndsdelen.</w:t>
      </w:r>
    </w:p>
    <w:p>
      <w:pPr>
        <w:pStyle w:val="ManualHeading3"/>
        <w:rPr>
          <w:noProof/>
        </w:rPr>
      </w:pPr>
      <w:r>
        <w:t>4.2.2.</w:t>
      </w:r>
      <w:r>
        <w:tab/>
      </w:r>
      <w:r>
        <w:rPr>
          <w:noProof/>
        </w:rPr>
        <w:t>Tillämpning i det aktuella fallet</w:t>
      </w:r>
    </w:p>
    <w:p>
      <w:pPr>
        <w:rPr>
          <w:noProof/>
        </w:rPr>
      </w:pPr>
      <w:r>
        <w:rPr>
          <w:noProof/>
        </w:rPr>
        <w:t>De planerade akternas huvudsakliga syfte och innehåll avser den gemensamma handelspolitiken.</w:t>
      </w:r>
    </w:p>
    <w:p>
      <w:pPr>
        <w:rPr>
          <w:i/>
          <w:noProof/>
        </w:rPr>
      </w:pPr>
      <w:r>
        <w:rPr>
          <w:noProof/>
        </w:rPr>
        <w:t>Den materiella rättsliga grunden för förslaget till beslut är därför artikel 207 i EUF-fördraget.</w:t>
      </w:r>
    </w:p>
    <w:p>
      <w:pPr>
        <w:pStyle w:val="ManualHeading2"/>
        <w:rPr>
          <w:noProof/>
        </w:rPr>
      </w:pPr>
      <w:r>
        <w:t>4.3.</w:t>
      </w:r>
      <w:r>
        <w:tab/>
      </w:r>
      <w:r>
        <w:rPr>
          <w:noProof/>
        </w:rPr>
        <w:t>Slutsats</w:t>
      </w:r>
    </w:p>
    <w:p>
      <w:pPr>
        <w:rPr>
          <w:noProof/>
        </w:rPr>
      </w:pPr>
      <w:r>
        <w:rPr>
          <w:noProof/>
        </w:rPr>
        <w:t>Den rättsliga grunden för förslaget till beslut bör vara artikel 207 jämförd med artikel 218.9 i EUF-fördraget.</w:t>
      </w:r>
    </w:p>
    <w:p>
      <w:pPr>
        <w:pStyle w:val="ManualHeading1"/>
        <w:rPr>
          <w:noProof/>
        </w:rPr>
      </w:pPr>
      <w:r>
        <w:t>5.</w:t>
      </w:r>
      <w:r>
        <w:tab/>
      </w:r>
      <w:r>
        <w:rPr>
          <w:noProof/>
        </w:rPr>
        <w:t>Offentliggörande av den planerade akten</w:t>
      </w:r>
    </w:p>
    <w:p>
      <w:pPr>
        <w:rPr>
          <w:noProof/>
        </w:rPr>
      </w:pPr>
      <w:r>
        <w:rPr>
          <w:noProof/>
        </w:rPr>
        <w:t xml:space="preserve">Eftersom AEP-kommitténs akt kommer att anta protokoll 1 om definitionen av begreppet ”ursprungsprodukter” och metoder för administrativt samarbete till det inledande avtalet om ekonomiskt partnerskap mellan Ghana, å ena sidan, och Europeiska gemenskapen och dess medlemsstater, å andra sidan, är det lämpligt att den offentliggörs i </w:t>
      </w:r>
      <w:r>
        <w:rPr>
          <w:i/>
          <w:noProof/>
        </w:rPr>
        <w:t>Europeiska unionens officiella tidning</w:t>
      </w:r>
      <w:r>
        <w:rPr>
          <w:noProof/>
        </w:rPr>
        <w:t xml:space="preserve"> efter antagandet.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2019/0156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den ståndpunkt som ska intas på Europeiska unionens vägnar i AEP-kommittén, som inrättats genom det inledande avtalet om ekonomiskt partnerskap mellan Ghana, å ena sidan, och Europeiska gemenskapen och dess medlemsstater, å andra sidan, beträffande antagandet av protokoll 1 om definitionen av begreppet ”ursprungsprodukter” och metoder för administrativt samarbete</w:t>
      </w:r>
    </w:p>
    <w:p>
      <w:pPr>
        <w:pStyle w:val="Institutionquiagit"/>
        <w:rPr>
          <w:b/>
          <w:noProof/>
        </w:rPr>
      </w:pPr>
      <w:r>
        <w:rPr>
          <w:b/>
          <w:noProof/>
        </w:rPr>
        <w:t>EUROPEISKA UNIONENS RÅD HAR ANTAGIT DETTA BESLUT</w:t>
      </w:r>
    </w:p>
    <w:p>
      <w:pPr>
        <w:rPr>
          <w:noProof/>
        </w:rPr>
      </w:pPr>
      <w:r>
        <w:rPr>
          <w:noProof/>
        </w:rPr>
        <w:t>med beaktande av fördraget om Europeiska unionens funktionssätt, särskilt artikel 207.3 och 207.4 jämförd med artikel 218.9,</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 xml:space="preserve">Det inledande avtalet om ekonomiskt partnerskap mellan Ghana, å ena sidan, och Europeiska gemenskapen och dess medlemsstater, å andra sidan, (nedan kallat </w:t>
      </w:r>
      <w:r>
        <w:rPr>
          <w:i/>
          <w:noProof/>
        </w:rPr>
        <w:t>avtalet</w:t>
      </w:r>
      <w:r>
        <w:rPr>
          <w:noProof/>
        </w:rPr>
        <w:t>) undertecknades på unionens vägnar den 28 juli 2016 enligt rådets beslut (EU) 2016/1850</w:t>
      </w:r>
      <w:r>
        <w:rPr>
          <w:rStyle w:val="FootnoteReference"/>
          <w:noProof/>
        </w:rPr>
        <w:footnoteReference w:id="5"/>
      </w:r>
      <w:r>
        <w:rPr>
          <w:noProof/>
        </w:rPr>
        <w:t xml:space="preserve"> och har tillämpats provisoriskt sedan den 15 december 2016.</w:t>
      </w:r>
    </w:p>
    <w:p>
      <w:pPr>
        <w:pStyle w:val="ManualConsidrant"/>
        <w:rPr>
          <w:noProof/>
        </w:rPr>
      </w:pPr>
      <w:r>
        <w:t>(2)</w:t>
      </w:r>
      <w:r>
        <w:tab/>
      </w:r>
      <w:r>
        <w:rPr>
          <w:noProof/>
        </w:rPr>
        <w:t>Enligt artikel 14 i avtalet ska parterna upprätta en gemensam och ömsesidig ordning för ursprungsregler. Denna nya ordning kommer att införlivas i avtalet genom ett beslut av AEP-kommittén.</w:t>
      </w:r>
    </w:p>
    <w:p>
      <w:pPr>
        <w:pStyle w:val="ManualConsidrant"/>
        <w:rPr>
          <w:noProof/>
        </w:rPr>
      </w:pPr>
      <w:r>
        <w:t>(3)</w:t>
      </w:r>
      <w:r>
        <w:tab/>
      </w:r>
      <w:r>
        <w:rPr>
          <w:noProof/>
        </w:rPr>
        <w:t>AEP-kommittén ska, under sitt årsmöte 2019, anta ett beslut om protokoll 1 till avtalet om definitionen av begreppet ”ursprungsprodukter” och metoder för administrativt samarbete.</w:t>
      </w:r>
    </w:p>
    <w:p>
      <w:pPr>
        <w:pStyle w:val="ManualConsidrant"/>
        <w:rPr>
          <w:noProof/>
        </w:rPr>
      </w:pPr>
      <w:r>
        <w:t>(4)</w:t>
      </w:r>
      <w:r>
        <w:tab/>
      </w:r>
      <w:r>
        <w:rPr>
          <w:noProof/>
        </w:rPr>
        <w:t>Det är lämpligt att fastställa den ståndpunkt som ska intas på unionens vägnar vid AEP-kommitténs nästa möte, eftersom det beslutet kommer att vara bindande för unionen.</w:t>
      </w:r>
    </w:p>
    <w:p>
      <w:pPr>
        <w:pStyle w:val="ManualConsidrant"/>
        <w:rPr>
          <w:noProof/>
        </w:rPr>
      </w:pPr>
      <w:r>
        <w:t>(5)</w:t>
      </w:r>
      <w:r>
        <w:tab/>
      </w:r>
      <w:r>
        <w:rPr>
          <w:noProof/>
        </w:rPr>
        <w:t>Det protokoll som man enats om tar hänsyn till den senaste utvecklingen så att ekonomiska aktörer ges mer flexibla och enklare ursprungsregler som syftar till att underlätta handeln och optimera utnyttjandet av förmånsbehandling enligt avtalet.</w:t>
      </w:r>
    </w:p>
    <w:p>
      <w:pPr>
        <w:pStyle w:val="Formuledadoption"/>
        <w:rPr>
          <w:noProof/>
        </w:rPr>
      </w:pPr>
      <w:r>
        <w:rPr>
          <w:noProof/>
        </w:rPr>
        <w:t>HÄRIGENOM FÖRESKRIVS FÖLJANDE.</w:t>
      </w:r>
    </w:p>
    <w:p>
      <w:pPr>
        <w:pStyle w:val="Titrearticle"/>
        <w:rPr>
          <w:noProof/>
        </w:rPr>
      </w:pPr>
      <w:r>
        <w:rPr>
          <w:noProof/>
        </w:rPr>
        <w:t>Artikel 1</w:t>
      </w:r>
    </w:p>
    <w:p>
      <w:pPr>
        <w:rPr>
          <w:i/>
          <w:noProof/>
        </w:rPr>
      </w:pPr>
      <w:r>
        <w:rPr>
          <w:noProof/>
        </w:rPr>
        <w:t>Den ståndpunkt som ska intas på Europeiska unionens vägnar vid årsmötet 2019 i AEP-kommittén, vilken inrättats genom det inledande avtalet om ekonomiskt partnerskap mellan Ghana, å ena sidan, och Europeiska gemenskapen och dess medlemsstater, å andra sidan, beträffande antagandet av ett beslut i AEP-kommittén om protokoll 1 om definitionen av begreppet ”ursprungsprodukter” och metoder för administrativt samarbete, ska grundas på AEP-kommitténs utkast till beslut som åtföljer detta beslut.</w:t>
      </w:r>
    </w:p>
    <w:p>
      <w:pPr>
        <w:pStyle w:val="Titrearticle"/>
        <w:rPr>
          <w:noProof/>
        </w:rPr>
      </w:pPr>
      <w:r>
        <w:rPr>
          <w:noProof/>
        </w:rPr>
        <w:t>Artikel 2</w:t>
      </w:r>
    </w:p>
    <w:p>
      <w:pPr>
        <w:rPr>
          <w:noProof/>
        </w:rPr>
      </w:pPr>
      <w:r>
        <w:rPr>
          <w:noProof/>
        </w:rPr>
        <w:t>Detta beslut riktar sig till kommissionen.</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beslut (EU) 2016/1850 av den 21 november 2008 om undertecknande och provisorisk tillämpning av det inledande avtalet om ekonomiskt partnerskap mellan Ghana, å ena sidan, och Europeiska gemenskapen och dess medlemsstater, å andra sidan (EUT L 287, 21.10.2016, s. 1).</w:t>
      </w:r>
    </w:p>
  </w:footnote>
  <w:footnote w:id="2">
    <w:p>
      <w:pPr>
        <w:pStyle w:val="FootnoteText"/>
      </w:pPr>
      <w:r>
        <w:rPr>
          <w:rStyle w:val="FootnoteReference"/>
        </w:rPr>
        <w:footnoteRef/>
      </w:r>
      <w:r>
        <w:tab/>
        <w:t>Europaparlamentets och rådets förordning (EU) 2016/1076 av den 8 juni 2016 om tillämpning av de ordningar som ska tillämpas på produkter med ursprung i vissa stater som ingår i gruppen av stater i Afrika, Västindien och Stillahavsområdet (AVS) enligt avtal om att sluta ekonomiska partnerskapsavtal eller som leder till att sådana partnerskapsavtal sluts (EUT L 185, 8.7.2016, s.1).</w:t>
      </w:r>
    </w:p>
  </w:footnote>
  <w:footnote w:id="3">
    <w:p>
      <w:pPr>
        <w:pStyle w:val="FootnoteText"/>
      </w:pPr>
      <w:r>
        <w:rPr>
          <w:rStyle w:val="FootnoteReference"/>
        </w:rPr>
        <w:footnoteRef/>
      </w:r>
      <w:r>
        <w:tab/>
        <w:t>ST 13370 2014 ADD 1, av den 3 december 2014</w:t>
      </w:r>
    </w:p>
  </w:footnote>
  <w:footnote w:id="4">
    <w:p>
      <w:pPr>
        <w:pStyle w:val="FootnoteText"/>
      </w:pPr>
      <w:r>
        <w:rPr>
          <w:rStyle w:val="FootnoteReference"/>
        </w:rPr>
        <w:footnoteRef/>
      </w:r>
      <w:r>
        <w:tab/>
        <w:t xml:space="preserve">Domstolens dom av den 7 oktober 2014, Tyskland/rådet, mål C-399/12, punkterna 61–64. </w:t>
      </w:r>
    </w:p>
  </w:footnote>
  <w:footnote w:id="5">
    <w:p>
      <w:pPr>
        <w:pStyle w:val="FootnoteText"/>
      </w:pPr>
      <w:r>
        <w:rPr>
          <w:rStyle w:val="FootnoteReference"/>
        </w:rPr>
        <w:footnoteRef/>
      </w:r>
      <w:r>
        <w:tab/>
        <w:t>Rådets beslut (EU) 2016/1850 av den 21 november 2008 om undertecknande och provisorisk tillämpning av det inledande avtalet om ekonomiskt partnerskap mellan Ghana, å ena sidan, och Europeiska gemenskapen och dess medlemsstater, å andra sidan (EUT L 287, 21.10.2016,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F29B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01E5C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BC664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494EC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AEE80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6D41B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496CBB0"/>
    <w:lvl w:ilvl="0">
      <w:start w:val="1"/>
      <w:numFmt w:val="decimal"/>
      <w:pStyle w:val="ListNumber"/>
      <w:lvlText w:val="%1."/>
      <w:lvlJc w:val="left"/>
      <w:pPr>
        <w:tabs>
          <w:tab w:val="num" w:pos="360"/>
        </w:tabs>
        <w:ind w:left="360" w:hanging="360"/>
      </w:pPr>
    </w:lvl>
  </w:abstractNum>
  <w:abstractNum w:abstractNumId="7">
    <w:nsid w:val="FFFFFF89"/>
    <w:multiLevelType w:val="singleLevel"/>
    <w:tmpl w:val="C03E9C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6"/>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5 08:51:0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6F4345A-BA2B-4901-BD98-DAECEB58711F"/>
    <w:docVar w:name="LW_COVERPAGE_TYPE" w:val="1"/>
    <w:docVar w:name="LW_CROSSREFERENCE" w:val="&lt;UNUSED&gt;"/>
    <w:docVar w:name="LW_DocType" w:val="COM"/>
    <w:docVar w:name="LW_EMISSION" w:val="22.7.2019"/>
    <w:docVar w:name="LW_EMISSION_ISODATE" w:val="2019-07-22"/>
    <w:docVar w:name="LW_EMISSION_LOCATION" w:val="BRX"/>
    <w:docVar w:name="LW_EMISSION_PREFIX" w:val="Bryssel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156"/>
    <w:docVar w:name="LW_REF.II.NEW.CP_YEAR" w:val="2019"/>
    <w:docVar w:name="LW_REF.INST.NEW" w:val="COM"/>
    <w:docVar w:name="LW_REF.INST.NEW_ADOPTED" w:val="final"/>
    <w:docVar w:name="LW_REF.INST.NEW_TEXT" w:val="(2019) 3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den ståndpunkt som ska intas på Europeiska unionens vägnar i AEP-kommittén, som inrättats genom det inledande avtalet om ekonomiskt partnerskap mellan Ghana, å ena sidan, och Europeiska gemenskapen och dess medlemsstater, å andra sidan, beträffande antagandet av protokoll 1 om definitionen av begreppet \u8221?ursprungsprodukter\u8221? och metoder för administrativt samarbete"/>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A9F8616-7406-440A-B850-B9DB2C00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1687</Words>
  <Characters>10139</Characters>
  <Application>Microsoft Office Word</Application>
  <DocSecurity>0</DocSecurity>
  <Lines>177</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2019-01-23T15:01:00Z</cp:lastPrinted>
  <dcterms:created xsi:type="dcterms:W3CDTF">2019-06-28T13:26:00Z</dcterms:created>
  <dcterms:modified xsi:type="dcterms:W3CDTF">2019-07-15T06:51:00Z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