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9C47E00-C15B-4D89-A7D2-69001EAA700A" style="width:450.8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spacing w:after="360"/>
        <w:jc w:val="center"/>
        <w:rPr>
          <w:b/>
          <w:noProof/>
          <w:u w:val="single"/>
        </w:rPr>
      </w:pPr>
      <w:bookmarkStart w:id="0" w:name="_GoBack"/>
      <w:bookmarkEnd w:id="0"/>
      <w:r>
        <w:rPr>
          <w:b/>
          <w:noProof/>
          <w:u w:val="single"/>
        </w:rPr>
        <w:lastRenderedPageBreak/>
        <w:t>PRILOGA</w:t>
      </w:r>
    </w:p>
    <w:p>
      <w:pPr>
        <w:jc w:val="center"/>
        <w:rPr>
          <w:b/>
          <w:caps/>
          <w:noProof/>
        </w:rPr>
      </w:pPr>
      <w:r>
        <w:rPr>
          <w:b/>
          <w:caps/>
          <w:noProof/>
        </w:rPr>
        <w:t>Sklep št. ..../2019 Pododbora EU-Ukrajina za sanitarne in fitosanitarne ukrepe</w:t>
      </w:r>
    </w:p>
    <w:p>
      <w:pPr>
        <w:jc w:val="center"/>
        <w:rPr>
          <w:b/>
          <w:noProof/>
        </w:rPr>
      </w:pPr>
      <w:r>
        <w:rPr>
          <w:b/>
          <w:noProof/>
        </w:rPr>
        <w:t>z dne..... 2019</w:t>
      </w:r>
    </w:p>
    <w:p>
      <w:pPr>
        <w:spacing w:after="240"/>
        <w:jc w:val="center"/>
        <w:rPr>
          <w:b/>
          <w:noProof/>
          <w:szCs w:val="24"/>
        </w:rPr>
      </w:pPr>
      <w:r>
        <w:rPr>
          <w:b/>
          <w:noProof/>
        </w:rPr>
        <w:t>o spremembi Priloge V k Sporazumu o pridružitvi</w:t>
      </w:r>
    </w:p>
    <w:p>
      <w:pPr>
        <w:spacing w:line="276" w:lineRule="auto"/>
        <w:rPr>
          <w:noProof/>
        </w:rPr>
      </w:pPr>
      <w:r>
        <w:rPr>
          <w:noProof/>
        </w:rPr>
        <w:t>PODODBOR ZA SANITARNE IN FITOSANITARNE UKREPE JE –</w:t>
      </w:r>
    </w:p>
    <w:p>
      <w:pPr>
        <w:rPr>
          <w:noProof/>
        </w:rPr>
      </w:pPr>
      <w:r>
        <w:rPr>
          <w:noProof/>
        </w:rPr>
        <w:t xml:space="preserve">ob upoštevanju </w:t>
      </w:r>
      <w:r>
        <w:rPr>
          <w:noProof/>
          <w:color w:val="000000"/>
        </w:rPr>
        <w:t>Sporazuma o pridružitvi med Evropsko unijo</w:t>
      </w:r>
      <w:r>
        <w:rPr>
          <w:noProof/>
        </w:rPr>
        <w:t xml:space="preserve"> in Evropsko skupnostjo za atomsko energijo in njunimi državami članicami na eni strani ter Ukrajino na drugi strani</w:t>
      </w:r>
      <w:r>
        <w:rPr>
          <w:rStyle w:val="FootnoteReference"/>
          <w:noProof/>
        </w:rPr>
        <w:footnoteReference w:id="1"/>
      </w:r>
      <w:r>
        <w:rPr>
          <w:noProof/>
        </w:rPr>
        <w:t>, podpisanega v Bruslju dne 27. junija 2014, in zlasti člena 74(2) Sporazuma,</w:t>
      </w:r>
    </w:p>
    <w:p>
      <w:pPr>
        <w:rPr>
          <w:noProof/>
        </w:rPr>
      </w:pPr>
      <w:r>
        <w:rPr>
          <w:noProof/>
        </w:rPr>
        <w:t>ob upoštevanju naslednjega:</w:t>
      </w:r>
    </w:p>
    <w:p>
      <w:pPr>
        <w:pStyle w:val="Considrant"/>
        <w:numPr>
          <w:ilvl w:val="0"/>
          <w:numId w:val="5"/>
        </w:numPr>
        <w:rPr>
          <w:noProof/>
        </w:rPr>
      </w:pPr>
      <w:r>
        <w:rPr>
          <w:noProof/>
        </w:rPr>
        <w:t>Sporazum o pridružitvi med Evropsko unijo in Evropsko skupnostjo za atomsko energijo in njunimi državami članicami na eni strani ter Ukrajino na drugi strani (v nadaljnjem besedilu: Sporazum) je začel veljati 1. septembra 2017.</w:t>
      </w:r>
    </w:p>
    <w:p>
      <w:pPr>
        <w:pStyle w:val="Considrant"/>
        <w:numPr>
          <w:ilvl w:val="0"/>
          <w:numId w:val="5"/>
        </w:numPr>
        <w:rPr>
          <w:noProof/>
        </w:rPr>
      </w:pPr>
      <w:r>
        <w:rPr>
          <w:noProof/>
        </w:rPr>
        <w:t>Člen 64(1) Sporazuma določa, da Ukrajina približa svojo sanitarno in fitosanitarno zakonodajo ter zakonodajo s področja dobrega počutja živali zakonodaji Unije, kot je določeno v Prilogi V k Sporazumu.</w:t>
      </w:r>
    </w:p>
    <w:p>
      <w:pPr>
        <w:pStyle w:val="Considrant"/>
        <w:numPr>
          <w:ilvl w:val="0"/>
          <w:numId w:val="5"/>
        </w:numPr>
        <w:rPr>
          <w:noProof/>
        </w:rPr>
      </w:pPr>
      <w:r>
        <w:rPr>
          <w:noProof/>
        </w:rPr>
        <w:t>Člen 64(4) Sporazuma Ukrajino obvezuje, da predloži seznam določb pravnega reda Unije v zvezi s sanitarnimi in fitosanitarnimi ukrepi ter ukrepi za dobro počutje živali (v nadaljnjem besedilu: seznam), ki jim namerava približati domačo zakonodajo. Celovita strategija ima vlogo referenčnega dokumenta za izvajanje poglavja 4 (Sanitarni in fitosanitarni ukrepi) naslova IV (Trgovina in z njo povezane zadeve) Sporazuma.</w:t>
      </w:r>
    </w:p>
    <w:p>
      <w:pPr>
        <w:pStyle w:val="Considrant"/>
        <w:numPr>
          <w:ilvl w:val="0"/>
          <w:numId w:val="5"/>
        </w:numPr>
        <w:rPr>
          <w:noProof/>
        </w:rPr>
      </w:pPr>
      <w:r>
        <w:rPr>
          <w:noProof/>
        </w:rPr>
        <w:t>Ukrajina je oktobra 2018 seznam predložila Evropski komisiji. Na podlagi navedenega seznama bo Pododbor za sanitarne in fitosanitarne ukrepe tako sprejel predvideni akt o spremembi Priloge V k Sporazumu.</w:t>
      </w:r>
    </w:p>
    <w:p>
      <w:pPr>
        <w:pStyle w:val="Considrant"/>
        <w:numPr>
          <w:ilvl w:val="0"/>
          <w:numId w:val="5"/>
        </w:numPr>
        <w:rPr>
          <w:noProof/>
        </w:rPr>
      </w:pPr>
      <w:r>
        <w:rPr>
          <w:noProof/>
        </w:rPr>
        <w:t>Zato je primerno, da Pododbor za sanitarne in fitosanitarne ukrepe sprejme sklep, s katerim obstoječo Prilogo V nadomesti z novo prilogo –</w:t>
      </w:r>
    </w:p>
    <w:p>
      <w:pPr>
        <w:pStyle w:val="Formuledadoption"/>
        <w:rPr>
          <w:noProof/>
        </w:rPr>
      </w:pPr>
      <w:r>
        <w:rPr>
          <w:noProof/>
        </w:rPr>
        <w:t>SPREJEL NASLEDNJI SKLEP:</w:t>
      </w:r>
    </w:p>
    <w:p>
      <w:pPr>
        <w:pStyle w:val="Titrearticle"/>
        <w:rPr>
          <w:noProof/>
        </w:rPr>
      </w:pPr>
      <w:r>
        <w:rPr>
          <w:noProof/>
        </w:rPr>
        <w:t>Člen 1</w:t>
      </w:r>
    </w:p>
    <w:p>
      <w:pPr>
        <w:rPr>
          <w:noProof/>
        </w:rPr>
      </w:pPr>
      <w:r>
        <w:rPr>
          <w:noProof/>
        </w:rPr>
        <w:t>Priloga V k Sporazumu o pridružitvi med Evropsko unijo in Evropsko skupnostjo za atomsko energijo in njunimi državami članicami na eni strani ter Ukrajino na drugi strani se nadomesti s Prilogo k temu sklepu.</w:t>
      </w:r>
    </w:p>
    <w:p>
      <w:pPr>
        <w:pStyle w:val="Titrearticle"/>
        <w:rPr>
          <w:noProof/>
        </w:rPr>
      </w:pPr>
      <w:r>
        <w:rPr>
          <w:noProof/>
        </w:rPr>
        <w:t>Člen 2</w:t>
      </w:r>
    </w:p>
    <w:p>
      <w:pPr>
        <w:spacing w:after="240"/>
        <w:rPr>
          <w:noProof/>
        </w:rPr>
      </w:pPr>
      <w:r>
        <w:rPr>
          <w:noProof/>
        </w:rPr>
        <w:t>Ta sklep začne veljati na dan sprejetja.</w:t>
      </w:r>
    </w:p>
    <w:p>
      <w:pPr>
        <w:spacing w:after="360"/>
        <w:rPr>
          <w:noProof/>
        </w:rPr>
      </w:pPr>
      <w:r>
        <w:rPr>
          <w:noProof/>
        </w:rPr>
        <w:t>V …, …</w:t>
      </w:r>
    </w:p>
    <w:p>
      <w:pPr>
        <w:rPr>
          <w:noProof/>
        </w:rPr>
      </w:pPr>
      <w:r>
        <w:rPr>
          <w:noProof/>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tc>
          <w:tcPr>
            <w:tcW w:w="9213" w:type="dxa"/>
            <w:gridSpan w:val="2"/>
          </w:tcPr>
          <w:p>
            <w:pPr>
              <w:jc w:val="center"/>
              <w:rPr>
                <w:noProof/>
              </w:rPr>
            </w:pPr>
            <w:r>
              <w:rPr>
                <w:i/>
                <w:noProof/>
              </w:rPr>
              <w:t>Za Pododbor za sanitarne in fitosanitarne ukrepe</w:t>
            </w:r>
          </w:p>
        </w:tc>
      </w:tr>
      <w:tr>
        <w:tc>
          <w:tcPr>
            <w:tcW w:w="9213" w:type="dxa"/>
            <w:gridSpan w:val="2"/>
          </w:tcPr>
          <w:p>
            <w:pPr>
              <w:jc w:val="center"/>
              <w:rPr>
                <w:i/>
                <w:noProof/>
              </w:rPr>
            </w:pPr>
            <w:r>
              <w:rPr>
                <w:i/>
                <w:noProof/>
              </w:rPr>
              <w:t>Za predsednika:</w:t>
            </w:r>
          </w:p>
        </w:tc>
      </w:tr>
      <w:tr>
        <w:tc>
          <w:tcPr>
            <w:tcW w:w="4606" w:type="dxa"/>
          </w:tcPr>
          <w:p>
            <w:pPr>
              <w:rPr>
                <w:noProof/>
              </w:rPr>
            </w:pPr>
          </w:p>
        </w:tc>
        <w:tc>
          <w:tcPr>
            <w:tcW w:w="4607" w:type="dxa"/>
          </w:tcPr>
          <w:p>
            <w:pPr>
              <w:rPr>
                <w:noProof/>
              </w:rPr>
            </w:pPr>
          </w:p>
        </w:tc>
      </w:tr>
      <w:tr>
        <w:tc>
          <w:tcPr>
            <w:tcW w:w="9213" w:type="dxa"/>
            <w:gridSpan w:val="2"/>
          </w:tcPr>
          <w:p>
            <w:pPr>
              <w:jc w:val="center"/>
              <w:rPr>
                <w:noProof/>
              </w:rPr>
            </w:pPr>
            <w:r>
              <w:rPr>
                <w:i/>
                <w:noProof/>
              </w:rPr>
              <w:t>Sekretariat</w:t>
            </w:r>
          </w:p>
        </w:tc>
      </w:tr>
      <w:tr>
        <w:tc>
          <w:tcPr>
            <w:tcW w:w="4606" w:type="dxa"/>
          </w:tcPr>
          <w:p>
            <w:pPr>
              <w:rPr>
                <w:noProof/>
              </w:rPr>
            </w:pPr>
            <w:r>
              <w:rPr>
                <w:noProof/>
              </w:rPr>
              <w:t>Za Unijo</w:t>
            </w:r>
          </w:p>
        </w:tc>
        <w:tc>
          <w:tcPr>
            <w:tcW w:w="4607" w:type="dxa"/>
          </w:tcPr>
          <w:p>
            <w:pPr>
              <w:jc w:val="center"/>
              <w:rPr>
                <w:noProof/>
              </w:rPr>
            </w:pPr>
            <w:r>
              <w:rPr>
                <w:noProof/>
              </w:rPr>
              <w:t>Za Ukrajino</w:t>
            </w:r>
          </w:p>
        </w:tc>
      </w:tr>
    </w:tbl>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PRILOGA</w:t>
      </w:r>
    </w:p>
    <w:p>
      <w:pPr>
        <w:spacing w:after="360"/>
        <w:jc w:val="center"/>
        <w:rPr>
          <w:noProof/>
        </w:rPr>
      </w:pPr>
      <w:r>
        <w:rPr>
          <w:noProof/>
        </w:rPr>
        <w:t>SPREMEMBA PRILOGE V K SPORAZUMU O PRIDRUŽITVI</w:t>
      </w:r>
    </w:p>
    <w:p>
      <w:pPr>
        <w:rPr>
          <w:noProof/>
        </w:rPr>
      </w:pPr>
      <w:r>
        <w:rPr>
          <w:noProof/>
        </w:rPr>
        <w:t>Priloga V se nadomesti z naslednjim:</w:t>
      </w:r>
    </w:p>
    <w:p>
      <w:pPr>
        <w:spacing w:before="360" w:after="360"/>
        <w:jc w:val="center"/>
        <w:rPr>
          <w:noProof/>
        </w:rPr>
      </w:pPr>
      <w:r>
        <w:rPr>
          <w:noProof/>
        </w:rPr>
        <w:t>„PRILOGA V</w:t>
      </w:r>
    </w:p>
    <w:p>
      <w:pPr>
        <w:spacing w:after="360"/>
        <w:jc w:val="center"/>
        <w:rPr>
          <w:noProof/>
        </w:rPr>
      </w:pPr>
      <w:r>
        <w:rPr>
          <w:noProof/>
        </w:rPr>
        <w:t>SEZNAM ZAKONODAJE UNIJE, KI JI UKRAJINA PRIBLIŽA SVOJO ZAKONODAJO</w:t>
      </w:r>
    </w:p>
    <w:p>
      <w:pPr>
        <w:spacing w:after="360"/>
        <w:rPr>
          <w:noProof/>
        </w:rPr>
      </w:pPr>
      <w:r>
        <w:rPr>
          <w:noProof/>
        </w:rPr>
        <w:t>V skladu s členom 64(4) tega sporazuma Ukrajina v spodaj navedenih rokih za sprejetje in izvajanje približa svojo zakonodajo naslednji zakonodaji Unije.</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5"/>
        <w:gridCol w:w="2801"/>
      </w:tblGrid>
      <w:tr>
        <w:trPr>
          <w:tblHeader/>
        </w:trPr>
        <w:tc>
          <w:tcPr>
            <w:tcW w:w="3579" w:type="pct"/>
            <w:shd w:val="clear" w:color="auto" w:fill="auto"/>
          </w:tcPr>
          <w:p>
            <w:pPr>
              <w:spacing w:before="60" w:after="60"/>
              <w:jc w:val="center"/>
              <w:rPr>
                <w:caps/>
                <w:noProof/>
                <w:szCs w:val="24"/>
              </w:rPr>
            </w:pPr>
            <w:r>
              <w:rPr>
                <w:noProof/>
              </w:rPr>
              <w:t>Zakonodaja Unije</w:t>
            </w:r>
          </w:p>
        </w:tc>
        <w:tc>
          <w:tcPr>
            <w:tcW w:w="1421" w:type="pct"/>
            <w:shd w:val="clear" w:color="auto" w:fill="auto"/>
          </w:tcPr>
          <w:p>
            <w:pPr>
              <w:spacing w:before="60" w:after="60"/>
              <w:jc w:val="center"/>
              <w:rPr>
                <w:noProof/>
                <w:szCs w:val="24"/>
              </w:rPr>
            </w:pPr>
            <w:r>
              <w:rPr>
                <w:noProof/>
              </w:rPr>
              <w:t>Rok za sprejetje</w:t>
            </w:r>
            <w:r>
              <w:rPr>
                <w:rStyle w:val="FootnoteReference"/>
                <w:noProof/>
              </w:rPr>
              <w:footnoteReference w:id="2"/>
            </w:r>
          </w:p>
        </w:tc>
      </w:tr>
      <w:tr>
        <w:tc>
          <w:tcPr>
            <w:tcW w:w="5000" w:type="pct"/>
            <w:gridSpan w:val="2"/>
            <w:shd w:val="clear" w:color="auto" w:fill="auto"/>
          </w:tcPr>
          <w:p>
            <w:pPr>
              <w:spacing w:before="60" w:after="60"/>
              <w:jc w:val="center"/>
              <w:rPr>
                <w:caps/>
                <w:noProof/>
                <w:szCs w:val="24"/>
              </w:rPr>
            </w:pPr>
            <w:r>
              <w:rPr>
                <w:noProof/>
              </w:rPr>
              <w:t>Poglavje I – Splošna zakonodaja (javno zdravje)</w:t>
            </w:r>
          </w:p>
        </w:tc>
      </w:tr>
      <w:tr>
        <w:tc>
          <w:tcPr>
            <w:tcW w:w="3579" w:type="pct"/>
            <w:shd w:val="clear" w:color="auto" w:fill="auto"/>
          </w:tcPr>
          <w:p>
            <w:pPr>
              <w:spacing w:before="60" w:after="60"/>
              <w:jc w:val="left"/>
              <w:rPr>
                <w:noProof/>
                <w:szCs w:val="24"/>
              </w:rPr>
            </w:pPr>
            <w:r>
              <w:rPr>
                <w:noProof/>
              </w:rPr>
              <w:t>Direktiva Sveta 91/496/EGS z dne 15. julija 1991 o določitvi načel o organizaciji veterinarskih pregledov živali, ki vstopajo v Skupnost iz tretjih držav, in o spremembi direktiv 89/662/EGS, 90/425/EGS ter 90/675/EGS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97/78/ES z dne 18. decembra 1997 o določitvi načel, ki urejajo organizacijo veterinarskih pregledov proizvodov, ki vstopajo v Skupnost iz tretjih držav</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autoSpaceDE w:val="0"/>
              <w:autoSpaceDN w:val="0"/>
              <w:adjustRightInd w:val="0"/>
              <w:spacing w:before="60" w:after="60"/>
              <w:jc w:val="left"/>
              <w:rPr>
                <w:noProof/>
                <w:szCs w:val="24"/>
              </w:rPr>
            </w:pPr>
            <w:r>
              <w:rPr>
                <w:noProof/>
              </w:rPr>
              <w:t>Uredba (ES) št. 178/2002 Evropskega parlamenta in Sveta z dne 28. januarja 2002 o določitvi splošnih načel in zahtevah živilske zakonodaje, ustanovitvi Evropske agencije za varnost hrane in postopkih, ki zadevajo varnost hrane</w:t>
            </w:r>
          </w:p>
        </w:tc>
        <w:tc>
          <w:tcPr>
            <w:tcW w:w="1421" w:type="pct"/>
            <w:shd w:val="clear" w:color="auto" w:fill="auto"/>
          </w:tcPr>
          <w:p>
            <w:pPr>
              <w:spacing w:before="60" w:after="60"/>
              <w:jc w:val="center"/>
              <w:rPr>
                <w:caps/>
                <w:noProof/>
                <w:szCs w:val="24"/>
              </w:rPr>
            </w:pPr>
            <w:r>
              <w:rPr>
                <w:caps/>
                <w:noProof/>
              </w:rPr>
              <w:t>2016</w:t>
            </w:r>
          </w:p>
        </w:tc>
      </w:tr>
      <w:tr>
        <w:tc>
          <w:tcPr>
            <w:tcW w:w="3579" w:type="pct"/>
            <w:shd w:val="clear" w:color="auto" w:fill="auto"/>
          </w:tcPr>
          <w:p>
            <w:pPr>
              <w:spacing w:before="60" w:after="60"/>
              <w:jc w:val="left"/>
              <w:rPr>
                <w:noProof/>
                <w:szCs w:val="24"/>
              </w:rPr>
            </w:pPr>
            <w:r>
              <w:rPr>
                <w:noProof/>
              </w:rPr>
              <w:t>Direktiva Sveta 2002/99/ES z dne 16. decembra 2002 o predpisih v zvezi z zdravstvenim varstvom živali, ki urejajo proizvodnjo, predelavo, distribucijo in uvoz proizvodov živalskega izvora, namenjenih prehrani ljudi</w:t>
            </w:r>
          </w:p>
        </w:tc>
        <w:tc>
          <w:tcPr>
            <w:tcW w:w="1421" w:type="pct"/>
            <w:shd w:val="clear" w:color="auto" w:fill="auto"/>
          </w:tcPr>
          <w:p>
            <w:pPr>
              <w:widowControl w:val="0"/>
              <w:spacing w:before="60" w:after="60"/>
              <w:jc w:val="center"/>
              <w:rPr>
                <w:noProof/>
                <w:szCs w:val="24"/>
              </w:rPr>
            </w:pPr>
            <w:r>
              <w:rPr>
                <w:noProof/>
              </w:rPr>
              <w:t>2018</w:t>
            </w:r>
          </w:p>
        </w:tc>
      </w:tr>
      <w:tr>
        <w:tc>
          <w:tcPr>
            <w:tcW w:w="3579" w:type="pct"/>
            <w:shd w:val="clear" w:color="auto" w:fill="auto"/>
          </w:tcPr>
          <w:p>
            <w:pPr>
              <w:pageBreakBefore/>
              <w:autoSpaceDE w:val="0"/>
              <w:autoSpaceDN w:val="0"/>
              <w:adjustRightInd w:val="0"/>
              <w:spacing w:before="60" w:after="60"/>
              <w:jc w:val="left"/>
              <w:rPr>
                <w:noProof/>
                <w:szCs w:val="24"/>
              </w:rPr>
            </w:pPr>
            <w:r>
              <w:rPr>
                <w:noProof/>
              </w:rPr>
              <w:t>Uredba (ES) št. 852/2004 Evropskega parlamenta in Sveta z dne 29. aprila 2004 o higieni živil</w:t>
            </w:r>
          </w:p>
        </w:tc>
        <w:tc>
          <w:tcPr>
            <w:tcW w:w="1421" w:type="pct"/>
            <w:shd w:val="clear" w:color="auto" w:fill="auto"/>
          </w:tcPr>
          <w:p>
            <w:pPr>
              <w:spacing w:before="60" w:after="60"/>
              <w:jc w:val="center"/>
              <w:rPr>
                <w:caps/>
                <w:noProof/>
                <w:szCs w:val="24"/>
              </w:rPr>
            </w:pPr>
            <w:r>
              <w:rPr>
                <w:caps/>
                <w:noProof/>
              </w:rPr>
              <w:t>2016</w:t>
            </w:r>
          </w:p>
        </w:tc>
      </w:tr>
      <w:tr>
        <w:tc>
          <w:tcPr>
            <w:tcW w:w="3579" w:type="pct"/>
            <w:shd w:val="clear" w:color="auto" w:fill="auto"/>
          </w:tcPr>
          <w:p>
            <w:pPr>
              <w:autoSpaceDE w:val="0"/>
              <w:autoSpaceDN w:val="0"/>
              <w:adjustRightInd w:val="0"/>
              <w:spacing w:before="60" w:after="60"/>
              <w:jc w:val="left"/>
              <w:rPr>
                <w:noProof/>
                <w:szCs w:val="24"/>
              </w:rPr>
            </w:pPr>
            <w:r>
              <w:rPr>
                <w:noProof/>
              </w:rPr>
              <w:t>Uredba (ES) št. 853/2004 Evropskega parlamenta in Sveta z dne 29. aprila 2004 o posebnih higienskih pravilih za živila živalskega izvora</w:t>
            </w:r>
          </w:p>
        </w:tc>
        <w:tc>
          <w:tcPr>
            <w:tcW w:w="1421" w:type="pct"/>
            <w:shd w:val="clear" w:color="auto" w:fill="auto"/>
          </w:tcPr>
          <w:p>
            <w:pPr>
              <w:spacing w:before="60" w:after="60"/>
              <w:jc w:val="center"/>
              <w:rPr>
                <w:caps/>
                <w:noProof/>
                <w:szCs w:val="24"/>
              </w:rPr>
            </w:pPr>
            <w:r>
              <w:rPr>
                <w:caps/>
                <w:noProof/>
              </w:rPr>
              <w:t>2018</w:t>
            </w:r>
          </w:p>
        </w:tc>
      </w:tr>
      <w:tr>
        <w:tc>
          <w:tcPr>
            <w:tcW w:w="3579" w:type="pct"/>
            <w:shd w:val="clear" w:color="auto" w:fill="auto"/>
          </w:tcPr>
          <w:p>
            <w:pPr>
              <w:autoSpaceDE w:val="0"/>
              <w:autoSpaceDN w:val="0"/>
              <w:adjustRightInd w:val="0"/>
              <w:spacing w:before="60" w:after="60"/>
              <w:jc w:val="left"/>
              <w:rPr>
                <w:noProof/>
                <w:szCs w:val="24"/>
              </w:rPr>
            </w:pPr>
            <w:r>
              <w:rPr>
                <w:noProof/>
              </w:rPr>
              <w:t>Uredba (ES) št. 854/2004 Evropskega parlamenta in Sveta z dne 29. aprila 2004 o določitvi posebnih predpisov za organizacijo uradnega nadzora proizvodov živalskega izvora, namenjenih za prehrano ljudi</w:t>
            </w:r>
          </w:p>
        </w:tc>
        <w:tc>
          <w:tcPr>
            <w:tcW w:w="1421" w:type="pct"/>
            <w:shd w:val="clear" w:color="auto" w:fill="auto"/>
          </w:tcPr>
          <w:p>
            <w:pPr>
              <w:spacing w:before="60" w:after="60"/>
              <w:jc w:val="center"/>
              <w:rPr>
                <w:caps/>
                <w:noProof/>
                <w:szCs w:val="24"/>
              </w:rPr>
            </w:pPr>
            <w:r>
              <w:rPr>
                <w:caps/>
                <w:noProof/>
              </w:rPr>
              <w:t>2016</w:t>
            </w:r>
          </w:p>
        </w:tc>
      </w:tr>
      <w:tr>
        <w:tc>
          <w:tcPr>
            <w:tcW w:w="3579" w:type="pct"/>
            <w:shd w:val="clear" w:color="auto" w:fill="auto"/>
          </w:tcPr>
          <w:p>
            <w:pPr>
              <w:autoSpaceDE w:val="0"/>
              <w:autoSpaceDN w:val="0"/>
              <w:adjustRightInd w:val="0"/>
              <w:spacing w:before="60" w:after="60"/>
              <w:jc w:val="left"/>
              <w:rPr>
                <w:noProof/>
                <w:szCs w:val="24"/>
              </w:rPr>
            </w:pPr>
            <w:r>
              <w:rPr>
                <w:noProof/>
              </w:rPr>
              <w:t>Uredba Komisije (ES) št. 669/2009 z dne 24. julija 2009 o izvajanju Uredbe (ES) št. 882/2004 Evropskega parlamenta in Sveta glede poostrenega uradnega nadzora pri uvozu nekatere krme in nekaterih živil neživalskega izvora ter spremembi Odločbe 2006/504/ES</w:t>
            </w:r>
          </w:p>
        </w:tc>
        <w:tc>
          <w:tcPr>
            <w:tcW w:w="1421" w:type="pct"/>
            <w:shd w:val="clear" w:color="auto" w:fill="auto"/>
          </w:tcPr>
          <w:p>
            <w:pPr>
              <w:spacing w:before="60" w:after="60"/>
              <w:jc w:val="center"/>
              <w:rPr>
                <w:caps/>
                <w:noProof/>
                <w:szCs w:val="24"/>
              </w:rPr>
            </w:pPr>
            <w:r>
              <w:rPr>
                <w:caps/>
                <w:noProof/>
              </w:rPr>
              <w:t>2018</w:t>
            </w:r>
          </w:p>
        </w:tc>
      </w:tr>
      <w:tr>
        <w:tc>
          <w:tcPr>
            <w:tcW w:w="3579" w:type="pct"/>
            <w:shd w:val="clear" w:color="auto" w:fill="auto"/>
          </w:tcPr>
          <w:p>
            <w:pPr>
              <w:autoSpaceDE w:val="0"/>
              <w:autoSpaceDN w:val="0"/>
              <w:adjustRightInd w:val="0"/>
              <w:spacing w:before="60" w:after="60"/>
              <w:jc w:val="left"/>
              <w:rPr>
                <w:noProof/>
                <w:szCs w:val="24"/>
              </w:rPr>
            </w:pPr>
            <w:r>
              <w:rPr>
                <w:noProof/>
              </w:rPr>
              <w:t>Uredba Komisije (EU) št. 16/2011 z dne 10. januarja 2011 o določitvi izvedbenih ukrepov za sistem hitrega obveščanja za živila in krmo</w:t>
            </w:r>
          </w:p>
        </w:tc>
        <w:tc>
          <w:tcPr>
            <w:tcW w:w="1421" w:type="pct"/>
            <w:shd w:val="clear" w:color="auto" w:fill="auto"/>
          </w:tcPr>
          <w:p>
            <w:pPr>
              <w:spacing w:before="60" w:after="60"/>
              <w:jc w:val="center"/>
              <w:rPr>
                <w:caps/>
                <w:noProof/>
                <w:szCs w:val="24"/>
              </w:rPr>
            </w:pPr>
            <w:r>
              <w:rPr>
                <w:caps/>
                <w:noProof/>
              </w:rPr>
              <w:t>2020</w:t>
            </w:r>
          </w:p>
        </w:tc>
      </w:tr>
      <w:tr>
        <w:tc>
          <w:tcPr>
            <w:tcW w:w="3579" w:type="pct"/>
            <w:shd w:val="clear" w:color="auto" w:fill="auto"/>
          </w:tcPr>
          <w:p>
            <w:pPr>
              <w:autoSpaceDE w:val="0"/>
              <w:autoSpaceDN w:val="0"/>
              <w:adjustRightInd w:val="0"/>
              <w:spacing w:before="60" w:after="60"/>
              <w:jc w:val="left"/>
              <w:rPr>
                <w:noProof/>
                <w:szCs w:val="24"/>
              </w:rPr>
            </w:pPr>
            <w:r>
              <w:rPr>
                <w:noProof/>
              </w:rPr>
              <w:t>Izvedbena uredba Komisije (EU) št. 931/2011 z dne 19. septembra 2011 o zahtevah glede sledljivosti iz Uredbe (ES) št. 178/2002 Evropskega parlamenta in Sveta za hrano živalskega izvora</w:t>
            </w:r>
          </w:p>
        </w:tc>
        <w:tc>
          <w:tcPr>
            <w:tcW w:w="1421" w:type="pct"/>
            <w:shd w:val="clear" w:color="auto" w:fill="auto"/>
          </w:tcPr>
          <w:p>
            <w:pPr>
              <w:spacing w:before="60" w:after="60"/>
              <w:jc w:val="center"/>
              <w:rPr>
                <w:caps/>
                <w:noProof/>
                <w:szCs w:val="24"/>
              </w:rPr>
            </w:pPr>
            <w:r>
              <w:rPr>
                <w:caps/>
                <w:noProof/>
              </w:rPr>
              <w:t>2018</w:t>
            </w:r>
          </w:p>
        </w:tc>
      </w:tr>
      <w:tr>
        <w:tc>
          <w:tcPr>
            <w:tcW w:w="3579" w:type="pct"/>
            <w:shd w:val="clear" w:color="auto" w:fill="auto"/>
          </w:tcPr>
          <w:p>
            <w:pPr>
              <w:autoSpaceDE w:val="0"/>
              <w:autoSpaceDN w:val="0"/>
              <w:adjustRightInd w:val="0"/>
              <w:spacing w:before="60" w:after="60"/>
              <w:jc w:val="left"/>
              <w:rPr>
                <w:noProof/>
                <w:szCs w:val="24"/>
              </w:rPr>
            </w:pPr>
            <w:r>
              <w:rPr>
                <w:noProof/>
              </w:rPr>
              <w:t>Izvedbena uredba Komisije (EU) št. 208/2013 z dne 11. marca 2013 o zahtevah glede sledljivosti za kalčke in semena, namenjena za proizvodnjo kalčkov</w:t>
            </w:r>
          </w:p>
        </w:tc>
        <w:tc>
          <w:tcPr>
            <w:tcW w:w="1421" w:type="pct"/>
            <w:shd w:val="clear" w:color="auto" w:fill="auto"/>
          </w:tcPr>
          <w:p>
            <w:pPr>
              <w:spacing w:before="60" w:after="60"/>
              <w:jc w:val="center"/>
              <w:rPr>
                <w:caps/>
                <w:noProof/>
                <w:szCs w:val="24"/>
              </w:rPr>
            </w:pPr>
            <w:r>
              <w:rPr>
                <w:caps/>
                <w:noProof/>
              </w:rPr>
              <w:t>2018</w:t>
            </w:r>
          </w:p>
        </w:tc>
      </w:tr>
      <w:tr>
        <w:tc>
          <w:tcPr>
            <w:tcW w:w="5000" w:type="pct"/>
            <w:gridSpan w:val="2"/>
            <w:shd w:val="clear" w:color="auto" w:fill="auto"/>
          </w:tcPr>
          <w:p>
            <w:pPr>
              <w:pageBreakBefore/>
              <w:spacing w:before="60" w:after="60"/>
              <w:jc w:val="center"/>
              <w:rPr>
                <w:noProof/>
                <w:szCs w:val="24"/>
              </w:rPr>
            </w:pPr>
            <w:r>
              <w:rPr>
                <w:noProof/>
              </w:rPr>
              <w:t>Označevanje živil in informacije o živilih</w:t>
            </w:r>
          </w:p>
        </w:tc>
      </w:tr>
      <w:tr>
        <w:trPr>
          <w:trHeight w:val="718"/>
        </w:trPr>
        <w:tc>
          <w:tcPr>
            <w:tcW w:w="3579" w:type="pct"/>
            <w:shd w:val="clear" w:color="auto" w:fill="auto"/>
          </w:tcPr>
          <w:p>
            <w:pPr>
              <w:spacing w:before="60" w:after="60"/>
              <w:jc w:val="left"/>
              <w:rPr>
                <w:noProof/>
                <w:szCs w:val="24"/>
              </w:rPr>
            </w:pPr>
            <w:r>
              <w:rPr>
                <w:noProof/>
              </w:rPr>
              <w:t>Uredba (ES) št. 1924/2006 Evropskega parlamenta in Sveta z dne 20. decembra 2006 o prehranskih in zdravstvenih trditvah na živilih</w:t>
            </w:r>
          </w:p>
        </w:tc>
        <w:tc>
          <w:tcPr>
            <w:tcW w:w="1421" w:type="pct"/>
            <w:shd w:val="clear" w:color="auto" w:fill="auto"/>
          </w:tcPr>
          <w:p>
            <w:pPr>
              <w:spacing w:before="60" w:after="60"/>
              <w:jc w:val="center"/>
              <w:rPr>
                <w:noProof/>
                <w:szCs w:val="24"/>
              </w:rPr>
            </w:pPr>
            <w:r>
              <w:rPr>
                <w:noProof/>
              </w:rPr>
              <w:t>2018</w:t>
            </w:r>
          </w:p>
        </w:tc>
      </w:tr>
      <w:tr>
        <w:trPr>
          <w:trHeight w:val="718"/>
        </w:trPr>
        <w:tc>
          <w:tcPr>
            <w:tcW w:w="3579" w:type="pct"/>
            <w:shd w:val="clear" w:color="auto" w:fill="auto"/>
          </w:tcPr>
          <w:p>
            <w:pPr>
              <w:spacing w:before="60" w:after="60"/>
              <w:jc w:val="left"/>
              <w:rPr>
                <w:noProof/>
                <w:szCs w:val="24"/>
              </w:rPr>
            </w:pPr>
            <w:r>
              <w:rPr>
                <w:noProof/>
              </w:rPr>
              <w:t>Uredba (ES) št. 1925/2006 Evropskega parlamenta in Sveta z dne 20. decembra 2006 o dodajanju vitaminov, mineralov in nekaterih drugih snovi živilom</w:t>
            </w:r>
          </w:p>
        </w:tc>
        <w:tc>
          <w:tcPr>
            <w:tcW w:w="1421" w:type="pct"/>
            <w:shd w:val="clear" w:color="auto" w:fill="auto"/>
          </w:tcPr>
          <w:p>
            <w:pPr>
              <w:spacing w:before="60" w:after="60"/>
              <w:jc w:val="center"/>
              <w:rPr>
                <w:noProof/>
                <w:szCs w:val="24"/>
              </w:rPr>
            </w:pPr>
            <w:r>
              <w:rPr>
                <w:noProof/>
              </w:rPr>
              <w:t>2018</w:t>
            </w:r>
          </w:p>
        </w:tc>
      </w:tr>
      <w:tr>
        <w:trPr>
          <w:trHeight w:val="718"/>
        </w:trPr>
        <w:tc>
          <w:tcPr>
            <w:tcW w:w="3579" w:type="pct"/>
            <w:shd w:val="clear" w:color="auto" w:fill="auto"/>
          </w:tcPr>
          <w:p>
            <w:pPr>
              <w:spacing w:before="60" w:after="60"/>
              <w:jc w:val="left"/>
              <w:rPr>
                <w:noProof/>
                <w:szCs w:val="24"/>
              </w:rPr>
            </w:pPr>
            <w:r>
              <w:rPr>
                <w:noProof/>
              </w:rPr>
              <w:t>Uredba (EU) št. 1169/2011 Evropskega parlamenta in Sveta z dne 25. oktobra 2011 o zagotavljanju informacij o živilih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2011/91/EU Evropskega parlamenta in Sveta z dne 13. decembra 2011 o označbah ali znakih za identifikacijo serije, v katero spada živilo</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Komisije (EU) št. 432/2012 z dne 16. maja 2012 o seznamu dovoljenih zdravstvenih trditev na živilih, razen trditev, ki se nanašajo na zmanjšanje tveganja za nastanek bolezni ter na razvoj in zdravje otrok</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Izvedbeni sklep Komisije 2013/63/EU z dne 24. januarja 2013 o sprejetju smernic za izvajanje posebnih pogojev za zdravstvene trditve iz člena 10 Uredbe (ES) št. 1924/2006 Evropskega parlamenta in Sveta</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pageBreakBefore/>
              <w:spacing w:before="60" w:after="60"/>
              <w:jc w:val="center"/>
              <w:rPr>
                <w:noProof/>
                <w:szCs w:val="24"/>
              </w:rPr>
            </w:pPr>
            <w:r>
              <w:rPr>
                <w:noProof/>
              </w:rPr>
              <w:t>Ukrepi, ki se uporabljajo za proizvode živalskega izvora</w:t>
            </w:r>
          </w:p>
        </w:tc>
      </w:tr>
      <w:tr>
        <w:trPr>
          <w:trHeight w:val="317"/>
        </w:trPr>
        <w:tc>
          <w:tcPr>
            <w:tcW w:w="3579" w:type="pct"/>
            <w:shd w:val="clear" w:color="auto" w:fill="auto"/>
          </w:tcPr>
          <w:p>
            <w:pPr>
              <w:spacing w:before="60" w:after="60"/>
              <w:jc w:val="left"/>
              <w:rPr>
                <w:noProof/>
                <w:szCs w:val="24"/>
              </w:rPr>
            </w:pPr>
            <w:r>
              <w:rPr>
                <w:noProof/>
              </w:rPr>
              <w:t>Direktiva Sveta 2001/110/ES z dne 20. decembra 2001 o medu</w:t>
            </w:r>
          </w:p>
        </w:tc>
        <w:tc>
          <w:tcPr>
            <w:tcW w:w="1421" w:type="pct"/>
            <w:shd w:val="clear" w:color="auto" w:fill="auto"/>
          </w:tcPr>
          <w:p>
            <w:pPr>
              <w:spacing w:before="60" w:after="60"/>
              <w:jc w:val="center"/>
              <w:rPr>
                <w:noProof/>
                <w:szCs w:val="24"/>
              </w:rPr>
            </w:pPr>
            <w:r>
              <w:rPr>
                <w:noProof/>
              </w:rPr>
              <w:t>2019</w:t>
            </w:r>
          </w:p>
        </w:tc>
      </w:tr>
      <w:tr>
        <w:trPr>
          <w:trHeight w:val="20"/>
        </w:trPr>
        <w:tc>
          <w:tcPr>
            <w:tcW w:w="3579" w:type="pct"/>
            <w:shd w:val="clear" w:color="auto" w:fill="auto"/>
          </w:tcPr>
          <w:p>
            <w:pPr>
              <w:spacing w:before="60" w:after="60"/>
              <w:jc w:val="left"/>
              <w:rPr>
                <w:noProof/>
                <w:szCs w:val="24"/>
              </w:rPr>
            </w:pPr>
            <w:r>
              <w:rPr>
                <w:noProof/>
              </w:rPr>
              <w:t>Odločba Komisije 2002/226/ES z dne 15. marca 2002 o posebnih zdravstvenih pregledih pri nabiranju in predelavi nekaterih školjk, pri katerih raven amnezijskega strupa lupinarjev (ASP) presega mejno vrednost, določeno z Direktivo Sveta 91/492/EGS</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Uredba (ES) št. 2065/2003 Evropskega parlamenta in Sveta z dne 10. novembra 2003 o aromah dima, ki se uporabljajo ali so namenjene uporabi v ali na živilih</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(ES) št. 853/2004 Evropskega parlamenta in Sveta z dne 29. aprila 2004 o posebnih higienskih pravilih za živila živalskega izvora (poglavje I Dodatek II)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(ES) št. 853/2004 Evropskega parlamenta in Sveta z dne 29. aprila 2004 o posebnih higienskih pravilih za živila živalskega izvora (poglavje V Dodatek III)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(ES) št. 853/2004 Evropskega parlamenta in Sveta z dne 29. aprila 2004 o posebnih higienskih pravilih za živila živalskega izvora (poglavje VII Dodatek III)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Uredba (ES) št. 853/2004 Evropskega parlamenta in Sveta z dne 29. aprila 2004 o posebnih higienskih pravilih za živila živalskega izvora (poglavje VIII Dodatek III)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pageBreakBefore/>
              <w:spacing w:before="60" w:after="60"/>
              <w:jc w:val="left"/>
              <w:rPr>
                <w:noProof/>
                <w:szCs w:val="24"/>
              </w:rPr>
            </w:pPr>
            <w:r>
              <w:rPr>
                <w:noProof/>
              </w:rPr>
              <w:t>Uredba (ES) št. 853/2004 Evropskega parlamenta in Sveta z dne 29. aprila 2004 o posebnih higienskih pravilih za živila živalskega izvora (poglavje IX Dodatek III)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(ES) št. 853/2004 Evropskega parlamenta in Sveta z dne 29. aprila 2004 o posebnih higienskih pravilih za živila živalskega izvora (poglavje X Dodatek III)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Uredba (ES) št. 853/2004 Evropskega parlamenta in Sveta z dne 29. aprila 2004 o posebnih higienskih pravilih za živila živalskega izvora (poglavje XI Dodatek III)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Uredba (ES) št. 853/2004 Evropskega parlamenta in Sveta z dne 29. aprila 2004 o posebnih higienskih pravilih za živila živalskega izvora (poglavje XII Dodatek III)</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Uredba (ES) št. 853/2004 Evropskega parlamenta in Sveta z dne 29. aprila 2004 o posebnih higienskih pravilih za živila živalskega izvora (poglavje XIII Dodatek III)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Uredba (ES) št. 853/2004 Evropskega parlamenta in Sveta z dne 29. aprila 2004 o posebnih higienskih pravilih za živila živalskega izvora (poglavje XIV Dodatek III)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Uredba (ES) št. 853/2004 Evropskega parlamenta in Sveta z dne 29. aprila 2004 o posebnih higienskih pravilih za živila živalskega izvora (poglavje XV Dodatek III)</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Uredba (ES) št. 854/2004 Evropskega parlamenta in Sveta z dne 29. aprila 2004 o določitvi posebnih predpisov za organizacijo uradnega nadzora proizvodov živalskega izvora, namenjenih za prehrano ljudi</w:t>
            </w:r>
          </w:p>
        </w:tc>
        <w:tc>
          <w:tcPr>
            <w:tcW w:w="1421" w:type="pct"/>
            <w:shd w:val="clear" w:color="auto" w:fill="auto"/>
          </w:tcPr>
          <w:p>
            <w:pPr>
              <w:spacing w:before="60" w:after="60"/>
              <w:jc w:val="center"/>
              <w:rPr>
                <w:noProof/>
                <w:szCs w:val="24"/>
              </w:rPr>
            </w:pPr>
            <w:r>
              <w:rPr>
                <w:noProof/>
              </w:rPr>
              <w:t>2019</w:t>
            </w:r>
          </w:p>
        </w:tc>
      </w:tr>
      <w:tr>
        <w:tc>
          <w:tcPr>
            <w:tcW w:w="3579" w:type="pct"/>
            <w:tcBorders>
              <w:top w:val="single" w:sz="4" w:space="0" w:color="auto"/>
              <w:left w:val="single" w:sz="4" w:space="0" w:color="auto"/>
              <w:bottom w:val="single" w:sz="4" w:space="0" w:color="auto"/>
              <w:right w:val="single" w:sz="4" w:space="0" w:color="auto"/>
            </w:tcBorders>
            <w:shd w:val="clear" w:color="auto" w:fill="auto"/>
          </w:tcPr>
          <w:p>
            <w:pPr>
              <w:spacing w:before="60" w:after="60"/>
              <w:jc w:val="left"/>
              <w:rPr>
                <w:noProof/>
                <w:szCs w:val="24"/>
              </w:rPr>
            </w:pPr>
            <w:r>
              <w:rPr>
                <w:noProof/>
              </w:rPr>
              <w:t>Uredba Komisije (ES) št. 37/2005 z dne 12. januarja 2005 o spremljanju temperature v prevoznih sredstvih, skladiščih in pri shranjevanju hitro zamrznjenih živil, namenjenih za prehrano ljudi</w:t>
            </w:r>
          </w:p>
        </w:tc>
        <w:tc>
          <w:tcPr>
            <w:tcW w:w="1421" w:type="pct"/>
            <w:tcBorders>
              <w:top w:val="single" w:sz="4" w:space="0" w:color="auto"/>
              <w:left w:val="single" w:sz="4" w:space="0" w:color="auto"/>
              <w:bottom w:val="single" w:sz="4" w:space="0" w:color="auto"/>
              <w:right w:val="single" w:sz="4" w:space="0" w:color="auto"/>
            </w:tcBorders>
            <w:shd w:val="clear" w:color="auto" w:fill="auto"/>
          </w:tcPr>
          <w:p>
            <w:pPr>
              <w:spacing w:before="60" w:after="60"/>
              <w:jc w:val="center"/>
              <w:rPr>
                <w:noProof/>
                <w:szCs w:val="24"/>
              </w:rPr>
            </w:pPr>
            <w:r>
              <w:rPr>
                <w:noProof/>
              </w:rPr>
              <w:t>2016</w:t>
            </w:r>
          </w:p>
        </w:tc>
      </w:tr>
      <w:tr>
        <w:trPr>
          <w:trHeight w:val="792"/>
        </w:trPr>
        <w:tc>
          <w:tcPr>
            <w:tcW w:w="3579" w:type="pct"/>
            <w:shd w:val="clear" w:color="auto" w:fill="auto"/>
          </w:tcPr>
          <w:p>
            <w:pPr>
              <w:pageBreakBefore/>
              <w:spacing w:before="60" w:after="60"/>
              <w:jc w:val="left"/>
              <w:rPr>
                <w:noProof/>
                <w:szCs w:val="24"/>
              </w:rPr>
            </w:pPr>
            <w:r>
              <w:rPr>
                <w:noProof/>
              </w:rPr>
              <w:t>Uredba (ES) št. 1331/2008 Evropskega parlamenta in Sveta z dne 16. decembra 2008 o vzpostavitvi skupnega postopka odobritve za aditive za živila, encime za živila in arome za živila</w:t>
            </w:r>
          </w:p>
        </w:tc>
        <w:tc>
          <w:tcPr>
            <w:tcW w:w="1421" w:type="pct"/>
            <w:shd w:val="clear" w:color="auto" w:fill="auto"/>
          </w:tcPr>
          <w:p>
            <w:pPr>
              <w:spacing w:before="60" w:after="60"/>
              <w:jc w:val="center"/>
              <w:rPr>
                <w:noProof/>
                <w:szCs w:val="24"/>
              </w:rPr>
            </w:pPr>
            <w:r>
              <w:rPr>
                <w:noProof/>
              </w:rPr>
              <w:t>2018</w:t>
            </w:r>
          </w:p>
        </w:tc>
      </w:tr>
      <w:tr>
        <w:trPr>
          <w:trHeight w:val="520"/>
        </w:trPr>
        <w:tc>
          <w:tcPr>
            <w:tcW w:w="3579" w:type="pct"/>
            <w:shd w:val="clear" w:color="auto" w:fill="auto"/>
          </w:tcPr>
          <w:p>
            <w:pPr>
              <w:spacing w:before="60" w:after="60"/>
              <w:jc w:val="left"/>
              <w:rPr>
                <w:noProof/>
                <w:szCs w:val="24"/>
              </w:rPr>
            </w:pPr>
            <w:r>
              <w:rPr>
                <w:noProof/>
              </w:rPr>
              <w:t xml:space="preserve">Uredba (ES) št. 1332/2008 Evropskega parlamenta in Sveta z dne 16. decembra 2008 o encimih za živila in spremembi Direktive Sveta 83/417/EGS, Uredbe Sveta (ES) št. 1493/1999, Direktive 2000/13/ES, Direktive Sveta 2001/112/ES in Uredbe (ES) št. 258/97 </w:t>
            </w:r>
          </w:p>
        </w:tc>
        <w:tc>
          <w:tcPr>
            <w:tcW w:w="1421" w:type="pct"/>
            <w:shd w:val="clear" w:color="auto" w:fill="auto"/>
          </w:tcPr>
          <w:p>
            <w:pPr>
              <w:spacing w:before="60" w:after="60"/>
              <w:jc w:val="center"/>
              <w:rPr>
                <w:noProof/>
                <w:szCs w:val="24"/>
              </w:rPr>
            </w:pPr>
            <w:r>
              <w:rPr>
                <w:noProof/>
              </w:rPr>
              <w:t>2018</w:t>
            </w:r>
          </w:p>
        </w:tc>
      </w:tr>
      <w:tr>
        <w:trPr>
          <w:trHeight w:val="520"/>
        </w:trPr>
        <w:tc>
          <w:tcPr>
            <w:tcW w:w="3579" w:type="pct"/>
            <w:shd w:val="clear" w:color="auto" w:fill="auto"/>
          </w:tcPr>
          <w:p>
            <w:pPr>
              <w:spacing w:before="60" w:after="60"/>
              <w:jc w:val="left"/>
              <w:rPr>
                <w:noProof/>
                <w:szCs w:val="24"/>
              </w:rPr>
            </w:pPr>
            <w:r>
              <w:rPr>
                <w:noProof/>
              </w:rPr>
              <w:t>Uredba (ES) št. 1333/2008 Evropskega parlamenta in Sveta z dne 16. decembra 2008 o aditivih za živila</w:t>
            </w:r>
          </w:p>
        </w:tc>
        <w:tc>
          <w:tcPr>
            <w:tcW w:w="1421" w:type="pct"/>
            <w:shd w:val="clear" w:color="auto" w:fill="auto"/>
          </w:tcPr>
          <w:p>
            <w:pPr>
              <w:spacing w:before="60" w:after="60"/>
              <w:jc w:val="center"/>
              <w:rPr>
                <w:noProof/>
                <w:szCs w:val="24"/>
              </w:rPr>
            </w:pPr>
            <w:r>
              <w:rPr>
                <w:noProof/>
              </w:rPr>
              <w:t>2018</w:t>
            </w:r>
          </w:p>
        </w:tc>
      </w:tr>
      <w:tr>
        <w:trPr>
          <w:trHeight w:val="520"/>
        </w:trPr>
        <w:tc>
          <w:tcPr>
            <w:tcW w:w="3579" w:type="pct"/>
            <w:shd w:val="clear" w:color="auto" w:fill="auto"/>
          </w:tcPr>
          <w:p>
            <w:pPr>
              <w:spacing w:before="60" w:after="60"/>
              <w:jc w:val="left"/>
              <w:rPr>
                <w:noProof/>
                <w:szCs w:val="24"/>
              </w:rPr>
            </w:pPr>
            <w:r>
              <w:rPr>
                <w:noProof/>
              </w:rPr>
              <w:t>Uredba (ES) št. 1334/2008 Evropskega parlamenta in Sveta z dne 16. decembra 2008 o aromah in nekaterih sestavinah živil z aromatičnimi lastnostmi za uporabo v in na živilih ter spremembi Uredbe Sveta (EGS) št. 1601/91, uredb (ES) št. 2232/96 in (ES) št. 110/2008 ter Direktive 2000/13/ES</w:t>
            </w:r>
          </w:p>
        </w:tc>
        <w:tc>
          <w:tcPr>
            <w:tcW w:w="1421" w:type="pct"/>
            <w:shd w:val="clear" w:color="auto" w:fill="auto"/>
          </w:tcPr>
          <w:p>
            <w:pPr>
              <w:spacing w:before="60" w:after="60"/>
              <w:jc w:val="center"/>
              <w:rPr>
                <w:noProof/>
                <w:szCs w:val="24"/>
              </w:rPr>
            </w:pPr>
            <w:r>
              <w:rPr>
                <w:noProof/>
              </w:rPr>
              <w:t>2018</w:t>
            </w:r>
          </w:p>
        </w:tc>
      </w:tr>
      <w:tr>
        <w:trPr>
          <w:trHeight w:val="520"/>
        </w:trPr>
        <w:tc>
          <w:tcPr>
            <w:tcW w:w="3579" w:type="pct"/>
            <w:shd w:val="clear" w:color="auto" w:fill="auto"/>
          </w:tcPr>
          <w:p>
            <w:pPr>
              <w:spacing w:before="60" w:after="60"/>
              <w:jc w:val="left"/>
              <w:rPr>
                <w:noProof/>
                <w:szCs w:val="24"/>
              </w:rPr>
            </w:pPr>
            <w:r>
              <w:rPr>
                <w:noProof/>
              </w:rPr>
              <w:t>Uredba Komisije (EU) št. 234/2011 z dne 10. marca 2011 o izvajanju Uredbe (ES) št. 1331/2008 Evropskega parlamenta in Sveta o vzpostavitvi skupnega postopka odobritve za aditive za živila, encime za živila in arome za živila</w:t>
            </w:r>
          </w:p>
        </w:tc>
        <w:tc>
          <w:tcPr>
            <w:tcW w:w="1421" w:type="pct"/>
            <w:shd w:val="clear" w:color="auto" w:fill="auto"/>
          </w:tcPr>
          <w:p>
            <w:pPr>
              <w:spacing w:before="60" w:after="60"/>
              <w:jc w:val="center"/>
              <w:rPr>
                <w:noProof/>
                <w:szCs w:val="24"/>
              </w:rPr>
            </w:pPr>
            <w:r>
              <w:rPr>
                <w:noProof/>
              </w:rPr>
              <w:t>2018</w:t>
            </w:r>
          </w:p>
        </w:tc>
      </w:tr>
      <w:tr>
        <w:trPr>
          <w:trHeight w:val="520"/>
        </w:trPr>
        <w:tc>
          <w:tcPr>
            <w:tcW w:w="3579" w:type="pct"/>
            <w:shd w:val="clear" w:color="auto" w:fill="auto"/>
          </w:tcPr>
          <w:p>
            <w:pPr>
              <w:spacing w:before="60" w:after="60"/>
              <w:jc w:val="left"/>
              <w:rPr>
                <w:noProof/>
                <w:szCs w:val="24"/>
              </w:rPr>
            </w:pPr>
            <w:r>
              <w:rPr>
                <w:noProof/>
              </w:rPr>
              <w:t>Uredba Komisije (EU) št. 231/2012 z dne 9. marca 2012 o določitvi specifikacij za aditive za živila, navedene v prilogah II in III k Uredbi (ES) št. 1333/2008 Evropskega parlamenta in Sveta</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Izvedbena uredba Komisije (EU) št. 872/2012 z dne 1. oktobra 2012 o sprejetju seznama aromatičnih snovi iz Uredbe (ES) št. 2232/96 Evropskega parlamenta in Sveta, njegovi uveljavitvi v Prilogi I k Uredbi (ES) št. 1334/2008 Evropskega parlamenta in Sveta ter razveljavitvi Uredbe Komisije (ES) št. 1565/2000 in Odločbe Komisije 1999/217/ES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Komisije (EU) št. 873/2012 z dne 1. oktobra 2012 o prehodnih ukrepih glede seznama Unije z aromami in izvornimi snovmi iz Priloge I k Uredbi (ES) št. 1334/2008 Evropskega parlamenta in Sveta</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spacing w:before="60" w:after="60"/>
              <w:jc w:val="center"/>
              <w:rPr>
                <w:noProof/>
                <w:szCs w:val="24"/>
              </w:rPr>
            </w:pPr>
            <w:r>
              <w:rPr>
                <w:noProof/>
              </w:rPr>
              <w:t>Drugi ukrepi</w:t>
            </w:r>
          </w:p>
        </w:tc>
      </w:tr>
      <w:tr>
        <w:tc>
          <w:tcPr>
            <w:tcW w:w="3579" w:type="pct"/>
            <w:shd w:val="clear" w:color="auto" w:fill="auto"/>
          </w:tcPr>
          <w:p>
            <w:pPr>
              <w:spacing w:before="60" w:after="60"/>
              <w:jc w:val="left"/>
              <w:rPr>
                <w:noProof/>
                <w:szCs w:val="24"/>
              </w:rPr>
            </w:pPr>
            <w:r>
              <w:rPr>
                <w:noProof/>
              </w:rPr>
              <w:t>Direktiva Sveta 78/142/EGS z dne 30. januarja 1978 o približevanju zakonodaje držav članic o materialih in izdelkih, ki vsebujejo monomere vinilklorida in so namenjeni za stik z živili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Direktiva Sveta 82/711/EGS z dne 18. oktobra 1982 o določitvi temeljnih pravil za preskušanje migracije sestavin polimernih materialov in izdelkov, namenjenih za stik z živili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Direktiva Sveta 84/500/EGS z dne 15. oktobra 1984 o približevanju zakonodaje držav članic, ki se nanaša na keramične izdelke, namenjene za stik z živili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Direktiva Sveta 85/572/EGS z dne 19. decembra 1985 o določitvi seznama modelnih raztopin za preskušanje migracije sestavin polimernih materialov in izdelkov, namenjenih za stik z živili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Direktiva Komisije 93/11/EGS z dne 15. marca 1993 o sproščanju N-nitrozaminov in N-nitrozabilnih snovi iz dud in tolažilnih dud iz elastomera ali gume</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pageBreakBefore/>
              <w:spacing w:before="60" w:after="60"/>
              <w:jc w:val="left"/>
              <w:rPr>
                <w:noProof/>
                <w:szCs w:val="24"/>
              </w:rPr>
            </w:pPr>
            <w:r>
              <w:rPr>
                <w:noProof/>
              </w:rPr>
              <w:t>Uredba (ES) št. 1829/2003 Evropskega parlamenta in Sveta z dne 22. septembra 2003 o gensko spremenjenih živilih in krmi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Uredba Komisije (ES) št. 641/2004 z dne 6. aprila 2004 o podrobnih pravilih za izvajanje Uredbe (ES) št. 1829/2003 Evropskega parlamenta in Sveta v zvezi z vlogo za odobritev novih gensko spremenjenih živil in krme, uradnim obvestilom o obstoječih proizvodih in naključni ali tehnično neizogibni navzočnosti gensko spremenjene snovi, ki je prejela ugodno oceno tveganja</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Uredba Evropskega parlamenta in Sveta (ES) št. 1935/2004 z dne 27. oktobra 2004 o materialih in izdelkih, namenjenih za stik z živili, in o razveljavitvi direktiv 80/590/EGS in 89/109/EGS</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Uredba Komisije (ES) št. 1895/2005 z dne 18. novembra 2005 o omejitvi uporabe nekaterih epoksi derivatov v materialih in izdelkih, namenjenih za stik z živili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Uredba Komisije (ES) št. 2023/2006 z dne 22. decembra 2006 o dobri proizvodni praksi za materiale in izdelke, namenjene za stik z živili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Odločba Komisije 2007/275/ES z dne 17. aprila 2007 o seznamih živali in proizvodov, ki jih je treba pregledati na mejnih kontrolnih točkah v skladu z direktivama Sveta 91/496/EGS in 97/78/ES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Komisije 2007/42/ES z dne 29. junija 2007 o materialih in izdelkih iz regenerirane celulozne folije, namenjenih za stik z živili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pageBreakBefore/>
              <w:spacing w:before="60" w:after="60"/>
              <w:jc w:val="left"/>
              <w:rPr>
                <w:noProof/>
                <w:szCs w:val="24"/>
              </w:rPr>
            </w:pPr>
            <w:r>
              <w:rPr>
                <w:noProof/>
              </w:rPr>
              <w:t>Uredba Komisije (ES) št. 282/2008 z dne 27. marca 2008 o recikliranih polimernih materialih in izdelkih, namenjenih za stik z živili, in spremembi Uredbe (ES) št. 2023/2006</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Uredba Komisije (ES) št. 450/2009 z dne 29. maja 2009 o aktivnih in inteligentnih materialih in izdelkih, namenjenih za stik z živili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Sklep Komisije 2010/169/EU z dne 19. marca 2010 o nevključitvi snovi 2,4,4’-trikloro-2’-hidroksidifenil eter v seznam aditivov Unije, ki se lahko uporabljajo pri proizvodnji polimernih materialov in izdelkov, namenjenih za stik z živili, v skladu z Direktivo 2002/72/ES</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Uredba Komisije (EU) št. 10/2011 z dne 14. januarja 2011 o polimernih materialih in izdelkih, namenjenih za stik z živili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Uredba Komisije (EU) št. 284/2011 z dne 22. marca 2011 o posebnih pogojih in podrobnih postopkih za uvoz polimerne kuhinjske posode iz poliamida in melamina, ki je po poreklu ali je bila poslana iz Ljudske republike Kitajske in Kitajskega posebnega upravnega območja Hongkong</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Uredba Komisije (EU) št. 28/2012 z dne 11. januarja 2012 o določitvi zahtev za certificiranje uvoza in tranzita skozi Unijo za nekatere sestavljene proizvode ter o spremembi Odločbe 2007/275/ES in Uredbe (ES) št. 1162/2009</w:t>
            </w:r>
          </w:p>
        </w:tc>
        <w:tc>
          <w:tcPr>
            <w:tcW w:w="1421" w:type="pct"/>
            <w:shd w:val="clear" w:color="auto" w:fill="auto"/>
          </w:tcPr>
          <w:p>
            <w:pPr>
              <w:spacing w:before="60" w:after="60"/>
              <w:jc w:val="center"/>
              <w:rPr>
                <w:noProof/>
                <w:szCs w:val="24"/>
              </w:rPr>
            </w:pPr>
            <w:r>
              <w:rPr>
                <w:noProof/>
              </w:rPr>
              <w:t>2021</w:t>
            </w:r>
          </w:p>
        </w:tc>
      </w:tr>
      <w:tr>
        <w:tc>
          <w:tcPr>
            <w:tcW w:w="5000" w:type="pct"/>
            <w:gridSpan w:val="2"/>
            <w:shd w:val="clear" w:color="auto" w:fill="auto"/>
          </w:tcPr>
          <w:p>
            <w:pPr>
              <w:spacing w:before="60" w:after="60"/>
              <w:jc w:val="center"/>
              <w:rPr>
                <w:noProof/>
                <w:szCs w:val="24"/>
              </w:rPr>
            </w:pPr>
            <w:r>
              <w:rPr>
                <w:noProof/>
              </w:rPr>
              <w:t>Ukrepi, ki se vključijo po približanju zakonodaje</w:t>
            </w:r>
          </w:p>
        </w:tc>
      </w:tr>
      <w:tr>
        <w:tc>
          <w:tcPr>
            <w:tcW w:w="3579" w:type="pct"/>
            <w:shd w:val="clear" w:color="auto" w:fill="auto"/>
          </w:tcPr>
          <w:p>
            <w:pPr>
              <w:spacing w:before="60" w:after="60"/>
              <w:jc w:val="left"/>
              <w:rPr>
                <w:noProof/>
                <w:szCs w:val="24"/>
              </w:rPr>
            </w:pPr>
            <w:r>
              <w:rPr>
                <w:noProof/>
              </w:rPr>
              <w:t>Direktiva Sveta 96/23/ES z dne 29. aprila 1996 o ukrepih za spremljanje nekaterih snovi in njihovih ostankov v živih živalih in v živalskih proizvodih ter razveljavitvi direktiv 85/358/EGS in 86/469/EGS in odločb 89/187/EGS in 91/664/EGS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 xml:space="preserve">Uredba (ES) št. 258/97 Evropskega parlamenta in Sveta z dne 27. januarja 1997 v zvezi z novimi živili in novimi živilskimi sestavinami </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Direktiva 1999/2/ES Evropskega parlamenta in Sveta z dne 22. februarja 1999 o približevanju zakonodaje držav članic o živilih in živilskih sestavinah, obsevanih z ionizirajočim sevanjem</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Direktiva 1999/3/ES Evropskega parlamenta in Sveta z dne 22. februarja 1999 o izdelavi seznama Skupnosti za živila in živilske sestavine, obsevane z ionizirajočim sevanjem</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Direktiva Komisije 2002/63/ES z dne 11. julija 2002 o določitvi metod vzorčenja za uraden nadzor nad ostanki pesticidov v in na proizvodih rastlinskega in živalskega izvora v Skupnosti in o razveljavitvi Direktive 79/700/EGS</w:t>
            </w:r>
          </w:p>
        </w:tc>
        <w:tc>
          <w:tcPr>
            <w:tcW w:w="1421" w:type="pct"/>
            <w:shd w:val="clear" w:color="auto" w:fill="auto"/>
          </w:tcPr>
          <w:p>
            <w:pPr>
              <w:spacing w:before="60" w:after="60"/>
              <w:jc w:val="center"/>
              <w:rPr>
                <w:noProof/>
                <w:szCs w:val="24"/>
              </w:rPr>
            </w:pPr>
            <w:r>
              <w:rPr>
                <w:noProof/>
              </w:rPr>
              <w:t>2018</w:t>
            </w:r>
          </w:p>
        </w:tc>
      </w:tr>
      <w:tr>
        <w:trPr>
          <w:trHeight w:val="681"/>
        </w:trPr>
        <w:tc>
          <w:tcPr>
            <w:tcW w:w="3579" w:type="pct"/>
            <w:shd w:val="clear" w:color="auto" w:fill="auto"/>
          </w:tcPr>
          <w:p>
            <w:pPr>
              <w:spacing w:before="60" w:after="60"/>
              <w:jc w:val="left"/>
              <w:rPr>
                <w:noProof/>
                <w:szCs w:val="24"/>
              </w:rPr>
            </w:pPr>
            <w:r>
              <w:rPr>
                <w:noProof/>
              </w:rPr>
              <w:t>Uredba Komisije (ES) št. 401/2006 z dne 23. februarja 2006 o določitvi metod vzorčenja in analiz za uradni nadzor vsebnosti mikotoksinov v živilih</w:t>
            </w:r>
          </w:p>
        </w:tc>
        <w:tc>
          <w:tcPr>
            <w:tcW w:w="1421" w:type="pct"/>
            <w:shd w:val="clear" w:color="auto" w:fill="auto"/>
          </w:tcPr>
          <w:p>
            <w:pPr>
              <w:spacing w:before="60" w:after="60"/>
              <w:jc w:val="center"/>
              <w:rPr>
                <w:noProof/>
                <w:szCs w:val="24"/>
              </w:rPr>
            </w:pPr>
            <w:r>
              <w:rPr>
                <w:noProof/>
              </w:rPr>
              <w:t>2018</w:t>
            </w:r>
          </w:p>
        </w:tc>
      </w:tr>
      <w:tr>
        <w:trPr>
          <w:trHeight w:val="681"/>
        </w:trPr>
        <w:tc>
          <w:tcPr>
            <w:tcW w:w="3579" w:type="pct"/>
            <w:shd w:val="clear" w:color="auto" w:fill="auto"/>
          </w:tcPr>
          <w:p>
            <w:pPr>
              <w:spacing w:before="60" w:after="60"/>
              <w:jc w:val="left"/>
              <w:rPr>
                <w:noProof/>
                <w:szCs w:val="24"/>
              </w:rPr>
            </w:pPr>
            <w:r>
              <w:rPr>
                <w:noProof/>
              </w:rPr>
              <w:t>Uredba Komisije (ES) št. 1881/2006 z dne 19. decembra 2006 o določitvi mejnih vrednosti nekaterih onesnaževal v živilih</w:t>
            </w:r>
          </w:p>
        </w:tc>
        <w:tc>
          <w:tcPr>
            <w:tcW w:w="1421" w:type="pct"/>
            <w:shd w:val="clear" w:color="auto" w:fill="auto"/>
          </w:tcPr>
          <w:p>
            <w:pPr>
              <w:spacing w:before="60" w:after="60"/>
              <w:jc w:val="center"/>
              <w:rPr>
                <w:noProof/>
                <w:szCs w:val="24"/>
              </w:rPr>
            </w:pPr>
            <w:r>
              <w:rPr>
                <w:noProof/>
              </w:rPr>
              <w:t>2018</w:t>
            </w:r>
          </w:p>
        </w:tc>
      </w:tr>
      <w:tr>
        <w:trPr>
          <w:trHeight w:val="681"/>
        </w:trPr>
        <w:tc>
          <w:tcPr>
            <w:tcW w:w="3579" w:type="pct"/>
            <w:shd w:val="clear" w:color="auto" w:fill="auto"/>
          </w:tcPr>
          <w:p>
            <w:pPr>
              <w:spacing w:before="60" w:after="60"/>
              <w:jc w:val="left"/>
              <w:rPr>
                <w:noProof/>
                <w:szCs w:val="24"/>
              </w:rPr>
            </w:pPr>
            <w:r>
              <w:rPr>
                <w:noProof/>
              </w:rPr>
              <w:t>Uredba Komisije (ES) št. 1882/2006 z dne 19. decembra 2006 o določitvi metod vzorčenja in analiz za uradni nadzor vsebnosti nitratov v nekaterih živilih</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Komisije (ES) št. 333/2007 z dne 28. marca 2007 o določitvi metod vzorčenja in analitskih metod za nadzor vsebnosti elementov v sledovih in onesnaževal iz predelave v živilih</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Komisije (EU) št. 589/2014 z dne 2. junija 2014 o metodah vzorčenja in analitskih metodah za nadzor vsebnosti dioksinov, dioksinom podobnih PCB in dioksinom nepodobnih PCB v nekaterih živilih ter razveljavitvi Uredbe (EU) št. 252/2012</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pageBreakBefore/>
              <w:spacing w:before="60" w:after="60"/>
              <w:jc w:val="center"/>
              <w:rPr>
                <w:noProof/>
                <w:szCs w:val="24"/>
              </w:rPr>
            </w:pPr>
            <w:r>
              <w:rPr>
                <w:noProof/>
              </w:rPr>
              <w:t>Poglavje II – Zdravstveno varstvo živali</w:t>
            </w:r>
          </w:p>
        </w:tc>
      </w:tr>
      <w:tr>
        <w:tc>
          <w:tcPr>
            <w:tcW w:w="3579" w:type="pct"/>
            <w:shd w:val="clear" w:color="auto" w:fill="auto"/>
          </w:tcPr>
          <w:p>
            <w:pPr>
              <w:spacing w:before="60" w:after="60"/>
              <w:jc w:val="left"/>
              <w:rPr>
                <w:noProof/>
                <w:szCs w:val="24"/>
              </w:rPr>
            </w:pPr>
            <w:r>
              <w:rPr>
                <w:noProof/>
              </w:rPr>
              <w:t>Direktiva Sveta 64/432/EGS z dne 26. junija 1964 o problemih v zvezi z zdravstvenim varstvom živali, ki vplivajo na trgovino z govedom in prašiči znotraj Skupnosti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Odločba Komisije 86/474/EGS z dne 11. septembra 1986 o izvajanju pregledov na kraju samem pri uvozu goveda in prašičev ter svežega mesa iz držav nečlanic</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88/407/EGS z dne 14. junija 1988 o zahtevah za zdravstveno varstvo živali, ki veljajo za promet med državami članicami Evropske skupnosti in za uvoz semena domačih živali iz vrst govedi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89/556/EGS z dne 25. septembra 1989 o pogojih za zdravstveno varstvo živali, ki urejajo trgovanje znotraj Skupnosti in uvoz iz tretjih držav za zarodke domačih živali vrste goveda</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90/429/EGS z dne 26. junija 1990 o zahtevah za zdravstveno varstvo živali, ki veljajo za promet znotraj Skupnosti in za uvoz semena domačih prašičev</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92/65/EGS z dne 13. julija 1992 o zahtevah zdravstvenega varstva živali za trgovino in za uvoz v Skupnost živali, semena, jajčnih celic in zarodkov, za katere ne veljajo zahteve zdravstvenega varstva živali, določene v posebnih pravilih Skupnosti iz Priloge A(I) k Direktivi 90/425/EGS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 xml:space="preserve">Uredba Sveta (ES) št. 338/97 z dne 9. decembra 1996 o varstvu prosto živečih živalskih in rastlinskih vrst z zakonsko ureditvijo trgovine z njimi </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Odločba Komisije 2004/211/ES z dne 6. januarja 2004 o uvedbi seznama tretjih držav in delov njihovega ozemlja, s katerih države članice dovolijo uvoz živih kopitarjev in semena, jajčnih celic in zarodkov vrste kopitarji, ter o spremembi odločb 93/195/EGS in 94/63/ES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(ES) št. 853/2004 Evropskega parlamenta in Sveta z dne 29. aprila 2004 o posebnih higienskih pravilih za živila živalskega izvora (poglavje VII)</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Uredba Komisije (ES) št. 1739/2005 z dne 21. oktobra 2005 o zahtevah zdravstvenega varstva živali za premike cirkuških živali med državami članicami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Odločba Komisije 2006/168/ES z dne 4. januarja 2006 o uvedbi zahtev za zdravstveno varstvo živali in izdajanje veterinarskih spričeval za uvoz govejih zarodkov v Skupnost ter razveljavitvi Odločbe 2005/217/ES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Odločba Komisije 2006/605/ES z dne 6. septembra 2006 o nekaterih zaščitnih ukrepih v zvezi s trgovino perutnine znotraj Skupnosti, namenjene za obnovo populacije divjih ptic</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Direktiva Sveta 2006/88/ES z dne 24. oktobra 2006 o zahtevah za zdravstveno varstvo živali in proizvodov iz ribogojstva ter o preprečevanju in nadzoru nekaterih bolezni pri vodnih živalih</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Odločba Komisije 2006/767/ES z dne 6. novembra 2006 o spremembi odločb 2003/804/ES in 2003/858/ES v zvezi s pogoji za izdajo spričeval za žive školjke, žive ribe in proizvode iz ribogojstva, namenjene za prehrano ljudi</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Uredba Komisije (ES) št. 798/2008 z dne 8. avgusta 2008 o določitvi seznama tretjih držav, ozemelj, območij ali kompartmentov, iz katerih se dovolita uvoz perutnine in perutninskih proizvodov v Skupnost in njihov tranzit skozi Skupnost, ter zahtevah za izdajanje veterinarskih spričeval</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Komisije (ES) št. 1251/2008 z dne 12. decembra 2008 o izvajanju Direktive Sveta 2006/88/ES glede pogojev in zahtev v zvezi z izdajanjem spričeval za dajanje živali in proizvodov iz ribogojstva na trg in za njihov uvoz v Skupnost ter o določitvi seznama vektorskih vrst</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Odločba Komisije 2009/712/ES z dne 18. septembra 2009 o izvajanju Direktive Sveta 2008/73/ES glede informacijskih spletnih strani s seznami obratov in laboratorijev, ki so jih države članice odobrile v skladu z veterinarsko in zootehnično zakonodajo Skupnosti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Direktiva Sveta 2009/156/ES z dne 30. novembra 2009 o pogojih v zvezi z zdravstvenim varstvom živali, ki ureja premike in uvoz kopitarjev iz tretjih držav</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Direktiva Sveta 2009/158/ES z dne 30. novembra 2009 o pogojih zdravstvenega varstva živali, ki veljajo znotraj Skupnosti za trgovanje s perutnino in valilnimi jajci ter za njihov uvoz iz tretjih držav</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Sklep Komisije 2010/57/EU z dne 3. februarja 2010 o jamstvih glede zdravstvenega stanja za prevoz kopitarjev čez ozemlja iz Priloge I k Direktivi Sveta 97/78/ES</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Sklep Komisije 2010/270/EU z dne 6. maja 2010 o spremembi delov 1 in 2 Priloge E k Direktivi Sveta 92/65/EGS glede vzorcev zdravstvenih spričeval za živali z gospodarstev ter za čebele in čmrlje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Sklep Komisije 2010/471/EU z dne 26. avgusta 2010 o seznamih osemenjevalnih središč za pridobivanje in skladiščenje semena in skupin za zbiranje in pridobivanje zarodkov ter zahtevah za izdajo spričeval v zvezi z uvozom v Unijo semena, jajčnih celic in zarodkov enoprstih kopitarjev</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Sklep Komisije 2010/472/EU z dne 26. avgusta 2010 o uvozu semena, jajčnih celic in zarodkov ovc in koz v Unijo</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Izvedbeni sklep Komisije 2011/630/EU z dne 20. septembra 2011 o uvozu v Unijo semena domačih živali iz vrst govedi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 xml:space="preserve">Izvedbeni sklep Komisije 2012/137/EU z dne 1. marca 2012 o uvozu semena domačih prašičev v Unijo </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spacing w:before="60" w:after="60"/>
              <w:jc w:val="center"/>
              <w:rPr>
                <w:noProof/>
                <w:szCs w:val="24"/>
              </w:rPr>
            </w:pPr>
            <w:r>
              <w:rPr>
                <w:noProof/>
              </w:rPr>
              <w:t>Bolezni živali</w:t>
            </w:r>
          </w:p>
        </w:tc>
      </w:tr>
      <w:tr>
        <w:tc>
          <w:tcPr>
            <w:tcW w:w="3579" w:type="pct"/>
            <w:shd w:val="clear" w:color="auto" w:fill="auto"/>
          </w:tcPr>
          <w:p>
            <w:pPr>
              <w:spacing w:before="60" w:after="60"/>
              <w:jc w:val="left"/>
              <w:rPr>
                <w:noProof/>
                <w:szCs w:val="24"/>
              </w:rPr>
            </w:pPr>
            <w:r>
              <w:rPr>
                <w:noProof/>
              </w:rPr>
              <w:t>Direktiva Sveta 82/894/EGS z dne 21. decembra 1982 o prijavljanju živalskih bolezni v Skupnosti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Odločba Komisije 92/260/EGS z dne 10. aprila 1992 o pogojih v zvezi z zdravstvenim varstvom živali in izdajanjem veterinarskih spričeval za začasen sprejem registriranih konjev</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92/35/EGS z dne 29. aprila 1992 o pravilih za obvladovanje in ukrepih za zatiranje konjske kuge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92/119/EGS z dne 17. decembra 1992 o splošnih ukrepih Skupnosti za nadzor nad določenimi živalskimi boleznimi in o posebnih ukrepih v primeru vezikularne bolezni prašičev</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Odločba Komisije 93/197/EGS z dne 5. februarja 1993 o pogojih zdravstvenega varstva živali in izdajanju zdravstvenih spričeval pri uvozu registriranih kopitarjev ter kopitarjev za pleme in proizvodnjo</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Odločba Komisije 2000/428/ES z dne 4. julija 2000 o določitvi diagnostičnih postopkov, metod vzorčenja in meril vrednotenja rezultatov laboratorijskih testov za potrditev in diferencialno diagnostiko vezikularne bolezni prašičev</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2000/75/ES z dne 20. novembra 2000 o določitvi posebnih določb za boj zoper in izkoreninjenje bolezni modrikastega jezika</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2001/89/ES z dne 23. oktobra 2001 o ukrepih Skupnosti za nadzor nad klasično prašičjo kugo</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2002/60/ES z dne 27. junija 2002 o določitvi posebnih ukrepov za nadzor nad afriško prašičjo kugo in o spremembi Direktive 92/119/EGS v zvezi z nalezljivo ohromelostjo prašičev in afriško prašičjo kugo</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Odločba Komisije 2003/466/ES z dne 13. junija 2003 o merilih za določanje območij in ukrepov uradnega nadzora potem, ko se pojavi sum ali potrdi prisotnost infekciozne anemije lososa (ISA)</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Odločba Komisije 2003/634/ES z dne 28. avgusta 2003 o odobritvi programov za pridobitev statusa odobrenih območij in odobrenih ribogojnic, prostih virusne hemoragične septikemije (VHS) in infekciozne hematopoetske nekroze (IHN) rib, znotraj neodobrenih območij</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Odločba Komisije 2005/217/ES z dne 9. marca 2005 o uvedbi pogojev za zdravstveno varstvo živali in zahtev za izdajanje veterinarskih spričeval za uvoz govejih zarodkov v Skupnost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rFonts w:eastAsia="Calibri"/>
                <w:noProof/>
                <w:szCs w:val="24"/>
              </w:rPr>
            </w:pPr>
            <w:r>
              <w:rPr>
                <w:noProof/>
              </w:rPr>
              <w:t>Odločba Komisije 2008/855/ES z dne 3. novembra 2008 glede nadzornih ukrepov za zdravje živali v zvezi s klasično prašičjo kugo v nekaterih državah članicah</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Sklep Komisije 2009/3/ES z dne 18. decembra 2008 o pripravi zalog cepiva Skupnosti proti konjski kugi</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Uredba Komisije (ES) št. 789/2009 z dne 28. avgusta 2009 o spremembi Uredbe (ES) št. 1266/2007 glede zaščite pred napadi vektorjev in minimalnih zahtev za programe spremljanja in nadzora bolezni modrikastega jezika</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spacing w:before="60" w:after="60"/>
              <w:jc w:val="center"/>
              <w:rPr>
                <w:noProof/>
                <w:szCs w:val="24"/>
              </w:rPr>
            </w:pPr>
            <w:r>
              <w:rPr>
                <w:noProof/>
              </w:rPr>
              <w:t>Identifikacija in registracija živali</w:t>
            </w:r>
          </w:p>
        </w:tc>
      </w:tr>
      <w:tr>
        <w:tc>
          <w:tcPr>
            <w:tcW w:w="3579" w:type="pct"/>
            <w:shd w:val="clear" w:color="auto" w:fill="auto"/>
          </w:tcPr>
          <w:p>
            <w:pPr>
              <w:spacing w:before="60" w:after="60"/>
              <w:jc w:val="left"/>
              <w:rPr>
                <w:noProof/>
                <w:szCs w:val="24"/>
              </w:rPr>
            </w:pPr>
            <w:r>
              <w:rPr>
                <w:noProof/>
              </w:rPr>
              <w:t>Uredba Komisije (ES) št. 494/98 z dne 27. februarja 1998 o podrobnih pravilih za izvajanje Uredbe Sveta (ES) št. 820/97 glede uporabe minimalnih upravnih sankcij v okviru sistema identifikacije in registracije govedi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Uredba (ES) št. 1760/2000 Evropskega parlamenta in Sveta z dne 17. julija 2000 o uvedbi sistema za identifikacijo in registracijo govedi ter o označevanju govejega mesa in proizvodov iz govejega mesa in razveljavitvi Uredbe Sveta (ES) št. 820/97</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Odločba Komisije 2000/678/ES z dne 23. oktobra 2000 o določitvi podrobnih pravil za registracijo gospodarstev v nacionalnih podatkovnih zbirkah o prašičih, predvidenih z Direktivo Sveta 64/432/EGS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Komisije (ES) št. 1082/2003 z dne 23. junija 2003 o podrobnih pravilih za izvajanje Uredbe (ES) št. 1760/2000 Evropskega parlamenta in Sveta o najnižji ravni pregledov, ki jih je treba opraviti v okviru sistema za identifikacijo in registracijo govedi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Uredba Sveta (ES) št. 21/2004 z dne 17. decembra 2003 o uvedbi sistema za identifikacijo in registracijo ovc in koz ter o spremembi Uredbe (ES) št. 1782/2003 in direktiv 92/102/EGS in 64/432/EGS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Komisije (ES) št. 911/2004 z dne 29. aprila 2004 o izvajanju Uredbe (ES) št. 1760/2000 Evropskega parlamenta in Sveta v zvezi z ušesnimi znamkami, potnimi listi in registri živali na gospodarstvu</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Odločba Komisije 2006/28/ES z dne 18. januarja 2006 o razširitvi najdaljšega roka za označevanje določene govedi z ušesno znamko</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Uredba Komisije (ES) št. 1505/2006 z dne 11. oktobra 2006 o izvajanju Uredbe Sveta (ES) št. 21/2004 glede najnižje ravni pregledov, ki jih je treba opraviti v zvezi z identifikacijo in registracijo ovc in koz</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Odločba Komisije 2006/968/ES z dne 15. decembra 2006 o izvajanju Uredbe Sveta (ES) št. 21/2004 glede smernic in postopkov za identifikacijo in registracijo ovc in koz</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Direktiva Sveta 2008/71/ES z dne 15. julija 2008 o identifikaciji in registraciji prašičev</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Izvedbena uredba Komisije (EU) 2015/262 z dne 17. februarja 2015 o določitvi pravil v skladu z direktivama Sveta 90/427/EGS in 2009/156/ES v zvezi z metodami za identifikacijo enoprstih kopitarjev (uredba o potnih listih za enoprste kopitarje)</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pageBreakBefore/>
              <w:spacing w:before="60" w:after="60"/>
              <w:jc w:val="center"/>
              <w:rPr>
                <w:noProof/>
                <w:color w:val="C00000"/>
                <w:szCs w:val="24"/>
              </w:rPr>
            </w:pPr>
            <w:r>
              <w:rPr>
                <w:noProof/>
              </w:rPr>
              <w:t>Živalski stranski proizvodi</w:t>
            </w:r>
          </w:p>
        </w:tc>
      </w:tr>
      <w:tr>
        <w:tc>
          <w:tcPr>
            <w:tcW w:w="3579" w:type="pct"/>
            <w:shd w:val="clear" w:color="auto" w:fill="auto"/>
          </w:tcPr>
          <w:p>
            <w:pPr>
              <w:spacing w:before="60" w:after="60"/>
              <w:jc w:val="left"/>
              <w:rPr>
                <w:noProof/>
                <w:szCs w:val="24"/>
              </w:rPr>
            </w:pPr>
            <w:r>
              <w:rPr>
                <w:noProof/>
              </w:rPr>
              <w:t>Uredba (ES) št. 2160/2003 Evropskega parlamenta in Sveta z dne 17. novembra 2003 o nadzoru salmonele in drugih opredeljenih povzročiteljih zoonoz, ki se prenašajo z živili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Direktiva 2003/99/ES Evropskega parlamenta in Sveta z dne 17. novembra 2003 o spremljanju zoonoz in povzročiteljev zoonoz, ki spreminja Odločbo Sveta 90/424/EGS in razveljavlja Direktivo Sveta 92/117/EGS</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Uredba (ES) št. 1069/2009 Evropskega parlamenta in Sveta z dne 21. oktobra 2009 o določitvi zdravstvenih pravil za živalske stranske proizvode in pridobljene proizvode, ki niso namenjeni prehrani ljudi, ter razveljavitvi Uredbe (ES) št. 1774/2002 (Uredba o živalskih stranskih proizvodih)</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Komisije (EU) št. 142/2011 z dne 25. februarja 2011 o izvajanju Uredbe (ES) št. 1069/2009 Evropskega parlamenta in Sveta o določitvi zdravstvenih pravil za živalske stranske proizvode in pridobljene proizvode, ki niso namenjeni prehrani ljudi, ter o izvajanju Direktive Sveta 97/78/ES glede nekaterih vzorcev in predmetov, ki so izvzeti iz veterinarskih pregledov na meji v skladu z navedeno direktivo</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Komisije (EU) št. 749/2011 z dne 29. julija 2011 o spremembi Uredbe Komisije (EU) št. 142/2011 o izvajanju Uredbe (ES) št. 1069/2009 Evropskega parlamenta in Sveta o določitvi zdravstvenih pravil za živalske stranske proizvode in pridobljene proizvode, ki niso namenjeni prehrani ljudi, ter o izvajanju Direktive Sveta 97/78/ES glede nekaterih vzorcev in predmetov, ki so izvzeti iz veterinarskih pregledov na meji v skladu z navedeno direktivo</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pageBreakBefore/>
              <w:spacing w:before="60" w:after="60"/>
              <w:jc w:val="center"/>
              <w:rPr>
                <w:noProof/>
                <w:szCs w:val="24"/>
              </w:rPr>
            </w:pPr>
            <w:r>
              <w:rPr>
                <w:noProof/>
              </w:rPr>
              <w:t>Ukrepi, ki se uporabljajo za krmo in krmne dodatke</w:t>
            </w:r>
          </w:p>
        </w:tc>
      </w:tr>
      <w:tr>
        <w:tc>
          <w:tcPr>
            <w:tcW w:w="3579" w:type="pct"/>
            <w:shd w:val="clear" w:color="auto" w:fill="auto"/>
          </w:tcPr>
          <w:p>
            <w:pPr>
              <w:spacing w:before="60" w:after="60"/>
              <w:jc w:val="left"/>
              <w:rPr>
                <w:noProof/>
                <w:szCs w:val="24"/>
              </w:rPr>
            </w:pPr>
            <w:r>
              <w:rPr>
                <w:noProof/>
              </w:rPr>
              <w:t>Direktiva Sveta 90/167/EGS z dne 26. marca 1990 o pogojih za proizvodnjo, dajanje na trg in uporabo medicirane krme v Skupnosti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Direktiva 2001/82/ES Evropskega parlamenta in Sveta z dne 6. novembra 2001 o zakoniku Skupnosti o zdravilih za uporabo v veterinarski medicini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Evropskega parlamenta in Sveta (ES) št. 1831/2003 z dne 22. septembra 2003 o dodatkih za uporabo v prehrani živali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2004/28/ES Evropskega parlamenta in Sveta z dne 31. marca 2004 o spremembi Direktive 2001/82/ES o zakoniku Skupnosti o zdravilih za uporabo v veterinarski medicini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Priporočilo Komisije 2004/704/ES z dne 11. oktobra 2004 o spremljanju ravni prisotnosti dioksinov in dioksinom podobnih polikloriranih bifenilov v krmi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(ES) št. 183/2005 Evropskega parlamenta in Sveta z dne 12. januarja 2005 o zahtevah glede higiene krme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Komisije (ES) št. 378/2005 z dne 4. marca 2005 o podrobnih pravilih za izvajanje Uredbe Evropskega parlamenta in Sveta (ES) št. 1831/2003 o dolžnostih in nalogah referenčnega laboratorija Skupnosti, ki zadevajo vloge za izdajo dovoljenj za krmne dodatke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Komisije (ES) št. 1876/2006 z dne 18. decembra 2006 o začasnem in trajnem dovoljenju za nekatere dodatke v krmi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Komisije 2008/38/ES z dne 5. marca 2008 o uvedbi seznama predvidenih vrst uporabe krme za posebne prehranske namene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Uredba Komisije (ES) št. 429/2008 z dne 25. aprila 2008 o podrobnih pravilih za izvajanje Uredbe Evropskega parlamenta in Sveta (ES) št. 1831/2003 v zvezi s pripravo in predložitvijo vlog ter oceno krmnih dodatkov in izdajo dovoljenj zanje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(ES) št. 470/2009 Evropskega parlamenta in Sveta z dne 6. maja 2009 o določitvi postopkov Skupnosti za določitev mejnih vrednosti ostankov farmakološko aktivnih snovi v živilih živalskega izvora in razveljavitvi Uredbe Sveta (EGS) št. 2377/90 in spremembi Direktive 2001/82/ES Evropskega parlamenta in Sveta ter Uredbe (ES) št. 726/2004 Evropskega parlamenta in Sveta</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(ES) št. 767/2009 Evropskega parlamenta in Sveta z dne 13. julija 2009 o dajanju krme v promet in njeni uporabi, spremembi Uredbe (ES) št. 1831/2003 Evropskega parlamenta in Sveta in razveljavitvi Direktive Sveta 79/373/EGS, Direktive Komisije 80/511/EGS, direktiv Sveta 82/471/EGS, 83/228/EGS, 93/74/EGS, 93/113/ES in 96/25/ES ter Odločbe Komisije 2004/217/ES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Komisije (EU) št. 1270/2009 z dne 21. decembra 2009 o trajnih dovoljenjih za nekatere dodatke v krmi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Komisije (EU) št. 37/2010 z dne 22. decembra 2009 o farmakološko aktivnih snoveh in njihovi razvrstitvi glede mejnih vrednosti ostankov v živilih živalskega izvora</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Komisije (EU) št. 892/2010 z dne 8. oktobra 2010 o statusu nekaterih proizvodov glede krmnih dodatkov, ki spadajo na področje uporabe Uredbe (ES) št. 1831/2003 Evropskega parlamenta in Sveta</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Priporočilo Komisije 2011/25/EU z dne 14. januarja 2011 o določitvi smernic za ločevanje med posamičnimi krmili, krmnimi dodatki, biocidnimi pripravki in zdravili za uporabo v veterinarski medicini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Komisije (EU) št. 68/2013 z dne 16. januarja 2013 o katalogu posamičnih krmil</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spacing w:before="60" w:after="60"/>
              <w:jc w:val="center"/>
              <w:rPr>
                <w:noProof/>
                <w:szCs w:val="24"/>
              </w:rPr>
            </w:pPr>
            <w:r>
              <w:rPr>
                <w:noProof/>
              </w:rPr>
              <w:t>Dobro počutje živali</w:t>
            </w:r>
          </w:p>
        </w:tc>
      </w:tr>
      <w:tr>
        <w:tc>
          <w:tcPr>
            <w:tcW w:w="3579" w:type="pct"/>
            <w:shd w:val="clear" w:color="auto" w:fill="auto"/>
          </w:tcPr>
          <w:p>
            <w:pPr>
              <w:spacing w:before="60" w:after="60"/>
              <w:jc w:val="left"/>
              <w:rPr>
                <w:noProof/>
                <w:szCs w:val="24"/>
              </w:rPr>
            </w:pPr>
            <w:r>
              <w:rPr>
                <w:noProof/>
              </w:rPr>
              <w:t>Direktiva Sveta 1999/74/ES z dne 19. julija 1999 o minimalnih standardih za zaščito kokoši nesnic</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Komisije 2002/4/ES z dne 30. januarja 2002 o registraciji gospodarstev, ki gojijo kokoši nesnice, v skladu z Direktivo Sveta 1999/74/ES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Sveta (ES) št. 1/2005 z dne 22. decembra 2004 o zaščiti živali med prevozom in postopki, povezanimi z njim, in o spremembi Direktiv 64/432/EGS in 93/119/ES ter Uredbe (ES) 1255/97</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Odločba Komisije 2006/778/ES z dne 14. novembra 2006 o minimalnih zahtevah za zbiranje podatkov med inšpekcijskimi pregledi proizvodnih enot, kjer se gojijo nekatere rejne živali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2007/43/ES z dne 28. junija 2007 o določitvi minimalnih pravil za zaščito piščancev, ki se gojijo za proizvodnjo mesa</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2008/119/ES z dne 18. decembra 2008 o določitvi minimalnih pogojev za zaščito telet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2008/120/ES z dne 18. decembra 2008 o določitvi minimalnih pogojev za zaščito prašičev</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Uredba Sveta (ES) št. 1099/2009 z dne 24. septembra 2009 o zaščiti živali pri usmrtitvi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Izvedbeni sklep Komisije 2013/188/EU z dne 18. aprila 2013 o letnih poročilih o nediskriminatornih pregledih, opravljenih v skladu z Uredbo Sveta (ES) št. 1/2005 o zaščiti živali med prevozom in postopki, povezanimi z njim, in o spremembi direktiv 64/432/EGS in 93/119/ES ter Uredbe (ES) 1255/97</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spacing w:before="60" w:after="60"/>
              <w:jc w:val="center"/>
              <w:rPr>
                <w:noProof/>
                <w:szCs w:val="24"/>
              </w:rPr>
            </w:pPr>
            <w:r>
              <w:rPr>
                <w:noProof/>
              </w:rPr>
              <w:t>Poglavje III – Fitosanitarni ukrepi</w:t>
            </w:r>
          </w:p>
        </w:tc>
      </w:tr>
      <w:tr>
        <w:tc>
          <w:tcPr>
            <w:tcW w:w="3579" w:type="pct"/>
            <w:shd w:val="clear" w:color="auto" w:fill="auto"/>
          </w:tcPr>
          <w:p>
            <w:pPr>
              <w:spacing w:before="60" w:after="60"/>
              <w:jc w:val="left"/>
              <w:rPr>
                <w:noProof/>
                <w:szCs w:val="24"/>
              </w:rPr>
            </w:pPr>
            <w:r>
              <w:rPr>
                <w:noProof/>
              </w:rPr>
              <w:t>Direktiva Sveta 66/401/EGS z dne 14. junija 1966 o trženju semen krmnih rastlin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66/402/EGS z dne 14. junija 1966 o trženju semena žit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69/464/EGS z dne 8. decembra 1969 o obvladovanju krompirjevega raka</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 xml:space="preserve">Direktiva Komisije 92/90/EGS z dne 3. novembra 1992 o obveznostih pridelovalcev in uvoznikov rastlin, rastlinskih proizvodov ali drugih predmetov in podrobnostih za njihovo registracijo </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Direktiva Komisije 92/105/EGS z dne 3. decembra 1992 o določanju stopnje standardizacije za rastlinske potne liste, ki se uporabljajo za premeščanje nekaterih rastlin, rastlinskih proizvodov ali drugih predmetov znotraj Skupnosti, in določanju podrobnih postopkov za izdajo takih rastlinskih potnih listov ter pogojev in podrobnih postopkov za njihovo zamenjavo</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Direktiva Komisije 93/51/EGS z dne 24. junija 1993 o predpisih za premeščanje nekaterih rastlin, rastlinskih proizvodov ali drugih predmetov prek varovanega območja in za premeščanje rastlin, rastlinskih proizvodov ali drugih predmetov, ki izvirajo s takega varovanega območja in se premeščajo znotraj njega</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Direktiva Sveta 93/85/EGS z dne 4. oktobra 1993 o obvladovanju krompirjeve obročkaste gnilobe</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Direktiva Komisije 94/3/ES z dne 21. januarja 1994 o postopku za obveščanje o zadržanju pošiljke ali škodljivega organizma, ki predstavlja neposredno fitosanitarno nevarnost, iz tretjih držav</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Uredba Sveta (ES) št. 2100/94 z dne 27. julija 1994 o žlahtniteljskih pravicah v Skupnosti</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Uredba Komisije (ES) št. 1238/95 z dne 31. maja 1995 o izvedbenih pravilih za uporabo Uredbe Sveta (ES) št. 2100/94 glede pristojbin, ki se plačujejo Uradu Skupnosti za rastlinske sorte</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Uredba Komisije (ES) št. 1768/95 z dne 24. julija 1995 o izvajanju pravil o kmetijski izjemi, predvideni v členu 14(3) Uredbe Sveta (ES) št. 2100/94 o žlahtniteljskih pravicah v Skupnosti</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Uredba Sveta (ES) št. 2506/95 z dne 25. oktobra 1995 o spremembi Uredbe (ES) št. 2100/94 o žlahtniteljskih pravicah v Skupnosti</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Uredba Sveta (ES) št. 2470/96 z dne 17. decembra 1996 o določitvi podaljšanja roka veljavnosti žlahtniteljske pravice v Skupnosti v zvezi s krompirjem</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 xml:space="preserve">Direktiva Komisije 97/46/ES z dne 25. julija 1997 o spremembi Direktive 95/44/ES o določitvi pogojev, pod katerimi je mogoče nekatere škodljive organizme, rastline, rastlinske proizvode in druge predmete iz Prilog I do V Direktive Sveta 77/93/EGS vnesti ali jih premeščati znotraj Skupnosti oziroma na nekaterih njenih varovanih območjih v preskusne ali znanstvene namene in za delo pri žlahtnjenju </w:t>
            </w:r>
          </w:p>
        </w:tc>
        <w:tc>
          <w:tcPr>
            <w:tcW w:w="1421" w:type="pct"/>
            <w:shd w:val="clear" w:color="auto" w:fill="auto"/>
          </w:tcPr>
          <w:p>
            <w:pPr>
              <w:spacing w:before="60" w:after="60"/>
              <w:jc w:val="center"/>
              <w:rPr>
                <w:noProof/>
                <w:szCs w:val="24"/>
              </w:rPr>
            </w:pPr>
            <w:r>
              <w:rPr>
                <w:noProof/>
              </w:rPr>
              <w:t>2021</w:t>
            </w:r>
          </w:p>
        </w:tc>
      </w:tr>
      <w:tr>
        <w:tc>
          <w:tcPr>
            <w:tcW w:w="3579" w:type="pct"/>
            <w:shd w:val="clear" w:color="auto" w:fill="auto"/>
          </w:tcPr>
          <w:p>
            <w:pPr>
              <w:spacing w:before="60" w:after="60"/>
              <w:jc w:val="left"/>
              <w:rPr>
                <w:noProof/>
                <w:szCs w:val="24"/>
              </w:rPr>
            </w:pPr>
            <w:r>
              <w:rPr>
                <w:noProof/>
              </w:rPr>
              <w:t>Direktiva Komisije 98/22/ES z dne 15. aprila 1998 o minimalnih pogojih za opravljanje zdravstvenih pregledov rastlin v Skupnosti, in sicer tistih rastlin, rastlinskih proizvodov in drugih predmetov, ki prihajajo iz tretjih držav in za katere se zdravstveni pregledi opravljajo na mestih inšpekcijskih pregledov, ki niso v kraju destinacije</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pageBreakBefore/>
              <w:spacing w:before="60" w:after="60"/>
              <w:jc w:val="left"/>
              <w:rPr>
                <w:noProof/>
                <w:szCs w:val="24"/>
              </w:rPr>
            </w:pPr>
            <w:r>
              <w:rPr>
                <w:noProof/>
              </w:rPr>
              <w:t>Direktiva Sveta 98/56/ES z dne 20. julija 1998 o trženju razmnoževalnega materiala okrasnih rastlin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98/57/ES z dne 20. julija 1998 o obvladovanju bakterije Ralstonia solanacearum (Smith) Yabuuchi et al.</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Uredba Komisije (ES) št. 2605/98 z dne 3. decembra 1998 o spremembi Uredbe (ES) št. 1768/95 o izvajanju pravil o kmetijski izjemi, predvideni v členu 14(3) Uredbe Sveta (ES) št. 2100/94 o žlahtniteljskih pravicah v Skupnosti</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Direktiva Sveta 2000/29/ES z dne 8. maja 2000 o varstvenih ukrepih proti vnosu organizmov, škodljivih za rastline ali rastlinske proizvode, v Skupnost in proti njihovemu širjenju v Skupnosti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Direktiva Sveta 2002/54/ES z dne 13. junija 2002 o trženju semena pese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2002/55/ES z dne 13. junija 2002 o trženju semena zelenjadnic</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2002/56/ES z dne 13. junija 2002 o trženju semenskega krompirja</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2002/57/ES z dne 13. junija 2002 o trženju semena oljnic in predivnic</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Odločba Sveta 2003/17/ES z dne 16. decembra 2002 o enakovrednosti poljskih pregledov semenskih posevkov v tretjih državah in o enakovrednosti semena, pridelanega v tretjih državah</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Uredba (ES) št. 1830/2003 Evropskega parlamenta in Sveta z dne 22. septembra 2003 o sledljivosti in označevanju gensko spremenjenih organizmov ter sledljivosti živil in krme, proizvedenih iz gensko spremenjenih organizmov, ter o spremembi Direktive 2001/18/ES</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Uredba (ES) št. 2003/2003 Evropskega parlamenta in Sveta z dne 13. oktobra 2003 o gnojilih</w:t>
            </w:r>
          </w:p>
        </w:tc>
        <w:tc>
          <w:tcPr>
            <w:tcW w:w="1421" w:type="pct"/>
            <w:shd w:val="clear" w:color="auto" w:fill="auto"/>
          </w:tcPr>
          <w:p>
            <w:pPr>
              <w:spacing w:before="60" w:after="60"/>
              <w:jc w:val="center"/>
              <w:rPr>
                <w:noProof/>
                <w:szCs w:val="24"/>
              </w:rPr>
            </w:pPr>
            <w:r>
              <w:rPr>
                <w:noProof/>
              </w:rPr>
              <w:t>2021</w:t>
            </w:r>
          </w:p>
        </w:tc>
      </w:tr>
      <w:tr>
        <w:tc>
          <w:tcPr>
            <w:tcW w:w="3579" w:type="pct"/>
            <w:shd w:val="clear" w:color="auto" w:fill="auto"/>
          </w:tcPr>
          <w:p>
            <w:pPr>
              <w:spacing w:before="60" w:after="60"/>
              <w:jc w:val="left"/>
              <w:rPr>
                <w:noProof/>
                <w:szCs w:val="24"/>
              </w:rPr>
            </w:pPr>
            <w:r>
              <w:rPr>
                <w:noProof/>
              </w:rPr>
              <w:t>Uredba (ES) št. 882/2004 Evropskega parlamenta in Sveta z dne 29. aprila 2004 o izvajanju uradnega nadzora, da se zagotovi preverjanje skladnosti z zakonodajo o krmi in živilih ter s pravili o zdravstvenem varstvu živali in zaščiti živali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Komisije 2004/102/ES z dne 5. oktobra 2004 o spremembi prilog II, III, IV in V k Direktivi Sveta 2000/29/ES o varstvenih ukrepih proti vnosu organizmov, škodljivih za rastline ali rastlinske proizvode, v Skupnost in proti njihovemu širjenju v Skupnosti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Direktiva Komisije 2004/103/ES z dne 7. oktobra 2004 o preverjanjih identitete in zdravstvenih pregledih rastlin, rastlinskih proizvodov in drugih predmetov, naštetih v delu B Priloge V k Direktivi Sveta 2000/29/ES, ki se lahko opravljajo na mestu, ki ni vstopno mesto v Skupnost, ali na mestu, ki je blizu, in podrobni določitvi pogojev, povezanih s temi pregledi</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Uredba Komisije (ES) št. 1756/2004 z dne 11. oktobra 2004 o določitvi podrobnih pogojev za zahtevane dokaze in merila za vrsto in stopnjo zmanjšanja pogostnosti zdravstvenih pregledov nekaterih rastlin, rastlinskih proizvodov ali drugih predmetov, navedenih v delu B Priloge V k Direktivi Sveta 2000/29/ES</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Direktiva Komisije 2004/105/ES z dne 15. oktobra 2004 o določitvi modelov uradnih fitosanitarnih spričeval oziroma spremnih fitosanitarnih spričeval za nadaljnji izvoz rastlin ter rastlinskih in drugih povezanih produktov iz tretjih držav, ki so navedeni v Direktivi Sveta 2000/29/ES</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pageBreakBefore/>
              <w:spacing w:before="60" w:after="60"/>
              <w:jc w:val="left"/>
              <w:rPr>
                <w:noProof/>
                <w:szCs w:val="24"/>
              </w:rPr>
            </w:pPr>
            <w:r>
              <w:rPr>
                <w:noProof/>
              </w:rPr>
              <w:t>Uredba Evropskega parlamenta in Sveta (ES) št. 396/2005 z dne 23. februarja 2005 o mejnih vrednostih ostankov pesticidov v ali na hrani in krmi rastlinskega in živalskega izvora ter o spremembi Direktive Sveta 91/414/EGS</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Uredba Komisije (ES) št. 217/2006 z dne 8. februarja 2006 o pravilih za uporabo direktiv Sveta 66/401/EGS, 66/402/EGS, 2002/54/ES, 2002/55/ES in 2002/57/ES glede dovoljenja držav članic za začasno trženje semena, ki ne izpolnjuje zahtev o najmanjši kaljivosti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2007/33/ES z dne 11. junija 2007 o obvladovanju krompirjevih ogorčic in razveljavitvi Direktive 69/465/EGS</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Odločba Komisije 2008/495/ES z dne 7. maja 2008 o začasni prepovedi uporabe in prodaje gensko spremenjene koruze (Zea mays L. linija MON810) v Avstriji v skladu z Direktivo 2001/18/ES Evropskega parlamenta in Sveta</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Komisije 2008/61/ES z dne 17. junija 2008 o določitvi pogojev, pod katerimi je mogoče nekatere škodljive organizme, rastline, rastlinske proizvode in druge predmete, iz Prilog I do V Direktive Sveta 2000/29/ES, vnesti ali jih premeščati znotraj Skupnosti oziroma na nekaterih njenih varovanih območjih v preskusne ali znanstvene namene in za delo pri žlahtnjenju</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Direktiva Sveta 2008/72/ES z dne 15. julija 2008 o trženju razmnoževalnega in sadilnega materiala zelenjadnic, razen semena</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Sveta 2008/90/ES z dne 29. septembra 2008 o trženju razmnoževalnega materiala sadnih rastlin in sadnih rastlin, namenjenih za pridelavo sadja</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Odločba Komisije 2009/244/ES z dne 16. marca 2009 o dajanju v promet nageljnov (Dianthus caryophyllus L., linija 123.8.12), gensko spremenjenih glede barve cvetov, v skladu z Direktivo 2001/18/ES Evropskega parlamenta in Sveta</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2009/41/ES Evropskega parlamenta in Sveta z dne 6. maja 2009 o uporabi gensko spremenjenih mikroorganizmov v zaprtih sistemih</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Uredba Komisije (ES) št. 874/2009 z dne 17. septembra 2009 o določitvi izvedbenih pravil za izvajanje Uredbe Sveta (ES) št. 2100/94 v zvezi s postopkom, ki poteka na Uradu Skupnosti za rastlinske sorte</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Odločba Komisije 2009/770/ES z dne 13. oktobra 2009 o določitvi standardnih obrazcev za poročanje o rezultatih spremljanja namernega sproščanja gensko spremenjenih organizmov v okolje, kot proizvodov ali v proizvodih, namenjenih dajanju v promet, v skladu z Direktivo 2001/18/ES Evropskega parlamenta in Sveta</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Direktiva 2009/128/ES Evropskega parlamenta in Sveta z dne 21. oktobra 2009 o določitvi okvira za ukrepe Skupnosti za doseganje trajnostne rabe pesticidov</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(ES) št. 1107/2009 Evropskega parlamenta in Sveta z dne 21. oktobra 2009 o dajanju fitofarmacevtskih sredstev v promet in razveljavitvi direktiv Sveta 79/117/EGS in 91/414/EGS</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Sklep Komisije 2010/135/EU z dne 2. marca 2010 o dajanju krompirjevih proizvodov (Solanum tuberosum L. linije EH92-527-1) na trg, ki so bili gensko spremenjeni za povečanje vsebnosti amilopektinske komponente v škrobu, v skladu z Direktivo 2001/18/ES Evropskega parlamenta in Sveta</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Priporočilo Komisije 2010/C 200/01 z dne 13. julija 2010 o smernicah za razvoj nacionalnih ukrepov soobstoja za preprečevanje nenamerne prisotnosti GSO v konvencionalnih in ekoloških pridelkih</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Uredba Komisije (EU) št. 188/2011 z dne 25. februarja 2011 o podrobnih pravilih za izvajanje Direktive Sveta 91/414/EGS glede postopka za oceno aktivnih snovi, ki niso bile v prometu dve leti po dnevu notifikacije navedene direktive</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Izvedbena uredba Komisije (EU) št. 540/2011 z dne 25. maja 2011 o izvajanju Uredbe (ES) št. 1107/2009 Evropskega parlamenta in Sveta glede seznama registriranih aktivnih snovi</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Izvedbena uredba Komisije (EU) št. 541/2011 z dne 1. junija 2011 o spremembi Izvedbene uredbe (EU) št. 540/2011 o izvajanju Uredbe (ES) št. 1107/2009 Evropskega parlamenta in Sveta glede seznama registriranih aktivnih snovi</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Uredba Komisije (EU) št. 547/2011 z dne 8. junija 2011 o izvajanju Uredbe (ES) št. 1107/2009 Evropskega parlamenta in Sveta v zvezi z zahtevami glede označevanja fitofarmacevtskih sredstev</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Uredba Komisije (EU) št. 544/2011 z dne 10. junija 2011 o izvajanju Uredbe (ES) št. 1107/2009 Evropskega parlamenta in Sveta glede zahtevanih podatkov o aktivnih snoveh</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Uredba Komisije (EU) št. 545/2011 z dne 10. junija 2011 o izvajanju Uredbe (ES) št. 1107/2009 Evropskega parlamenta in Sveta glede zahtevanih podatkov o fitofarmacevtskih sredstvih</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Izvedbena uredba Komisije (EU) št. 702/2011 z dne 20. julija 2011 o odobritvi aktivne snovi proheksadion v skladu z Uredbo (ES) št. 1107/2009 Evropskega parlamenta in Sveta o dajanju fitofarmacevtskih sredstev v promet in spremembi Priloge k Izvedbeni uredbi Komisije (EU) št.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Izvedbena uredba Komisije (EU) št. 703/2011 z dne 20. julija 2011 o odobritvi aktivne snovi azoksistrobin v skladu z Uredbo (ES) št. 1107/2009 Evropskega parlamenta in Sveta o dajanju fitofarmacevtskih sredstev v promet in spremembi Priloge k Izvedbeni uredbi Komisije (EU) št.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Izvedbena uredba Komisije (EU) št. 704/2011 z dne 20. julija 2011 o odobritvi aktivne snovi azimsulfuron v skladu z Uredbo (ES) št. 1107/2009 Evropskega parlamenta in Sveta o dajanju fitofarmacevtskih sredstev v promet in spremembi Priloge k Izvedbeni uredbi Komisije (EU) št.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Izvedbena uredba Komisije (EU) št. 705/2011 z dne 20. julija 2011 o odobritvi aktivne snovi imazalil v skladu z Uredbo (ES) št. 1107/2009 Evropskega parlamenta in Sveta o dajanju fitofarmacevtskih sredstev v promet in spremembi Priloge k Izvedbeni uredbi Komisije (EU) št.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Izvedbena uredba Komisije (EU) št. 706/2011 z dne 20. julija 2011 o odobritvi aktivne snovi profoksidim v skladu z Uredbo (ES) št. 1107/2009 Evropskega parlamenta in Sveta o dajanju fitofarmacevtskih sredstev v promet in spremembi Priloge k Izvedbeni uredbi Komisije (EU) št.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Izvedbena uredba Komisije (EU) št. 736/2011 z dne 26. julija 2011 o odobritvi aktivne snovi fluroksipir v skladu z Uredbo (ES) št. 1107/2009 Evropskega parlamenta in Sveta o dajanju fitofarmacevtskih sredstev v promet in spremembi Priloge k Izvedbeni uredbi Komisije (EU) št.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Izvedbena uredba Komisije (EU) št. 740/2011 z dne 27. julija 2011 o odobritvi aktivne snovi bispiribak v skladu z Uredbo (ES) št. 1107/2009 Evropskega parlamenta in Sveta o dajanju fitofarmacevtskih sredstev v promet in spremembi Priloge k Izvedbeni uredbi Komisije (EU) št. 540/2011</w:t>
            </w:r>
          </w:p>
        </w:tc>
        <w:tc>
          <w:tcPr>
            <w:tcW w:w="1421" w:type="pct"/>
            <w:shd w:val="clear" w:color="auto" w:fill="auto"/>
          </w:tcPr>
          <w:p>
            <w:pPr>
              <w:spacing w:before="60" w:after="60"/>
              <w:jc w:val="center"/>
              <w:rPr>
                <w:noProof/>
                <w:color w:val="C00000"/>
                <w:szCs w:val="24"/>
              </w:rPr>
            </w:pPr>
            <w:r>
              <w:rPr>
                <w:noProof/>
              </w:rPr>
              <w:t>2020</w:t>
            </w:r>
          </w:p>
        </w:tc>
      </w:tr>
      <w:tr>
        <w:tc>
          <w:tcPr>
            <w:tcW w:w="3579" w:type="pct"/>
            <w:shd w:val="clear" w:color="auto" w:fill="auto"/>
          </w:tcPr>
          <w:p>
            <w:pPr>
              <w:pageBreakBefore/>
              <w:spacing w:before="60" w:after="60"/>
              <w:jc w:val="left"/>
              <w:rPr>
                <w:noProof/>
                <w:szCs w:val="24"/>
              </w:rPr>
            </w:pPr>
            <w:r>
              <w:rPr>
                <w:noProof/>
              </w:rPr>
              <w:t>Izvedbena uredba Komisije (EU) št. 786/2011 z dne 5. avgusta 2011 o odobritvi aktivne snovi 1-naftilacetamid v skladu z Uredbo (ES) št. 1107/2009 Evropskega parlamenta in Sveta o dajanju fitofarmacevtskih sredstev v promet ter spremembi Priloge k Izvedbeni uredbi Komisije (EU) št. 540/2011 in Priloge k Odločbi Komisije 2008/941/ES</w:t>
            </w:r>
          </w:p>
        </w:tc>
        <w:tc>
          <w:tcPr>
            <w:tcW w:w="1421" w:type="pct"/>
            <w:shd w:val="clear" w:color="auto" w:fill="auto"/>
          </w:tcPr>
          <w:p>
            <w:pPr>
              <w:spacing w:before="60" w:after="60"/>
              <w:jc w:val="center"/>
              <w:rPr>
                <w:noProof/>
                <w:color w:val="C00000"/>
                <w:szCs w:val="24"/>
              </w:rPr>
            </w:pPr>
            <w:r>
              <w:rPr>
                <w:noProof/>
              </w:rPr>
              <w:t>2020</w:t>
            </w:r>
          </w:p>
        </w:tc>
      </w:tr>
      <w:tr>
        <w:tc>
          <w:tcPr>
            <w:tcW w:w="3579" w:type="pct"/>
            <w:shd w:val="clear" w:color="auto" w:fill="auto"/>
          </w:tcPr>
          <w:p>
            <w:pPr>
              <w:spacing w:before="60" w:after="60"/>
              <w:jc w:val="left"/>
              <w:rPr>
                <w:noProof/>
                <w:szCs w:val="24"/>
              </w:rPr>
            </w:pPr>
            <w:r>
              <w:rPr>
                <w:noProof/>
              </w:rPr>
              <w:t>Izvedbena uredba Komisije (EU) št. 787/2011 z dne 5. avgusta 2011 o odobritvi aktivne snovi 1-naftilocetna kislina v skladu z Uredbo (ES) št. 1107/2009 Evropskega parlamenta in Sveta o dajanju fitofarmacevtskih sredstev v promet ter spremembi Priloge k Izvedbeni uredbi Komisije (EU) št. 540/2011 in Priloge k Odločbi Komisije 2008/941/ES</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Izvedbena uredba Komisije (EU) št. 788/2011 z dne 5. avgusta 2011 o odobritvi aktivne snovi fluazifop-P v skladu z Uredbo (ES) št. 1107/2009 Evropskega parlamenta in Sveta o dajanju fitofarmacevtskih sredstev v promet ter spremembi Priloge k Izvedbeni uredbi Komisije (EU) št. 540/2011 in Priloge k Odločbi Komisije 2008/934/ES</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Izvedbena uredba Komisije (EU) št. 797/2011 z dne 9. avgusta 2011 o odobritvi aktivne snovi spiroksamin v skladu z Uredbo (ES) št. 1107/2009 Evropskega parlamenta in Sveta o dajanju fitofarmacevtskih sredstev v promet in spremembi Priloge k Izvedbeni uredbi Komisije (EU) št.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Izvedbena uredba Komisije (EU) št. 798/2011 z dne 9. avgusta 2011 o odobritvi aktivne snovi oksifluorfen v skladu z Uredbo (ES) št. 1107/2009 Evropskega parlamenta in Sveta o dajanju fitofarmacevtskih sredstev v promet ter spremembi Priloge k Izvedbeni uredbi Komisije (EU) št. 540/2011 in Priloge k Odločbi Komisije 2008/934/ES</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Izvedbena uredba Komisije (EU) št. 800/2011 z dne 9. avgusta 2011 o odobritvi aktivne snovi teflutrin v skladu z Uredbo (ES) št. 1107/2009 Evropskega parlamenta in Sveta o dajanju fitofarmacevtskih sredstev v promet ter spremembi Priloge k Izvedbeni uredbi Komisije (EU) št. 540/2011 in spremembi Odločbe Komisije 2008/934/ES</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Izvedbena uredba Komisije (EU) št. 807/2011 z dne 10. avgusta 2011 o odobritvi aktivne snovi triazoksid v skladu z Uredbo (ES) št. 1107/2009 Evropskega parlamenta in Sveta o dajanju fitofarmacevtskih sredstev v promet in spremembi Priloge k Izvedbeni uredbi Komisije (EU) št.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Izvedbena uredba Komisije (EU) št. 810/2011 z dne 11. avgusta 2011 o odobritvi aktivne snovi kresoksim-metil v skladu z Uredbo (ES) št. 1107/2009 Evropskega parlamenta in Sveta o dajanju fitofarmacevtskih sredstev v promet in spremembi Priloge k Izvedbeni uredbi Komisije (EU) št.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Izvedbena uredba Komisije (EU) št. 974/2011 z dne 29. septembra 2011 o odobritvi aktivne snovi akrinatrin v skladu z Uredbo (ES) št. 1107/2009 Evropskega parlamenta in Sveta o dajanju fitofarmacevtskih sredstev v promet ter spremembi Priloge k Izvedbeni uredbi Komisije (EU) št. 540/2011 in Priloge k Odločbi Komisije 2008/934/ES</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Izvedbena uredba Komisije (EU) št. 993/2011 z dne 6. oktobra 2011 o odobritvi aktivne snovi 8-hidroksikinolin v skladu z Uredbo (ES) št. 1107/2009 Evropskega parlamenta in Sveta o dajanju fitofarmacevtskih sredstev v promet in spremembi Priloge k Izvedbeni uredbi Komisije (EU) št.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Izvedbena uredba Komisije (EU) št. 1143/2011 z dne 10. novembra 2011 o odobritvi aktivne snovi prokloraz v skladu z Uredbo (ES) št. 1107/2009 Evropskega parlamenta in Sveta o dajanju fitofarmacevtskih sredstev v promet ter spremembi Priloge k Izvedbeni uredbi Komisije (EU) št. 540/2011 in Priloge k Odločbi Komisije 2008/934/ES</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Izvedbeni sklep Komisije 2011/787/EU z dne 29. novembra 2011 o začasnem dovoljenju državam članicam, da sprejmejo nujne ukrepe proti razširjanju bakterije Ralstonia solanacearum (Smith) Yabuuchi et al. v zvezi z Egiptom</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Izvedbeni sklep Komisije 2012/138/EU z dne 1. marca 2012 o nujnih ukrepih za preprečevanje vnosa vrste Anoplophora chinensis (Forster) v Unijo in njenega širjenja v Uniji</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Izvedbena uredba Komisije (EU) št. 359/2012 z dne 25. aprila 2012 o odobritvi aktivne snovi metam v skladu z Uredbo (ES) št. 1107/2009 Evropskega parlamenta in Sveta o dajanju fitofarmacevtskih sredstev v promet in spremembi Priloge k Izvedbeni uredbi Komisije (EU) št.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Izvedbeni sklep Komisije 2012/340/EU z dne 25. junija 2012 o pripravi začasnega poskusa na podlagi direktiv Sveta 66/401/EGS, 66/402/EGS, 2002/54/ES, 2002/55/ES in 2002/57/ES v zvezi s poljskim pregledom pod uradnim nadzorom za osnovno seme in žlahtniteljevo seme generacij pred osnovnim semenom</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Izvedbena uredba Komisije (EU) št. 582/2012 z dne 2. julija 2012 o odobritvi aktivne snovi bifentrin v skladu z Uredbo (ES) št. 1107/2009 Evropskega parlamenta in Sveta o dajanju fitofarmacevtskih sredstev v promet in spremembi Priloge k Izvedbeni uredbi Komisije (EU) št. 540/2011</w:t>
            </w:r>
          </w:p>
        </w:tc>
        <w:tc>
          <w:tcPr>
            <w:tcW w:w="1421" w:type="pct"/>
            <w:shd w:val="clear" w:color="auto" w:fill="auto"/>
          </w:tcPr>
          <w:p>
            <w:pPr>
              <w:spacing w:before="60" w:after="60"/>
              <w:jc w:val="center"/>
              <w:rPr>
                <w:noProof/>
                <w:color w:val="C00000"/>
                <w:szCs w:val="24"/>
              </w:rPr>
            </w:pPr>
            <w:r>
              <w:rPr>
                <w:noProof/>
              </w:rPr>
              <w:t>2020</w:t>
            </w:r>
          </w:p>
        </w:tc>
      </w:tr>
      <w:tr>
        <w:tc>
          <w:tcPr>
            <w:tcW w:w="3579" w:type="pct"/>
            <w:shd w:val="clear" w:color="auto" w:fill="auto"/>
          </w:tcPr>
          <w:p>
            <w:pPr>
              <w:pageBreakBefore/>
              <w:spacing w:before="60" w:after="60"/>
              <w:jc w:val="left"/>
              <w:rPr>
                <w:noProof/>
                <w:szCs w:val="24"/>
              </w:rPr>
            </w:pPr>
            <w:r>
              <w:rPr>
                <w:noProof/>
              </w:rPr>
              <w:t>Izvedbena uredba Komisije (EU) št. 589/2012 z dne 4. julija 2012 o odobritvi aktivne snovi fluksapiroksad v skladu z Uredbo (ES) št. 1107/2009 Evropskega parlamenta in Sveta o dajanju fitofarmacevtskih sredstev v promet in spremembi Priloge k Izvedbeni uredbi Komisije (EU) št.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 xml:space="preserve">Izvedbena uredba Komisije (EU) št. 595/2012 z dne 5. julija 2012 o odobritvi aktivne snovi fenpirazamin v skladu z Uredbo (ES) št. 1107/2009 Evropskega parlamenta in Sveta o dajanju fitofarmacevtskih sredstev v promet in spremembi Priloge k Izvedbeni uredbi Komisije (EU) št. 540/2011 </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Izvedbena uredba Komisije (EU) št. 746/2012 z dne 16. avgusta 2012 o odobritvi aktivne snovi Adoxophyes orana granulovirus v skladu z Uredbo (ES) št. 1107/2009 Evropskega parlamenta in Sveta o dajanju fitofarmacevtskih sredstev v promet in spremembi Priloge k Izvedbeni uredbi Komisije (EU) št.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Izvedbeni sklep Komisije 2012/535/EU z dne 26. septembra 2012 o nujnih ukrepih za preprečevanje širjenja v Uniji borove ogorčice Bursaphelenchus xylophilus (Steiner et Buhrer) Nickle et al.</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Izvedbena uredba Komisije (EU) št. 485/2013 z dne 24. maja 2013 o spremembi Izvedbene uredbe (EU) št. 540/2011 glede pogojev za registracijo aktivnih snovi klotianidin, tiametoksam in imidakloprid ter prepovedi uporabe in prodaje semen, tretiranih s fitofarmacevtskimi sredstvi, ki vsebujejo navedene aktivne snovi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Izvedbena direktiva Komisije 2014/20/EU z dne 6. februarja 2014 o določitvi stopenj Unije za osnovni in certificirani semenski krompir ter pogojev in oznak, ki se uporabljajo za te stopnje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Izvedbena direktiva Komisije 2014/21/EU z dne 6. februarja 2014 o določitvi minimalnih pogojev in stopenj Unije za predosnovni semenski krompir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Izvedbena uredba Komisije (EU) št. 632/2014 z dne 13. maja 2014 o odobritvi aktivne snovi flubendiamid v skladu z Uredbo (ES) št. 1107/2009 Evropskega parlamenta in Sveta o dajanju fitofarmacevtskih sredstev v promet ter o spremembi Priloge k Izvedbeni uredbi Komisije (EU) št.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Izvedbena uredba Komisije (EU) št. 571/2014 z dne 26. maja 2014 o odobritvi aktivne snovi ipkonazol v skladu z Uredbo (ES) št. 1107/2009 Evropskega parlamenta in Sveta o dajanju fitofarmacevtskih sredstev v promet ter o spremembi Priloge k Izvedbeni uredbi Komisije (EU) št.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Izvedbeni sklep Komisije 2014/362/EU z dne 13. junija 2014 o spremembi Odločbe 2009/109/ES o izvedbi začasnega poskusa z določitvijo nekaterih odstopanj pri dajanju na trg semenskih mešanic, namenjenih za uporabo kot krmne rastline, v skladu z Direktivo Sveta 66/401/EGS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Izvedbeni sklep Komisije 2014/367/EU z dne 16. junija 2014 o spremembi Direktive Sveta 2002/56/ES glede datuma, določenega v členu 21(3), do katerega se državam članicam dovoli podaljšanje veljavnosti odločitev v zvezi z enakovrednostjo semenskega krompirja iz tretjih držav</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Izvedbena direktiva Komisije 2014/83/EU z dne 25. junija 2014 o spremembi prilog I, II, III, IV in V k Direktivi Sveta 2000/29/ES o varstvenih ukrepih proti vnosu organizmov, škodljivih za rastline ali rastlinske proizvode, v Skupnost in proti njihovemu širjenju v Skupnosti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Izvedbena direktiva Komisije 2014/96/EU z dne 15. oktobra 2014 o zahtevah v zvezi z označevanjem, pečatenjem in pakiranjem razmnoževalnega materiala sadnih rastlin in sadnih rastlin, namenjenih za pridelavo sadja, ki spadajo v področje uporabe Direktive Sveta 2008/90/ES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Izvedbena direktiva Komisije 2014/97/EU z dne 15. oktobra 2014 o izvajanju Direktive Sveta 2008/90/ES v zvezi z registracijo dobaviteljev in sort ter skupnim seznamom sort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Izvedbena direktiva Komisije 2014/98/EU z dne 15. oktobra 2014 o izvajanju Direktive Sveta 2008/90/ES v zvezi s posebnimi zahtevami za rodove in vrste sadnih rastlin iz Priloge I k Direktivi, posebnimi zahtevami, ki jih morajo izpolnjevati dobavitelji, in podrobnimi predpisi za uradne preglede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b/>
                <w:noProof/>
                <w:szCs w:val="24"/>
              </w:rPr>
            </w:pPr>
            <w:r>
              <w:rPr>
                <w:noProof/>
              </w:rPr>
              <w:t>Direktiva 2001/18/ES Evropskega parlamenta in Sveta z dne 12. marca 2001 o namernem sproščanju gensko spremenjenih organizmov v okolje in razveljavitvi Direktive Sveta 90/220/EGS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0" w:after="0"/>
              <w:jc w:val="left"/>
              <w:rPr>
                <w:noProof/>
              </w:rPr>
            </w:pPr>
            <w:r>
              <w:rPr>
                <w:noProof/>
              </w:rPr>
              <w:t>Uredba (ES) št. 1946/2003 Evropskega parlamenta in Sveta z dne 15. julija 2003 o čezmejnem gibanju gensko spremenjenih organizmov</w:t>
            </w:r>
          </w:p>
        </w:tc>
        <w:tc>
          <w:tcPr>
            <w:tcW w:w="1421" w:type="pct"/>
            <w:shd w:val="clear" w:color="auto" w:fill="auto"/>
          </w:tcPr>
          <w:p>
            <w:pPr>
              <w:spacing w:before="0" w:after="0"/>
              <w:jc w:val="center"/>
              <w:rPr>
                <w:noProof/>
                <w:szCs w:val="24"/>
              </w:rPr>
            </w:pPr>
            <w:r>
              <w:rPr>
                <w:noProof/>
              </w:rPr>
              <w:t>2018</w:t>
            </w:r>
          </w:p>
        </w:tc>
      </w:tr>
    </w:tbl>
    <w:p>
      <w:pPr>
        <w:rPr>
          <w:noProof/>
        </w:rPr>
      </w:pPr>
      <w:r>
        <w:rPr>
          <w:noProof/>
        </w:rPr>
        <w: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UL L 161, 29.5.2014, str. 3.</w:t>
      </w:r>
    </w:p>
  </w:footnote>
  <w:footnote w:id="2">
    <w:p>
      <w:pPr>
        <w:pStyle w:val="FootnoteText"/>
      </w:pPr>
      <w:r>
        <w:rPr>
          <w:rStyle w:val="FootnoteReference"/>
        </w:rPr>
        <w:footnoteRef/>
      </w:r>
      <w:r>
        <w:tab/>
        <w:t xml:space="preserve">„Sprejetje“ pomeni datum izvajanja, določen v ustreznem pravnem aktu, objavljenem v „Uradnem listu Ukrajine“ ali „Vladnem </w:t>
      </w:r>
      <w:r>
        <w:rPr>
          <w:rFonts w:asciiTheme="majorBidi" w:hAnsiTheme="majorBidi" w:cstheme="majorBidi"/>
          <w:color w:val="222222"/>
          <w:shd w:val="clear" w:color="auto" w:fill="FFFFFF"/>
        </w:rPr>
        <w:t>kurirju</w:t>
      </w:r>
      <w:r>
        <w:t>“ ali na uradnem spletnem mestu državne uprave Ukrajine za varnost živil in varstvo potrošnikov s takojšnjim učinkom ali z navedenim prehodnim obdobjem.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AB4E0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11831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E8668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2ACC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7949D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01AA1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300FE0"/>
    <w:lvl w:ilvl="0">
      <w:start w:val="1"/>
      <w:numFmt w:val="decimal"/>
      <w:pStyle w:val="ListNumber"/>
      <w:lvlText w:val="%1."/>
      <w:lvlJc w:val="left"/>
      <w:pPr>
        <w:tabs>
          <w:tab w:val="num" w:pos="360"/>
        </w:tabs>
        <w:ind w:left="360" w:hanging="360"/>
      </w:pPr>
    </w:lvl>
  </w:abstractNum>
  <w:abstractNum w:abstractNumId="7">
    <w:nsid w:val="FFFFFF89"/>
    <w:multiLevelType w:val="singleLevel"/>
    <w:tmpl w:val="44921DC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1"/>
  </w:num>
  <w:num w:numId="7">
    <w:abstractNumId w:val="6"/>
  </w:num>
  <w:num w:numId="8">
    <w:abstractNumId w:val="2"/>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5 14:58: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29C47E00-C15B-4D89-A7D2-69001EAA700A"/>
    <w:docVar w:name="LW_COVERPAGE_TYPE" w:val="1"/>
    <w:docVar w:name="LW_CROSSREFERENCE" w:val="&lt;UNUSED&gt;"/>
    <w:docVar w:name="LW_DocType" w:val="ANNEX"/>
    <w:docVar w:name="LW_EMISSION" w:val="22.7.2019"/>
    <w:docVar w:name="LW_EMISSION_ISODATE" w:val="2019-07-22"/>
    <w:docVar w:name="LW_EMISSION_LOCATION" w:val="BRX"/>
    <w:docVar w:name="LW_EMISSION_PREFIX" w:val="Bruselj, "/>
    <w:docVar w:name="LW_EMISSION_SUFFIX" w:val="&lt;EMPTY&gt;"/>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stali\u353?\u269?u, ki se v imenu Evropske unije zastopa v Pododboru za sanitarne in fitosanitarne zadeve, ustanovljenem s Sporazumom o pridru\u382?itvi med Evropsko unijo in Evropsko skupnostjo za atomsko energijo in njunimi dr\u382?avami \u269?lanicami na eni strani ter Ukrajino na drugi strani_x000b_"/>
    <w:docVar w:name="LW_OBJETACTEPRINCIPAL.CP" w:val="o stali\u353?\u269?u, ki se v imenu Evropske unije zastopa v Pododboru za sanitarne in fitosanitarne zadeve, ustanovljenem s Sporazumom o pridru\u382?itvi med Evropsko unijo in Evropsko skupnostjo za atomsko energijo in njunimi dr\u382?avami \u269?lanicami na eni strani ter Ukrajino na drugi strani_x000b_"/>
    <w:docVar w:name="LW_PART_NBR" w:val="1"/>
    <w:docVar w:name="LW_PART_NBR_TOTAL" w:val="1"/>
    <w:docVar w:name="LW_REF.INST.NEW" w:val="COM"/>
    <w:docVar w:name="LW_REF.INST.NEW_ADOPTED" w:val="final"/>
    <w:docVar w:name="LW_REF.INST.NEW_TEXT" w:val="(2019) 3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A"/>
    <w:docVar w:name="LW_TYPE.DOC.CP" w:val="PRILOGA"/>
    <w:docVar w:name="LW_TYPEACTEPRINCIPAL" w:val="predlogu Sklepa Sveta"/>
    <w:docVar w:name="LW_TYPEACTEPRINCIPAL.CP" w:val="predlogu Sklep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numbering" w:customStyle="1" w:styleId="NoList1">
    <w:name w:val="No List1"/>
    <w:next w:val="NoList"/>
    <w:uiPriority w:val="99"/>
    <w:semiHidden/>
    <w:unhideWhenUsed/>
  </w:style>
  <w:style w:type="paragraph" w:customStyle="1" w:styleId="HeaderCouncilLarge">
    <w:name w:val="Header Council Large"/>
    <w:basedOn w:val="Normal"/>
    <w:link w:val="HeaderCouncilLargeChar"/>
    <w:pPr>
      <w:spacing w:before="0" w:after="440" w:line="360" w:lineRule="auto"/>
      <w:jc w:val="left"/>
    </w:pPr>
    <w:rPr>
      <w:sz w:val="2"/>
    </w:rPr>
  </w:style>
  <w:style w:type="character" w:customStyle="1" w:styleId="LignefinalChar">
    <w:name w:val="Ligne final Char"/>
    <w:basedOn w:val="DefaultParagraphFont"/>
    <w:rPr>
      <w:rFonts w:ascii="Times New Roman" w:hAnsi="Times New Roman" w:cs="Times New Roman"/>
      <w:b/>
      <w:sz w:val="24"/>
      <w:lang w:val="sl-SI"/>
    </w:rPr>
  </w:style>
  <w:style w:type="character" w:customStyle="1" w:styleId="HeaderCouncilLargeChar">
    <w:name w:val="Header Council Large Char"/>
    <w:basedOn w:val="LignefinalChar"/>
    <w:link w:val="HeaderCouncilLarge"/>
    <w:rPr>
      <w:rFonts w:ascii="Times New Roman" w:hAnsi="Times New Roman" w:cs="Times New Roman"/>
      <w:b w:val="0"/>
      <w:sz w:val="2"/>
      <w:lang w:val="sl-SI"/>
    </w:rPr>
  </w:style>
  <w:style w:type="paragraph" w:customStyle="1" w:styleId="FooterText">
    <w:name w:val="Footer Text"/>
    <w:basedOn w:val="Normal"/>
    <w:pPr>
      <w:spacing w:before="0" w:after="0"/>
      <w:jc w:val="left"/>
    </w:pPr>
    <w:rPr>
      <w:rFonts w:eastAsia="Times New Roman"/>
      <w:szCs w:val="24"/>
    </w:rPr>
  </w:style>
  <w:style w:type="paragraph" w:styleId="ListNumber3">
    <w:name w:val="List Number 3"/>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TitreobjetPagedecouverture">
    <w:name w:val="Titre objet (Page de couverture)"/>
    <w:basedOn w:val="Titreobjet"/>
    <w:next w:val="Sous-titreobjetPagedecouverture"/>
    <w:pPr>
      <w:spacing w:line="240" w:lineRule="auto"/>
    </w:pPr>
  </w:style>
  <w:style w:type="paragraph" w:customStyle="1" w:styleId="Sous-titreobjetPagedecouverture">
    <w:name w:val="Sous-titre objet (Page de couverture)"/>
    <w:basedOn w:val="Sous-titreobjet"/>
    <w:pPr>
      <w:spacing w:line="240" w:lineRule="auto"/>
    </w:pPr>
  </w:style>
  <w:style w:type="character" w:customStyle="1" w:styleId="TechnicalBlockChar">
    <w:name w:val="Technical Block Char"/>
    <w:basedOn w:val="DefaultParagraphFont"/>
    <w:rPr>
      <w:rFonts w:ascii="Times New Roman" w:hAnsi="Times New Roman" w:cs="Times New Roman"/>
      <w:sz w:val="24"/>
      <w:lang w:val="sl-SI"/>
    </w:rPr>
  </w:style>
  <w:style w:type="paragraph" w:customStyle="1" w:styleId="pj">
    <w:name w:val="p.j."/>
    <w:basedOn w:val="TechnicalBlock"/>
    <w:link w:val="pjChar"/>
    <w:pPr>
      <w:spacing w:before="1200" w:after="120"/>
      <w:ind w:left="1440" w:hanging="1440"/>
      <w:jc w:val="left"/>
    </w:pPr>
  </w:style>
  <w:style w:type="character" w:customStyle="1" w:styleId="pjChar">
    <w:name w:val="p.j. Char"/>
    <w:basedOn w:val="TechnicalBlockChar"/>
    <w:link w:val="pj"/>
    <w:rPr>
      <w:rFonts w:ascii="Times New Roman" w:hAnsi="Times New Roman" w:cs="Times New Roman"/>
      <w:sz w:val="24"/>
      <w:lang w:val="sl-SI"/>
    </w:rPr>
  </w:style>
  <w:style w:type="character" w:customStyle="1" w:styleId="HeaderCouncilChar">
    <w:name w:val="Header Council Char"/>
    <w:basedOn w:val="pjChar"/>
    <w:rPr>
      <w:rFonts w:ascii="Times New Roman" w:hAnsi="Times New Roman" w:cs="Times New Roman"/>
      <w:sz w:val="2"/>
      <w:lang w:val="sl-SI"/>
    </w:rPr>
  </w:style>
  <w:style w:type="character" w:customStyle="1" w:styleId="FooterCouncilChar">
    <w:name w:val="Footer Council Char"/>
    <w:basedOn w:val="pjChar"/>
    <w:rPr>
      <w:rFonts w:ascii="Times New Roman" w:hAnsi="Times New Roman" w:cs="Times New Roman"/>
      <w:sz w:val="2"/>
      <w:lang w:val="sl-SI"/>
    </w:rPr>
  </w:style>
  <w:style w:type="paragraph" w:customStyle="1" w:styleId="doc-ti">
    <w:name w:val="doc-ti"/>
    <w:basedOn w:val="Normal"/>
    <w:pPr>
      <w:spacing w:before="100" w:beforeAutospacing="1" w:after="100" w:afterAutospacing="1"/>
      <w:jc w:val="left"/>
    </w:pPr>
    <w:rPr>
      <w:rFonts w:eastAsia="Times New Roman"/>
      <w:szCs w:val="24"/>
    </w:rPr>
  </w:style>
  <w:style w:type="character" w:customStyle="1" w:styleId="super">
    <w:name w:val="super"/>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pPr>
      <w:spacing w:before="0" w:after="240"/>
      <w:jc w:val="center"/>
    </w:pPr>
  </w:style>
  <w:style w:type="paragraph" w:customStyle="1" w:styleId="Annexetitreacte">
    <w:name w:val="Annexe titre (acte)"/>
    <w:basedOn w:val="Normal"/>
    <w:next w:val="Normal"/>
    <w:pPr>
      <w:spacing w:line="360" w:lineRule="auto"/>
      <w:jc w:val="center"/>
    </w:pPr>
    <w:rPr>
      <w:b/>
      <w:u w:val="single"/>
    </w:rPr>
  </w:style>
  <w:style w:type="paragraph" w:customStyle="1" w:styleId="Annexetitreglobale">
    <w:name w:val="Annexe titre (globale)"/>
    <w:basedOn w:val="Normal"/>
    <w:next w:val="Normal"/>
    <w:pPr>
      <w:spacing w:line="360" w:lineRule="auto"/>
      <w:jc w:val="center"/>
    </w:pPr>
    <w:rPr>
      <w:b/>
      <w:u w:val="single"/>
    </w:rPr>
  </w:style>
  <w:style w:type="paragraph" w:customStyle="1" w:styleId="Sous-titreobjet">
    <w:name w:val="Sous-titre objet"/>
    <w:basedOn w:val="Normal"/>
    <w:pPr>
      <w:spacing w:before="0" w:after="0" w:line="360" w:lineRule="auto"/>
      <w:jc w:val="center"/>
    </w:pPr>
    <w:rPr>
      <w:b/>
    </w:rPr>
  </w:style>
  <w:style w:type="paragraph" w:customStyle="1" w:styleId="Titreobjet">
    <w:name w:val="Titre objet"/>
    <w:basedOn w:val="Normal"/>
    <w:next w:val="Sous-titreobjet"/>
    <w:pPr>
      <w:spacing w:before="360" w:after="360" w:line="360" w:lineRule="auto"/>
      <w:jc w:val="center"/>
    </w:pPr>
    <w:rPr>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Rfrenceinterinstitutionelle">
    <w:name w:val="Référence interinstitutionelle"/>
    <w:basedOn w:val="Normal"/>
    <w:next w:val="Statut"/>
    <w:pPr>
      <w:spacing w:before="0" w:after="0" w:line="360" w:lineRule="auto"/>
      <w:ind w:left="5103"/>
      <w:jc w:val="left"/>
    </w:p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numbering" w:customStyle="1" w:styleId="NoList1">
    <w:name w:val="No List1"/>
    <w:next w:val="NoList"/>
    <w:uiPriority w:val="99"/>
    <w:semiHidden/>
    <w:unhideWhenUsed/>
  </w:style>
  <w:style w:type="paragraph" w:customStyle="1" w:styleId="HeaderCouncilLarge">
    <w:name w:val="Header Council Large"/>
    <w:basedOn w:val="Normal"/>
    <w:link w:val="HeaderCouncilLargeChar"/>
    <w:pPr>
      <w:spacing w:before="0" w:after="440" w:line="360" w:lineRule="auto"/>
      <w:jc w:val="left"/>
    </w:pPr>
    <w:rPr>
      <w:sz w:val="2"/>
    </w:rPr>
  </w:style>
  <w:style w:type="character" w:customStyle="1" w:styleId="LignefinalChar">
    <w:name w:val="Ligne final Char"/>
    <w:basedOn w:val="DefaultParagraphFont"/>
    <w:rPr>
      <w:rFonts w:ascii="Times New Roman" w:hAnsi="Times New Roman" w:cs="Times New Roman"/>
      <w:b/>
      <w:sz w:val="24"/>
      <w:lang w:val="sl-SI"/>
    </w:rPr>
  </w:style>
  <w:style w:type="character" w:customStyle="1" w:styleId="HeaderCouncilLargeChar">
    <w:name w:val="Header Council Large Char"/>
    <w:basedOn w:val="LignefinalChar"/>
    <w:link w:val="HeaderCouncilLarge"/>
    <w:rPr>
      <w:rFonts w:ascii="Times New Roman" w:hAnsi="Times New Roman" w:cs="Times New Roman"/>
      <w:b w:val="0"/>
      <w:sz w:val="2"/>
      <w:lang w:val="sl-SI"/>
    </w:rPr>
  </w:style>
  <w:style w:type="paragraph" w:customStyle="1" w:styleId="FooterText">
    <w:name w:val="Footer Text"/>
    <w:basedOn w:val="Normal"/>
    <w:pPr>
      <w:spacing w:before="0" w:after="0"/>
      <w:jc w:val="left"/>
    </w:pPr>
    <w:rPr>
      <w:rFonts w:eastAsia="Times New Roman"/>
      <w:szCs w:val="24"/>
    </w:rPr>
  </w:style>
  <w:style w:type="paragraph" w:styleId="ListNumber3">
    <w:name w:val="List Number 3"/>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TitreobjetPagedecouverture">
    <w:name w:val="Titre objet (Page de couverture)"/>
    <w:basedOn w:val="Titreobjet"/>
    <w:next w:val="Sous-titreobjetPagedecouverture"/>
    <w:pPr>
      <w:spacing w:line="240" w:lineRule="auto"/>
    </w:pPr>
  </w:style>
  <w:style w:type="paragraph" w:customStyle="1" w:styleId="Sous-titreobjetPagedecouverture">
    <w:name w:val="Sous-titre objet (Page de couverture)"/>
    <w:basedOn w:val="Sous-titreobjet"/>
    <w:pPr>
      <w:spacing w:line="240" w:lineRule="auto"/>
    </w:pPr>
  </w:style>
  <w:style w:type="character" w:customStyle="1" w:styleId="TechnicalBlockChar">
    <w:name w:val="Technical Block Char"/>
    <w:basedOn w:val="DefaultParagraphFont"/>
    <w:rPr>
      <w:rFonts w:ascii="Times New Roman" w:hAnsi="Times New Roman" w:cs="Times New Roman"/>
      <w:sz w:val="24"/>
      <w:lang w:val="sl-SI"/>
    </w:rPr>
  </w:style>
  <w:style w:type="paragraph" w:customStyle="1" w:styleId="pj">
    <w:name w:val="p.j."/>
    <w:basedOn w:val="TechnicalBlock"/>
    <w:link w:val="pjChar"/>
    <w:pPr>
      <w:spacing w:before="1200" w:after="120"/>
      <w:ind w:left="1440" w:hanging="1440"/>
      <w:jc w:val="left"/>
    </w:pPr>
  </w:style>
  <w:style w:type="character" w:customStyle="1" w:styleId="pjChar">
    <w:name w:val="p.j. Char"/>
    <w:basedOn w:val="TechnicalBlockChar"/>
    <w:link w:val="pj"/>
    <w:rPr>
      <w:rFonts w:ascii="Times New Roman" w:hAnsi="Times New Roman" w:cs="Times New Roman"/>
      <w:sz w:val="24"/>
      <w:lang w:val="sl-SI"/>
    </w:rPr>
  </w:style>
  <w:style w:type="character" w:customStyle="1" w:styleId="HeaderCouncilChar">
    <w:name w:val="Header Council Char"/>
    <w:basedOn w:val="pjChar"/>
    <w:rPr>
      <w:rFonts w:ascii="Times New Roman" w:hAnsi="Times New Roman" w:cs="Times New Roman"/>
      <w:sz w:val="2"/>
      <w:lang w:val="sl-SI"/>
    </w:rPr>
  </w:style>
  <w:style w:type="character" w:customStyle="1" w:styleId="FooterCouncilChar">
    <w:name w:val="Footer Council Char"/>
    <w:basedOn w:val="pjChar"/>
    <w:rPr>
      <w:rFonts w:ascii="Times New Roman" w:hAnsi="Times New Roman" w:cs="Times New Roman"/>
      <w:sz w:val="2"/>
      <w:lang w:val="sl-SI"/>
    </w:rPr>
  </w:style>
  <w:style w:type="paragraph" w:customStyle="1" w:styleId="doc-ti">
    <w:name w:val="doc-ti"/>
    <w:basedOn w:val="Normal"/>
    <w:pPr>
      <w:spacing w:before="100" w:beforeAutospacing="1" w:after="100" w:afterAutospacing="1"/>
      <w:jc w:val="left"/>
    </w:pPr>
    <w:rPr>
      <w:rFonts w:eastAsia="Times New Roman"/>
      <w:szCs w:val="24"/>
    </w:rPr>
  </w:style>
  <w:style w:type="character" w:customStyle="1" w:styleId="super">
    <w:name w:val="super"/>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pPr>
      <w:spacing w:before="0" w:after="240"/>
      <w:jc w:val="center"/>
    </w:pPr>
  </w:style>
  <w:style w:type="paragraph" w:customStyle="1" w:styleId="Annexetitreacte">
    <w:name w:val="Annexe titre (acte)"/>
    <w:basedOn w:val="Normal"/>
    <w:next w:val="Normal"/>
    <w:pPr>
      <w:spacing w:line="360" w:lineRule="auto"/>
      <w:jc w:val="center"/>
    </w:pPr>
    <w:rPr>
      <w:b/>
      <w:u w:val="single"/>
    </w:rPr>
  </w:style>
  <w:style w:type="paragraph" w:customStyle="1" w:styleId="Annexetitreglobale">
    <w:name w:val="Annexe titre (globale)"/>
    <w:basedOn w:val="Normal"/>
    <w:next w:val="Normal"/>
    <w:pPr>
      <w:spacing w:line="360" w:lineRule="auto"/>
      <w:jc w:val="center"/>
    </w:pPr>
    <w:rPr>
      <w:b/>
      <w:u w:val="single"/>
    </w:rPr>
  </w:style>
  <w:style w:type="paragraph" w:customStyle="1" w:styleId="Sous-titreobjet">
    <w:name w:val="Sous-titre objet"/>
    <w:basedOn w:val="Normal"/>
    <w:pPr>
      <w:spacing w:before="0" w:after="0" w:line="360" w:lineRule="auto"/>
      <w:jc w:val="center"/>
    </w:pPr>
    <w:rPr>
      <w:b/>
    </w:rPr>
  </w:style>
  <w:style w:type="paragraph" w:customStyle="1" w:styleId="Titreobjet">
    <w:name w:val="Titre objet"/>
    <w:basedOn w:val="Normal"/>
    <w:next w:val="Sous-titreobjet"/>
    <w:pPr>
      <w:spacing w:before="360" w:after="360" w:line="360" w:lineRule="auto"/>
      <w:jc w:val="center"/>
    </w:pPr>
    <w:rPr>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Rfrenceinterinstitutionelle">
    <w:name w:val="Référence interinstitutionelle"/>
    <w:basedOn w:val="Normal"/>
    <w:next w:val="Statut"/>
    <w:pPr>
      <w:spacing w:before="0" w:after="0" w:line="360" w:lineRule="auto"/>
      <w:ind w:left="5103"/>
      <w:jc w:val="left"/>
    </w:p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38</Pages>
  <Words>8061</Words>
  <Characters>45629</Characters>
  <Application>Microsoft Office Word</Application>
  <DocSecurity>0</DocSecurity>
  <Lines>1200</Lines>
  <Paragraphs>624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MOLLER</dc:creator>
  <cp:lastModifiedBy>DIGIT/C6</cp:lastModifiedBy>
  <cp:revision>8</cp:revision>
  <cp:lastPrinted>2019-05-16T15:39:00Z</cp:lastPrinted>
  <dcterms:created xsi:type="dcterms:W3CDTF">2019-06-24T09:49:00Z</dcterms:created>
  <dcterms:modified xsi:type="dcterms:W3CDTF">2019-07-15T12:58:00Z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