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31AFA8C-7929-40B4-927D-3626C1276AE1"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spacing w:after="360"/>
        <w:jc w:val="center"/>
        <w:rPr>
          <w:b/>
          <w:noProof/>
          <w:u w:val="single"/>
        </w:rPr>
      </w:pPr>
      <w:bookmarkStart w:id="0" w:name="_GoBack"/>
      <w:bookmarkEnd w:id="0"/>
      <w:r>
        <w:rPr>
          <w:b/>
          <w:noProof/>
          <w:u w:val="single"/>
        </w:rPr>
        <w:lastRenderedPageBreak/>
        <w:t>ANLAGE</w:t>
      </w:r>
    </w:p>
    <w:p>
      <w:pPr>
        <w:jc w:val="center"/>
        <w:rPr>
          <w:b/>
          <w:caps/>
          <w:noProof/>
        </w:rPr>
      </w:pPr>
      <w:r>
        <w:rPr>
          <w:b/>
          <w:caps/>
          <w:noProof/>
        </w:rPr>
        <w:t>Beschluss Nr. .../2019 des EU-Ukraine-Unterausschusses Gesundheitspolizeiliche und pflanzenschutzrechtliche Maßnahmen</w:t>
      </w:r>
    </w:p>
    <w:p>
      <w:pPr>
        <w:jc w:val="center"/>
        <w:rPr>
          <w:b/>
          <w:noProof/>
        </w:rPr>
      </w:pPr>
      <w:r>
        <w:rPr>
          <w:b/>
          <w:noProof/>
        </w:rPr>
        <w:t>vom ... 2019</w:t>
      </w:r>
    </w:p>
    <w:p>
      <w:pPr>
        <w:spacing w:after="240"/>
        <w:jc w:val="center"/>
        <w:rPr>
          <w:b/>
          <w:noProof/>
          <w:szCs w:val="24"/>
        </w:rPr>
      </w:pPr>
      <w:r>
        <w:rPr>
          <w:b/>
          <w:noProof/>
        </w:rPr>
        <w:t>zur Änderung des Anhangs V des Assoziierungsabkommens</w:t>
      </w:r>
    </w:p>
    <w:p>
      <w:pPr>
        <w:spacing w:line="276" w:lineRule="auto"/>
        <w:rPr>
          <w:noProof/>
        </w:rPr>
      </w:pPr>
      <w:r>
        <w:rPr>
          <w:noProof/>
        </w:rPr>
        <w:t>DER UNTERAUSSCHUSS GESUNDHEITSPOLIZEILICHE UND PFLANZENSCHUTZRECHTLICHE MAẞNAHMEN“ –</w:t>
      </w:r>
    </w:p>
    <w:p>
      <w:pPr>
        <w:rPr>
          <w:noProof/>
        </w:rPr>
      </w:pPr>
      <w:r>
        <w:rPr>
          <w:noProof/>
        </w:rPr>
        <w:t>gestützt auf das am 27. Juni 2014 in Brüssel unterzeichnete Assoziierungsabkommen zwischen der Europäischen Union und der Europäischen Atomgemeinschaft und ihren Mitgliedstaaten einerseits und der Ukraine andererseits</w:t>
      </w:r>
      <w:r>
        <w:rPr>
          <w:rStyle w:val="FootnoteReference"/>
          <w:noProof/>
        </w:rPr>
        <w:footnoteReference w:id="1"/>
      </w:r>
      <w:r>
        <w:rPr>
          <w:noProof/>
        </w:rPr>
        <w:t>, insbesondere auf Artikel 74 Absatz 2,</w:t>
      </w:r>
    </w:p>
    <w:p>
      <w:pPr>
        <w:rPr>
          <w:noProof/>
        </w:rPr>
      </w:pPr>
      <w:r>
        <w:rPr>
          <w:noProof/>
        </w:rPr>
        <w:t>in Erwägung nachstehender Gründe:</w:t>
      </w:r>
    </w:p>
    <w:p>
      <w:pPr>
        <w:pStyle w:val="Considrant"/>
        <w:numPr>
          <w:ilvl w:val="0"/>
          <w:numId w:val="5"/>
        </w:numPr>
        <w:rPr>
          <w:noProof/>
        </w:rPr>
      </w:pPr>
      <w:r>
        <w:rPr>
          <w:noProof/>
        </w:rPr>
        <w:t>Das Assoziierungsabkommen zwischen der Europäischen Union und der Europäischen Atomgemeinschaft und ihren Mitgliedstaaten einerseits und der Ukraine andererseits (im Folgenden „Abkommen“) ist am 1. September 2017 in Kraft getreten.</w:t>
      </w:r>
    </w:p>
    <w:p>
      <w:pPr>
        <w:pStyle w:val="Considrant"/>
        <w:numPr>
          <w:ilvl w:val="0"/>
          <w:numId w:val="5"/>
        </w:numPr>
        <w:rPr>
          <w:noProof/>
        </w:rPr>
      </w:pPr>
      <w:r>
        <w:rPr>
          <w:noProof/>
        </w:rPr>
        <w:t>Artikel 64 Absatz 1 des Abkommens sieht vor, dass die Ukraine ihre gesundheitspolizeilichen, pflanzenschutz- und tierschutzrechtlichen Vorschriften an die Vorschriften der Union annähert, wie in Anhang V des Abkommens dargelegt.</w:t>
      </w:r>
    </w:p>
    <w:p>
      <w:pPr>
        <w:pStyle w:val="Considrant"/>
        <w:numPr>
          <w:ilvl w:val="0"/>
          <w:numId w:val="5"/>
        </w:numPr>
        <w:rPr>
          <w:noProof/>
        </w:rPr>
      </w:pPr>
      <w:r>
        <w:rPr>
          <w:noProof/>
        </w:rPr>
        <w:t>Nach Artikel 64 Absatz 4 des Abkommens ist die Ukraine verpflichtet, eine Liste der Vorschriften des gesundheitspolizeilichen, pflanzenschutz- und tierschutzrechtlichen Besitzstands der Union (im Folgenden „Liste“) vorzulegen, an den sie ihre eigene Gesetzgebung anzunähern beabsichtigt. Die zu unterbreitende umfassende Strategie dient als Referenzdokument für die Umsetzung von Titel IV (Handel und Handelsfragen) Kapitel 4 (Gesundheitspolizeiliche und pflanzenschutzrechtliche Maßnahmen) des Abkommens.</w:t>
      </w:r>
    </w:p>
    <w:p>
      <w:pPr>
        <w:pStyle w:val="Considrant"/>
        <w:numPr>
          <w:ilvl w:val="0"/>
          <w:numId w:val="5"/>
        </w:numPr>
        <w:rPr>
          <w:noProof/>
        </w:rPr>
      </w:pPr>
      <w:r>
        <w:rPr>
          <w:noProof/>
        </w:rPr>
        <w:t>Die Ukraine legte der Europäischen Kommission die Liste im Oktober 2018 vor. Auf der Grundlage dieser Liste wird der Unterausschuss Gesundheitspolizeiliche und pflanzenschutzrechtliche Maßnahmen somit den vorgesehenen Akt zur Änderung des Anhangs V des Abkommens annehmen.</w:t>
      </w:r>
    </w:p>
    <w:p>
      <w:pPr>
        <w:pStyle w:val="Considrant"/>
        <w:numPr>
          <w:ilvl w:val="0"/>
          <w:numId w:val="5"/>
        </w:numPr>
        <w:rPr>
          <w:noProof/>
        </w:rPr>
      </w:pPr>
      <w:r>
        <w:rPr>
          <w:noProof/>
        </w:rPr>
        <w:t>Es ist daher angezeigt, dass der Unterausschuss Gesundheitspolizeiliche und pflanzenschutzrechtliche Maßnahmen einen Beschluss fasst, um den bestehenden Anhang V durch einen neuen Anhang zu ersetzen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Anhang V des Assoziierungsabkommens zwischen der Europäischen Union und der Europäischen Atomgemeinschaft und ihren Mitgliedstaaten einerseits und der Ukraine andererseits wird durch den Anhang dieses Beschlusses ersetzt.</w:t>
      </w:r>
    </w:p>
    <w:p>
      <w:pPr>
        <w:pStyle w:val="Titrearticle"/>
        <w:rPr>
          <w:noProof/>
        </w:rPr>
      </w:pPr>
      <w:r>
        <w:rPr>
          <w:noProof/>
        </w:rPr>
        <w:t>Artikel 2</w:t>
      </w:r>
    </w:p>
    <w:p>
      <w:pPr>
        <w:spacing w:after="240"/>
        <w:rPr>
          <w:noProof/>
        </w:rPr>
      </w:pPr>
      <w:r>
        <w:rPr>
          <w:noProof/>
        </w:rPr>
        <w:t>Dieser Beschluss tritt am Tag seines Erlasses in Kraft.</w:t>
      </w:r>
    </w:p>
    <w:p>
      <w:pPr>
        <w:spacing w:after="360"/>
        <w:rPr>
          <w:noProof/>
        </w:rPr>
      </w:pPr>
      <w:r>
        <w:rPr>
          <w:noProof/>
        </w:rPr>
        <w:t>Geschehen zu […]… am […].</w:t>
      </w:r>
    </w:p>
    <w:p>
      <w:pPr>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tc>
          <w:tcPr>
            <w:tcW w:w="9213" w:type="dxa"/>
            <w:gridSpan w:val="2"/>
          </w:tcPr>
          <w:p>
            <w:pPr>
              <w:jc w:val="center"/>
              <w:rPr>
                <w:noProof/>
              </w:rPr>
            </w:pPr>
            <w:r>
              <w:rPr>
                <w:i/>
                <w:noProof/>
              </w:rPr>
              <w:t>Für den Unterausschuss Gesundheitspolizeiliche und pflanzenschutzrechtliche Maßnahmen</w:t>
            </w:r>
          </w:p>
        </w:tc>
      </w:tr>
      <w:tr>
        <w:tc>
          <w:tcPr>
            <w:tcW w:w="9213" w:type="dxa"/>
            <w:gridSpan w:val="2"/>
          </w:tcPr>
          <w:p>
            <w:pPr>
              <w:jc w:val="center"/>
              <w:rPr>
                <w:i/>
                <w:noProof/>
              </w:rPr>
            </w:pPr>
            <w:r>
              <w:rPr>
                <w:i/>
                <w:noProof/>
              </w:rPr>
              <w:t>Für den Vorsitz</w:t>
            </w:r>
          </w:p>
        </w:tc>
      </w:tr>
      <w:tr>
        <w:tc>
          <w:tcPr>
            <w:tcW w:w="4606" w:type="dxa"/>
          </w:tcPr>
          <w:p>
            <w:pPr>
              <w:rPr>
                <w:noProof/>
              </w:rPr>
            </w:pPr>
          </w:p>
        </w:tc>
        <w:tc>
          <w:tcPr>
            <w:tcW w:w="4607" w:type="dxa"/>
          </w:tcPr>
          <w:p>
            <w:pPr>
              <w:rPr>
                <w:noProof/>
              </w:rPr>
            </w:pPr>
          </w:p>
        </w:tc>
      </w:tr>
      <w:tr>
        <w:tc>
          <w:tcPr>
            <w:tcW w:w="9213" w:type="dxa"/>
            <w:gridSpan w:val="2"/>
          </w:tcPr>
          <w:p>
            <w:pPr>
              <w:jc w:val="center"/>
              <w:rPr>
                <w:noProof/>
              </w:rPr>
            </w:pPr>
            <w:r>
              <w:rPr>
                <w:i/>
                <w:noProof/>
              </w:rPr>
              <w:t>Die Sekretäre</w:t>
            </w:r>
          </w:p>
        </w:tc>
      </w:tr>
      <w:tr>
        <w:tc>
          <w:tcPr>
            <w:tcW w:w="4606" w:type="dxa"/>
          </w:tcPr>
          <w:p>
            <w:pPr>
              <w:rPr>
                <w:noProof/>
              </w:rPr>
            </w:pPr>
            <w:r>
              <w:rPr>
                <w:noProof/>
              </w:rPr>
              <w:t>Für die Europäische Union</w:t>
            </w:r>
          </w:p>
        </w:tc>
        <w:tc>
          <w:tcPr>
            <w:tcW w:w="4607" w:type="dxa"/>
          </w:tcPr>
          <w:p>
            <w:pPr>
              <w:jc w:val="center"/>
              <w:rPr>
                <w:noProof/>
              </w:rPr>
            </w:pPr>
            <w:r>
              <w:rPr>
                <w:noProof/>
              </w:rPr>
              <w:t>Für die Ukraine</w:t>
            </w:r>
          </w:p>
        </w:tc>
      </w:tr>
    </w:tbl>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ANHANG</w:t>
      </w:r>
    </w:p>
    <w:p>
      <w:pPr>
        <w:spacing w:after="360"/>
        <w:jc w:val="center"/>
        <w:rPr>
          <w:noProof/>
        </w:rPr>
      </w:pPr>
      <w:r>
        <w:rPr>
          <w:noProof/>
        </w:rPr>
        <w:t>ÄNDERUNG DES ANHANGS V DES ASSOZIIERUNGSABKOMMENS</w:t>
      </w:r>
    </w:p>
    <w:p>
      <w:pPr>
        <w:rPr>
          <w:noProof/>
        </w:rPr>
      </w:pPr>
      <w:r>
        <w:rPr>
          <w:noProof/>
        </w:rPr>
        <w:t>Anhang V erhält folgende Fassung:</w:t>
      </w:r>
    </w:p>
    <w:p>
      <w:pPr>
        <w:spacing w:before="360" w:after="360"/>
        <w:jc w:val="center"/>
        <w:rPr>
          <w:noProof/>
        </w:rPr>
      </w:pPr>
      <w:r>
        <w:rPr>
          <w:noProof/>
        </w:rPr>
        <w:t>„ANHANG V</w:t>
      </w:r>
    </w:p>
    <w:p>
      <w:pPr>
        <w:spacing w:after="360"/>
        <w:jc w:val="center"/>
        <w:rPr>
          <w:noProof/>
        </w:rPr>
      </w:pPr>
      <w:r>
        <w:rPr>
          <w:noProof/>
        </w:rPr>
        <w:t>LISTE DER RECHTSVORSCHRIFTEN DER UNION, AN DIE DIE UKRAINE IHRE RECHTSVORSCHRIFTEN ANNÄHERN MUSS</w:t>
      </w:r>
    </w:p>
    <w:p>
      <w:pPr>
        <w:spacing w:after="360"/>
        <w:rPr>
          <w:noProof/>
        </w:rPr>
      </w:pPr>
      <w:r>
        <w:rPr>
          <w:noProof/>
        </w:rPr>
        <w:t>Die Ukraine verpflichtet sich nach Artikel 64 Absatz 4 des Abkommens, ihre Rechtsvorschriften innerhalb der nachstehend jeweils angegebenen Fristen für den Erlass und die Umsetzung an die folgenden Rechtsvorschriften der Union anzunähern.</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5"/>
        <w:gridCol w:w="2801"/>
      </w:tblGrid>
      <w:tr>
        <w:trPr>
          <w:tblHeader/>
        </w:trPr>
        <w:tc>
          <w:tcPr>
            <w:tcW w:w="3579" w:type="pct"/>
            <w:shd w:val="clear" w:color="auto" w:fill="auto"/>
          </w:tcPr>
          <w:p>
            <w:pPr>
              <w:spacing w:before="60" w:after="60"/>
              <w:jc w:val="center"/>
              <w:rPr>
                <w:caps/>
                <w:noProof/>
                <w:szCs w:val="24"/>
              </w:rPr>
            </w:pPr>
            <w:r>
              <w:rPr>
                <w:noProof/>
              </w:rPr>
              <w:t>Unionsvorschriften</w:t>
            </w:r>
          </w:p>
        </w:tc>
        <w:tc>
          <w:tcPr>
            <w:tcW w:w="1421" w:type="pct"/>
            <w:shd w:val="clear" w:color="auto" w:fill="auto"/>
          </w:tcPr>
          <w:p>
            <w:pPr>
              <w:spacing w:before="60" w:after="60"/>
              <w:jc w:val="center"/>
              <w:rPr>
                <w:noProof/>
                <w:szCs w:val="24"/>
              </w:rPr>
            </w:pPr>
            <w:r>
              <w:rPr>
                <w:noProof/>
              </w:rPr>
              <w:t>Frist für den Erlass der Vorschriften</w:t>
            </w:r>
            <w:r>
              <w:rPr>
                <w:rStyle w:val="FootnoteReference"/>
                <w:noProof/>
              </w:rPr>
              <w:footnoteReference w:id="2"/>
            </w:r>
          </w:p>
        </w:tc>
      </w:tr>
      <w:tr>
        <w:tc>
          <w:tcPr>
            <w:tcW w:w="5000" w:type="pct"/>
            <w:gridSpan w:val="2"/>
            <w:shd w:val="clear" w:color="auto" w:fill="auto"/>
          </w:tcPr>
          <w:p>
            <w:pPr>
              <w:spacing w:before="60" w:after="60"/>
              <w:jc w:val="center"/>
              <w:rPr>
                <w:caps/>
                <w:noProof/>
                <w:szCs w:val="24"/>
              </w:rPr>
            </w:pPr>
            <w:r>
              <w:rPr>
                <w:noProof/>
              </w:rPr>
              <w:t>Kapitel I – Allgemeine Rechtsvorschriften (öffentliche Gesundheit)</w:t>
            </w:r>
          </w:p>
        </w:tc>
      </w:tr>
      <w:tr>
        <w:tc>
          <w:tcPr>
            <w:tcW w:w="3579" w:type="pct"/>
            <w:shd w:val="clear" w:color="auto" w:fill="auto"/>
          </w:tcPr>
          <w:p>
            <w:pPr>
              <w:spacing w:before="60" w:after="60"/>
              <w:jc w:val="left"/>
              <w:rPr>
                <w:noProof/>
                <w:szCs w:val="24"/>
              </w:rPr>
            </w:pPr>
            <w:r>
              <w:rPr>
                <w:noProof/>
              </w:rPr>
              <w:t>Richtlinie 91/496/EWG des Rates vom 15. Juli 1991 zur Festlegung von Grundregeln für die Veterinärkontrollen von aus Drittländern in die Gemeinschaft eingeführten Tieren und zur Änderung der Richtlinien 89/662/EWG, 90/425/EWG und 90/675/EWG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97/78/EG des Rates vom 18. Dezember 1997 zur Festlegung von Grundregeln für die Veterinärkontrollen von aus Drittländern in die Gemeinschaft eingeführten Erzeugnissen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spacing w:before="60" w:after="60"/>
              <w:jc w:val="left"/>
              <w:rPr>
                <w:noProof/>
                <w:szCs w:val="24"/>
              </w:rPr>
            </w:pPr>
            <w:r>
              <w:rPr>
                <w:noProof/>
              </w:rPr>
              <w:t>Richtlinie 2002/99/EG des Rates vom 16. Dezember 2002 zur Festlegung von tierseuchenrechtlichen Vorschriften für das Herstellen, die Verarbeitung, den Vertrieb und die Einfuhr von Lebensmitteln tierischen Ursprungs</w:t>
            </w:r>
          </w:p>
        </w:tc>
        <w:tc>
          <w:tcPr>
            <w:tcW w:w="1421" w:type="pct"/>
            <w:shd w:val="clear" w:color="auto" w:fill="auto"/>
          </w:tcPr>
          <w:p>
            <w:pPr>
              <w:widowControl w:val="0"/>
              <w:spacing w:before="60" w:after="60"/>
              <w:jc w:val="center"/>
              <w:rPr>
                <w:noProof/>
                <w:szCs w:val="24"/>
              </w:rPr>
            </w:pPr>
            <w:r>
              <w:rPr>
                <w:noProof/>
              </w:rPr>
              <w:t>2018</w:t>
            </w:r>
          </w:p>
        </w:tc>
      </w:tr>
      <w:tr>
        <w:tc>
          <w:tcPr>
            <w:tcW w:w="3579" w:type="pct"/>
            <w:shd w:val="clear" w:color="auto" w:fill="auto"/>
          </w:tcPr>
          <w:p>
            <w:pPr>
              <w:pageBreakBefore/>
              <w:autoSpaceDE w:val="0"/>
              <w:autoSpaceDN w:val="0"/>
              <w:adjustRightInd w:val="0"/>
              <w:spacing w:before="60" w:after="60"/>
              <w:jc w:val="left"/>
              <w:rPr>
                <w:noProof/>
                <w:szCs w:val="24"/>
              </w:rPr>
            </w:pPr>
            <w:r>
              <w:rPr>
                <w:noProof/>
              </w:rPr>
              <w:t>Verordnung (EG) Nr. 852/2004 des Europäischen Parlaments und des Rates vom 29. April 2004 über Lebensmittelhygiene</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autoSpaceDE w:val="0"/>
              <w:autoSpaceDN w:val="0"/>
              <w:adjustRightInd w:val="0"/>
              <w:spacing w:before="60" w:after="60"/>
              <w:jc w:val="left"/>
              <w:rPr>
                <w:noProof/>
                <w:szCs w:val="24"/>
              </w:rPr>
            </w:pPr>
            <w:r>
              <w:rPr>
                <w:noProof/>
              </w:rPr>
              <w:t>Verordnung (EG) Nr. 853/2004 des Europäischen Parlaments und des Rates vom 29. April 2004 mit spezifischen Hygienevorschriften für Lebensmittel tierischen Ursprungs</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Verordnung (EG) Nr. 854/2004 des Europäischen Parlaments und des Rates vom 29. April 2004 mit besonderen Verfahrensvorschriften für die amtliche Überwachung von zum menschlichen Verzehr bestimmten Erzeugnissen tierischen Ursprungs</w:t>
            </w:r>
          </w:p>
        </w:tc>
        <w:tc>
          <w:tcPr>
            <w:tcW w:w="1421" w:type="pct"/>
            <w:shd w:val="clear" w:color="auto" w:fill="auto"/>
          </w:tcPr>
          <w:p>
            <w:pPr>
              <w:spacing w:before="60" w:after="60"/>
              <w:jc w:val="center"/>
              <w:rPr>
                <w:caps/>
                <w:noProof/>
                <w:szCs w:val="24"/>
              </w:rPr>
            </w:pPr>
            <w:r>
              <w:rPr>
                <w:caps/>
                <w:noProof/>
              </w:rPr>
              <w:t>2016</w:t>
            </w:r>
          </w:p>
        </w:tc>
      </w:tr>
      <w:tr>
        <w:tc>
          <w:tcPr>
            <w:tcW w:w="3579" w:type="pct"/>
            <w:shd w:val="clear" w:color="auto" w:fill="auto"/>
          </w:tcPr>
          <w:p>
            <w:pPr>
              <w:autoSpaceDE w:val="0"/>
              <w:autoSpaceDN w:val="0"/>
              <w:adjustRightInd w:val="0"/>
              <w:spacing w:before="60" w:after="60"/>
              <w:jc w:val="left"/>
              <w:rPr>
                <w:noProof/>
                <w:szCs w:val="24"/>
              </w:rPr>
            </w:pPr>
            <w:r>
              <w:rPr>
                <w:noProof/>
              </w:rPr>
              <w:t>Verordnung (EG) Nr. 669/2009 der Kommission vom 24. Juli 2009 zur Durchführung der Verordnung (EG) Nr. 882/2004 des Europäischen Parlaments und des Rates im Hinblick auf verstärkte amtliche Kontrollen bei der Einfuhr bestimmter Futtermittel und Lebensmittel nicht tierischen Ursprungs und zur Änderung der Entscheidung 2006/504/EG</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Verordnung (EU) Nr. 16/2011 der Kommission vom 10. Januar 2011 mit Durchführungsbestimmungen für das Schnellwarnsystem für Lebens- und Futtermittel</w:t>
            </w:r>
          </w:p>
        </w:tc>
        <w:tc>
          <w:tcPr>
            <w:tcW w:w="1421" w:type="pct"/>
            <w:shd w:val="clear" w:color="auto" w:fill="auto"/>
          </w:tcPr>
          <w:p>
            <w:pPr>
              <w:spacing w:before="60" w:after="60"/>
              <w:jc w:val="center"/>
              <w:rPr>
                <w:caps/>
                <w:noProof/>
                <w:szCs w:val="24"/>
              </w:rPr>
            </w:pPr>
            <w:r>
              <w:rPr>
                <w:caps/>
                <w:noProof/>
              </w:rPr>
              <w:t>2020</w:t>
            </w:r>
          </w:p>
        </w:tc>
      </w:tr>
      <w:tr>
        <w:tc>
          <w:tcPr>
            <w:tcW w:w="3579" w:type="pct"/>
            <w:shd w:val="clear" w:color="auto" w:fill="auto"/>
          </w:tcPr>
          <w:p>
            <w:pPr>
              <w:autoSpaceDE w:val="0"/>
              <w:autoSpaceDN w:val="0"/>
              <w:adjustRightInd w:val="0"/>
              <w:spacing w:before="60" w:after="60"/>
              <w:jc w:val="left"/>
              <w:rPr>
                <w:noProof/>
                <w:szCs w:val="24"/>
              </w:rPr>
            </w:pPr>
            <w:r>
              <w:rPr>
                <w:noProof/>
              </w:rPr>
              <w:t>Durchführungsverordnung (EU) Nr. 931/2011 der Kommission vom 19. September 2011 über die mit der Verordnung (EG) Nr. 178/2002 des Europäischen Parlaments und des Rates festgelegten Rückverfolgbarkeitsanforderungen an Lebensmittel tierischen Ursprungs</w:t>
            </w:r>
          </w:p>
        </w:tc>
        <w:tc>
          <w:tcPr>
            <w:tcW w:w="1421" w:type="pct"/>
            <w:shd w:val="clear" w:color="auto" w:fill="auto"/>
          </w:tcPr>
          <w:p>
            <w:pPr>
              <w:spacing w:before="60" w:after="60"/>
              <w:jc w:val="center"/>
              <w:rPr>
                <w:caps/>
                <w:noProof/>
                <w:szCs w:val="24"/>
              </w:rPr>
            </w:pPr>
            <w:r>
              <w:rPr>
                <w:caps/>
                <w:noProof/>
              </w:rPr>
              <w:t>2018</w:t>
            </w:r>
          </w:p>
        </w:tc>
      </w:tr>
      <w:tr>
        <w:tc>
          <w:tcPr>
            <w:tcW w:w="3579" w:type="pct"/>
            <w:shd w:val="clear" w:color="auto" w:fill="auto"/>
          </w:tcPr>
          <w:p>
            <w:pPr>
              <w:autoSpaceDE w:val="0"/>
              <w:autoSpaceDN w:val="0"/>
              <w:adjustRightInd w:val="0"/>
              <w:spacing w:before="60" w:after="60"/>
              <w:jc w:val="left"/>
              <w:rPr>
                <w:noProof/>
                <w:szCs w:val="24"/>
              </w:rPr>
            </w:pPr>
            <w:r>
              <w:rPr>
                <w:noProof/>
              </w:rPr>
              <w:t>Durchführungsverordnung (EU) Nr. 208/2013 der Kommission vom 11. März 2013 über die Anforderungen an die Rückverfolgbarkeit von Sprossen und von Samen zur Erzeugung von Sprossen</w:t>
            </w:r>
          </w:p>
        </w:tc>
        <w:tc>
          <w:tcPr>
            <w:tcW w:w="1421" w:type="pct"/>
            <w:shd w:val="clear" w:color="auto" w:fill="auto"/>
          </w:tcPr>
          <w:p>
            <w:pPr>
              <w:spacing w:before="60" w:after="60"/>
              <w:jc w:val="center"/>
              <w:rPr>
                <w:caps/>
                <w:noProof/>
                <w:szCs w:val="24"/>
              </w:rPr>
            </w:pPr>
            <w:r>
              <w:rPr>
                <w:caps/>
                <w:noProof/>
              </w:rPr>
              <w:t>2018</w:t>
            </w:r>
          </w:p>
        </w:tc>
      </w:tr>
      <w:tr>
        <w:tc>
          <w:tcPr>
            <w:tcW w:w="5000" w:type="pct"/>
            <w:gridSpan w:val="2"/>
            <w:shd w:val="clear" w:color="auto" w:fill="auto"/>
          </w:tcPr>
          <w:p>
            <w:pPr>
              <w:pageBreakBefore/>
              <w:spacing w:before="60" w:after="60"/>
              <w:jc w:val="center"/>
              <w:rPr>
                <w:noProof/>
                <w:szCs w:val="24"/>
              </w:rPr>
            </w:pPr>
            <w:r>
              <w:rPr>
                <w:noProof/>
              </w:rPr>
              <w:t>Kennzeichnung von Lebensmitteln und Angaben dazu</w:t>
            </w:r>
          </w:p>
        </w:tc>
      </w:tr>
      <w:tr>
        <w:trPr>
          <w:trHeight w:val="718"/>
        </w:trPr>
        <w:tc>
          <w:tcPr>
            <w:tcW w:w="3579" w:type="pct"/>
            <w:shd w:val="clear" w:color="auto" w:fill="auto"/>
          </w:tcPr>
          <w:p>
            <w:pPr>
              <w:spacing w:before="60" w:after="60"/>
              <w:jc w:val="left"/>
              <w:rPr>
                <w:noProof/>
                <w:szCs w:val="24"/>
              </w:rPr>
            </w:pPr>
            <w:r>
              <w:rPr>
                <w:noProof/>
              </w:rPr>
              <w:t>Verordnung (EG) Nr. 1924/2006 des Europäischen Parlaments und des Rates vom 20. Dezember 2006 über nährwert- und gesundheitsbezogene Angaben über Lebensmittel</w:t>
            </w:r>
          </w:p>
        </w:tc>
        <w:tc>
          <w:tcPr>
            <w:tcW w:w="1421" w:type="pct"/>
            <w:shd w:val="clear" w:color="auto" w:fill="auto"/>
          </w:tcPr>
          <w:p>
            <w:pPr>
              <w:spacing w:before="60" w:after="60"/>
              <w:jc w:val="center"/>
              <w:rPr>
                <w:noProof/>
                <w:szCs w:val="24"/>
              </w:rPr>
            </w:pPr>
            <w:r>
              <w:rPr>
                <w:noProof/>
              </w:rPr>
              <w:t>2018</w:t>
            </w:r>
          </w:p>
        </w:tc>
      </w:tr>
      <w:tr>
        <w:trPr>
          <w:trHeight w:val="718"/>
        </w:trPr>
        <w:tc>
          <w:tcPr>
            <w:tcW w:w="3579" w:type="pct"/>
            <w:shd w:val="clear" w:color="auto" w:fill="auto"/>
          </w:tcPr>
          <w:p>
            <w:pPr>
              <w:spacing w:before="60" w:after="60"/>
              <w:jc w:val="left"/>
              <w:rPr>
                <w:noProof/>
                <w:szCs w:val="24"/>
              </w:rPr>
            </w:pPr>
            <w:r>
              <w:rPr>
                <w:noProof/>
              </w:rPr>
              <w:t>Verordnung (EG) Nr. 1925/2006 des Europäischen Parlaments und des Rates vom 20. Dezember 2006 über den Zusatz von Vitaminen und Mineralstoffen sowie bestimmten anderen Stoffen zu Lebensmitteln</w:t>
            </w:r>
          </w:p>
        </w:tc>
        <w:tc>
          <w:tcPr>
            <w:tcW w:w="1421" w:type="pct"/>
            <w:shd w:val="clear" w:color="auto" w:fill="auto"/>
          </w:tcPr>
          <w:p>
            <w:pPr>
              <w:spacing w:before="60" w:after="60"/>
              <w:jc w:val="center"/>
              <w:rPr>
                <w:noProof/>
                <w:szCs w:val="24"/>
              </w:rPr>
            </w:pPr>
            <w:r>
              <w:rPr>
                <w:noProof/>
              </w:rPr>
              <w:t>2018</w:t>
            </w:r>
          </w:p>
        </w:tc>
      </w:tr>
      <w:tr>
        <w:trPr>
          <w:trHeight w:val="718"/>
        </w:trPr>
        <w:tc>
          <w:tcPr>
            <w:tcW w:w="3579" w:type="pct"/>
            <w:shd w:val="clear" w:color="auto" w:fill="auto"/>
          </w:tcPr>
          <w:p>
            <w:pPr>
              <w:spacing w:before="60" w:after="60"/>
              <w:jc w:val="left"/>
              <w:rPr>
                <w:noProof/>
                <w:szCs w:val="24"/>
              </w:rPr>
            </w:pPr>
            <w:r>
              <w:rPr>
                <w:noProof/>
              </w:rPr>
              <w:t>Verordnung (EU) Nr. 1169/2011 des Europäischen Parlaments und des Rates vom 25. Oktober 2011 betreffend die Information der Verbraucher über Lebensmittel und zur Änderung der Verordnungen (EG) Nr. 1924/2006 und (EG) Nr. 1925/2006 des Europäischen Parlaments und des Rates und zur Aufhebung der Richtlinie 87/250/EWG der Kommission, der Richtlinie 90/496/EWG des Rates, der Richtlinie 1999/10/EG der Kommission, der Richtlinie 2000/13/EG des Europäischen Parlaments und des Rates, der Richtlinien 2002/67/EG und 2008/5/EG der Kommission und der Verordnung (EG) Nr. 608/2004 der Kommission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2011/91/EU des Europäischen Parlaments und des Rates vom 13. Dezember 2011 über Angaben oder Marken, mit denen sich das Los, zu dem ein Lebensmittel gehört, feststellen lässt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432/2012 der Kommission vom 16. Mai 2012 zur Festlegung einer Liste zulässiger anderer gesundheitsbezogener Angaben über Lebensmittel als Angaben über die Reduzierung eines Krankheitsrisikos sowie die Entwicklung und die Gesundheit von Kindern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Durchführungsbeschluss 2013/63/EU der Kommission vom 24. Januar 2013 zur Annahme von Leitlinien zur Umsetzung der in Artikel 10 der Verordnung (EG) Nr. 1924/2006 des Europäischen Parlaments und des Rates dargelegten speziellen Bedingungen für gesundheitsbezogene Angaben</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Maßnahmen für tierische Erzeugnisse</w:t>
            </w:r>
          </w:p>
        </w:tc>
      </w:tr>
      <w:tr>
        <w:trPr>
          <w:trHeight w:val="317"/>
        </w:trPr>
        <w:tc>
          <w:tcPr>
            <w:tcW w:w="3579" w:type="pct"/>
            <w:shd w:val="clear" w:color="auto" w:fill="auto"/>
          </w:tcPr>
          <w:p>
            <w:pPr>
              <w:spacing w:before="60" w:after="60"/>
              <w:jc w:val="left"/>
              <w:rPr>
                <w:noProof/>
                <w:szCs w:val="24"/>
              </w:rPr>
            </w:pPr>
            <w:r>
              <w:rPr>
                <w:noProof/>
              </w:rPr>
              <w:t>Richtlinie 2001/110/EG des Rates vom 20. Dezember 2001 über Honig</w:t>
            </w:r>
          </w:p>
        </w:tc>
        <w:tc>
          <w:tcPr>
            <w:tcW w:w="1421" w:type="pct"/>
            <w:shd w:val="clear" w:color="auto" w:fill="auto"/>
          </w:tcPr>
          <w:p>
            <w:pPr>
              <w:spacing w:before="60" w:after="60"/>
              <w:jc w:val="center"/>
              <w:rPr>
                <w:noProof/>
                <w:szCs w:val="24"/>
              </w:rPr>
            </w:pPr>
            <w:r>
              <w:rPr>
                <w:noProof/>
              </w:rPr>
              <w:t>2019</w:t>
            </w:r>
          </w:p>
        </w:tc>
      </w:tr>
      <w:tr>
        <w:trPr>
          <w:trHeight w:val="20"/>
        </w:trPr>
        <w:tc>
          <w:tcPr>
            <w:tcW w:w="3579" w:type="pct"/>
            <w:shd w:val="clear" w:color="auto" w:fill="auto"/>
          </w:tcPr>
          <w:p>
            <w:pPr>
              <w:spacing w:before="60" w:after="60"/>
              <w:jc w:val="left"/>
              <w:rPr>
                <w:noProof/>
                <w:szCs w:val="24"/>
              </w:rPr>
            </w:pPr>
            <w:r>
              <w:rPr>
                <w:noProof/>
              </w:rPr>
              <w:t>Entscheidung 2002/226/EG der Kommission vom 15. März 2002 zur Einführung spezieller Gesundheitskontrollen für die Ernte und die Verarbeitung bestimmter Muscheln, deren Gehalt an ASP (Amnesic Shellfish Poison) den in der Richtlinie 91/492/EWG des Rates genannten Höchstwert übersteigt</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2065/2003 des Europäischen Parlaments und des Rates vom 10. November 2003 über Raucharomen zur tatsächlichen oder beabsichtigten Verwendung in oder auf Lebensmitteln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I Anhang 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V Anhang III)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VII Anhang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VIII Anhang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Verordnung (EG) Nr. 853/2004 des Europäischen Parlaments und des Rates vom 29. April 2004 mit spezifischen Hygienevorschriften für Lebensmittel tierischen Ursprungs (Kapitel IX Anhang III)</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X Anhang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XI Anhang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XII Anhang III)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XIII Anhang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XIV Anhang III)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XV Anhang III)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854/2004 des Europäischen Parlaments und des Rates vom 29. April 2004 mit besonderen Verfahrensvorschriften für die amtliche Überwachung von zum menschlichen Verzehr bestimmten Erzeugnissen tierischen Ursprungs</w:t>
            </w:r>
          </w:p>
        </w:tc>
        <w:tc>
          <w:tcPr>
            <w:tcW w:w="1421" w:type="pct"/>
            <w:shd w:val="clear" w:color="auto" w:fill="auto"/>
          </w:tcPr>
          <w:p>
            <w:pPr>
              <w:spacing w:before="60" w:after="60"/>
              <w:jc w:val="center"/>
              <w:rPr>
                <w:noProof/>
                <w:szCs w:val="24"/>
              </w:rPr>
            </w:pPr>
            <w:r>
              <w:rPr>
                <w:noProof/>
              </w:rPr>
              <w:t>2019</w:t>
            </w:r>
          </w:p>
        </w:tc>
      </w:tr>
      <w:tr>
        <w:tc>
          <w:tcPr>
            <w:tcW w:w="3579" w:type="pct"/>
            <w:tcBorders>
              <w:top w:val="single" w:sz="4" w:space="0" w:color="auto"/>
              <w:left w:val="single" w:sz="4" w:space="0" w:color="auto"/>
              <w:bottom w:val="single" w:sz="4" w:space="0" w:color="auto"/>
              <w:right w:val="single" w:sz="4" w:space="0" w:color="auto"/>
            </w:tcBorders>
            <w:shd w:val="clear" w:color="auto" w:fill="auto"/>
          </w:tcPr>
          <w:p>
            <w:pPr>
              <w:spacing w:before="60" w:after="60"/>
              <w:jc w:val="left"/>
              <w:rPr>
                <w:noProof/>
                <w:szCs w:val="24"/>
              </w:rPr>
            </w:pPr>
            <w:r>
              <w:rPr>
                <w:noProof/>
              </w:rPr>
              <w:t>Verordnung (EG) Nr. 37/2005 der Kommission vom 12. Januar 2005 zur Überwachung der Temperaturen von tief gefrorenen Lebensmitteln in Beförderungsmitteln sowie Einlagerungs- und Lagereinrichtungen</w:t>
            </w:r>
          </w:p>
        </w:tc>
        <w:tc>
          <w:tcPr>
            <w:tcW w:w="1421" w:type="pct"/>
            <w:tcBorders>
              <w:top w:val="single" w:sz="4" w:space="0" w:color="auto"/>
              <w:left w:val="single" w:sz="4" w:space="0" w:color="auto"/>
              <w:bottom w:val="single" w:sz="4" w:space="0" w:color="auto"/>
              <w:right w:val="single" w:sz="4" w:space="0" w:color="auto"/>
            </w:tcBorders>
            <w:shd w:val="clear" w:color="auto" w:fill="auto"/>
          </w:tcPr>
          <w:p>
            <w:pPr>
              <w:spacing w:before="60" w:after="60"/>
              <w:jc w:val="center"/>
              <w:rPr>
                <w:noProof/>
                <w:szCs w:val="24"/>
              </w:rPr>
            </w:pPr>
            <w:r>
              <w:rPr>
                <w:noProof/>
              </w:rPr>
              <w:t>2016</w:t>
            </w:r>
          </w:p>
        </w:tc>
      </w:tr>
      <w:tr>
        <w:trPr>
          <w:trHeight w:val="792"/>
        </w:trPr>
        <w:tc>
          <w:tcPr>
            <w:tcW w:w="3579" w:type="pct"/>
            <w:shd w:val="clear" w:color="auto" w:fill="auto"/>
          </w:tcPr>
          <w:p>
            <w:pPr>
              <w:pageBreakBefore/>
              <w:spacing w:before="60" w:after="60"/>
              <w:jc w:val="left"/>
              <w:rPr>
                <w:noProof/>
                <w:szCs w:val="24"/>
              </w:rPr>
            </w:pPr>
            <w:r>
              <w:rPr>
                <w:noProof/>
              </w:rPr>
              <w:t>Verordnung (EG) Nr. 1331/2008 des Europäischen Parlaments und des Rates vom 16. Dezember 2008 über ein einheitliches Zulassungsverfahren für Lebensmittelzusatzstoffe, -enzyme und -aromen</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 xml:space="preserve">Verordnung (EG) Nr. 1332/2008 des Europäischen Parlaments und des Rates vom 16. Dezember 2008 über Lebensmittelenzyme und zur Änderung der Richtlinie 83/417/EWG des Rates, der Verordnung (EG) Nr. 1493/1999 des Rates, der Richtlinie 2000/13/EG, der Richtlinie 2001/112/EG des Rates sowie der Verordnung (EG) Nr. 258/97 </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Verordnung (EG) Nr. 1333/2008 des Europäischen Parlaments und des Rates vom 16. Dezember 2008 über Lebensmittelzusatzstoffe</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Verordnung (EG) Nr. 1334/2008 des Europäischen Parlaments und des Rates vom 16. Dezember 2008 über Aromen und bestimmte Lebensmittelzutaten mit Aromaeigenschaften zur Verwendung in und auf Lebensmitteln sowie zur Änderung der Verordnung (EWG) Nr. 1601/91 des Rates, der Verordnungen (EG) Nr. 2232/96 und (EG) Nr. 110/2008 und der Richtlinie 2000/13/EG</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Verordnung (EU) Nr. 234/2011 der Kommission vom 10. März 2011 zur Durchführung der Verordnung (EG) Nr. 1331/2008 des Europäischen Parlaments und des Rates über ein einheitliches Zulassungsverfahren für Lebensmittelzusatzstoffe, -enzyme und -aromen</w:t>
            </w:r>
          </w:p>
        </w:tc>
        <w:tc>
          <w:tcPr>
            <w:tcW w:w="1421" w:type="pct"/>
            <w:shd w:val="clear" w:color="auto" w:fill="auto"/>
          </w:tcPr>
          <w:p>
            <w:pPr>
              <w:spacing w:before="60" w:after="60"/>
              <w:jc w:val="center"/>
              <w:rPr>
                <w:noProof/>
                <w:szCs w:val="24"/>
              </w:rPr>
            </w:pPr>
            <w:r>
              <w:rPr>
                <w:noProof/>
              </w:rPr>
              <w:t>2018</w:t>
            </w:r>
          </w:p>
        </w:tc>
      </w:tr>
      <w:tr>
        <w:trPr>
          <w:trHeight w:val="520"/>
        </w:trPr>
        <w:tc>
          <w:tcPr>
            <w:tcW w:w="3579" w:type="pct"/>
            <w:shd w:val="clear" w:color="auto" w:fill="auto"/>
          </w:tcPr>
          <w:p>
            <w:pPr>
              <w:spacing w:before="60" w:after="60"/>
              <w:jc w:val="left"/>
              <w:rPr>
                <w:noProof/>
                <w:szCs w:val="24"/>
              </w:rPr>
            </w:pPr>
            <w:r>
              <w:rPr>
                <w:noProof/>
              </w:rPr>
              <w:t>Verordnung (EU) Nr. 231/2012 der Kommission vom 9. März 2012 mit Spezifikationen für die in den Anhängen II und III der Verordnung (EG) Nr. 1333/2008 des Europäischen Parlaments und des Rates aufgeführten Lebensmittelzusatzstoffe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Durchführungsverordnung (EU) Nr. 872/2012 der Kommission vom 1. Oktober 2012 zur Festlegung der Liste der Aromastoffe gemäß der Verordnung (EG) Nr. 2232/96 des Europäischen Parlaments und des Rates, zur Aufnahme dieser Liste in Anhang I der Verordnung (EG) Nr. 1334/2008 des Europäischen Parlaments und des Rates sowie zur Aufhebung der Verordnung (EG) Nr. 1565/2000 der Kommission und der Entscheidung 1999/217/EG der Kommission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873/2012 der Kommission vom 1. Oktober 2012 über Übergangsmaßnahmen bezüglich der Unionsliste der Aromen und Ausgangsstoffe gemäß Anhang I der Verordnung (EG) Nr. 1334/2008 des Europäischen Parlaments und des Rates</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Sonstige Maßnahmen</w:t>
            </w:r>
          </w:p>
        </w:tc>
      </w:tr>
      <w:tr>
        <w:tc>
          <w:tcPr>
            <w:tcW w:w="3579" w:type="pct"/>
            <w:shd w:val="clear" w:color="auto" w:fill="auto"/>
          </w:tcPr>
          <w:p>
            <w:pPr>
              <w:spacing w:before="60" w:after="60"/>
              <w:jc w:val="left"/>
              <w:rPr>
                <w:noProof/>
                <w:szCs w:val="24"/>
              </w:rPr>
            </w:pPr>
            <w:r>
              <w:rPr>
                <w:noProof/>
              </w:rPr>
              <w:t>Richtlinie 78/142/EWG des Rates vom 30. Januar 1978 zur Angleichung der Rechtsvorschriften der Mitgliedstaaten über Vinylchlorid-Monomer enthaltende Materialien und Gegenstände,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82/711/EWG des Rates vom 18. Oktober 1982 über die Grundregeln für die Ermittlung der Migration aus Materialien und Gegenständen aus Kunststoff,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84/500/EWG des Rates vom 15. Oktober 1984 zur Angleichung der Rechtsvorschriften der Mitgliedstaaten über Keramikgegenstände,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85/572/EWG des Rates vom 19. Dezember 1985 über die Liste der Simulanzlösemittel für die Migrationsuntersuchungen von Materialien und Gegenständen aus Kunststoff,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93/11/EWG der Kommission vom 15. März 1993 über die Freisetzung von N-Nitrosaminen und N-nitrosierbaren Stoffen aus Flaschen- und Beruhigungssaugern aus Elastomeren oder Gummi</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Verordnung (EG) Nr. 1829/2003 des Europäischen Parlaments und des Rates vom 22. September 2003 über genetisch veränderte Lebensmittel und Futtermittel</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641/2004 der Kommission vom 6. April 2004 mit Durchführungsbestimmungen zur Verordnung (EG) Nr. 1829/2003 des Europäischen Parlaments und des Rates hinsichtlich des Antrags auf Zulassung neuer genetisch veränderter Lebensmittel und Futtermittel, der Meldung bestehender Erzeugnisse und des zufälligen oder technisch unvermeidbaren Vorhandenseins genetisch veränderten Materials, zu dem die Risikobewertung befürwortend ausgefallen ist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1935/2004 des Europäischen Parlaments und des Rates vom 27. Oktober 2004 über Materialien und Gegenstände, die dazu bestimmt sind, mit Lebensmitteln in Berührung zu kommen, und zur Aufhebung der Richtlinien 80/590/EWG und 89/109/EWG</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1895/2005 der Kommission vom 18. November 2005 über die Beschränkung der Verwendung bestimmter Epoxyderivate in Materialien und Gegenständen,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2023/2006 der Kommission vom 22. Dezember 2006 über gute Herstellungspraxis für Materialien und Gegenstände,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Entscheidung 2007/275/EG der Kommission vom 17. April 2007 mit Verzeichnissen von Tieren und Erzeugnissen, die gemäß den Richtlinien 91/496/EWG und 97/78/EG des Rates an Grenzkontrollstellen zu kontrollieren sind</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2007/42/EG der Kommission vom 29. Juni 2007 über Materialien und Gegenstände aus Zellglasfolien,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Verordnung (EG) Nr. 282/2008 der Kommission vom 27. März 2008 über Materialien und Gegenstände aus recyceltem Kunststoff, die dazu bestimmt sind, mit Lebensmitteln in Berührung zu kommen, und zur Änderung der Verordnung (EG) Nr. 2023/2006</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450/2009 der Kommission vom 29. Mai 2009 über aktive und intelligente Materialien und Gegenstände,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Beschluss 2010/169/EU der Kommission vom 19. März 2010 über die Nichtaufnahme von 2,4,4'-Trichloro-2'-hydroxydiphenylether in das in der Richtlinie 2002/72/EG enthaltene Unionsverzeichnis von Additiven, die bei der Herstellung von Materialien und Gegenständen aus Kunststoff, die dazu bestimmt sind, mit Lebensmitteln in Berührung zu kommen, verwendet werden dürfen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(EU) Nr. 10/2011 der Kommission vom 14. Januar 2011 über Materialien und Gegenstände aus Kunststoff, die dazu bestimmt sind, mit Lebensmitteln in Berührung zu kommen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(EU) Nr. 284/2011 der Kommission vom 22. März 2011 mit besonderen Bedingungen und detaillierten Verfahren für die Einfuhr von Polyamid- und Melamin-Kunststoffküchenartikeln, deren Ursprung oder Herkunft die Volksrepublik China bzw. die Sonderverwaltungsregion Hongkong, China, ist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(EU) Nr. 28/2012 der Kommission vom 11. Januar 2012 mit Bescheinigungsanforderungen für die Einfuhr in und die Durchfuhr durch die Europäische Union bestimmter zusammengesetzter Erzeugnisse und zur Änderung der Entscheidung 2007/275/EG und der Verordnung (EG) Nr. 1162/2009</w:t>
            </w:r>
          </w:p>
        </w:tc>
        <w:tc>
          <w:tcPr>
            <w:tcW w:w="1421" w:type="pct"/>
            <w:shd w:val="clear" w:color="auto" w:fill="auto"/>
          </w:tcPr>
          <w:p>
            <w:pPr>
              <w:spacing w:before="60" w:after="60"/>
              <w:jc w:val="center"/>
              <w:rPr>
                <w:noProof/>
                <w:szCs w:val="24"/>
              </w:rPr>
            </w:pPr>
            <w:r>
              <w:rPr>
                <w:noProof/>
              </w:rPr>
              <w:t>2021</w:t>
            </w:r>
          </w:p>
        </w:tc>
      </w:tr>
      <w:tr>
        <w:tc>
          <w:tcPr>
            <w:tcW w:w="5000" w:type="pct"/>
            <w:gridSpan w:val="2"/>
            <w:shd w:val="clear" w:color="auto" w:fill="auto"/>
          </w:tcPr>
          <w:p>
            <w:pPr>
              <w:spacing w:before="60" w:after="60"/>
              <w:jc w:val="center"/>
              <w:rPr>
                <w:noProof/>
                <w:szCs w:val="24"/>
              </w:rPr>
            </w:pPr>
            <w:r>
              <w:rPr>
                <w:noProof/>
              </w:rPr>
              <w:t>Nach der Annäherung der Rechtsvorschriften aufzunehmende Maßnahmen</w:t>
            </w:r>
          </w:p>
        </w:tc>
      </w:tr>
      <w:tr>
        <w:tc>
          <w:tcPr>
            <w:tcW w:w="3579" w:type="pct"/>
            <w:shd w:val="clear" w:color="auto" w:fill="auto"/>
          </w:tcPr>
          <w:p>
            <w:pPr>
              <w:spacing w:before="60" w:after="60"/>
              <w:jc w:val="left"/>
              <w:rPr>
                <w:noProof/>
                <w:szCs w:val="24"/>
              </w:rPr>
            </w:pPr>
            <w:r>
              <w:rPr>
                <w:noProof/>
              </w:rPr>
              <w:t>Richtlinie 96/23/EG des Rates vom 29. April 1996 über Kontrollmaßnahmen hinsichtlich bestimmter Stoffe und ihrer Rückstände in lebenden Tieren und tierischen Erzeugnissen und zur Aufhebung der Richtlinien 85/358/EWG und 86/469/EWG und der Entscheidungen 89/187/EWG und 91/664/EWG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Verordnung (EG) Nr. 258/97 des Europäischen Parlaments und des Rates vom 27. Januar 1997 über neuartige Lebensmittel und neuartige Lebensmittelzutaten </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Richtlinie 1999/2/EG des Europäischen Parlaments und des Rates vom 22. Februar 1999 zur Angleichung der Rechtsvorschriften der Mitgliedstaaten über mit ionisierenden Strahlen behandelte Lebensmittel und Lebensmittelbestandteile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Richtlinie 1999/3/EG des Europäischen Parlaments und des Rates vom 22. Februar 1999 über die Festlegung einer Gemeinschaftsliste von mit ionisierenden Strahlen behandelten Lebensmitteln und Lebensmittelbestandteilen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Richtlinie 2002/63/EG der Kommission vom 11. Juli 2002 zur Festlegung gemeinschaftlicher Probenahmemethoden zur amtlichen Kontrolle von Pestizidrückständen in und auf Erzeugnissen pflanzlichen und tierischen Ursprungs und zur Aufhebung der Richtlinie 79/700/EWG</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Verordnung (EG) Nr. 401/2006 der Kommission vom 23. Februar 2006 zur Festlegung der Probenahmeverfahren und Analysemethoden für die amtliche Kontrolle des Mykotoxingehalts von Lebensmitteln</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Verordnung (EG) Nr. 1881/2006 der Kommission vom 19. Dezember 2006 zur Festsetzung der Höchstgehalte für bestimmte Kontaminanten in Lebensmitteln</w:t>
            </w:r>
          </w:p>
        </w:tc>
        <w:tc>
          <w:tcPr>
            <w:tcW w:w="1421" w:type="pct"/>
            <w:shd w:val="clear" w:color="auto" w:fill="auto"/>
          </w:tcPr>
          <w:p>
            <w:pPr>
              <w:spacing w:before="60" w:after="60"/>
              <w:jc w:val="center"/>
              <w:rPr>
                <w:noProof/>
                <w:szCs w:val="24"/>
              </w:rPr>
            </w:pPr>
            <w:r>
              <w:rPr>
                <w:noProof/>
              </w:rPr>
              <w:t>2018</w:t>
            </w:r>
          </w:p>
        </w:tc>
      </w:tr>
      <w:tr>
        <w:trPr>
          <w:trHeight w:val="681"/>
        </w:trPr>
        <w:tc>
          <w:tcPr>
            <w:tcW w:w="3579" w:type="pct"/>
            <w:shd w:val="clear" w:color="auto" w:fill="auto"/>
          </w:tcPr>
          <w:p>
            <w:pPr>
              <w:spacing w:before="60" w:after="60"/>
              <w:jc w:val="left"/>
              <w:rPr>
                <w:noProof/>
                <w:szCs w:val="24"/>
              </w:rPr>
            </w:pPr>
            <w:r>
              <w:rPr>
                <w:noProof/>
              </w:rPr>
              <w:t>Verordnung (EG) Nr. 1882/2006 der Kommission vom 19. Dezember 2006 zur Festlegung der Probenahmeverfahren und Analysemethoden für die amtliche Kontrolle des Nitratgehalts von bestimmten Lebensmitteln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333/2007 der Kommission vom 28. März 2007 zur Festlegung der Probenahme- und Analysemethoden für die amtliche Kontrolle des Gehalts an Spurenelementen und Prozesskontaminanten in Lebensmitteln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589/2014 der Kommission vom 2. Juni 2014 zur Festlegung der Probenahmeverfahren und Analysemethoden für die Kontrolle der Gehalte an Dioxinen, dioxinähnlichen PCB und nicht dioxinähnlichen PCB in bestimmten Lebensmitteln sowie zur Aufhebung der Verordnung (EU) Nr. 252/2012</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Kapitel II – Tiergesundheit</w:t>
            </w:r>
          </w:p>
        </w:tc>
      </w:tr>
      <w:tr>
        <w:tc>
          <w:tcPr>
            <w:tcW w:w="3579" w:type="pct"/>
            <w:shd w:val="clear" w:color="auto" w:fill="auto"/>
          </w:tcPr>
          <w:p>
            <w:pPr>
              <w:spacing w:before="60" w:after="60"/>
              <w:jc w:val="left"/>
              <w:rPr>
                <w:noProof/>
                <w:szCs w:val="24"/>
              </w:rPr>
            </w:pPr>
            <w:r>
              <w:rPr>
                <w:noProof/>
              </w:rPr>
              <w:t>Richtlinie 64/432/EWG des Rates vom 26. Juni 1964 zur Regelung viehseuchenrechtlicher Fragen beim innergemeinschaftlichen Handelsverkehr mit Rindern und Schweinen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86/474/EWG der Kommission vom 11. September 1986 zur Durchführung tierärztlicher Kontrollen an Ort und Stelle im Rahmen der Regelung über die Einfuhr von Rindern und Schweinen und frischem Fleisch aus Drittländern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88/407/EWG des Rates vom 14. Juni 1988 zur Festlegung der tierseuchenrechtlichen Anforderungen an den innergemeinschaftlichen Handelsverkehr mit Samen von Rindern und an dessen Einfuhr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89/556/EWG des Rates vom 25. September 1989 über viehseuchenrechtliche Fragen beim innergemeinschaftlichen Handel mit Embryonen von Hausrindern und ihrer Einfuhr aus Drittländern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90/429/EWG des Rates vom 26. Juni 1990 zur Festlegung der tierseuchenrechtlichen Anforderungen an den innergemeinschaftlichen Handelsverkehr mit Samen von Schweinen und an dessen Einfuhr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92/65/EWG des Rates vom 13. Juli 1992 über die tierseuchenrechtlichen Bedingungen für den Handel mit Tieren, Samen, Eizellen und Embryonen in der Gemeinschaft sowie für ihre Einfuhr in die Gemeinschaft, soweit sie diesbezüglich nicht den spezifischen Gemeinschaftsregelungen nach Anhang A Abschnitt I der Richtlinie 90/425/EWG unterliegen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Verordnung (EG) Nr. 338/97 des Rates vom 9. Dezember 1996 über den Schutz von Exemplaren wildlebender Tier- und Pflanzenarten durch Überwachung des Handels </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Entscheidung 2004/211/EG der Kommission vom 6. Januar 2004 zur Erstellung der Liste von Drittländern und Teilen von Drittländern, aus denen die Mitgliedstaaten die Einfuhr von lebenden Equiden sowie von Equidensperma, -eizellen und -embryonen zulassen, und zur Änderung der Entscheidungen 93/195/EWG und 94/63/EG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853/2004 des Europäischen Parlaments und des Rates vom 29. April 2004 mit spezifischen Hygienevorschriften für Lebensmittel tierischen Ursprungs (Kapitel VII)</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1739/2005 der Kommission vom 21. Oktober 2005 zur Festlegung der Veterinärbedingungen für die Verbringung von Zirkustieren zwischen Mitgliedstaaten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2006/168/EG der Kommission vom 4. Januar 2006 zur Festlegung der Veterinärbedingungen und Veterinärbescheinigungen für die Einfuhr von Rinderembryonen in die Gemeinschaft und zur Aufhebung der Entscheidung 2005/217/EG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2006/605/EG der Kommission vom 6. September 2006 über Schutzmaßnahmen beim innergemeinschaftlichen Handel mit Hausgeflügel, das zur Aufstockung von Wildbeständen bestimmt ist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2006/88/EG des Rates vom 24. Oktober 2006 mit Gesundheits- und Hygienevorschriften für Tiere in Aquakultur und Aquakulturerzeugnisse und zur Verhütung und Bekämpfung bestimmter Wassertierkrankheiten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Entscheidung 2006/767/EG der Kommission vom 6. November 2006 zur Änderung der Entscheidungen 2003/804/EG und 2003/858/EG hinsichtlich der Anforderungen an die Bescheinigung für zum menschlichen Verzehr bestimmte lebende Weichtiere und lebende Zuchtfische sowie daraus gewonnene Erzeugnisse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Verordnung (EG) Nr. 798/2008 der Kommission vom 8. August 2008 zur Erstellung einer Liste von Drittländern, Gebieten, Zonen und Kompartimenten, aus denen die Einfuhr von Geflügel und Geflügelerzeugnissen in die Gemeinschaft und ihre Durchfuhr durch die Gemeinschaft zugelassen ist, und zur Festlegung der diesbezüglichen Veterinärbescheinigungen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1251/2008 der Kommission vom 12. Dezember 2008 zur Durchführung der Richtlinie 2006/88/EG des Rates hinsichtlich der Bedingungen und Bescheinigungsvorschriften für das Inverkehrbringen und die Einfuhr in die Gemeinschaft von Tieren in Aquakultur und Aquakulturerzeugnissen sowie zur Festlegung einer Liste von Überträgerarten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Entscheidung 2009/712/EG der Kommission vom 18. September 2009 zur Umsetzung der Richtlinie 2008/73/EG des Rates hinsichtlich Informationsseiten im Internet mit Listen der Einrichtungen und Labors, die von den Mitgliedstaaten gemäß den veterinär- und tierzuchtrechtlichen Vorschriften der Gemeinschaft zugelassen wurden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2009/156/EG des Rates vom 30. November 2009 zur Festlegung der tierseuchenrechtlichen Vorschriften für das Verbringen von Equiden und für ihre Einfuhr aus Drittländern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2009/158/EG des Rates vom 30. November 2009 über die tierseuchenrechtlichen Bedingungen für den innergemeinschaftlichen Handel mit Geflügel und Bruteiern sowie für ihre Einfuhr aus Drittländern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Beschluss 2010/57/EU der Kommission vom 3. Februar 2010 zur Festlegung von Gesundheitsgarantien für die Durchfuhr von Equiden durch die in Anhang I der Richtlinie 97/78/EG des Rates aufgeführten Gebiete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Beschluss 2010/270/EU der Kommission vom 6. Mai 2010 zur Änderung von Anhang E Teile 1 und 2 der Richtlinie 92/65/EWG des Rates hinsichtlich der Muster-Veterinärbescheinigungen für Tiere aus Betrieben bzw. für Bienen und Hummeln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Beschluss 2010/471/EU der Kommission vom 26. August 2010 über die Einfuhr von Samen, Eizellen und Embryonen von Equiden in die Union bezüglich der Listen der Besamungsstationen, Samendepots, Embryo-Entnahmeeinheiten und Embryo-Erzeugungseinheiten sowie bezüglich der Bescheinigungsanforderungen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Beschluss 2010/472/EU der Kommission vom 26. August 2010 über die Einfuhr von Samen, Eizellen und Embryonen von Schafen und Ziegen in die Union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Durchführungsbeschluss 2011/630/EU der Kommission vom 20. September 2011 über die Einfuhr von Rindersperma in die Europäische Union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 xml:space="preserve">Durchführungsbeschluss 2012/137/EU der Kommission vom 1. März 2012 über die Einfuhr von Samen von Hausschweinen in die Europäische Union </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Tierseuchen</w:t>
            </w:r>
          </w:p>
        </w:tc>
      </w:tr>
      <w:tr>
        <w:tc>
          <w:tcPr>
            <w:tcW w:w="3579" w:type="pct"/>
            <w:shd w:val="clear" w:color="auto" w:fill="auto"/>
          </w:tcPr>
          <w:p>
            <w:pPr>
              <w:spacing w:before="60" w:after="60"/>
              <w:jc w:val="left"/>
              <w:rPr>
                <w:noProof/>
                <w:szCs w:val="24"/>
              </w:rPr>
            </w:pPr>
            <w:r>
              <w:rPr>
                <w:noProof/>
              </w:rPr>
              <w:t>Richtlinie 82/894/EWG des Rates vom 21. Dezember 1982 über die Mitteilung von Viehseuchen in der Gemeinschaft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92/260/EWG der Kommission vom 10. April 1992 über die tierseuchenrechtlichen Bedingungen und die Beurkundung für die zeitweilige Zulassung registrierter Pferde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92/35/EWG des Rates vom 29. April 1992 zur Festlegung von Kontrollregeln und Maßnahmen zur Bekämpfung der Pferdepest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92/119/EWG des Rates vom 17. Dezember 1992 mit allgemeinen Gemeinschaftsmaßnahmen zur Bekämpfung bestimmter Tierseuchen sowie besonderen Maßnahmen bezüglich der vesikulären Schweinekrankheit</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Entscheidung 93/197/EWG der Kommission vom 5. Februar 1993 über die tierseuchenrechtlichen Bedingungen und die Beurkundung für die Einfuhr von registrierten Equiden sowie Zucht- und Nutzequiden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2000/428/EG der Kommission vom 4. Juli 2000 zur Festlegung von Diagnosemethoden, Probenahmeverfahren und Kriterien für die Auswertung der Ergebnisse von Laboruntersuchungen zur Bestätigung und Differentialdiagnose der vesikulären Schweinekrankheit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2000/75/EG des Rates vom 20. November 2000 mit besonderen Bestimmungen für Maßnahmen zur Bekämpfung und Tilgung der Blauzungenkrankheit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2001/89/EG des Rates vom 23. Oktober 2001 über Maßnahmen der Gemeinschaft zur Bekämpfung der klassischen Schweinepest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2002/60/EG des Rates vom 27. Juni 2002 zur Festlegung von besonderen Vorschriften für die Bekämpfung der Afrikanischen Schweinepest sowie zur Änderung der Richtlinie 92/119/EWG hinsichtlich der Teschener Krankheit und der Afrikanischen Schweinepest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2003/466/EG der Kommission vom 13. Juni 2003 mit Kriterien für die Zonenabgrenzung und die amtliche Überwachung bei Verdacht auf oder Feststellung der Infektiösen Anämie der Lachse (ISA)</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2003/634/EG der Kommission vom 28. August 2003 zur Genehmigung von Programmen zur Erlangung des Status zugelassener Gebiete und zugelassener Betriebe in nicht zugelassenen Gebieten hinsichtlich der Fischseuchen virale hämorrhagische Septikämie (VHS) und infektiöse hämatopoetische Nekrose (IHN)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2005/217/EG der Kommission vom 9. März 2005 zur Festlegung der Veterinärbedingungen und Veterinärbescheinigungen für die Einfuhr von Rinderembryonen in die Gemeinschaft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rFonts w:eastAsia="Calibri"/>
                <w:noProof/>
                <w:szCs w:val="24"/>
              </w:rPr>
            </w:pPr>
            <w:r>
              <w:rPr>
                <w:noProof/>
              </w:rPr>
              <w:t>Entscheidung 2008/855/EG der Kommission vom 3. November 2008 mit tierseuchenrechtlichen Maßnahmen zur Bekämpfung der klassischen Schweinepest in bestimmten Mitgliedstaaten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Beschluss 2009/3/EG der Kommission vom 18. Dezember 2008 über die Bildung gemeinschaftlicher Impfstoffreserven gegen die Pferdepest</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789/2009 der Kommission vom 28. August 2009 zur Änderung der Verordnung (EG) Nr. 1266/2007 hinsichtlich des Schutzes vor Vektorangriffen und der Mindestanforderungen an die Programme zur Überwachung und Beobachtung der Blauzungenkrankheit</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Kennzeichnung und Registrierung von Tieren</w:t>
            </w:r>
          </w:p>
        </w:tc>
      </w:tr>
      <w:tr>
        <w:tc>
          <w:tcPr>
            <w:tcW w:w="3579" w:type="pct"/>
            <w:shd w:val="clear" w:color="auto" w:fill="auto"/>
          </w:tcPr>
          <w:p>
            <w:pPr>
              <w:spacing w:before="60" w:after="60"/>
              <w:jc w:val="left"/>
              <w:rPr>
                <w:noProof/>
                <w:szCs w:val="24"/>
              </w:rPr>
            </w:pPr>
            <w:r>
              <w:rPr>
                <w:noProof/>
              </w:rPr>
              <w:t>Verordnung (EG) Nr. 494/98 der Kommission vom 27. Februar 1998 mit Durchführungsvorschriften zu der Verordnung (EG) Nr. 820/97 des Rates im Hinblick auf die Anwendung von verwaltungsrechtlichen Mindestsanktionen im Rahmen des Systems zur Kennzeichnung und Registrierung von Rindern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Verordnung (EG) Nr. 1760/2000 des Europäischen Parlaments und des Rates vom 17. Juli 2000 zur Einführung eines Systems zur Kennzeichnung und Registrierung von Rindern und über die Etikettierung von Rindfleisch und Rindfleischerzeugnissen sowie zur Aufhebung der Verordnung (EG) Nr. 820/97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Entscheidung 2000/678/EG der Kommission vom 23. Oktober 2000 mit Durchführungsbestimmungen für die Registrierung von Betrieben in nationalen Datenbanken für Schweine gemäß der Richtlinie 64/432/EWG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1082/2003 der Kommission vom 23. Juni 2003 mit Durchführungsvorschriften zur Verordnung (EG) Nr. 1760/2000 des Europäischen Parlaments und des Rates für die Mindestkontrollen im Rahmen des Systems zur Kennzeichnung und Registrierung von Rindern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Verordnung (EG) Nr. 21/2004 des Rates vom 17. Dezember 2003 zur Einführung eines Systems zur Kennzeichnung und Registrierung von Schafen und Ziegen und zur Änderung der Verordnung (EG) Nr. 1782/2003 sowie der Richtlinien 92/102/EWG und 64/432/EWG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911/2004 der Kommission vom 29. April 2004 zur Umsetzung der Verordnung (EG) Nr. 1760/2000 des Europäischen Parlaments und des Rates in Bezug auf Ohrmarken, Tierpässe und Bestandsregister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Entscheidung 2006/28/EG der Kommission vom 18. Januar 2006 über die Verlängerung der Frist für die Ohrmarkung bestimmter Rinder</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Verordnung (EG) Nr. 1505/2006 der Kommission vom 11. Oktober 2006 zur Durchführung der Verordnung (EG) Nr. 21/2004 des Rates bezüglich der erforderlichen Mindestkontrollen im Zusammenhang mit der Kennzeichnung und Registrierung von Schafen und Ziegen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Entscheidung 2006/968/EG der Kommission vom 15. Dezember 2006 zur Durchführung der Verordnung (EG) Nr. 21/2004 des Rates hinsichtlich der Leitlinien und Verfahrensvorschriften für die Anwendung der elektronischen Kennzeichnung von Schafen und Ziegen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Richtlinie 2008/71/EG des Rates vom 15. Juli 2008 über die Kennzeichnung und Registrierung von Schweinen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rFonts w:eastAsia="Calibri"/>
                <w:noProof/>
                <w:szCs w:val="24"/>
              </w:rPr>
            </w:pPr>
            <w:r>
              <w:rPr>
                <w:noProof/>
              </w:rPr>
              <w:t>Durchführungsverordnung (EU) 2015/262 der Kommission vom 17. Februar 2015 zur Festlegung von Vorschriften gemäß den Richtlinien 90/427/EWG und 2009/156/EG des Rates in Bezug auf die Methoden zur Identifizierung von Equiden (Equidenpass-Verordnung)</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color w:val="C00000"/>
                <w:szCs w:val="24"/>
              </w:rPr>
            </w:pPr>
            <w:r>
              <w:rPr>
                <w:noProof/>
              </w:rPr>
              <w:t>Tierische Nebenprodukte</w:t>
            </w:r>
          </w:p>
        </w:tc>
      </w:tr>
      <w:tr>
        <w:tc>
          <w:tcPr>
            <w:tcW w:w="3579" w:type="pct"/>
            <w:shd w:val="clear" w:color="auto" w:fill="auto"/>
          </w:tcPr>
          <w:p>
            <w:pPr>
              <w:spacing w:before="60" w:after="60"/>
              <w:jc w:val="left"/>
              <w:rPr>
                <w:noProof/>
                <w:szCs w:val="24"/>
              </w:rPr>
            </w:pPr>
            <w:r>
              <w:rPr>
                <w:noProof/>
              </w:rPr>
              <w:t>Verordnung (EG) Nr. 2160/2003 des Europäischen Parlaments und des Rates vom 17. November 2003 zur Bekämpfung von Salmonellen und bestimmten anderen durch Lebensmittel übertragbaren Zoonoseerregern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2003/99/EG des Europäischen Parlaments und des Rates vom 17. November 2003 zur Überwachung von Zoonosen und Zoonoseerregern und zur Änderung der Entscheidung 90/424/EWG des Rates sowie zur Aufhebung der Richtlinie 92/117/EWG des Rates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1069/2009 des Europäischen Parlaments und des Rates vom 21. Oktober 2009 mit Hygienevorschriften für nicht für den menschlichen Verzehr bestimmte tierische Nebenprodukte und zur Aufhebung der Verordnung (EG) Nr. 1774/2002 (Verordnung über tierische Nebenprodukte)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142/2011 der Kommission vom 25. Februar 2011 zur Durchführung der Verordnung (EG) Nr. 1069/2009 des Europäischen Parlaments und des Rates mit Hygienevorschriften für nicht für den menschlichen Verzehr bestimmte tierische Nebenprodukte sowie zur Durchführung der Richtlinie 97/78/EG des Rates hinsichtlich bestimmter gemäß der genannten Richtlinie von Veterinärkontrollen an der Grenze befreiter Proben und Waren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749/2011 der Kommission vom 29. Juli 2011 zur Änderung der Verordnung (EU) Nr. 142/2011 zur Durchführung der Verordnung (EG) Nr. 1069/2009 des Europäischen Parlaments und des Rates mit Hygienevorschriften für nicht für den menschlichen Verzehr bestimmte tierische Nebenprodukte sowie zur Durchführung der Richtlinie 97/78/EG des Rates hinsichtlich bestimmter gemäß der genannten Richtlinie von Veterinärkontrollen an der Grenze befreiter Proben und Waren</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pageBreakBefore/>
              <w:spacing w:before="60" w:after="60"/>
              <w:jc w:val="center"/>
              <w:rPr>
                <w:noProof/>
                <w:szCs w:val="24"/>
              </w:rPr>
            </w:pPr>
            <w:r>
              <w:rPr>
                <w:noProof/>
              </w:rPr>
              <w:t>Maßnahmen für Futtermittel und Futtermittelzusatzstoffe</w:t>
            </w:r>
          </w:p>
        </w:tc>
      </w:tr>
      <w:tr>
        <w:tc>
          <w:tcPr>
            <w:tcW w:w="3579" w:type="pct"/>
            <w:shd w:val="clear" w:color="auto" w:fill="auto"/>
          </w:tcPr>
          <w:p>
            <w:pPr>
              <w:spacing w:before="60" w:after="60"/>
              <w:jc w:val="left"/>
              <w:rPr>
                <w:noProof/>
                <w:szCs w:val="24"/>
              </w:rPr>
            </w:pPr>
            <w:r>
              <w:rPr>
                <w:noProof/>
              </w:rPr>
              <w:t>Richtlinie 90/167/EWG des Rates vom 26. März 1990 zur Festlegung der Bedingungen für die Herstellung, das Inverkehrbringen und die Verwendung von Fütterungsarzneimitteln in der Gemeinschaft</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2001/82/EG des Europäischen Parlaments und des Rates vom 6. November 2001 zur Schaffung eines Gemeinschaftskodexes für Tierarzneimittel</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1831/2003 des Europäischen Parlaments und des Rates vom 22. September 2003 über Zusatzstoffe zur Verwendung in der Tierernährung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2004/28/EG des Europäischen Parlaments und des Rates vom 31. März 2004 zur Änderung der Richtlinie 2001/82/EG zur Schaffung eines Gemeinschaftskodexes für Tierarzneimittel</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Empfehlung 2004/704/EG der Kommission vom 11. Oktober 2004 zur Überwachung der natürlichen Belastung von Futtermitteln mit Dioxinen und dioxinähnlichen PCB</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183/2005 des Europäischen Parlaments und des Rates vom 12. Januar 2005 mit Vorschriften für die Futtermittelhygiene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378/2005 der Kommission vom 4. März 2005 mit Durchführungsbestimmungen zu der Verordnung (EG) Nr. 1831/2003 des Europäischen Parlaments und des Rates hinsichtlich der Pflichten und Aufgaben des gemeinschaftlichen Referenzlaboratoriums in Bezug auf Anträge auf Zulassung von Futtermittelzusatzstoffen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1876/2006 der Kommission vom 18. Dezember 2006 zur befristeten beziehungsweise unbefristeten Zulassung bestimmter Zusatzstoffe in Futtermitteln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2008/38/EG der Kommission vom 5. März 2008 mit dem Verzeichnis der Verwendungen von Futtermitteln für besondere Ernährungszwecke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Verordnung (EG) Nr. 429/2008 der Kommission vom 25. April 2008 mit Durchführungsbestimmungen zur Verordnung (EG) Nr. 1831/2003 des Europäischen Parlaments und des Rates hinsichtlich der Erstellung und Vorlage von Anträgen sowie der Bewertung und Zulassung von Futtermittelzusatzstoffen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470/2009 des Europäischen Parlaments und des Rates vom 6. Mai 2009 über die Schaffung eines Gemeinschaftsverfahrens für die Festsetzung von Höchstmengen für Rückstände pharmakologisch wirksamer Stoffe in Lebensmitteln tierischen Ursprungs, zur Aufhebung der Verordnung (EWG) Nr. 2377/90 des Rates und zur Änderung der Richtlinie 2001/82/EG des Europäischen Parlaments und des Rates und der Verordnung (EG) Nr. 726/2004 des Europäischen Parlaments und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767/2009 des Europäischen Parlaments und des Rates vom 13. Juli 2009 über das Inverkehrbringen und die Verwendung von Futtermitteln, zur Änderung der Verordnung (EG) Nr. 1831/2003 des Europäischen Parlaments und des Rates und zur Aufhebung der Richtlinien 79/373/EWG des Rates, 80/511/EWG der Kommission, 82/471/EWG des Rates, 83/228/EWG des Rates, 93/74/EWG des Rates, 93/113/EG des Rates und 96/25/EG des Rates und der Entscheidung 2004/217/EG der Kommission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1270/2009 der Kommission vom 21. Dezember 2009 zur Zulassung bestimmter Zusatzstoffe in Futtermitteln auf unbegrenzte Zeit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37/2010 der Kommission vom 22. Dezember 2009 über pharmakologisch wirksame Stoffe und ihre Einstufung hinsichtlich der Rückstandshöchstmengen in Lebensmitteln tierischen Ursprungs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892/2010 der Kommission vom 8. Oktober 2010 über den Status bestimmter Erzeugnisse hinsichtlich Futtermittelzusatzstoffen im Sinne der Verordnung (EG) Nr. 1831/2003 des Europäischen Parlaments und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Empfehlung 2011/25/EU der Kommission vom 14. Januar 2011 zur Festlegung von Leitlinien für die Unterscheidung zwischen Einzelfuttermitteln, Futtermittelzusatzstoffen, Biozid-Produkten und Tierarzneimitteln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68/2013 der Kommission vom 16. Januar 2013 zum Katalog der Einzelfuttermittel</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Tierschutz</w:t>
            </w:r>
          </w:p>
        </w:tc>
      </w:tr>
      <w:tr>
        <w:tc>
          <w:tcPr>
            <w:tcW w:w="3579" w:type="pct"/>
            <w:shd w:val="clear" w:color="auto" w:fill="auto"/>
          </w:tcPr>
          <w:p>
            <w:pPr>
              <w:spacing w:before="60" w:after="60"/>
              <w:jc w:val="left"/>
              <w:rPr>
                <w:noProof/>
                <w:szCs w:val="24"/>
              </w:rPr>
            </w:pPr>
            <w:r>
              <w:rPr>
                <w:noProof/>
              </w:rPr>
              <w:t>Richtlinie 1999/74/EG des Rates vom 19. Juli 1999 zur Festlegung von Mindestanforderungen zum Schutz von Legehennen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2002/4/EG der Kommission vom 30. Januar 2002 über die Registrierung von Legehennenbetrieben gemäß der Richtlinie 1999/74/EG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1/2005 des Rates vom 22. Dezember 2004 über den Schutz von Tieren beim Transport und damit zusammenhängenden Vorgängen sowie zur Änderung der Richtlinien 64/432/EWG und 93/119/EG und der Verordnung (EG) Nr. 1255/97</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Entscheidung 2006/778/EG der Kommission vom 14. November 2006 über Mindestanforderungen an die Erfassung von Informationen bei Kontrollen von Betrieben, in denen bestimmte landwirtschaftliche Nutztiere gehalten werden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2007/43/EG des Rates vom 28. Juni 2007 mit Mindestvorschriften zum Schutz von Masthühnern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2008/119/EG des Rates vom 18. Dezember 2008 zur Festlegung von Mindestanforderungen für den Schutz von Kälbern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2008/120/EG des Rates vom 18. Dezember 2008 über Mindestanforderungen für den Schutz von Schweinen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Verordnung (EG) Nr. 1099/2009 des Rates vom 24. September 2009 über den Schutz von Tieren zum Zeitpunkt der Tötung</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Durchführungsbeschluss 2013/188/EU der Kommission vom 18. April 2013 betreffend die Jahresberichte über nichtdiskriminierende Kontrollen gemäß der Verordnung (EG) Nr. 1/2005 über den Schutz von Tieren beim Transport und damit zusammenhängenden Vorgängen sowie zur Änderung der Richtlinien 64/432/EWG und 93/119/EG und der Verordnung (EG) Nr. 1255/97</w:t>
            </w:r>
          </w:p>
        </w:tc>
        <w:tc>
          <w:tcPr>
            <w:tcW w:w="1421" w:type="pct"/>
            <w:shd w:val="clear" w:color="auto" w:fill="auto"/>
          </w:tcPr>
          <w:p>
            <w:pPr>
              <w:spacing w:before="60" w:after="60"/>
              <w:jc w:val="center"/>
              <w:rPr>
                <w:noProof/>
                <w:szCs w:val="24"/>
              </w:rPr>
            </w:pPr>
            <w:r>
              <w:rPr>
                <w:noProof/>
              </w:rPr>
              <w:t>2018</w:t>
            </w:r>
          </w:p>
        </w:tc>
      </w:tr>
      <w:tr>
        <w:tc>
          <w:tcPr>
            <w:tcW w:w="5000" w:type="pct"/>
            <w:gridSpan w:val="2"/>
            <w:shd w:val="clear" w:color="auto" w:fill="auto"/>
          </w:tcPr>
          <w:p>
            <w:pPr>
              <w:spacing w:before="60" w:after="60"/>
              <w:jc w:val="center"/>
              <w:rPr>
                <w:noProof/>
                <w:szCs w:val="24"/>
              </w:rPr>
            </w:pPr>
            <w:r>
              <w:rPr>
                <w:noProof/>
              </w:rPr>
              <w:t>Kapitel III – Pflanzenschutzrechtliche Maßnahmen</w:t>
            </w:r>
          </w:p>
        </w:tc>
      </w:tr>
      <w:tr>
        <w:tc>
          <w:tcPr>
            <w:tcW w:w="3579" w:type="pct"/>
            <w:shd w:val="clear" w:color="auto" w:fill="auto"/>
          </w:tcPr>
          <w:p>
            <w:pPr>
              <w:spacing w:before="60" w:after="60"/>
              <w:jc w:val="left"/>
              <w:rPr>
                <w:noProof/>
                <w:szCs w:val="24"/>
              </w:rPr>
            </w:pPr>
            <w:r>
              <w:rPr>
                <w:noProof/>
              </w:rPr>
              <w:t>Richtlinie 66/401/EWG des Rates vom 14. Juni 1966 über den Verkehr mit Futterpflanzensaatgut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66/402/EWG des Rates vom 14. Juni 1966 über den Verkehr mit Getreidesaatgut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69/464/EWG des Rates vom 8. Dezember 1969 zur Bekämpfung des Kartoffelkrebses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Richtlinie 92/90/EWG der Kommission vom 3. November 1992 über die Verpflichtungen der Erzeuger und Einführer von Pflanzen, Pflanzenerzeugnissen oder anderen Gegenständen sowie über die Einzelheiten ihrer Registrierung </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92/105/EWG der Kommission vom 3. Dezember 1992 über eine begrenzte Vereinheitlichung der bei der Verbringung bestimmter Pflanzen, Pflanzenerzeugnisse oder anderer Gegenstände innerhalb der Gemeinschaft zu verwendenden Pflanzenpässe, zur Festlegung des Verfahrens für ihre Ausstellung sowie der Kriterien und des Verfahrens betreffend Austauschpässe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Richtlinie 93/51/EWG der Kommission vom 24. Juni 1993 mit Vorschriften über das Verbringen bestimmter Pflanzen, Pflanzenerzeugnisse und anderer Gegenstände durch Schutzgebiete und über das Verbringen bestimmter Pflanzen, Pflanzenerzeugnisse und anderer Gegenstände mit Ursprung in und innerhalb von Schutzgebieten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Richtlinie 93/85/EWG des Rates vom 4. Oktober 1993 zur Bekämpfung der bakteriellen Ringfäule der Kartoffel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Richtlinie 94/3/EG der Kommission vom 21. Januar 1994 über ein Verfahren zur Meldung der Beanstandung einer Sendung oder eines Schadorganismus, die aus einem Drittland stammen und eine unmittelbare Gefahr für die Pflanzengesundheit darstellen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2100/94 des Rates vom 27. Juli 1994 über den gemeinschaftlichen Sortenschutz</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1238/95 der Kommission vom 31. Mai 1995 zur Durchführung der Verordnung (EG) Nr. 2100/94 des Rates im Hinblick auf die an das Gemeinschaftliche Sortenamt zu entrichtenden Gebühren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1768/95 der Kommission vom 24. Juli 1995 über die Ausnahmeregelung gemäß Artikel 14 Absatz 3 der Verordnung (EG) Nr. 2100/94 über den gemeinschaftlichen Sortenschutz</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2506/95 des Rates vom 25. Oktober 1995 zur Änderung der Verordnung (EG) Nr. 2100/94 über den gemeinschaftlichen Sortenschutz</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2470/96 des Rates vom 17. Dezember 1996 zur Verlängerung der Gültigkeitsdauer des gemeinschaftlichen Sortenschutzes für Kartoffeln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Richtlinie 97/46/EG der Kommission vom 25. Juli 1997 zur Änderung der Richtlinie 95/44/EG mit den Bedingungen, unter denen bestimmte Schadorganismen, Pflanzen, Pflanzenerzeugnisse und andere Gegenstände gemäß den Anhängen I bis V der Richtlinie 77/93/EWG des Rates zu Versuchs-, Forschungs- und Züchtungszwecken in die Gemeinschaft oder bestimmte Schutzgebiete derselben eingeführt oder darin verbracht werden dürfen </w:t>
            </w:r>
          </w:p>
        </w:tc>
        <w:tc>
          <w:tcPr>
            <w:tcW w:w="1421" w:type="pct"/>
            <w:shd w:val="clear" w:color="auto" w:fill="auto"/>
          </w:tcPr>
          <w:p>
            <w:pPr>
              <w:spacing w:before="60" w:after="60"/>
              <w:jc w:val="center"/>
              <w:rPr>
                <w:noProof/>
                <w:szCs w:val="24"/>
              </w:rPr>
            </w:pPr>
            <w:r>
              <w:rPr>
                <w:noProof/>
              </w:rPr>
              <w:t>2021</w:t>
            </w:r>
          </w:p>
        </w:tc>
      </w:tr>
      <w:tr>
        <w:tc>
          <w:tcPr>
            <w:tcW w:w="3579" w:type="pct"/>
            <w:shd w:val="clear" w:color="auto" w:fill="auto"/>
          </w:tcPr>
          <w:p>
            <w:pPr>
              <w:spacing w:before="60" w:after="60"/>
              <w:jc w:val="left"/>
              <w:rPr>
                <w:noProof/>
                <w:szCs w:val="24"/>
              </w:rPr>
            </w:pPr>
            <w:r>
              <w:rPr>
                <w:noProof/>
              </w:rPr>
              <w:t>Richtlinie 98/22/EG der Kommission vom 15. April 1998 mit Mindestanforderungen für die Durchführung von Pflanzengesundheitskontrollen von aus Drittländern eingeführten Pflanzen, Pflanzenerzeugnissen oder anderen Gegenständen in der Gemeinschaft an anderen Kontrollstellen als denen des Bestimmungsorts</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Richtlinie 98/56/EG des Rates vom 20. Juli 1998 über das Inverkehrbringen von Vermehrungsmaterial von Zierpflanzen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98/57/EG des Rates vom 20. Juli 1998 zur Bekämpfung von Ralstonia solanacearum (Smith) Yabuuchi et al.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2605/98 der Kommission vom 3. Dezember 1998 zur Änderung der Verordnung (EG) Nr. 1768/95 über die Ausnahmeregelung gemäß Artikel 14 Absatz 3 der Verordnung (EG) Nr. 2100/94 des Rates über den gemeinschaftlichen Sortenschutz</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Richtlinie 2000/29/EG des Rates vom 8. Mai 2000 über Maßnahmen zum Schutz der Gemeinschaft gegen die Einschleppung und Ausbreitung von Schadorganismen der Pflanzen und Pflanzenerzeugnisse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2002/54/EG des Rates vom 13. Juni 2002 über den Verkehr mit Betarübensaatgut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2002/55/EG des Rates vom 13. Juni 2002 über den Verkehr mit Gemüsesaatgut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2002/56/EG des Rates vom 13. Juni 2002 über den Verkehr mit Pflanzkartoffeln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2002/57/EG des Rates vom 13. Juni 2002 über den Verkehr mit Saatgut von Öl- und Faserpflanzen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2003/17/EG des Rates vom 16. Dezember 2002 über die Gleichstellung von Feldbesichtigungen von Saatgutvermehrungsbeständen in Drittländern und über die Gleichstellung von in Drittländern erzeugtem Saatgut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Verordnung (EG) Nr. 1830/2003 des Europäischen Parlaments und des Rates vom 22. September 2003 über die Rückverfolgbarkeit und Kennzeichnung von genetisch veränderten Organismen und über die Rückverfolgbarkeit von aus genetisch veränderten Organismen hergestellten Lebensmitteln und Futtermitteln sowie zur Änderung der Richtlinie 2001/18/EG</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Verordnung (EG) Nr. 2003/2003 des Europäischen Parlaments und des Rates vom 13. Oktober 2003 über Düngemittel</w:t>
            </w:r>
          </w:p>
        </w:tc>
        <w:tc>
          <w:tcPr>
            <w:tcW w:w="1421" w:type="pct"/>
            <w:shd w:val="clear" w:color="auto" w:fill="auto"/>
          </w:tcPr>
          <w:p>
            <w:pPr>
              <w:spacing w:before="60" w:after="60"/>
              <w:jc w:val="center"/>
              <w:rPr>
                <w:noProof/>
                <w:szCs w:val="24"/>
              </w:rPr>
            </w:pPr>
            <w:r>
              <w:rPr>
                <w:noProof/>
              </w:rPr>
              <w:t>2021</w:t>
            </w:r>
          </w:p>
        </w:tc>
      </w:tr>
      <w:tr>
        <w:tc>
          <w:tcPr>
            <w:tcW w:w="3579" w:type="pct"/>
            <w:shd w:val="clear" w:color="auto" w:fill="auto"/>
          </w:tcPr>
          <w:p>
            <w:pPr>
              <w:spacing w:before="60" w:after="60"/>
              <w:jc w:val="left"/>
              <w:rPr>
                <w:noProof/>
                <w:szCs w:val="24"/>
              </w:rPr>
            </w:pPr>
            <w:r>
              <w:rPr>
                <w:noProof/>
              </w:rPr>
              <w:t>Verordnung (EG) Nr. 882/2004 des Europäischen Parlaments und des Rates vom 29. April 2004 über amtliche Kontrollen zur Überprüfung der Einhaltung des Lebensmittel- und Futtermittelrechts sowie der Bestimmungen über Tiergesundheit und Tierschutz</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2004/102/EG der Kommission vom 5. Oktober 2004 zur Änderung der Anhänge II, III, IV und V der Richtlinie 2000/29/EG des Rates über Maßnahmen zum Schutz der Gemeinschaft gegen die Einschleppung und Ausbreitung von Schadorganismen der Pflanzen und Pflanzenerzeugnisse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Richtlinie 2004/103/EG der Kommission vom 7. Oktober 2004 zur Regelung der Nämlichkeitskontrollen und Gesundheitsuntersuchungen von in Anhang V Teil B der Richtlinie 2000/29/EG des Rates genannten Pflanzen, Pflanzenerzeugnissen und anderen Gegenständen, die an einem anderen Ort als dem Ort des Eingangs in das Gebiet der Gemeinschaft oder an einem nahe gelegenen Ort durchgeführt werden können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1756/2004 der Kommission vom 11. Oktober 2004 zur Festlegung der erforderlichen Angaben sowie der Kriterien für Art und Umfang der Verringerung der Häufigkeit der Pflanzengesundheitsuntersuchungen bei bestimmten in Anhang V Teil B der Richtlinie 2000/29/EG des Rates aufgeführten Pflanzen, Pflanzenerzeugnissen und anderen Gegenständen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Richtlinie 2004/105/EG der Kommission vom 15. Oktober 2004 zur Festlegung der Muster der amtlichen Pflanzengesundheitszeugnisse und Pflanzengesundheitszeugnisse für die Wiederausfuhr, die den in Richtlinie 2000/29/EG des Rates aufgeführten Pflanzen, Pflanzenerzeugnissen und sonstigen Gegenständen aus Drittländern beiliegen</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pageBreakBefore/>
              <w:spacing w:before="60" w:after="60"/>
              <w:jc w:val="left"/>
              <w:rPr>
                <w:noProof/>
                <w:szCs w:val="24"/>
              </w:rPr>
            </w:pPr>
            <w:r>
              <w:rPr>
                <w:noProof/>
              </w:rPr>
              <w:t>Verordnung (EG) Nr. 396/2005 des Europäischen Parlaments und des Rates vom 23. Februar 2005 über Höchstgehalte an Pestizidrückständen in oder auf Lebens- und Futtermitteln pflanzlichen und tierischen Ursprungs und zur Änderung der Richtlinie 91/414/EWG des Rates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(EG) Nr. 217/2006 der Kommission vom 8. Februar 2006 mit Regeln für die Anwendung der Richtlinien 66/401/EWG, 66/402/EWG, 2002/54/EG, 2002/55/EG und 2002/57/EG des Rates hinsichtlich der Ermächtigung der Mitgliedstaaten, den Anforderungen in Bezug auf die Mindestkeimfähigkeit nicht entsprechendes Saatgut vorübergehend zum Verkehr zuzulassen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2007/33/EG des Rates vom 11. Juni 2007 zur Bekämpfung von Kartoffelnematoden und zur Aufhebung der Richtlinie 69/465/EWG</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Entscheidung 2008/495/EG der Kommission vom 7. Mai 2008 über das vorübergehende Verbot der Verwendung und des Verkaufs von genetisch verändertem Mais (Zea mays L., Linie MON810) gemäß der Richtlinie 2001/18/EG des Europäischen Parlaments und des Rates in Österreich</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2008/61/EG der Kommission vom 17. Juni 2008 mit den Bedingungen, unter denen bestimmte Pflanzen, Pflanzenerzeugnisse und andere Gegenstände gemäß den Anhängen I bis V der Richtlinie 2000/29/EG des Rates zu Versuchs-, Forschungs- und Züchtungszwecken in die Gemeinschaft oder bestimmte Schutzgebiete derselben eingeführt oder darin verbracht werden dürfen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Richtlinie 2008/72/EG des Rates vom 15. Juli 2008 über das Inverkehrbringen von Gemüsepflanzgut und Gemüsevermehrungsmaterial mit Ausnahme von Saatgut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2008/90/EG des Rates vom 29. September 2008 über das Inverkehrbringen von Vermehrungsmaterial und Pflanzen von Obstarten zur Fruchterzeugung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Entscheidung 2009/244/EG der Kommission vom 16. März 2009 über das Inverkehrbringen einer Nelkensorte (Dianthus caryophyllus L., Linie 123.8.12) mit genetisch veränderter Blütenfarbe gemäß der Richtlinie 2001/18/EG des Europäischen Parlaments und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2009/41/EG des Europäischen Parlaments und des Rates vom 6. Mai 2009 über die Anwendung genetisch veränderter Mikroorganismen in geschlossenen Systemen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Verordnung (EG) Nr. 874/2009 der Kommission vom 17. September 2009 zur Durchführung der Verordnung (EG) Nr. 2100/94 des Rates im Hinblick auf das Verfahren vor dem Gemeinschaftlichen Sortenamt</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Entscheidung 2009/770/EG der Kommission vom 13. Oktober 2009 zur Festlegung der Standardformulare für die Berichterstattung über die Überwachung der absichtlichen Freisetzung genetisch veränderter Organismen in die Umwelt als Produkte oder in Produkten zum Zweck des Inverkehrbringens gemäß der Richtlinie 2001/18/EG des Europäischen Parlaments und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Richtlinie 2009/128/EG des Europäischen Parlaments und des Rates vom 21. Oktober 2009 über einen Aktionsrahmen der Gemeinschaft für die nachhaltige Verwendung von Pestiziden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(EG) Nr. 1107/2009 des Europäischen Parlaments und des Rates vom 21. Oktober 2009 über das Inverkehrbringen von Pflanzenschutzmitteln und zur Aufhebung der Richtlinien 79/117/EWG und 91/414/EWG des Rates</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Beschluss 2010/135/EU der Kommission vom 2. März 2010 über das Inverkehrbringen eines genetisch veränderten Kartoffelerzeugnisses (Solanum tuberosum L. Linie EH92-527-1) mit erhöhtem Amylopectingehalt in der Stärke gemäß der Richtlinie 2001/18/EG des Europäischen Parlaments und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Empfehlung 2010/C 200/01 der Kommission vom 13. Juli 2010 mit Leitlinien für die Entwicklung nationaler Koexistenz-Maßnahmen zur Vermeidung des unbeabsichtigten Vorhandenseins von GVO in konventionellen und ökologischen Kulturpflanzen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Verordnung (EU) Nr. 188/2011 der Kommission vom 25. Februar 2011 mit Durchführungsbestimmungen zur Richtlinie 91/414/EWG des Rates in Bezug auf das Verfahren für die Bewertung von Wirkstoffen, die zwei Jahre nach Bekanntgabe der Richtlinie nicht im Handel waren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Durchführungsverordnung (EU) Nr. 540/2011 der Kommission vom 25. Mai 2011 zur Durchführung der Verordnung (EG) Nr. 1107/2009 des Europäischen Parlaments und des Rates hinsichtlich der Liste zugelassener Wirkstoffe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541/2011 der Kommission vom 1. Juni 2011 zur Änderung der Durchführungsverordnung (EU) Nr. 540/2011 zur Durchführung der Verordnung (EG) Nr. 1107/2009 des Europäischen Parlaments und des Rates hinsichtlich der Liste zugelassener Wirkstoffe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(EU) Nr. 547/2011 der Kommission vom 8. Juni 2011 zur Durchführung der Verordnung (EG) Nr. 1107/2009 des Europäischen Parlaments und des Rates hinsichtlich der Kennzeichnungsanforderungen für Pflanzenschutzmittel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(EU) Nr. 544/2011 der Kommission vom 10. Juni 2011 zur Durchführung der Verordnung (EG) Nr. 1107/2009 des Europäischen Parlaments und des Rates hinsichtlich der Datenanforderungen für Wirkstoffe</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Verordnung (EU) Nr. 545/2011 der Kommission vom 10. Juni 2011 zur Durchführung der Verordnung (EG) Nr. 1107/2009 des Europäischen Parlaments und des Rates hinsichtlich der Datenanforderungen für Pflanzenschutzmittel</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702/2011 der Kommission vom 20. Juli 2011 zur Genehmigung des Wirkstoffs Prohexadion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703/2011 der Kommission vom 20. Juli 2011 zur Genehmigung des Wirkstoffs Azoxystrobin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Durchführungsverordnung (EU) Nr. 704/2011 der Kommission vom 20. Juli 2011 zur Genehmigung des Wirkstoffs Azimsulfuron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705/2011 der Kommission vom 20. Juli 2011 zur Genehmigung des Wirkstoffs Imazalil gemäß der Verordnung (EG) Nr. 1107/2009 des Europäischen Parlaments und des Rates über das Inverkehrbringen von Pflanzenschutzmitteln und zur Änderung des Anhangs der Durchführungsverordnung (EU) Nr. 540/2011</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706/2011 der Kommission vom 20. Juli 2011 zur Genehmigung des Wirkstoffs Profoxydim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736/2011 der Kommission vom 26. Juli 2011 zur Genehmigung des Wirkstoffs Fluroxypyr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740/2011 der Kommission vom 27. Juli 2011 zur Genehmigung des Wirkstoffs Bispyribac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pageBreakBefore/>
              <w:spacing w:before="60" w:after="60"/>
              <w:jc w:val="left"/>
              <w:rPr>
                <w:noProof/>
                <w:szCs w:val="24"/>
              </w:rPr>
            </w:pPr>
            <w:r>
              <w:rPr>
                <w:noProof/>
              </w:rPr>
              <w:t>Durchführungsverordnung (EU) Nr. 786/2011 der Kommission vom 5. August 2011 zur Genehmigung des Wirkstoffs 1-Naphthylacetamid gemäß der Verordnung (EG) Nr. 1107/2009 des Europäischen Parlaments und des Rates über das Inverkehrbringen von Pflanzenschutzmitteln sowie zur Änderung des Anhangs der Durchführungsverordnung (EU) Nr. 540/2011 der Kommission und der Entscheidung 2008/941/EG der Kommission</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787/2011 der Kommission vom 5. August 2011 zur Genehmigung des Wirkstoffs 1-Naphthylessigsäure gemäß der Verordnung (EG) Nr. 1107/2009 des Europäischen Parlaments und des Rates über das Inverkehrbringen von Pflanzenschutzmitteln sowie zur Änderung des Anhangs der Durchführungsverordnung (EU) Nr. 540/2011 der Kommission und der Entscheidung 2008/941/EG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788/2011 der Kommission vom 5. August 2011 zur Genehmigung des Wirkstoffs Fluazifop-P gemäß der Verordnung (EG) Nr. 1107/2009 des Europäischen Parlaments und des Rates über das Inverkehrbringen von Pflanzenschutzmitteln sowie zur Änderung des Anhangs der Durchführungsverordnung (EU) Nr. 540/2011 der Kommission und der Entscheidung 2008/934/EG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797/2011 der Kommission vom 9. August 2011 zur Genehmigung des Wirkstoffs Spiroxamin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798/2011 der Kommission vom 9. August 2011 zur Genehmigung des Wirkstoffs Oxyfluorfen gemäß der Verordnung (EG) Nr. 1107/2009 des Europäischen Parlaments und des Rates über das Inverkehrbringen von Pflanzenschutzmitteln sowie zur Änderung des Anhangs der Durchführungsverordnung (EU) Nr. 540/2011 der Kommission und der Entscheidung 2008/934/EG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Durchführungsverordnung (EU) Nr. 800/2011 der Kommission vom 9. August 2011 zur Genehmigung des Wirkstoffs Tefluthrin gemäß der Verordnung (EG) Nr. 1107/2009 des Europäischen Parlaments und des Rates über das Inverkehrbringen von Pflanzenschutzmitteln sowie zur Änderung des Anhangs der Durchführungsverordnung (EU) Nr. 540/2011 der Kommission und der Entscheidung 2008/934/EG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807/2011 der Kommission vom 10. August 2011 zur Genehmigung des Wirkstoffs Triazoxid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810/2011 der Kommission vom 11. August 2011 zur Genehmigung des Wirkstoffs Kresoxim-Methyl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974/2011 der Kommission vom 29. September 2011 zur Genehmigung des Wirkstoffs Acrinathrin gemäß der Verordnung (EG) Nr. 1107/2009 des Europäischen Parlaments und des Rates über das Inverkehrbringen von Pflanzenschutzmitteln sowie zur Änderung des Anhangs der Durchführungsverordnung (EU) Nr. 540/2011 der Kommission und der Entscheidung 2008/934/EG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993/2011 der Kommission vom 6. Oktober 2011 zur Genehmigung des Wirkstoffs 8-Hydroxychinolin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pageBreakBefore/>
              <w:spacing w:before="60" w:after="60"/>
              <w:jc w:val="left"/>
              <w:rPr>
                <w:noProof/>
                <w:szCs w:val="24"/>
              </w:rPr>
            </w:pPr>
            <w:r>
              <w:rPr>
                <w:noProof/>
              </w:rPr>
              <w:t>Durchführungsverordnung (EU) Nr. 1143/2011 der Kommission vom 10. November 2011 zur Genehmigung des Wirkstoffs Prochloraz gemäß der Verordnung (EG) Nr. 1107/2009 des Europäischen Parlaments und des Rates über das Inverkehrbringen von Pflanzenschutzmitteln sowie zur Änderung des Anhangs der Durchführungsverordnung (EU) Nr. 540/2011 der Kommission und der Entscheidung 2008/934/EG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Durchführungsbeschluss 2011/787/EG der Kommission vom 29. November 2011 zur befristeten Ermächtigung der Mitgliedstaaten, zum Schutz vor der Verbreitung von Ralstonia solanacearum (Smith) Yabuuchi et. al. Sofortmaßnahmen gegenüber Ägypten zu treffen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Durchführungsbeschluss 2012/138/EU der Kommission vom 1. März 2012 über Dringlichkeitsmaßnahmen zum Schutz der Union gegen die Einschleppung und Ausbreitung von Anoplophora chinensis (Forster)</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359/2012 der Kommission vom 25. April 2012 zur Genehmigung des Wirkstoffs Metam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Durchführungsbeschluss 2012/340/EU der Kommission vom 25. Juni 2012 über die Durchführung eines zeitlich befristeten Versuchs gemäß den Richtlinien 66/401/EWG, 66/402/EWG, 2002/54/EG, 2002/55/EG und 2002/57/EG des Rates im Hinblick auf die Feldbesichtigung unter amtlicher Überwachung bei Basissaatgut und Zuchtsaatgut der dem Basissaatgut vorhergehenden Generationen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Durchführungsverordnung (EU) Nr. 582/2012 der Kommission vom 2. Juli 2012 zur Genehmigung des Wirkstoffs Bifenthrin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color w:val="C00000"/>
                <w:szCs w:val="24"/>
              </w:rPr>
            </w:pPr>
            <w:r>
              <w:rPr>
                <w:noProof/>
              </w:rPr>
              <w:t>2020</w:t>
            </w:r>
          </w:p>
        </w:tc>
      </w:tr>
      <w:tr>
        <w:tc>
          <w:tcPr>
            <w:tcW w:w="3579" w:type="pct"/>
            <w:shd w:val="clear" w:color="auto" w:fill="auto"/>
          </w:tcPr>
          <w:p>
            <w:pPr>
              <w:pageBreakBefore/>
              <w:spacing w:before="60" w:after="60"/>
              <w:jc w:val="left"/>
              <w:rPr>
                <w:noProof/>
                <w:szCs w:val="24"/>
              </w:rPr>
            </w:pPr>
            <w:r>
              <w:rPr>
                <w:noProof/>
              </w:rPr>
              <w:t>Durchführungsverordnung (EU) Nr. 589/2012 der Kommission vom 4. Juli 2012 zur Genehmigung des Wirkstoffs Fluxapyroxad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 xml:space="preserve">Durchführungsverordnung (EU) Nr. 595/2012 der Kommission vom 5. Juli 2012 zur Genehmigung des Wirkstoffs Fenpyrazamin gemäß der Verordnung (EG) Nr. 1107/2009 des Europäischen Parlaments und des Rates über das Inverkehrbringen von Pflanzenschutzmitteln und zur Änderung des Anhangs der Durchführungsverordnung (EU) Nr. 540/2011 der Kommission </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746/2012 der Kommission vom 16. August 2012 zur Genehmigung des Wirkstoffs Adoxophyes orana granulovirus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Durchführungsbeschluss 2012/535/EU der Kommission vom 26. September 2012 über Sofortmaßnahmen gegen die Ausbreitung von Bursaphelenchus xylophilus (Steiner et Buhrer) Nickle et al. (Kiefernfadenwurm)</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485/2013 der Kommission vom 24. Mai 2013 zur Änderung der Durchführungsverordnung (EU) Nr. 540/2011 hinsichtlich der Bedingungen für die Genehmigung der Wirkstoffe Clothianidin, Thiamethoxam und Imidacloprid sowie des Verbots der Anwendung und des Verkaufs von Saatgut, das mit diese Wirkstoffe enthaltenden Pflanzenschutzmitteln behandelt wurde</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Durchführungsrichtlinie 2014/20/EU der Kommission vom 6. Februar 2014 mit den EU-Klassen für Basispflanzgut und zertifiziertes Pflanzgut von Kartoffeln sowie den für diese Klassen geltenden Anforderungen und Bezeichnungen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Durchführungsrichtlinie 2014/21/EU der Kommission vom 6. Februar 2014 mit Mindestanforderungen an Vorstufenpflanzgut von Kartoffeln und mit den EU-Klassen für dieses Vorstufenpflanzgut</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Durchführungsverordnung (EU) Nr. 632/2014 der Kommission vom 13. Mai 2014 zur Genehmigung des Wirkstoffs Flubendiamid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Durchführungsverordnung (EU) Nr. 571/2014 der Kommission vom 26. Mai 2014 zur Genehmigung des Wirkstoffs Ipconazol gemäß der Verordnung (EG) Nr. 1107/2009 des Europäischen Parlaments und des Rates über das Inverkehrbringen von Pflanzenschutzmitteln und zur Änderung des Anhangs der Durchführungsverordnung (EU) Nr. 540/2011 der Kommission</w:t>
            </w:r>
          </w:p>
        </w:tc>
        <w:tc>
          <w:tcPr>
            <w:tcW w:w="1421" w:type="pct"/>
            <w:shd w:val="clear" w:color="auto" w:fill="auto"/>
          </w:tcPr>
          <w:p>
            <w:pPr>
              <w:spacing w:before="60" w:after="60"/>
              <w:jc w:val="center"/>
              <w:rPr>
                <w:noProof/>
                <w:szCs w:val="24"/>
              </w:rPr>
            </w:pPr>
            <w:r>
              <w:rPr>
                <w:noProof/>
              </w:rPr>
              <w:t>2020</w:t>
            </w:r>
          </w:p>
        </w:tc>
      </w:tr>
      <w:tr>
        <w:tc>
          <w:tcPr>
            <w:tcW w:w="3579" w:type="pct"/>
            <w:shd w:val="clear" w:color="auto" w:fill="auto"/>
          </w:tcPr>
          <w:p>
            <w:pPr>
              <w:spacing w:before="60" w:after="60"/>
              <w:jc w:val="left"/>
              <w:rPr>
                <w:noProof/>
                <w:szCs w:val="24"/>
              </w:rPr>
            </w:pPr>
            <w:r>
              <w:rPr>
                <w:noProof/>
              </w:rPr>
              <w:t>Durchführungsbeschluss 2014/362/EU der Kommission vom 13. Juni 2014 zur Änderung der Entscheidung 2009/109/EG der Kommission zur Durchführung eines zeitlich befristeten Versuchs mit bestimmten Ausnahmeregelungen für den Verkehr mit Saatgutmischungen, die zur Nutzung als Futterpflanzen gemäß der Richtlinie 66/401/EWG des Rates bestimmt sind</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Durchführungsbeschluss 2014/367/EU der Kommission vom 16. Juni 2014 zur Änderung der Richtlinie 2002/56/EG des Rates hinsichtlich des Datums gemäß Artikel 21 Absatz 3, bis zu dem die Mitgliedstaaten die Gültigkeitsdauer der Beschlüsse über die Gleichwertigkeit von Pflanzkartoffeln aus Drittländern verlängern dürfen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pageBreakBefore/>
              <w:spacing w:before="60" w:after="60"/>
              <w:jc w:val="left"/>
              <w:rPr>
                <w:noProof/>
                <w:szCs w:val="24"/>
              </w:rPr>
            </w:pPr>
            <w:r>
              <w:rPr>
                <w:noProof/>
              </w:rPr>
              <w:t>Durchführungsrichtlinie 2014/83/EU der Kommission vom 25. Juni 2014 zur Änderung der Anhänge I, II, III, IV und V der Richtlinie 2000/29/EG des Rates über Maßnahmen zum Schutz der Gemeinschaft gegen die Einschleppung und Ausbreitung von Schadorganismen der Pflanzen und Pflanzenerzeugnisse</w:t>
            </w:r>
          </w:p>
        </w:tc>
        <w:tc>
          <w:tcPr>
            <w:tcW w:w="1421" w:type="pct"/>
            <w:shd w:val="clear" w:color="auto" w:fill="auto"/>
          </w:tcPr>
          <w:p>
            <w:pPr>
              <w:spacing w:before="60" w:after="60"/>
              <w:jc w:val="center"/>
              <w:rPr>
                <w:noProof/>
                <w:szCs w:val="24"/>
              </w:rPr>
            </w:pPr>
            <w:r>
              <w:rPr>
                <w:noProof/>
              </w:rPr>
              <w:t>2019</w:t>
            </w:r>
          </w:p>
        </w:tc>
      </w:tr>
      <w:tr>
        <w:tc>
          <w:tcPr>
            <w:tcW w:w="3579" w:type="pct"/>
            <w:shd w:val="clear" w:color="auto" w:fill="auto"/>
          </w:tcPr>
          <w:p>
            <w:pPr>
              <w:spacing w:before="60" w:after="60"/>
              <w:jc w:val="left"/>
              <w:rPr>
                <w:noProof/>
                <w:szCs w:val="24"/>
              </w:rPr>
            </w:pPr>
            <w:r>
              <w:rPr>
                <w:noProof/>
              </w:rPr>
              <w:t>Durchführungsrichtlinie 2014/96/EU der Kommission vom 15. Oktober 2014 in Bezug auf die Anforderungen an Etikettierung, Plombierung und Verpackung von Vermehrungsmaterial und Pflanzen von Obstarten zur Fruchterzeugung, die in den Geltungsbereich der Richtlinie 2008/90/EG fallen</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Durchführungsrichtlinie 2014/97/EU der Kommission vom 15. Oktober 2014 zur Durchführung der Richtlinie 2008/90/EG des Rates hinsichtlich der Registrierung von Versorgern und der Eintragung von Sorten sowie des gemeinsamen Sortenverzeichnisses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noProof/>
                <w:szCs w:val="24"/>
              </w:rPr>
            </w:pPr>
            <w:r>
              <w:rPr>
                <w:noProof/>
              </w:rPr>
              <w:t>Durchführungsrichtlinie 2014/98/EU der Kommission vom 15. Oktober 2014 zur Durchführung der Richtlinie 2008/90/EG des Rates hinsichtlich der spezifischen Anforderungen an die in deren Anhang I aufgeführten Gattungen und Arten von Obstpflanzen, der spezifischen Anforderungen an die Versorger und ausführlicher Bestimmungen für die amtliche Prüfung</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60" w:after="60"/>
              <w:jc w:val="left"/>
              <w:rPr>
                <w:b/>
                <w:noProof/>
                <w:szCs w:val="24"/>
              </w:rPr>
            </w:pPr>
            <w:r>
              <w:rPr>
                <w:noProof/>
              </w:rPr>
              <w:t>Richtlinie 2001/18/EG des Europäischen Parlaments und des Rates vom 12. März 2001 über die absichtliche Freisetzung genetisch veränderter Organismen in die Umwelt und zur Aufhebung der Richtlinie 90/220/EWG des Rates</w:t>
            </w:r>
          </w:p>
        </w:tc>
        <w:tc>
          <w:tcPr>
            <w:tcW w:w="1421" w:type="pct"/>
            <w:shd w:val="clear" w:color="auto" w:fill="auto"/>
          </w:tcPr>
          <w:p>
            <w:pPr>
              <w:spacing w:before="60" w:after="60"/>
              <w:jc w:val="center"/>
              <w:rPr>
                <w:noProof/>
                <w:szCs w:val="24"/>
              </w:rPr>
            </w:pPr>
            <w:r>
              <w:rPr>
                <w:noProof/>
              </w:rPr>
              <w:t>2018</w:t>
            </w:r>
          </w:p>
        </w:tc>
      </w:tr>
      <w:tr>
        <w:tc>
          <w:tcPr>
            <w:tcW w:w="3579" w:type="pct"/>
            <w:shd w:val="clear" w:color="auto" w:fill="auto"/>
          </w:tcPr>
          <w:p>
            <w:pPr>
              <w:spacing w:before="0" w:after="0"/>
              <w:jc w:val="left"/>
              <w:rPr>
                <w:noProof/>
              </w:rPr>
            </w:pPr>
            <w:r>
              <w:rPr>
                <w:noProof/>
              </w:rPr>
              <w:t>Verordnung (EG) Nr. 1946/2003 des Europäischen Parlaments und des Rates vom 15. Juli 2003 über grenzüberschreitende Verbringungen genetisch veränderter Organismen</w:t>
            </w:r>
          </w:p>
        </w:tc>
        <w:tc>
          <w:tcPr>
            <w:tcW w:w="1421" w:type="pct"/>
            <w:shd w:val="clear" w:color="auto" w:fill="auto"/>
          </w:tcPr>
          <w:p>
            <w:pPr>
              <w:spacing w:before="0" w:after="0"/>
              <w:jc w:val="center"/>
              <w:rPr>
                <w:noProof/>
                <w:szCs w:val="24"/>
              </w:rPr>
            </w:pPr>
            <w:r>
              <w:rPr>
                <w:noProof/>
              </w:rPr>
              <w:t>2018</w:t>
            </w:r>
          </w:p>
        </w:tc>
      </w:tr>
    </w:tbl>
    <w:p>
      <w:pPr>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161 vom 29.5.2014, S. 3.</w:t>
      </w:r>
    </w:p>
  </w:footnote>
  <w:footnote w:id="2">
    <w:p>
      <w:pPr>
        <w:pStyle w:val="FootnoteText"/>
      </w:pPr>
      <w:r>
        <w:rPr>
          <w:rStyle w:val="FootnoteReference"/>
        </w:rPr>
        <w:footnoteRef/>
      </w:r>
      <w:r>
        <w:tab/>
        <w:t>Mit „Erlass“ ist das Datum der Umsetzung – entweder mit sofortiger Wirkung oder mit einer angegebenen Übergangsfrist – gemeint, das in dem jeweiligen im Amtsblatt der Ukraine oder im „Regierungskurier“ veröffentlichten Rechtsakt festgelegt oder auf der offiziellen Website des Staatlichen Dienstes der Ukraine für Lebensmittelsicherheit und Verbraucherschutz bekanntgegeben wird.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B4E0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1831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866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2ACC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49D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1AA1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300FE0"/>
    <w:lvl w:ilvl="0">
      <w:start w:val="1"/>
      <w:numFmt w:val="decimal"/>
      <w:pStyle w:val="ListNumber"/>
      <w:lvlText w:val="%1."/>
      <w:lvlJc w:val="left"/>
      <w:pPr>
        <w:tabs>
          <w:tab w:val="num" w:pos="360"/>
        </w:tabs>
        <w:ind w:left="360" w:hanging="360"/>
      </w:pPr>
    </w:lvl>
  </w:abstractNum>
  <w:abstractNum w:abstractNumId="7">
    <w:nsid w:val="FFFFFF89"/>
    <w:multiLevelType w:val="singleLevel"/>
    <w:tmpl w:val="44921D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15:00: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zum"/>
    <w:docVar w:name="LW_ACCOMPAGNANT.CP" w:val="zum"/>
    <w:docVar w:name="LW_ANNEX_NBR_FIRST" w:val="1"/>
    <w:docVar w:name="LW_ANNEX_NBR_LAST" w:val="1"/>
    <w:docVar w:name="LW_ANNEX_UNIQUE" w:val="1"/>
    <w:docVar w:name="LW_CORRIGENDUM" w:val="&lt;UNUSED&gt;"/>
    <w:docVar w:name="LW_COVERPAGE_EXISTS" w:val="True"/>
    <w:docVar w:name="LW_COVERPAGE_GUID" w:val="231AFA8C-7929-40B4-927D-3626C1276AE1"/>
    <w:docVar w:name="LW_COVERPAGE_TYPE" w:val="1"/>
    <w:docVar w:name="LW_CROSSREFERENCE" w:val="&lt;UNUSED&gt;"/>
    <w:docVar w:name="LW_DocType" w:val="ANNEX"/>
    <w:docVar w:name="LW_EMISSION" w:val="22.7.2019"/>
    <w:docVar w:name="LW_EMISSION_ISODATE" w:val="2019-07-22"/>
    <w:docVar w:name="LW_EMISSION_LOCATION" w:val="BRX"/>
    <w:docVar w:name="LW_EMISSION_PREFIX" w:val="Brüssel, den "/>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Festlegung des im Namen der Europäischen Union in dem mit dem Assoziierungsabkommen zwischen der Europäischen Union und der Europäischen Atomgemeinschaft und ihren Mitgliedstaaten einerseits und der Ukraine andererseits eingesetzten Unterausschuss Gesundheitspolizeiliche und pflanzenschutzrechtliche Maßnahmen zu vertretenden Standpunkts"/>
    <w:docVar w:name="LW_OBJETACTEPRINCIPAL.CP" w:val="zur Festlegung des im Namen der Europäischen Union in dem mit dem Assoziierungsabkommen zwischen der Europäischen Union und der Europäischen Atomgemeinschaft und ihren Mitgliedstaaten einerseits und der Ukraine andererseits eingesetzten Unterausschuss Gesundheitspolizeiliche und pflanzenschutzrechtliche Maßnahmen zu vertretenden Standpunkts"/>
    <w:docVar w:name="LW_PART_NBR" w:val="1"/>
    <w:docVar w:name="LW_PART_NBR_TOTAL" w:val="1"/>
    <w:docVar w:name="LW_REF.INST.NEW" w:val="COM"/>
    <w:docVar w:name="LW_REF.INST.NEW_ADOPTED" w:val="final"/>
    <w:docVar w:name="LW_REF.INST.NEW_TEXT" w:val="(2019) 3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 für einen Beschluss des Rates"/>
    <w:docVar w:name="LW_TYPEACTEPRINCIPAL.CP" w:val="Vorschlag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LignefinalChar">
    <w:name w:val="Ligne final Char"/>
    <w:basedOn w:val="DefaultParagraphFont"/>
    <w:rPr>
      <w:rFonts w:ascii="Times New Roman" w:hAnsi="Times New Roman" w:cs="Times New Roman"/>
      <w:b/>
      <w:sz w:val="24"/>
      <w:lang w:val="de-DE"/>
    </w:rPr>
  </w:style>
  <w:style w:type="character" w:customStyle="1" w:styleId="HeaderCouncilLargeChar">
    <w:name w:val="Header Council Large Char"/>
    <w:basedOn w:val="LignefinalChar"/>
    <w:link w:val="HeaderCouncilLarge"/>
    <w:rPr>
      <w:rFonts w:ascii="Times New Roman" w:hAnsi="Times New Roman" w:cs="Times New Roman"/>
      <w:b w:val="0"/>
      <w:sz w:val="2"/>
      <w:lang w:val="de-DE"/>
    </w:rPr>
  </w:style>
  <w:style w:type="paragraph" w:customStyle="1" w:styleId="FooterText">
    <w:name w:val="Footer Text"/>
    <w:basedOn w:val="Normal"/>
    <w:pPr>
      <w:spacing w:before="0" w:after="0"/>
      <w:jc w:val="left"/>
    </w:pPr>
    <w:rPr>
      <w:rFonts w:eastAsia="Times New Roman"/>
      <w:szCs w:val="24"/>
    </w:rPr>
  </w:style>
  <w:style w:type="paragraph" w:styleId="ListNumber3">
    <w:name w:val="List Number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TitreobjetPagedecouverture">
    <w:name w:val="Titre objet (Page de couverture)"/>
    <w:basedOn w:val="Titreobjet"/>
    <w:next w:val="Sous-titreobjetPagedecouverture"/>
    <w:pPr>
      <w:spacing w:line="240" w:lineRule="auto"/>
    </w:pPr>
  </w:style>
  <w:style w:type="paragraph" w:customStyle="1" w:styleId="Sous-titreobjetPagedecouverture">
    <w:name w:val="Sous-titre objet (Page de couverture)"/>
    <w:basedOn w:val="Sous-titreobjet"/>
    <w:pPr>
      <w:spacing w:line="240" w:lineRule="auto"/>
    </w:pPr>
  </w:style>
  <w:style w:type="character" w:customStyle="1" w:styleId="TechnicalBlockChar">
    <w:name w:val="Technical Block Char"/>
    <w:basedOn w:val="DefaultParagraphFont"/>
    <w:rPr>
      <w:rFonts w:ascii="Times New Roman" w:hAnsi="Times New Roman" w:cs="Times New Roman"/>
      <w:sz w:val="24"/>
      <w:lang w:val="de-DE"/>
    </w:rPr>
  </w:style>
  <w:style w:type="paragraph" w:customStyle="1" w:styleId="pj">
    <w:name w:val="p.j."/>
    <w:basedOn w:val="TechnicalBlock"/>
    <w:link w:val="pjChar"/>
    <w:pPr>
      <w:spacing w:before="1200" w:after="120"/>
      <w:ind w:left="1440" w:hanging="1440"/>
      <w:jc w:val="left"/>
    </w:pPr>
  </w:style>
  <w:style w:type="character" w:customStyle="1" w:styleId="pjChar">
    <w:name w:val="p.j. Char"/>
    <w:basedOn w:val="TechnicalBlockChar"/>
    <w:link w:val="pj"/>
    <w:rPr>
      <w:rFonts w:ascii="Times New Roman" w:hAnsi="Times New Roman" w:cs="Times New Roman"/>
      <w:sz w:val="24"/>
      <w:lang w:val="de-DE"/>
    </w:rPr>
  </w:style>
  <w:style w:type="character" w:customStyle="1" w:styleId="HeaderCouncilChar">
    <w:name w:val="Header Council Char"/>
    <w:basedOn w:val="pjChar"/>
    <w:rPr>
      <w:rFonts w:ascii="Times New Roman" w:hAnsi="Times New Roman" w:cs="Times New Roman"/>
      <w:sz w:val="2"/>
      <w:lang w:val="de-DE"/>
    </w:rPr>
  </w:style>
  <w:style w:type="character" w:customStyle="1" w:styleId="FooterCouncilChar">
    <w:name w:val="Footer Council Char"/>
    <w:basedOn w:val="pjChar"/>
    <w:rPr>
      <w:rFonts w:ascii="Times New Roman" w:hAnsi="Times New Roman" w:cs="Times New Roman"/>
      <w:sz w:val="2"/>
      <w:lang w:val="de-DE"/>
    </w:rPr>
  </w:style>
  <w:style w:type="paragraph" w:customStyle="1" w:styleId="doc-ti">
    <w:name w:val="doc-ti"/>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Titreobjet">
    <w:name w:val="Titre objet"/>
    <w:basedOn w:val="Normal"/>
    <w:next w:val="Sous-titreobjet"/>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numbering" w:customStyle="1" w:styleId="NoList1">
    <w:name w:val="No List1"/>
    <w:next w:val="NoList"/>
    <w:uiPriority w:val="99"/>
    <w:semiHidden/>
    <w:unhideWhenUsed/>
  </w:style>
  <w:style w:type="paragraph" w:customStyle="1" w:styleId="HeaderCouncilLarge">
    <w:name w:val="Header Council Large"/>
    <w:basedOn w:val="Normal"/>
    <w:link w:val="HeaderCouncilLargeChar"/>
    <w:pPr>
      <w:spacing w:before="0" w:after="440" w:line="360" w:lineRule="auto"/>
      <w:jc w:val="left"/>
    </w:pPr>
    <w:rPr>
      <w:sz w:val="2"/>
    </w:rPr>
  </w:style>
  <w:style w:type="character" w:customStyle="1" w:styleId="LignefinalChar">
    <w:name w:val="Ligne final Char"/>
    <w:basedOn w:val="DefaultParagraphFont"/>
    <w:rPr>
      <w:rFonts w:ascii="Times New Roman" w:hAnsi="Times New Roman" w:cs="Times New Roman"/>
      <w:b/>
      <w:sz w:val="24"/>
      <w:lang w:val="de-DE"/>
    </w:rPr>
  </w:style>
  <w:style w:type="character" w:customStyle="1" w:styleId="HeaderCouncilLargeChar">
    <w:name w:val="Header Council Large Char"/>
    <w:basedOn w:val="LignefinalChar"/>
    <w:link w:val="HeaderCouncilLarge"/>
    <w:rPr>
      <w:rFonts w:ascii="Times New Roman" w:hAnsi="Times New Roman" w:cs="Times New Roman"/>
      <w:b w:val="0"/>
      <w:sz w:val="2"/>
      <w:lang w:val="de-DE"/>
    </w:rPr>
  </w:style>
  <w:style w:type="paragraph" w:customStyle="1" w:styleId="FooterText">
    <w:name w:val="Footer Text"/>
    <w:basedOn w:val="Normal"/>
    <w:pPr>
      <w:spacing w:before="0" w:after="0"/>
      <w:jc w:val="left"/>
    </w:pPr>
    <w:rPr>
      <w:rFonts w:eastAsia="Times New Roman"/>
      <w:szCs w:val="24"/>
    </w:rPr>
  </w:style>
  <w:style w:type="paragraph" w:styleId="ListNumber3">
    <w:name w:val="List Number 3"/>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TitreobjetPagedecouverture">
    <w:name w:val="Titre objet (Page de couverture)"/>
    <w:basedOn w:val="Titreobjet"/>
    <w:next w:val="Sous-titreobjetPagedecouverture"/>
    <w:pPr>
      <w:spacing w:line="240" w:lineRule="auto"/>
    </w:pPr>
  </w:style>
  <w:style w:type="paragraph" w:customStyle="1" w:styleId="Sous-titreobjetPagedecouverture">
    <w:name w:val="Sous-titre objet (Page de couverture)"/>
    <w:basedOn w:val="Sous-titreobjet"/>
    <w:pPr>
      <w:spacing w:line="240" w:lineRule="auto"/>
    </w:pPr>
  </w:style>
  <w:style w:type="character" w:customStyle="1" w:styleId="TechnicalBlockChar">
    <w:name w:val="Technical Block Char"/>
    <w:basedOn w:val="DefaultParagraphFont"/>
    <w:rPr>
      <w:rFonts w:ascii="Times New Roman" w:hAnsi="Times New Roman" w:cs="Times New Roman"/>
      <w:sz w:val="24"/>
      <w:lang w:val="de-DE"/>
    </w:rPr>
  </w:style>
  <w:style w:type="paragraph" w:customStyle="1" w:styleId="pj">
    <w:name w:val="p.j."/>
    <w:basedOn w:val="TechnicalBlock"/>
    <w:link w:val="pjChar"/>
    <w:pPr>
      <w:spacing w:before="1200" w:after="120"/>
      <w:ind w:left="1440" w:hanging="1440"/>
      <w:jc w:val="left"/>
    </w:pPr>
  </w:style>
  <w:style w:type="character" w:customStyle="1" w:styleId="pjChar">
    <w:name w:val="p.j. Char"/>
    <w:basedOn w:val="TechnicalBlockChar"/>
    <w:link w:val="pj"/>
    <w:rPr>
      <w:rFonts w:ascii="Times New Roman" w:hAnsi="Times New Roman" w:cs="Times New Roman"/>
      <w:sz w:val="24"/>
      <w:lang w:val="de-DE"/>
    </w:rPr>
  </w:style>
  <w:style w:type="character" w:customStyle="1" w:styleId="HeaderCouncilChar">
    <w:name w:val="Header Council Char"/>
    <w:basedOn w:val="pjChar"/>
    <w:rPr>
      <w:rFonts w:ascii="Times New Roman" w:hAnsi="Times New Roman" w:cs="Times New Roman"/>
      <w:sz w:val="2"/>
      <w:lang w:val="de-DE"/>
    </w:rPr>
  </w:style>
  <w:style w:type="character" w:customStyle="1" w:styleId="FooterCouncilChar">
    <w:name w:val="Footer Council Char"/>
    <w:basedOn w:val="pjChar"/>
    <w:rPr>
      <w:rFonts w:ascii="Times New Roman" w:hAnsi="Times New Roman" w:cs="Times New Roman"/>
      <w:sz w:val="2"/>
      <w:lang w:val="de-DE"/>
    </w:rPr>
  </w:style>
  <w:style w:type="paragraph" w:customStyle="1" w:styleId="doc-ti">
    <w:name w:val="doc-ti"/>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Annexetitreacte">
    <w:name w:val="Annexe titre (acte)"/>
    <w:basedOn w:val="Normal"/>
    <w:next w:val="Normal"/>
    <w:pPr>
      <w:spacing w:line="360" w:lineRule="auto"/>
      <w:jc w:val="center"/>
    </w:pPr>
    <w:rPr>
      <w:b/>
      <w:u w:val="single"/>
    </w:rPr>
  </w:style>
  <w:style w:type="paragraph" w:customStyle="1" w:styleId="Annexetitreglobale">
    <w:name w:val="Annexe titre (globale)"/>
    <w:basedOn w:val="Normal"/>
    <w:next w:val="Normal"/>
    <w:pPr>
      <w:spacing w:line="360" w:lineRule="auto"/>
      <w:jc w:val="center"/>
    </w:pPr>
    <w:rPr>
      <w:b/>
      <w:u w:val="single"/>
    </w:rPr>
  </w:style>
  <w:style w:type="paragraph" w:customStyle="1" w:styleId="Sous-titreobjet">
    <w:name w:val="Sous-titre objet"/>
    <w:basedOn w:val="Normal"/>
    <w:pPr>
      <w:spacing w:before="0" w:after="0" w:line="360" w:lineRule="auto"/>
      <w:jc w:val="center"/>
    </w:pPr>
    <w:rPr>
      <w:b/>
    </w:rPr>
  </w:style>
  <w:style w:type="paragraph" w:customStyle="1" w:styleId="Titreobjet">
    <w:name w:val="Titre objet"/>
    <w:basedOn w:val="Normal"/>
    <w:next w:val="Sous-titreobjet"/>
    <w:pPr>
      <w:spacing w:before="360" w:after="360" w:line="360" w:lineRule="auto"/>
      <w:jc w:val="center"/>
    </w:pPr>
    <w:rPr>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Rfrenceinterinstitutionelle">
    <w:name w:val="Référence interinstitutionelle"/>
    <w:basedOn w:val="Normal"/>
    <w:next w:val="Statut"/>
    <w:pPr>
      <w:spacing w:before="0" w:after="0" w:line="360" w:lineRule="auto"/>
      <w:ind w:left="5103"/>
      <w:jc w:val="left"/>
    </w:p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39</Pages>
  <Words>8230</Words>
  <Characters>54404</Characters>
  <Application>Microsoft Office Word</Application>
  <DocSecurity>0</DocSecurity>
  <Lines>1360</Lines>
  <Paragraphs>608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MOLLER</dc:creator>
  <cp:lastModifiedBy>DIGIT/C6</cp:lastModifiedBy>
  <cp:revision>8</cp:revision>
  <cp:lastPrinted>2019-05-16T15:39:00Z</cp:lastPrinted>
  <dcterms:created xsi:type="dcterms:W3CDTF">2019-06-24T09:10:00Z</dcterms:created>
  <dcterms:modified xsi:type="dcterms:W3CDTF">2019-07-15T13:00:00Z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