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85FAD478-6921-4311-87E3-AD59C9F0F18A" style="width:450.4pt;height:410.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spacing w:after="360"/>
        <w:jc w:val="center"/>
        <w:rPr>
          <w:b/>
          <w:noProof/>
          <w:u w:val="single"/>
        </w:rPr>
      </w:pPr>
      <w:bookmarkStart w:id="0" w:name="_GoBack"/>
      <w:bookmarkEnd w:id="0"/>
      <w:r>
        <w:rPr>
          <w:b/>
          <w:noProof/>
          <w:u w:val="single"/>
        </w:rPr>
        <w:lastRenderedPageBreak/>
        <w:t>TILLÆG</w:t>
      </w:r>
    </w:p>
    <w:p>
      <w:pPr>
        <w:jc w:val="center"/>
        <w:rPr>
          <w:b/>
          <w:caps/>
          <w:noProof/>
        </w:rPr>
      </w:pPr>
      <w:r>
        <w:rPr>
          <w:b/>
          <w:caps/>
          <w:noProof/>
        </w:rPr>
        <w:t>Afgørelse nr. …/2019 vedtaget af Underudvalget vedrørende Sundheds- og Plantesundhedsforvaltning EU-Ukraine</w:t>
      </w:r>
    </w:p>
    <w:p>
      <w:pPr>
        <w:jc w:val="center"/>
        <w:rPr>
          <w:b/>
          <w:noProof/>
        </w:rPr>
      </w:pPr>
      <w:r>
        <w:rPr>
          <w:b/>
          <w:noProof/>
        </w:rPr>
        <w:t>af…..2019</w:t>
      </w:r>
    </w:p>
    <w:p>
      <w:pPr>
        <w:spacing w:after="240"/>
        <w:jc w:val="center"/>
        <w:rPr>
          <w:b/>
          <w:noProof/>
          <w:szCs w:val="24"/>
        </w:rPr>
      </w:pPr>
      <w:r>
        <w:rPr>
          <w:b/>
          <w:noProof/>
        </w:rPr>
        <w:t>om ændring af bilag V til associeringsaftalen</w:t>
      </w:r>
    </w:p>
    <w:p>
      <w:pPr>
        <w:spacing w:line="276" w:lineRule="auto"/>
        <w:rPr>
          <w:noProof/>
        </w:rPr>
      </w:pPr>
      <w:r>
        <w:rPr>
          <w:noProof/>
        </w:rPr>
        <w:t>UNDERUDVALGET VEDRØRENDE SUNDHEDS- OG PLANTESUNDHEDSFORVALTNING HAR —</w:t>
      </w:r>
    </w:p>
    <w:p>
      <w:pPr>
        <w:rPr>
          <w:noProof/>
        </w:rPr>
      </w:pPr>
      <w:r>
        <w:rPr>
          <w:noProof/>
        </w:rPr>
        <w:t xml:space="preserve">under henvisning til </w:t>
      </w:r>
      <w:r>
        <w:rPr>
          <w:noProof/>
          <w:color w:val="000000"/>
        </w:rPr>
        <w:t>associeringsaftalen mellem Den Europæiske Union</w:t>
      </w:r>
      <w:r>
        <w:rPr>
          <w:noProof/>
        </w:rPr>
        <w:t xml:space="preserve"> og Det Europæiske Atomenergifællesskab og deres medlemsstater på den ene side og Ukraine på den anden side</w:t>
      </w:r>
      <w:r>
        <w:rPr>
          <w:rStyle w:val="FootnoteReference"/>
          <w:noProof/>
        </w:rPr>
        <w:footnoteReference w:id="1"/>
      </w:r>
      <w:r>
        <w:rPr>
          <w:noProof/>
        </w:rPr>
        <w:t>, der blev undertegnet i Bruxelles den 27. juni 2014, særlig artikel 74, stk. 2, og</w:t>
      </w:r>
    </w:p>
    <w:p>
      <w:pPr>
        <w:rPr>
          <w:noProof/>
        </w:rPr>
      </w:pPr>
      <w:r>
        <w:rPr>
          <w:noProof/>
        </w:rPr>
        <w:t>ud fra følgende betragtninger:</w:t>
      </w:r>
    </w:p>
    <w:p>
      <w:pPr>
        <w:pStyle w:val="Considrant"/>
        <w:numPr>
          <w:ilvl w:val="0"/>
          <w:numId w:val="5"/>
        </w:numPr>
        <w:rPr>
          <w:noProof/>
        </w:rPr>
      </w:pPr>
      <w:r>
        <w:rPr>
          <w:noProof/>
        </w:rPr>
        <w:t>Associeringsaftalen mellem Den Europæiske Union og Det Europæiske Atomenergifællesskab og deres medlemsstater på den ene side og Ukraine på den anden side ("aftalen") trådte i kraft den 1. september 2017.</w:t>
      </w:r>
    </w:p>
    <w:p>
      <w:pPr>
        <w:pStyle w:val="Considrant"/>
        <w:numPr>
          <w:ilvl w:val="0"/>
          <w:numId w:val="5"/>
        </w:numPr>
        <w:rPr>
          <w:noProof/>
        </w:rPr>
      </w:pPr>
      <w:r>
        <w:rPr>
          <w:noProof/>
        </w:rPr>
        <w:t>I artikel 64, stk. 1, i aftalen fastsættes det, at Ukraine skal tilnærme sin sundheds- og plantesundhedslovgivning samt sin dyrevelfærdslovgivning til EU's som anført i bilag V til aftalen.</w:t>
      </w:r>
    </w:p>
    <w:p>
      <w:pPr>
        <w:pStyle w:val="Considrant"/>
        <w:numPr>
          <w:ilvl w:val="0"/>
          <w:numId w:val="5"/>
        </w:numPr>
        <w:rPr>
          <w:noProof/>
        </w:rPr>
      </w:pPr>
      <w:r>
        <w:rPr>
          <w:noProof/>
        </w:rPr>
        <w:t>Artikel 64, stk. 4, i aftalen forpligter Ukraine til at forelægge en liste over bestemmelser i gældende EU-ret på sundheds-, plantesundheds- og dyresundhedsområdet ("listen"), til hvilke den agter at tilnærme sin nationale lovgivning. Listen over helhedsstrategien skal tjene som referencedokument i forbindelse med gennemførelsen af kapitel 4 (Sundheds- og plantesundhedsforanstaltninger) i afsnit IV (Handel og handelsrelaterede anliggender) i aftalen.</w:t>
      </w:r>
    </w:p>
    <w:p>
      <w:pPr>
        <w:pStyle w:val="Considrant"/>
        <w:numPr>
          <w:ilvl w:val="0"/>
          <w:numId w:val="5"/>
        </w:numPr>
        <w:rPr>
          <w:noProof/>
        </w:rPr>
      </w:pPr>
      <w:r>
        <w:rPr>
          <w:noProof/>
        </w:rPr>
        <w:t>Ukraine forelagde listen for Europa-Kommissionen i oktober 2018. På grundlag af den pågældende liste vedtager SPS-Underudvalget derfor den påtænkte retsakt om ændring af bilag V til aftalen.</w:t>
      </w:r>
    </w:p>
    <w:p>
      <w:pPr>
        <w:pStyle w:val="Considrant"/>
        <w:numPr>
          <w:ilvl w:val="0"/>
          <w:numId w:val="5"/>
        </w:numPr>
        <w:rPr>
          <w:noProof/>
        </w:rPr>
      </w:pPr>
      <w:r>
        <w:rPr>
          <w:noProof/>
        </w:rPr>
        <w:t>Det er derfor hensigtsmæssigt, at Underudvalget vedrørende Sundheds- og Plantesundhedsforvaltning træffer afgørelse om at erstatte det eksisterende bilag V med et nyt bilag —</w:t>
      </w:r>
    </w:p>
    <w:p>
      <w:pPr>
        <w:pStyle w:val="Formuledadoption"/>
        <w:rPr>
          <w:noProof/>
        </w:rPr>
      </w:pPr>
      <w:r>
        <w:rPr>
          <w:noProof/>
        </w:rPr>
        <w:t>VEDTAGET DENNE AFGØRELSE:</w:t>
      </w:r>
    </w:p>
    <w:p>
      <w:pPr>
        <w:pStyle w:val="Titrearticle"/>
        <w:rPr>
          <w:noProof/>
        </w:rPr>
      </w:pPr>
      <w:r>
        <w:rPr>
          <w:noProof/>
        </w:rPr>
        <w:t>Artikel 1</w:t>
      </w:r>
    </w:p>
    <w:p>
      <w:pPr>
        <w:rPr>
          <w:noProof/>
        </w:rPr>
      </w:pPr>
      <w:r>
        <w:rPr>
          <w:noProof/>
        </w:rPr>
        <w:t>Bilag V til associeringsaftalen mellem Den Europæiske Union og Det Europæiske Atomenergifællesskab og deres medlemsstater på den ene side og Ukraine på den anden side erstattes herved af bilaget til denne afgørelse.</w:t>
      </w:r>
    </w:p>
    <w:p>
      <w:pPr>
        <w:pStyle w:val="Titrearticle"/>
        <w:rPr>
          <w:noProof/>
        </w:rPr>
      </w:pPr>
      <w:r>
        <w:rPr>
          <w:noProof/>
        </w:rPr>
        <w:t>Artikel 2</w:t>
      </w:r>
    </w:p>
    <w:p>
      <w:pPr>
        <w:spacing w:after="240"/>
        <w:rPr>
          <w:noProof/>
        </w:rPr>
      </w:pPr>
      <w:r>
        <w:rPr>
          <w:noProof/>
        </w:rPr>
        <w:t>Denne afgørelse træder i kraft på dagen for vedtagelsen.</w:t>
      </w:r>
    </w:p>
    <w:p>
      <w:pPr>
        <w:spacing w:after="360"/>
        <w:rPr>
          <w:noProof/>
        </w:rPr>
      </w:pPr>
      <w:r>
        <w:rPr>
          <w:noProof/>
        </w:rPr>
        <w:t>Udfærdiget i …, den …</w:t>
      </w:r>
    </w:p>
    <w:p>
      <w:pPr>
        <w:rPr>
          <w:noProof/>
        </w:rPr>
      </w:pPr>
      <w:r>
        <w:rPr>
          <w:noProof/>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tc>
          <w:tcPr>
            <w:tcW w:w="9213" w:type="dxa"/>
            <w:gridSpan w:val="2"/>
          </w:tcPr>
          <w:p>
            <w:pPr>
              <w:jc w:val="center"/>
              <w:rPr>
                <w:noProof/>
              </w:rPr>
            </w:pPr>
            <w:r>
              <w:rPr>
                <w:i/>
                <w:noProof/>
              </w:rPr>
              <w:t>På vegne af Underudvalget vedrørende Sundheds- og Plantesundhedsforvaltning</w:t>
            </w:r>
          </w:p>
        </w:tc>
      </w:tr>
      <w:tr>
        <w:tc>
          <w:tcPr>
            <w:tcW w:w="9213" w:type="dxa"/>
            <w:gridSpan w:val="2"/>
          </w:tcPr>
          <w:p>
            <w:pPr>
              <w:jc w:val="center"/>
              <w:rPr>
                <w:i/>
                <w:noProof/>
              </w:rPr>
            </w:pPr>
            <w:r>
              <w:rPr>
                <w:i/>
                <w:noProof/>
              </w:rPr>
              <w:t>På vegne af formanden</w:t>
            </w:r>
          </w:p>
        </w:tc>
      </w:tr>
      <w:tr>
        <w:tc>
          <w:tcPr>
            <w:tcW w:w="4606" w:type="dxa"/>
          </w:tcPr>
          <w:p>
            <w:pPr>
              <w:rPr>
                <w:noProof/>
              </w:rPr>
            </w:pPr>
          </w:p>
        </w:tc>
        <w:tc>
          <w:tcPr>
            <w:tcW w:w="4607" w:type="dxa"/>
          </w:tcPr>
          <w:p>
            <w:pPr>
              <w:rPr>
                <w:noProof/>
              </w:rPr>
            </w:pPr>
          </w:p>
        </w:tc>
      </w:tr>
      <w:tr>
        <w:tc>
          <w:tcPr>
            <w:tcW w:w="9213" w:type="dxa"/>
            <w:gridSpan w:val="2"/>
          </w:tcPr>
          <w:p>
            <w:pPr>
              <w:jc w:val="center"/>
              <w:rPr>
                <w:noProof/>
              </w:rPr>
            </w:pPr>
            <w:r>
              <w:rPr>
                <w:i/>
                <w:noProof/>
              </w:rPr>
              <w:t>Sekretærerne</w:t>
            </w:r>
          </w:p>
        </w:tc>
      </w:tr>
      <w:tr>
        <w:tc>
          <w:tcPr>
            <w:tcW w:w="4606" w:type="dxa"/>
          </w:tcPr>
          <w:p>
            <w:pPr>
              <w:rPr>
                <w:noProof/>
              </w:rPr>
            </w:pPr>
            <w:r>
              <w:rPr>
                <w:noProof/>
              </w:rPr>
              <w:t>På vegne af Unionen</w:t>
            </w:r>
          </w:p>
        </w:tc>
        <w:tc>
          <w:tcPr>
            <w:tcW w:w="4607" w:type="dxa"/>
          </w:tcPr>
          <w:p>
            <w:pPr>
              <w:jc w:val="center"/>
              <w:rPr>
                <w:noProof/>
              </w:rPr>
            </w:pPr>
            <w:r>
              <w:rPr>
                <w:noProof/>
              </w:rPr>
              <w:t>På vegne af Ukraine</w:t>
            </w:r>
          </w:p>
        </w:tc>
      </w:tr>
    </w:tbl>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BILAG</w:t>
      </w:r>
    </w:p>
    <w:p>
      <w:pPr>
        <w:spacing w:after="360"/>
        <w:jc w:val="center"/>
        <w:rPr>
          <w:noProof/>
        </w:rPr>
      </w:pPr>
      <w:r>
        <w:rPr>
          <w:noProof/>
        </w:rPr>
        <w:t>ÆNDRING AF BILAG V TIL ASSOCIERINGSAFTALEN</w:t>
      </w:r>
    </w:p>
    <w:p>
      <w:pPr>
        <w:rPr>
          <w:noProof/>
        </w:rPr>
      </w:pPr>
      <w:r>
        <w:rPr>
          <w:noProof/>
        </w:rPr>
        <w:t>Bilag V affattes således:</w:t>
      </w:r>
    </w:p>
    <w:p>
      <w:pPr>
        <w:spacing w:before="360" w:after="360"/>
        <w:jc w:val="center"/>
        <w:rPr>
          <w:noProof/>
        </w:rPr>
      </w:pPr>
      <w:r>
        <w:rPr>
          <w:noProof/>
        </w:rPr>
        <w:t>"BILAG V</w:t>
      </w:r>
    </w:p>
    <w:p>
      <w:pPr>
        <w:spacing w:after="360"/>
        <w:jc w:val="center"/>
        <w:rPr>
          <w:noProof/>
        </w:rPr>
      </w:pPr>
      <w:r>
        <w:rPr>
          <w:noProof/>
        </w:rPr>
        <w:t>LISTE OVER DEN EU-LOVGIVNING, DER SKAL TILNÆRMES AF UKRAINE</w:t>
      </w:r>
    </w:p>
    <w:p>
      <w:pPr>
        <w:spacing w:after="360"/>
        <w:rPr>
          <w:noProof/>
        </w:rPr>
      </w:pPr>
      <w:r>
        <w:rPr>
          <w:noProof/>
        </w:rPr>
        <w:t>Ukraine forpligter sig til at tilnærme sin lovgivning til følgende EU-lovgivning inden for de frister for vedtagelse og gennemførelse, der er anført nedenfor, i overensstemmelse med artikel 64, stk. 4, i denne aftale.</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5"/>
        <w:gridCol w:w="2801"/>
      </w:tblGrid>
      <w:tr>
        <w:trPr>
          <w:tblHeader/>
        </w:trPr>
        <w:tc>
          <w:tcPr>
            <w:tcW w:w="3579" w:type="pct"/>
            <w:shd w:val="clear" w:color="auto" w:fill="auto"/>
          </w:tcPr>
          <w:p>
            <w:pPr>
              <w:spacing w:before="60" w:after="60"/>
              <w:jc w:val="center"/>
              <w:rPr>
                <w:caps/>
                <w:noProof/>
                <w:szCs w:val="24"/>
              </w:rPr>
            </w:pPr>
            <w:r>
              <w:rPr>
                <w:noProof/>
              </w:rPr>
              <w:t>EU-lovgivning</w:t>
            </w:r>
          </w:p>
        </w:tc>
        <w:tc>
          <w:tcPr>
            <w:tcW w:w="1421" w:type="pct"/>
            <w:shd w:val="clear" w:color="auto" w:fill="auto"/>
          </w:tcPr>
          <w:p>
            <w:pPr>
              <w:spacing w:before="60" w:after="60"/>
              <w:jc w:val="center"/>
              <w:rPr>
                <w:noProof/>
                <w:szCs w:val="24"/>
              </w:rPr>
            </w:pPr>
            <w:r>
              <w:rPr>
                <w:noProof/>
              </w:rPr>
              <w:t>Frist for vedtagelse</w:t>
            </w:r>
            <w:r>
              <w:rPr>
                <w:rStyle w:val="FootnoteReference"/>
                <w:noProof/>
              </w:rPr>
              <w:footnoteReference w:id="2"/>
            </w:r>
          </w:p>
        </w:tc>
      </w:tr>
      <w:tr>
        <w:tc>
          <w:tcPr>
            <w:tcW w:w="5000" w:type="pct"/>
            <w:gridSpan w:val="2"/>
            <w:shd w:val="clear" w:color="auto" w:fill="auto"/>
          </w:tcPr>
          <w:p>
            <w:pPr>
              <w:spacing w:before="60" w:after="60"/>
              <w:jc w:val="center"/>
              <w:rPr>
                <w:caps/>
                <w:noProof/>
                <w:szCs w:val="24"/>
              </w:rPr>
            </w:pPr>
            <w:r>
              <w:rPr>
                <w:noProof/>
              </w:rPr>
              <w:t>Kapitel I — Almindelige bestemmelser (folkesundhed)</w:t>
            </w:r>
          </w:p>
        </w:tc>
      </w:tr>
      <w:tr>
        <w:tc>
          <w:tcPr>
            <w:tcW w:w="3579" w:type="pct"/>
            <w:shd w:val="clear" w:color="auto" w:fill="auto"/>
          </w:tcPr>
          <w:p>
            <w:pPr>
              <w:spacing w:before="60" w:after="60"/>
              <w:jc w:val="left"/>
              <w:rPr>
                <w:noProof/>
                <w:szCs w:val="24"/>
              </w:rPr>
            </w:pPr>
            <w:r>
              <w:rPr>
                <w:noProof/>
              </w:rPr>
              <w:t>Rådets direktiv 91/496/EØF af 15. juli 1991 om fastsættelse af principperne for tilrettelæggelse af veterinærkontrollen for dyr, der føres ind i Fællesskabet fra tredjelande, og om ændring af direktiv 89/662/EØF, 90/425/EØF og 90/675/EØF</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direktiv 97/78/EF af 18. december 1997 om fastsættelse af principperne for tilrettelæggelse af veterinærkontrollen for tredjelandsprodukter, der føres ind i Fællesskabet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autoSpaceDE w:val="0"/>
              <w:autoSpaceDN w:val="0"/>
              <w:adjustRightInd w:val="0"/>
              <w:spacing w:before="60" w:after="60"/>
              <w:jc w:val="left"/>
              <w:rPr>
                <w:noProof/>
                <w:szCs w:val="24"/>
              </w:rPr>
            </w:pPr>
            <w:r>
              <w:rPr>
                <w:noProof/>
              </w:rPr>
              <w:t>Europa-Parlamentets og Rådets forordning (EF) nr. 178/2002 af 28. januar 2002 om generelle principper og krav i fødevarelovgivningen, om oprettelse af Den Europæiske Fødevaresikkerhedsautoritet og om procedurer vedrørende fødevaresikkerhed</w:t>
            </w:r>
          </w:p>
        </w:tc>
        <w:tc>
          <w:tcPr>
            <w:tcW w:w="1421" w:type="pct"/>
            <w:shd w:val="clear" w:color="auto" w:fill="auto"/>
          </w:tcPr>
          <w:p>
            <w:pPr>
              <w:spacing w:before="60" w:after="60"/>
              <w:jc w:val="center"/>
              <w:rPr>
                <w:caps/>
                <w:noProof/>
                <w:szCs w:val="24"/>
              </w:rPr>
            </w:pPr>
            <w:r>
              <w:rPr>
                <w:caps/>
                <w:noProof/>
              </w:rPr>
              <w:t>2016</w:t>
            </w:r>
          </w:p>
        </w:tc>
      </w:tr>
      <w:tr>
        <w:tc>
          <w:tcPr>
            <w:tcW w:w="3579" w:type="pct"/>
            <w:shd w:val="clear" w:color="auto" w:fill="auto"/>
          </w:tcPr>
          <w:p>
            <w:pPr>
              <w:spacing w:before="60" w:after="60"/>
              <w:jc w:val="left"/>
              <w:rPr>
                <w:noProof/>
                <w:szCs w:val="24"/>
              </w:rPr>
            </w:pPr>
            <w:r>
              <w:rPr>
                <w:noProof/>
              </w:rPr>
              <w:t>Rådets direktiv 2002/99/EF af 16. december 2002 om dyresundhedsbestemmelser for produktion, tilvirkning, distribution og indførsel af animalske produkter til konsum</w:t>
            </w:r>
          </w:p>
        </w:tc>
        <w:tc>
          <w:tcPr>
            <w:tcW w:w="1421" w:type="pct"/>
            <w:shd w:val="clear" w:color="auto" w:fill="auto"/>
          </w:tcPr>
          <w:p>
            <w:pPr>
              <w:widowControl w:val="0"/>
              <w:spacing w:before="60" w:after="60"/>
              <w:jc w:val="center"/>
              <w:rPr>
                <w:noProof/>
                <w:szCs w:val="24"/>
              </w:rPr>
            </w:pPr>
            <w:r>
              <w:rPr>
                <w:noProof/>
              </w:rPr>
              <w:t>2018</w:t>
            </w:r>
          </w:p>
        </w:tc>
      </w:tr>
      <w:tr>
        <w:tc>
          <w:tcPr>
            <w:tcW w:w="3579" w:type="pct"/>
            <w:shd w:val="clear" w:color="auto" w:fill="auto"/>
          </w:tcPr>
          <w:p>
            <w:pPr>
              <w:pageBreakBefore/>
              <w:autoSpaceDE w:val="0"/>
              <w:autoSpaceDN w:val="0"/>
              <w:adjustRightInd w:val="0"/>
              <w:spacing w:before="60" w:after="60"/>
              <w:jc w:val="left"/>
              <w:rPr>
                <w:noProof/>
                <w:szCs w:val="24"/>
              </w:rPr>
            </w:pPr>
            <w:r>
              <w:rPr>
                <w:noProof/>
              </w:rPr>
              <w:t>Europa-Parlamentets og Rådets forordning (EF) nr. 852/2004 af 29. april 2004 om fødevarehygiejne</w:t>
            </w:r>
          </w:p>
        </w:tc>
        <w:tc>
          <w:tcPr>
            <w:tcW w:w="1421" w:type="pct"/>
            <w:shd w:val="clear" w:color="auto" w:fill="auto"/>
          </w:tcPr>
          <w:p>
            <w:pPr>
              <w:spacing w:before="60" w:after="60"/>
              <w:jc w:val="center"/>
              <w:rPr>
                <w:caps/>
                <w:noProof/>
                <w:szCs w:val="24"/>
              </w:rPr>
            </w:pPr>
            <w:r>
              <w:rPr>
                <w:caps/>
                <w:noProof/>
              </w:rPr>
              <w:t>2016</w:t>
            </w:r>
          </w:p>
        </w:tc>
      </w:tr>
      <w:tr>
        <w:tc>
          <w:tcPr>
            <w:tcW w:w="3579" w:type="pct"/>
            <w:shd w:val="clear" w:color="auto" w:fill="auto"/>
          </w:tcPr>
          <w:p>
            <w:pPr>
              <w:autoSpaceDE w:val="0"/>
              <w:autoSpaceDN w:val="0"/>
              <w:adjustRightInd w:val="0"/>
              <w:spacing w:before="60" w:after="60"/>
              <w:jc w:val="left"/>
              <w:rPr>
                <w:noProof/>
                <w:szCs w:val="24"/>
              </w:rPr>
            </w:pPr>
            <w:r>
              <w:rPr>
                <w:noProof/>
              </w:rPr>
              <w:t>Europa-Parlamentets og Rådets forordning (EF) nr. 853/2004 af 29. april 2004 om særlige hygiejnebestemmelser for animalske fødevarer</w:t>
            </w:r>
          </w:p>
        </w:tc>
        <w:tc>
          <w:tcPr>
            <w:tcW w:w="1421" w:type="pct"/>
            <w:shd w:val="clear" w:color="auto" w:fill="auto"/>
          </w:tcPr>
          <w:p>
            <w:pPr>
              <w:spacing w:before="60" w:after="60"/>
              <w:jc w:val="center"/>
              <w:rPr>
                <w:caps/>
                <w:noProof/>
                <w:szCs w:val="24"/>
              </w:rPr>
            </w:pPr>
            <w:r>
              <w:rPr>
                <w:caps/>
                <w:noProof/>
              </w:rPr>
              <w:t>2018</w:t>
            </w:r>
          </w:p>
        </w:tc>
      </w:tr>
      <w:tr>
        <w:tc>
          <w:tcPr>
            <w:tcW w:w="3579" w:type="pct"/>
            <w:shd w:val="clear" w:color="auto" w:fill="auto"/>
          </w:tcPr>
          <w:p>
            <w:pPr>
              <w:autoSpaceDE w:val="0"/>
              <w:autoSpaceDN w:val="0"/>
              <w:adjustRightInd w:val="0"/>
              <w:spacing w:before="60" w:after="60"/>
              <w:jc w:val="left"/>
              <w:rPr>
                <w:noProof/>
                <w:szCs w:val="24"/>
              </w:rPr>
            </w:pPr>
            <w:r>
              <w:rPr>
                <w:noProof/>
              </w:rPr>
              <w:t>Europa-Parlamentets og Rådets forordning (EF) nr. 854/2004 af 29. april 2004 om særlige bestemmelser for tilrettelæggelsen af den offentlige kontrol af animalske produkter til konsum</w:t>
            </w:r>
          </w:p>
        </w:tc>
        <w:tc>
          <w:tcPr>
            <w:tcW w:w="1421" w:type="pct"/>
            <w:shd w:val="clear" w:color="auto" w:fill="auto"/>
          </w:tcPr>
          <w:p>
            <w:pPr>
              <w:spacing w:before="60" w:after="60"/>
              <w:jc w:val="center"/>
              <w:rPr>
                <w:caps/>
                <w:noProof/>
                <w:szCs w:val="24"/>
              </w:rPr>
            </w:pPr>
            <w:r>
              <w:rPr>
                <w:caps/>
                <w:noProof/>
              </w:rPr>
              <w:t>2016</w:t>
            </w:r>
          </w:p>
        </w:tc>
      </w:tr>
      <w:tr>
        <w:tc>
          <w:tcPr>
            <w:tcW w:w="3579" w:type="pct"/>
            <w:shd w:val="clear" w:color="auto" w:fill="auto"/>
          </w:tcPr>
          <w:p>
            <w:pPr>
              <w:autoSpaceDE w:val="0"/>
              <w:autoSpaceDN w:val="0"/>
              <w:adjustRightInd w:val="0"/>
              <w:spacing w:before="60" w:after="60"/>
              <w:jc w:val="left"/>
              <w:rPr>
                <w:noProof/>
                <w:szCs w:val="24"/>
              </w:rPr>
            </w:pPr>
            <w:r>
              <w:rPr>
                <w:noProof/>
              </w:rPr>
              <w:t>Kommissionens forordning (EF) nr. 669/2009 af 24. juli 2009 om gennemførelse af Europa-Parlamentets og Rådets forordning (EF) nr. 882/2004 for så vidt angår en mere intensiv offentlig kontrol af visse foderstoffer og fødevarer af ikke-animalsk oprindelse og om ændring af beslutning 2006/504/EF</w:t>
            </w:r>
          </w:p>
        </w:tc>
        <w:tc>
          <w:tcPr>
            <w:tcW w:w="1421" w:type="pct"/>
            <w:shd w:val="clear" w:color="auto" w:fill="auto"/>
          </w:tcPr>
          <w:p>
            <w:pPr>
              <w:spacing w:before="60" w:after="60"/>
              <w:jc w:val="center"/>
              <w:rPr>
                <w:caps/>
                <w:noProof/>
                <w:szCs w:val="24"/>
              </w:rPr>
            </w:pPr>
            <w:r>
              <w:rPr>
                <w:caps/>
                <w:noProof/>
              </w:rPr>
              <w:t>2018</w:t>
            </w:r>
          </w:p>
        </w:tc>
      </w:tr>
      <w:tr>
        <w:tc>
          <w:tcPr>
            <w:tcW w:w="3579" w:type="pct"/>
            <w:shd w:val="clear" w:color="auto" w:fill="auto"/>
          </w:tcPr>
          <w:p>
            <w:pPr>
              <w:autoSpaceDE w:val="0"/>
              <w:autoSpaceDN w:val="0"/>
              <w:adjustRightInd w:val="0"/>
              <w:spacing w:before="60" w:after="60"/>
              <w:jc w:val="left"/>
              <w:rPr>
                <w:noProof/>
                <w:szCs w:val="24"/>
              </w:rPr>
            </w:pPr>
            <w:r>
              <w:rPr>
                <w:noProof/>
              </w:rPr>
              <w:t>Kommissionens forordning (EU) nr. 16/2011 af 10. januar 2011 om fastsættelse af gennemførelsesforanstaltninger for det hurtige varslingssystem for fødevarer og foder</w:t>
            </w:r>
          </w:p>
        </w:tc>
        <w:tc>
          <w:tcPr>
            <w:tcW w:w="1421" w:type="pct"/>
            <w:shd w:val="clear" w:color="auto" w:fill="auto"/>
          </w:tcPr>
          <w:p>
            <w:pPr>
              <w:spacing w:before="60" w:after="60"/>
              <w:jc w:val="center"/>
              <w:rPr>
                <w:caps/>
                <w:noProof/>
                <w:szCs w:val="24"/>
              </w:rPr>
            </w:pPr>
            <w:r>
              <w:rPr>
                <w:caps/>
                <w:noProof/>
              </w:rPr>
              <w:t>2020</w:t>
            </w:r>
          </w:p>
        </w:tc>
      </w:tr>
      <w:tr>
        <w:tc>
          <w:tcPr>
            <w:tcW w:w="3579" w:type="pct"/>
            <w:shd w:val="clear" w:color="auto" w:fill="auto"/>
          </w:tcPr>
          <w:p>
            <w:pPr>
              <w:autoSpaceDE w:val="0"/>
              <w:autoSpaceDN w:val="0"/>
              <w:adjustRightInd w:val="0"/>
              <w:spacing w:before="60" w:after="60"/>
              <w:jc w:val="left"/>
              <w:rPr>
                <w:noProof/>
                <w:szCs w:val="24"/>
              </w:rPr>
            </w:pPr>
            <w:r>
              <w:rPr>
                <w:noProof/>
              </w:rPr>
              <w:t>Kommissionens gennemførelsesforordning (EU) nr. 931/2011 af 19. september 2011 om de sporbarhedskrav, der i henhold til Europa-Parlamentets og Rådets forordning (EF) nr. 178/2002 gælder for animalske fødevarer</w:t>
            </w:r>
          </w:p>
        </w:tc>
        <w:tc>
          <w:tcPr>
            <w:tcW w:w="1421" w:type="pct"/>
            <w:shd w:val="clear" w:color="auto" w:fill="auto"/>
          </w:tcPr>
          <w:p>
            <w:pPr>
              <w:spacing w:before="60" w:after="60"/>
              <w:jc w:val="center"/>
              <w:rPr>
                <w:caps/>
                <w:noProof/>
                <w:szCs w:val="24"/>
              </w:rPr>
            </w:pPr>
            <w:r>
              <w:rPr>
                <w:caps/>
                <w:noProof/>
              </w:rPr>
              <w:t>2018</w:t>
            </w:r>
          </w:p>
        </w:tc>
      </w:tr>
      <w:tr>
        <w:tc>
          <w:tcPr>
            <w:tcW w:w="3579" w:type="pct"/>
            <w:shd w:val="clear" w:color="auto" w:fill="auto"/>
          </w:tcPr>
          <w:p>
            <w:pPr>
              <w:autoSpaceDE w:val="0"/>
              <w:autoSpaceDN w:val="0"/>
              <w:adjustRightInd w:val="0"/>
              <w:spacing w:before="60" w:after="60"/>
              <w:jc w:val="left"/>
              <w:rPr>
                <w:noProof/>
                <w:szCs w:val="24"/>
              </w:rPr>
            </w:pPr>
            <w:r>
              <w:rPr>
                <w:noProof/>
              </w:rPr>
              <w:t>Kommissionens gennemførelsesforordning (EU) nr. 208/2013 af 11. marts 2013 om sporbarhedskrav for spirer og frø beregnet til produktion af spirer</w:t>
            </w:r>
          </w:p>
        </w:tc>
        <w:tc>
          <w:tcPr>
            <w:tcW w:w="1421" w:type="pct"/>
            <w:shd w:val="clear" w:color="auto" w:fill="auto"/>
          </w:tcPr>
          <w:p>
            <w:pPr>
              <w:spacing w:before="60" w:after="60"/>
              <w:jc w:val="center"/>
              <w:rPr>
                <w:caps/>
                <w:noProof/>
                <w:szCs w:val="24"/>
              </w:rPr>
            </w:pPr>
            <w:r>
              <w:rPr>
                <w:caps/>
                <w:noProof/>
              </w:rPr>
              <w:t>2018</w:t>
            </w:r>
          </w:p>
        </w:tc>
      </w:tr>
      <w:tr>
        <w:tc>
          <w:tcPr>
            <w:tcW w:w="5000" w:type="pct"/>
            <w:gridSpan w:val="2"/>
            <w:shd w:val="clear" w:color="auto" w:fill="auto"/>
          </w:tcPr>
          <w:p>
            <w:pPr>
              <w:pageBreakBefore/>
              <w:spacing w:before="60" w:after="60"/>
              <w:jc w:val="center"/>
              <w:rPr>
                <w:noProof/>
                <w:szCs w:val="24"/>
              </w:rPr>
            </w:pPr>
            <w:r>
              <w:rPr>
                <w:noProof/>
              </w:rPr>
              <w:t>Mærkning af og information om fødevarer</w:t>
            </w:r>
          </w:p>
        </w:tc>
      </w:tr>
      <w:tr>
        <w:trPr>
          <w:trHeight w:val="718"/>
        </w:trPr>
        <w:tc>
          <w:tcPr>
            <w:tcW w:w="3579" w:type="pct"/>
            <w:shd w:val="clear" w:color="auto" w:fill="auto"/>
          </w:tcPr>
          <w:p>
            <w:pPr>
              <w:spacing w:before="60" w:after="60"/>
              <w:jc w:val="left"/>
              <w:rPr>
                <w:noProof/>
                <w:szCs w:val="24"/>
              </w:rPr>
            </w:pPr>
            <w:r>
              <w:rPr>
                <w:noProof/>
              </w:rPr>
              <w:t>Europa-Parlamentets og Rådets forordning (EF) nr. 1924/2006 af 20. december 2006 om ernærings- og sundhedsanprisninger af fødevarer</w:t>
            </w:r>
          </w:p>
        </w:tc>
        <w:tc>
          <w:tcPr>
            <w:tcW w:w="1421" w:type="pct"/>
            <w:shd w:val="clear" w:color="auto" w:fill="auto"/>
          </w:tcPr>
          <w:p>
            <w:pPr>
              <w:spacing w:before="60" w:after="60"/>
              <w:jc w:val="center"/>
              <w:rPr>
                <w:noProof/>
                <w:szCs w:val="24"/>
              </w:rPr>
            </w:pPr>
            <w:r>
              <w:rPr>
                <w:noProof/>
              </w:rPr>
              <w:t>2018</w:t>
            </w:r>
          </w:p>
        </w:tc>
      </w:tr>
      <w:tr>
        <w:trPr>
          <w:trHeight w:val="718"/>
        </w:trPr>
        <w:tc>
          <w:tcPr>
            <w:tcW w:w="3579" w:type="pct"/>
            <w:shd w:val="clear" w:color="auto" w:fill="auto"/>
          </w:tcPr>
          <w:p>
            <w:pPr>
              <w:spacing w:before="60" w:after="60"/>
              <w:jc w:val="left"/>
              <w:rPr>
                <w:noProof/>
                <w:szCs w:val="24"/>
              </w:rPr>
            </w:pPr>
            <w:r>
              <w:rPr>
                <w:noProof/>
              </w:rPr>
              <w:t>Europa-Parlamentets og Rådets forordning (EF) nr. 1925/2006 af 20. december 2006 om tilsætning af vitaminer og mineraler samt visse andre stoffer til fødevarer</w:t>
            </w:r>
          </w:p>
        </w:tc>
        <w:tc>
          <w:tcPr>
            <w:tcW w:w="1421" w:type="pct"/>
            <w:shd w:val="clear" w:color="auto" w:fill="auto"/>
          </w:tcPr>
          <w:p>
            <w:pPr>
              <w:spacing w:before="60" w:after="60"/>
              <w:jc w:val="center"/>
              <w:rPr>
                <w:noProof/>
                <w:szCs w:val="24"/>
              </w:rPr>
            </w:pPr>
            <w:r>
              <w:rPr>
                <w:noProof/>
              </w:rPr>
              <w:t>2018</w:t>
            </w:r>
          </w:p>
        </w:tc>
      </w:tr>
      <w:tr>
        <w:trPr>
          <w:trHeight w:val="718"/>
        </w:trPr>
        <w:tc>
          <w:tcPr>
            <w:tcW w:w="3579" w:type="pct"/>
            <w:shd w:val="clear" w:color="auto" w:fill="auto"/>
          </w:tcPr>
          <w:p>
            <w:pPr>
              <w:spacing w:before="60" w:after="60"/>
              <w:jc w:val="left"/>
              <w:rPr>
                <w:noProof/>
                <w:szCs w:val="24"/>
              </w:rPr>
            </w:pPr>
            <w:r>
              <w:rPr>
                <w:noProof/>
              </w:rPr>
              <w:t>Europa-Parlamentets og Rådets forordning (EU) nr. 1169/2011 af 25. oktober 2011 om fødevareinformation til forbrugerne, om ændring af Europa-Parlamentets og Rådets forordning (EF) nr. 1924/2006 og (EF) nr. 1925/2006 og om ophævelse af Kommissionens direktiv 87/250/EØF, Rådets direktiv 90/496/EØF, Kommissionens direktiv 1999/10/EF, Europa- Parlamentets og Rådets direktiv 2000/13/EF, Kommissionens direktiv 2002/67/EF og 2008/5/EF og Kommissionens forordning (EF) nr. 608/2004</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Europa-Parlamentets og Rådets direktiv 2011/91/EU af 13. december 2011 om angivelser af eller mærker til identifikation af et bestemt levnedsmiddelparti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forordning (EU) nr. 432/2012 af 16. maj 2012 om fastlæggelse af en liste over andre tilladte sundhedsanprisninger af fødevarer end dem, der henviser til en reduceret risiko for sygdom og til børns udvikling og sundhed</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gennemførelsesafgørelse 2013/63/EU af 24. januar 2013 om vedtagelse af retningslinjer for gennemførelsen af særlige betingelser for sundhedsanprisninger som fastsat i artikel 10 i Europa-Parlamentets og Rådets forordning (EF) nr. 1924/2006</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pageBreakBefore/>
              <w:spacing w:before="60" w:after="60"/>
              <w:jc w:val="center"/>
              <w:rPr>
                <w:noProof/>
                <w:szCs w:val="24"/>
              </w:rPr>
            </w:pPr>
            <w:r>
              <w:rPr>
                <w:noProof/>
              </w:rPr>
              <w:t>Foranstaltninger, som finder anvendelse på animalske produkter</w:t>
            </w:r>
          </w:p>
        </w:tc>
      </w:tr>
      <w:tr>
        <w:trPr>
          <w:trHeight w:val="317"/>
        </w:trPr>
        <w:tc>
          <w:tcPr>
            <w:tcW w:w="3579" w:type="pct"/>
            <w:shd w:val="clear" w:color="auto" w:fill="auto"/>
          </w:tcPr>
          <w:p>
            <w:pPr>
              <w:spacing w:before="60" w:after="60"/>
              <w:jc w:val="left"/>
              <w:rPr>
                <w:noProof/>
                <w:szCs w:val="24"/>
              </w:rPr>
            </w:pPr>
            <w:r>
              <w:rPr>
                <w:noProof/>
              </w:rPr>
              <w:t>Rådets direktiv 2001/110/EF af 20. december 2001 om honning</w:t>
            </w:r>
          </w:p>
        </w:tc>
        <w:tc>
          <w:tcPr>
            <w:tcW w:w="1421" w:type="pct"/>
            <w:shd w:val="clear" w:color="auto" w:fill="auto"/>
          </w:tcPr>
          <w:p>
            <w:pPr>
              <w:spacing w:before="60" w:after="60"/>
              <w:jc w:val="center"/>
              <w:rPr>
                <w:noProof/>
                <w:szCs w:val="24"/>
              </w:rPr>
            </w:pPr>
            <w:r>
              <w:rPr>
                <w:noProof/>
              </w:rPr>
              <w:t>2019</w:t>
            </w:r>
          </w:p>
        </w:tc>
      </w:tr>
      <w:tr>
        <w:trPr>
          <w:trHeight w:val="20"/>
        </w:trPr>
        <w:tc>
          <w:tcPr>
            <w:tcW w:w="3579" w:type="pct"/>
            <w:shd w:val="clear" w:color="auto" w:fill="auto"/>
          </w:tcPr>
          <w:p>
            <w:pPr>
              <w:spacing w:before="60" w:after="60"/>
              <w:jc w:val="left"/>
              <w:rPr>
                <w:noProof/>
                <w:szCs w:val="24"/>
              </w:rPr>
            </w:pPr>
            <w:r>
              <w:rPr>
                <w:noProof/>
              </w:rPr>
              <w:t>Kommissionens beslutning 2002/226/EF af 15. marts 2002 om særlig sundhedskontrol ved høstning og forarbejdning af visse toskallede bløddyr med et indhold af amnesifremkaldende skaldyrsgift (ASP), der overstiger den grænse, der er fastsat i Rådets direktiv 91/492/EØF</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Europa-Parlamentets og Rådet forordning (EF) nr. 2065/2003 af 10. november 2003 om røgaromaer, som anvendes eller er bestemt til anvendelse i eller på fødevarer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Europa-Parlamentets og Rådets forordning (EF) nr. 853/2004 af 29. april 2004 om særlige hygiejnebestemmelser for animalske fødevarer (Kapitel I, Tillæg II)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Europa-Parlamentets og Rådets forordning (EF) nr. 853/2004 af 29. april 2004 om særlige hygiejnebestemmelser for animalske fødevarer (Kapitel V, Tillæg III)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Europa-Parlamentets og Rådets forordning (EF) nr. 853/2004 af 29. april 2004 om særlige hygiejnebestemmelser for animalske fødevarer (Kapitel VII, Tillæg III)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Europa-Parlamentets og Rådets forordning (EF) nr. 853/2004 af 29. april 2004 om særlige hygiejnebestemmelser for animalske fødevarer (Kapitel VIII, Tillæg III)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pageBreakBefore/>
              <w:spacing w:before="60" w:after="60"/>
              <w:jc w:val="left"/>
              <w:rPr>
                <w:noProof/>
                <w:szCs w:val="24"/>
              </w:rPr>
            </w:pPr>
            <w:r>
              <w:rPr>
                <w:noProof/>
              </w:rPr>
              <w:t>Europa-Parlamentets og Rådets forordning (EF) nr. 853/2004 af 29. april 2004 om særlige hygiejnebestemmelser for animalske fødevarer (Kapitel IX, Tillæg III)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Europa-Parlamentets og Rådets forordning (EF) nr. 853/2004 af 29. april 2004 om særlige hygiejnebestemmelser for animalske fødevarer (Kapitel X, Tillæg III)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Europa-Parlamentets og Rådets forordning (EF) nr. 853/2004 af 29. april 2004 om særlige hygiejnebestemmelser for animalske fødevarer (Kapitel XI, Tillæg III)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Europa-Parlamentets og Rådets forordning (EF) nr. 853/2004 af 29. april 2004 om særlige hygiejnebestemmelser for animalske fødevarer (Kapitel XII, Tillæg III)</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Europa-Parlamentets og Rådets forordning (EF) nr. 853/2004 af 29. april 2004 om særlige hygiejnebestemmelser for animalske fødevarer (Kapitel XIII, Tillæg III)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Europa-Parlamentets og Rådets forordning (EF) nr. 853/2004 af 29. april 2004 om særlige hygiejnebestemmelser for animalske fødevarer (Kapitel XIV, Tillæg III)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Europa-Parlamentets og Rådets forordning (EF) nr. 853/2004 af 29. april 2004 om særlige hygiejnebestemmelser for animalske fødevarer (Kapitel XV, Tillæg III)</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Europa-Parlamentets og Rådets forordning (EF) nr. 854/2004 af 29. april 2004 om særlige bestemmelser for tilrettelæggelsen af den offentlige kontrol af animalske produkter til konsum</w:t>
            </w:r>
          </w:p>
        </w:tc>
        <w:tc>
          <w:tcPr>
            <w:tcW w:w="1421" w:type="pct"/>
            <w:shd w:val="clear" w:color="auto" w:fill="auto"/>
          </w:tcPr>
          <w:p>
            <w:pPr>
              <w:spacing w:before="60" w:after="60"/>
              <w:jc w:val="center"/>
              <w:rPr>
                <w:noProof/>
                <w:szCs w:val="24"/>
              </w:rPr>
            </w:pPr>
            <w:r>
              <w:rPr>
                <w:noProof/>
              </w:rPr>
              <w:t>2019</w:t>
            </w:r>
          </w:p>
        </w:tc>
      </w:tr>
      <w:tr>
        <w:tc>
          <w:tcPr>
            <w:tcW w:w="3579" w:type="pct"/>
            <w:tcBorders>
              <w:top w:val="single" w:sz="4" w:space="0" w:color="auto"/>
              <w:left w:val="single" w:sz="4" w:space="0" w:color="auto"/>
              <w:bottom w:val="single" w:sz="4" w:space="0" w:color="auto"/>
              <w:right w:val="single" w:sz="4" w:space="0" w:color="auto"/>
            </w:tcBorders>
            <w:shd w:val="clear" w:color="auto" w:fill="auto"/>
          </w:tcPr>
          <w:p>
            <w:pPr>
              <w:spacing w:before="60" w:after="60"/>
              <w:jc w:val="left"/>
              <w:rPr>
                <w:noProof/>
                <w:szCs w:val="24"/>
              </w:rPr>
            </w:pPr>
            <w:r>
              <w:rPr>
                <w:noProof/>
              </w:rPr>
              <w:t>Kommissionens forordning (EF) nr. 37/2005 af 12. januar 2005 om temperaturkontrol i forbindelse med transport, opbevaring og oplagring af dybfrosne levnedsmidler</w:t>
            </w:r>
          </w:p>
        </w:tc>
        <w:tc>
          <w:tcPr>
            <w:tcW w:w="1421" w:type="pct"/>
            <w:tcBorders>
              <w:top w:val="single" w:sz="4" w:space="0" w:color="auto"/>
              <w:left w:val="single" w:sz="4" w:space="0" w:color="auto"/>
              <w:bottom w:val="single" w:sz="4" w:space="0" w:color="auto"/>
              <w:right w:val="single" w:sz="4" w:space="0" w:color="auto"/>
            </w:tcBorders>
            <w:shd w:val="clear" w:color="auto" w:fill="auto"/>
          </w:tcPr>
          <w:p>
            <w:pPr>
              <w:spacing w:before="60" w:after="60"/>
              <w:jc w:val="center"/>
              <w:rPr>
                <w:noProof/>
                <w:szCs w:val="24"/>
              </w:rPr>
            </w:pPr>
            <w:r>
              <w:rPr>
                <w:noProof/>
              </w:rPr>
              <w:t>2016</w:t>
            </w:r>
          </w:p>
        </w:tc>
      </w:tr>
      <w:tr>
        <w:trPr>
          <w:trHeight w:val="792"/>
        </w:trPr>
        <w:tc>
          <w:tcPr>
            <w:tcW w:w="3579" w:type="pct"/>
            <w:shd w:val="clear" w:color="auto" w:fill="auto"/>
          </w:tcPr>
          <w:p>
            <w:pPr>
              <w:pageBreakBefore/>
              <w:spacing w:before="60" w:after="60"/>
              <w:jc w:val="left"/>
              <w:rPr>
                <w:noProof/>
                <w:szCs w:val="24"/>
              </w:rPr>
            </w:pPr>
            <w:r>
              <w:rPr>
                <w:noProof/>
              </w:rPr>
              <w:t>Europa-Parlamentets og Rådets forordning (EF) nr. 1331/2008 af 16. december 2008 om en fælles godkendelsesprocedure for fødevaretilsætningsstoffer, fødevareenzymer og fødevarearomaer</w:t>
            </w:r>
          </w:p>
        </w:tc>
        <w:tc>
          <w:tcPr>
            <w:tcW w:w="1421" w:type="pct"/>
            <w:shd w:val="clear" w:color="auto" w:fill="auto"/>
          </w:tcPr>
          <w:p>
            <w:pPr>
              <w:spacing w:before="60" w:after="60"/>
              <w:jc w:val="center"/>
              <w:rPr>
                <w:noProof/>
                <w:szCs w:val="24"/>
              </w:rPr>
            </w:pPr>
            <w:r>
              <w:rPr>
                <w:noProof/>
              </w:rPr>
              <w:t>2018</w:t>
            </w:r>
          </w:p>
        </w:tc>
      </w:tr>
      <w:tr>
        <w:trPr>
          <w:trHeight w:val="520"/>
        </w:trPr>
        <w:tc>
          <w:tcPr>
            <w:tcW w:w="3579" w:type="pct"/>
            <w:shd w:val="clear" w:color="auto" w:fill="auto"/>
          </w:tcPr>
          <w:p>
            <w:pPr>
              <w:spacing w:before="60" w:after="60"/>
              <w:jc w:val="left"/>
              <w:rPr>
                <w:noProof/>
                <w:szCs w:val="24"/>
              </w:rPr>
            </w:pPr>
            <w:r>
              <w:rPr>
                <w:noProof/>
              </w:rPr>
              <w:t xml:space="preserve">Europa-Parlamentets og Rådets forordning (EF) nr. 1332/2008 af 16. december 2008 om fødevareenzymer og om ændring af Rådets direktiv 83/417/EØF, Rådets forordning (EF) nr. 1493/1999, direktiv 2000/13/EF, Rådets direktiv 2001/112/EF og forordning (EF) nr. 258/97 </w:t>
            </w:r>
          </w:p>
        </w:tc>
        <w:tc>
          <w:tcPr>
            <w:tcW w:w="1421" w:type="pct"/>
            <w:shd w:val="clear" w:color="auto" w:fill="auto"/>
          </w:tcPr>
          <w:p>
            <w:pPr>
              <w:spacing w:before="60" w:after="60"/>
              <w:jc w:val="center"/>
              <w:rPr>
                <w:noProof/>
                <w:szCs w:val="24"/>
              </w:rPr>
            </w:pPr>
            <w:r>
              <w:rPr>
                <w:noProof/>
              </w:rPr>
              <w:t>2018</w:t>
            </w:r>
          </w:p>
        </w:tc>
      </w:tr>
      <w:tr>
        <w:trPr>
          <w:trHeight w:val="520"/>
        </w:trPr>
        <w:tc>
          <w:tcPr>
            <w:tcW w:w="3579" w:type="pct"/>
            <w:shd w:val="clear" w:color="auto" w:fill="auto"/>
          </w:tcPr>
          <w:p>
            <w:pPr>
              <w:spacing w:before="60" w:after="60"/>
              <w:jc w:val="left"/>
              <w:rPr>
                <w:noProof/>
                <w:szCs w:val="24"/>
              </w:rPr>
            </w:pPr>
            <w:r>
              <w:rPr>
                <w:noProof/>
              </w:rPr>
              <w:t>Europa-Parlamentets og Rådets forordning (EF) nr. 1333/2008 af 16. december 2008 om fødevaretilsætningsstoffer</w:t>
            </w:r>
          </w:p>
        </w:tc>
        <w:tc>
          <w:tcPr>
            <w:tcW w:w="1421" w:type="pct"/>
            <w:shd w:val="clear" w:color="auto" w:fill="auto"/>
          </w:tcPr>
          <w:p>
            <w:pPr>
              <w:spacing w:before="60" w:after="60"/>
              <w:jc w:val="center"/>
              <w:rPr>
                <w:noProof/>
                <w:szCs w:val="24"/>
              </w:rPr>
            </w:pPr>
            <w:r>
              <w:rPr>
                <w:noProof/>
              </w:rPr>
              <w:t>2018</w:t>
            </w:r>
          </w:p>
        </w:tc>
      </w:tr>
      <w:tr>
        <w:trPr>
          <w:trHeight w:val="520"/>
        </w:trPr>
        <w:tc>
          <w:tcPr>
            <w:tcW w:w="3579" w:type="pct"/>
            <w:shd w:val="clear" w:color="auto" w:fill="auto"/>
          </w:tcPr>
          <w:p>
            <w:pPr>
              <w:spacing w:before="60" w:after="60"/>
              <w:jc w:val="left"/>
              <w:rPr>
                <w:noProof/>
                <w:szCs w:val="24"/>
              </w:rPr>
            </w:pPr>
            <w:r>
              <w:rPr>
                <w:noProof/>
              </w:rPr>
              <w:t>Europa-Parlamentets for Rådets forordning (EF) nr. 1334/2008 af 16. december 2008 om aromaer og visse fødevareingredienser med aromagivende egenskaber til anvendelse i og på fødevarer og om ændring af Rådets forordning (EØF) nr. 1601/91, forordning (EF) nr. 2232/96, forordning (EF) nr. 110/2008 og direktiv 2000/13/EF</w:t>
            </w:r>
          </w:p>
        </w:tc>
        <w:tc>
          <w:tcPr>
            <w:tcW w:w="1421" w:type="pct"/>
            <w:shd w:val="clear" w:color="auto" w:fill="auto"/>
          </w:tcPr>
          <w:p>
            <w:pPr>
              <w:spacing w:before="60" w:after="60"/>
              <w:jc w:val="center"/>
              <w:rPr>
                <w:noProof/>
                <w:szCs w:val="24"/>
              </w:rPr>
            </w:pPr>
            <w:r>
              <w:rPr>
                <w:noProof/>
              </w:rPr>
              <w:t>2018</w:t>
            </w:r>
          </w:p>
        </w:tc>
      </w:tr>
      <w:tr>
        <w:trPr>
          <w:trHeight w:val="520"/>
        </w:trPr>
        <w:tc>
          <w:tcPr>
            <w:tcW w:w="3579" w:type="pct"/>
            <w:shd w:val="clear" w:color="auto" w:fill="auto"/>
          </w:tcPr>
          <w:p>
            <w:pPr>
              <w:spacing w:before="60" w:after="60"/>
              <w:jc w:val="left"/>
              <w:rPr>
                <w:noProof/>
                <w:szCs w:val="24"/>
              </w:rPr>
            </w:pPr>
            <w:r>
              <w:rPr>
                <w:noProof/>
              </w:rPr>
              <w:t>Kommissionens forordning (EU) nr. 234/2011 af 10. marts 2011 om gennemførelse af Europa-Parlamentets og Rådets forordning (EF) nr. 1331/2008 om en fælles godkendelsesprocedure for fødevaretilsætningsstoffer, fødevareenzymer og fødevarearomaer</w:t>
            </w:r>
          </w:p>
        </w:tc>
        <w:tc>
          <w:tcPr>
            <w:tcW w:w="1421" w:type="pct"/>
            <w:shd w:val="clear" w:color="auto" w:fill="auto"/>
          </w:tcPr>
          <w:p>
            <w:pPr>
              <w:spacing w:before="60" w:after="60"/>
              <w:jc w:val="center"/>
              <w:rPr>
                <w:noProof/>
                <w:szCs w:val="24"/>
              </w:rPr>
            </w:pPr>
            <w:r>
              <w:rPr>
                <w:noProof/>
              </w:rPr>
              <w:t>2018</w:t>
            </w:r>
          </w:p>
        </w:tc>
      </w:tr>
      <w:tr>
        <w:trPr>
          <w:trHeight w:val="520"/>
        </w:trPr>
        <w:tc>
          <w:tcPr>
            <w:tcW w:w="3579" w:type="pct"/>
            <w:shd w:val="clear" w:color="auto" w:fill="auto"/>
          </w:tcPr>
          <w:p>
            <w:pPr>
              <w:spacing w:before="60" w:after="60"/>
              <w:jc w:val="left"/>
              <w:rPr>
                <w:noProof/>
                <w:szCs w:val="24"/>
              </w:rPr>
            </w:pPr>
            <w:r>
              <w:rPr>
                <w:noProof/>
              </w:rPr>
              <w:t>Kommissionens forordning (EU) nr. 231/2012 af 9. marts 2012 om specifikationer for fødevaretilsætningsstoffer opført i bilag II og III til Europa-Parlamentets og Rådets forordning (EF) nr. 1333/2008</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Kommissionens gennemførelsesforordning (EU) nr. 872/2012 af 1. oktober 2012 om vedtagelse af listen over aromastoffer, jf. Europa-Parlamentets og Rådets forordning (EF) nr. 2232/96, om indsættelse af listen i bilag I til Europa-Parlamentets og Rådets forordning (EF) nr. 1334/2008 og om ophævelse af Kommissionens forordning (EF) nr. 1565/2000 og Kommissionens afgørelse 1999/217/EF</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forordning (EU) nr. 873/2012 af 1. oktober 2012 om overgangsforanstaltninger vedrørende EU-listen over aromaer og udgangsmaterialer i bilag I til Europa-Parlamentets og Rådets forordning (EF) nr. 1334/2008</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spacing w:before="60" w:after="60"/>
              <w:jc w:val="center"/>
              <w:rPr>
                <w:noProof/>
                <w:szCs w:val="24"/>
              </w:rPr>
            </w:pPr>
            <w:r>
              <w:rPr>
                <w:noProof/>
              </w:rPr>
              <w:t>Andre foranstaltninger</w:t>
            </w:r>
          </w:p>
        </w:tc>
      </w:tr>
      <w:tr>
        <w:tc>
          <w:tcPr>
            <w:tcW w:w="3579" w:type="pct"/>
            <w:shd w:val="clear" w:color="auto" w:fill="auto"/>
          </w:tcPr>
          <w:p>
            <w:pPr>
              <w:spacing w:before="60" w:after="60"/>
              <w:jc w:val="left"/>
              <w:rPr>
                <w:noProof/>
                <w:szCs w:val="24"/>
              </w:rPr>
            </w:pPr>
            <w:r>
              <w:rPr>
                <w:noProof/>
              </w:rPr>
              <w:t>Rådets direktiv 78/142/EØF af 30. januar 1978 om indbyrdes tilnærmelse af medlemsstaternes lovgivning vedrørende materialer og genstande, som indeholder monomert vinylclorid, og som er bestemt til at komme i berøring med levnedsmidler</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Rådets direktiv 82/711/EØF af 18. oktober 1982 om de nødvendige grundregler for kontrol med overføring af bestanddele fra plastmaterialer og -genstande, der er bestemt til at komme i berøring med levnedsmidler</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Rådets direktiv 84/500/EØF af 15. oktober 1984 om indbyrdes tilnærmelse af medlemsstaternes lovgivning om keramiske genstande, bestemt til at komme i berøring med levnedsmidler</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Rådets direktiv 85/572/EØF af 19. december 1985 om fastsættelse af listen over simulatorer, der skal anvendes ved kontrol med migration af bestanddele fra plastmaterialer og -genstande, der er bestemt til at komme i berøring med levnedsmidler</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Kommissionens direktiv 93/11/EØF af 15. marts 1993 om frigivelse af N-nitrosaminer og N-nitroserbare stoffer fra flaskesutter og narresutter af elastomere og gummi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pageBreakBefore/>
              <w:spacing w:before="60" w:after="60"/>
              <w:jc w:val="left"/>
              <w:rPr>
                <w:noProof/>
                <w:szCs w:val="24"/>
              </w:rPr>
            </w:pPr>
            <w:r>
              <w:rPr>
                <w:noProof/>
              </w:rPr>
              <w:t>Europa-Parlamentets og Rådets forordning (EF) nr. 1829/2003 af 22. september 2003 om genetisk modificerede fødevarer og foderstoffer</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Kommissionens forordning (EF) nr. 641/2004 af 6. april 2004 om gennemførelsesbestemmelser til Europa-Parlamentets og Rådets forordning (EF) nr. 1829/2003 for så vidt angår tilladelse til nye genetisk modificerede fødevarer og foderstoffer, meddelelser om eksisterende produkter samt utilsigtet eller teknisk uundgåelig forekomst af genetisk modificeret materiale, for hvilket der er foretaget en gunstig risikovurdering</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Europa-Parlamentets og Rådets forordning (EF) nr. 1935/2004 af 27. oktober 2004 om materialer og genstande bestemt til kontakt med fødevarer og om ophævelse af direktiv 80/590/EØF og 89/109/EØF</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Kommissionens forordning (EF) nr. 1895/2005 af 18. november 2005 om begrænsning i anvendelsen af visse epoxyderivater i materialer og genstande bestemt til kontakt med fødevarer</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Kommissionens forordning (EF) nr. 2023/2006 af 22. december 2006 om god fremstillingsmæssig praksis for materialer og genstande bestemt til kontakt med fødevarer</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Kommissionens beslutning 2007/275/EF af 17. april 2007 om lister over dyr og produkter, der skal underkastes kontrol ved grænsekontrolsteder i henhold til Rådets direktiv 91/496/EØF og 97/78/EF</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direktiv 2007/42/EF af 29. juni 2007 om materialer og genstande af folie af celluloseregenerater, bestemt til kontakt med fødevarer</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pageBreakBefore/>
              <w:spacing w:before="60" w:after="60"/>
              <w:jc w:val="left"/>
              <w:rPr>
                <w:noProof/>
                <w:szCs w:val="24"/>
              </w:rPr>
            </w:pPr>
            <w:r>
              <w:rPr>
                <w:noProof/>
              </w:rPr>
              <w:t>Kommissionens forordning (EF) nr. 282/2008 af 27. marts 2008 om materialer og genstande af genvundet plast bestemt til kontakt med fødevarer og om ændring af forordning (EF) nr. 2023/2006</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forordning (EF) nr. 450/2009 af 29. maj 2009 om aktive og intelligente materialer og genstande bestemt til kontakt med fødevarer</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Kommissionens afgørelse 2010/169/EU af 19. marts 2010 om afvisning af at optage 2,4,4'-trichlor-2'-hydroxydiphenylether på EU-listen over additiver, der kan anvendes ved fremstilling af plastmaterialer og -genstande bestemt til kontakt med fødevarer, jf. direktiv 2002/72/EF</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Kommissionens forordning (EU) nr. 10/2011 af 14. januar 2011 om plastmaterialer og -genstande bestemt til kontakt med fødevarer</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Kommissionens forordning (EU) nr. 284/2011 af 22. marts 2011 om fastsættelse af særlige betingelser og nærmere procedurer for import af plastkøkkenredskaber af polyamid og melamin med oprindelse i eller afsendt fra Folkerepublikken Kina og Det Særlige Administrative Område Hongkong, Kina</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Kommissionens forordning (EU) nr. 28/2012 af 11. januar 2012 om fastsættelse af krav vedrørende udstedelse af certifikater ved import til og transit gennem Unionen af visse sammensatte produkter og om ændring af beslutning 2007/275/EF og forordning (EF) nr. 1162/2009</w:t>
            </w:r>
          </w:p>
        </w:tc>
        <w:tc>
          <w:tcPr>
            <w:tcW w:w="1421" w:type="pct"/>
            <w:shd w:val="clear" w:color="auto" w:fill="auto"/>
          </w:tcPr>
          <w:p>
            <w:pPr>
              <w:spacing w:before="60" w:after="60"/>
              <w:jc w:val="center"/>
              <w:rPr>
                <w:noProof/>
                <w:szCs w:val="24"/>
              </w:rPr>
            </w:pPr>
            <w:r>
              <w:rPr>
                <w:noProof/>
              </w:rPr>
              <w:t>2021</w:t>
            </w:r>
          </w:p>
        </w:tc>
      </w:tr>
      <w:tr>
        <w:tc>
          <w:tcPr>
            <w:tcW w:w="5000" w:type="pct"/>
            <w:gridSpan w:val="2"/>
            <w:shd w:val="clear" w:color="auto" w:fill="auto"/>
          </w:tcPr>
          <w:p>
            <w:pPr>
              <w:spacing w:before="60" w:after="60"/>
              <w:jc w:val="center"/>
              <w:rPr>
                <w:noProof/>
                <w:szCs w:val="24"/>
              </w:rPr>
            </w:pPr>
            <w:r>
              <w:rPr>
                <w:noProof/>
              </w:rPr>
              <w:t>Foranstaltninger, der skal medtages efter tilnærmelse af lovgivningen</w:t>
            </w:r>
          </w:p>
        </w:tc>
      </w:tr>
      <w:tr>
        <w:tc>
          <w:tcPr>
            <w:tcW w:w="3579" w:type="pct"/>
            <w:shd w:val="clear" w:color="auto" w:fill="auto"/>
          </w:tcPr>
          <w:p>
            <w:pPr>
              <w:spacing w:before="60" w:after="60"/>
              <w:jc w:val="left"/>
              <w:rPr>
                <w:noProof/>
                <w:szCs w:val="24"/>
              </w:rPr>
            </w:pPr>
            <w:r>
              <w:rPr>
                <w:noProof/>
              </w:rPr>
              <w:t>Rådets direktiv 96/23/EF af 29. april 1996 om de kontrolforanstaltninger, der skal iværksættes for visse stoffer og restkoncentrationer heraf i levende dyr og produkter heraf og om ophævelse af direktiv 85/358/EØF og 86/469/EØF og beslutning 89/187/EØF og 91/664/EØF</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 xml:space="preserve">Europa-Parlamentets og Rådets forordning (EF) nr. 258/97 af 27. januar 1997 om nye levnedsmidler og nye levnedsmiddelingredienser </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Europa-Parlamentets og Rådets direktiv 1999/2/EF af 22. februar 1999 om indbyrdes tilnærmelse af medlemsstaternes lovgivning om levnedsmidler og levnedsmiddelingredienser, som er behandlet med ioniserende stråling</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Europa-Parlamentets og Rådets direktiv 1999/3/EF af 22. februar 1999 om opstilling af en fællesskabsliste over levnedsmidler og levnedsmiddelingredienser, som er behandlet med ioniserende stråling</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direktiv 2002/63/EF af 11. juli 2002 om EF-metoder til prøveudtagning til officiel kontrol af pesticidrester i og på vegetabilske og animalske produkter og om ophævelse af direktiv 79/700/EØF</w:t>
            </w:r>
          </w:p>
        </w:tc>
        <w:tc>
          <w:tcPr>
            <w:tcW w:w="1421" w:type="pct"/>
            <w:shd w:val="clear" w:color="auto" w:fill="auto"/>
          </w:tcPr>
          <w:p>
            <w:pPr>
              <w:spacing w:before="60" w:after="60"/>
              <w:jc w:val="center"/>
              <w:rPr>
                <w:noProof/>
                <w:szCs w:val="24"/>
              </w:rPr>
            </w:pPr>
            <w:r>
              <w:rPr>
                <w:noProof/>
              </w:rPr>
              <w:t>2018</w:t>
            </w:r>
          </w:p>
        </w:tc>
      </w:tr>
      <w:tr>
        <w:trPr>
          <w:trHeight w:val="681"/>
        </w:trPr>
        <w:tc>
          <w:tcPr>
            <w:tcW w:w="3579" w:type="pct"/>
            <w:shd w:val="clear" w:color="auto" w:fill="auto"/>
          </w:tcPr>
          <w:p>
            <w:pPr>
              <w:spacing w:before="60" w:after="60"/>
              <w:jc w:val="left"/>
              <w:rPr>
                <w:noProof/>
                <w:szCs w:val="24"/>
              </w:rPr>
            </w:pPr>
            <w:r>
              <w:rPr>
                <w:noProof/>
              </w:rPr>
              <w:t>Kommissionens forordning (EF) nr. 401/2006 af 23. februar 2006 om prøveudtagnings- og analysemetoder til offentlig kontrol af indholdet af mykotoksiner i fødevarer</w:t>
            </w:r>
          </w:p>
        </w:tc>
        <w:tc>
          <w:tcPr>
            <w:tcW w:w="1421" w:type="pct"/>
            <w:shd w:val="clear" w:color="auto" w:fill="auto"/>
          </w:tcPr>
          <w:p>
            <w:pPr>
              <w:spacing w:before="60" w:after="60"/>
              <w:jc w:val="center"/>
              <w:rPr>
                <w:noProof/>
                <w:szCs w:val="24"/>
              </w:rPr>
            </w:pPr>
            <w:r>
              <w:rPr>
                <w:noProof/>
              </w:rPr>
              <w:t>2018</w:t>
            </w:r>
          </w:p>
        </w:tc>
      </w:tr>
      <w:tr>
        <w:trPr>
          <w:trHeight w:val="681"/>
        </w:trPr>
        <w:tc>
          <w:tcPr>
            <w:tcW w:w="3579" w:type="pct"/>
            <w:shd w:val="clear" w:color="auto" w:fill="auto"/>
          </w:tcPr>
          <w:p>
            <w:pPr>
              <w:spacing w:before="60" w:after="60"/>
              <w:jc w:val="left"/>
              <w:rPr>
                <w:noProof/>
                <w:szCs w:val="24"/>
              </w:rPr>
            </w:pPr>
            <w:r>
              <w:rPr>
                <w:noProof/>
              </w:rPr>
              <w:t>Kommissionens forordning (EF) nr. 1881/2006 af 19. december 2006 om fastsættelse af grænseværdier for bestemte forurenende stoffer i fødevarer</w:t>
            </w:r>
          </w:p>
        </w:tc>
        <w:tc>
          <w:tcPr>
            <w:tcW w:w="1421" w:type="pct"/>
            <w:shd w:val="clear" w:color="auto" w:fill="auto"/>
          </w:tcPr>
          <w:p>
            <w:pPr>
              <w:spacing w:before="60" w:after="60"/>
              <w:jc w:val="center"/>
              <w:rPr>
                <w:noProof/>
                <w:szCs w:val="24"/>
              </w:rPr>
            </w:pPr>
            <w:r>
              <w:rPr>
                <w:noProof/>
              </w:rPr>
              <w:t>2018</w:t>
            </w:r>
          </w:p>
        </w:tc>
      </w:tr>
      <w:tr>
        <w:trPr>
          <w:trHeight w:val="681"/>
        </w:trPr>
        <w:tc>
          <w:tcPr>
            <w:tcW w:w="3579" w:type="pct"/>
            <w:shd w:val="clear" w:color="auto" w:fill="auto"/>
          </w:tcPr>
          <w:p>
            <w:pPr>
              <w:spacing w:before="60" w:after="60"/>
              <w:jc w:val="left"/>
              <w:rPr>
                <w:noProof/>
                <w:szCs w:val="24"/>
              </w:rPr>
            </w:pPr>
            <w:r>
              <w:rPr>
                <w:noProof/>
              </w:rPr>
              <w:t>Kommissionens forordning (EF) nr. 1882/2006 af 19. december 2006 om prøveudtagnings- og analysemetoder til offentlig kontrol af indholdet af nitrat i visse fødevarer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forordning (EF) nr. 333/2007 af 28. marts 2007 om prøveudtagnings- og analysemetoder til kontrol af indholdet af sporstoffer og procesforureninger i fødevarer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forordning (EU) nr. 589/2014 af 2. juni 2014 om prøveudtagnings- og analysemetoder til kontrol af indholdet af dioxiner, dioxinlignende PCB'er og ikke-dioxinlignende PCB'er i visse fødevarer og om ophævelse af forordning (EU) nr. 252/2012</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pageBreakBefore/>
              <w:spacing w:before="60" w:after="60"/>
              <w:jc w:val="center"/>
              <w:rPr>
                <w:noProof/>
                <w:szCs w:val="24"/>
              </w:rPr>
            </w:pPr>
            <w:r>
              <w:rPr>
                <w:noProof/>
              </w:rPr>
              <w:t>Kapitel II — Dyresundhed</w:t>
            </w:r>
          </w:p>
        </w:tc>
      </w:tr>
      <w:tr>
        <w:tc>
          <w:tcPr>
            <w:tcW w:w="3579" w:type="pct"/>
            <w:shd w:val="clear" w:color="auto" w:fill="auto"/>
          </w:tcPr>
          <w:p>
            <w:pPr>
              <w:spacing w:before="60" w:after="60"/>
              <w:jc w:val="left"/>
              <w:rPr>
                <w:noProof/>
                <w:szCs w:val="24"/>
              </w:rPr>
            </w:pPr>
            <w:r>
              <w:rPr>
                <w:noProof/>
              </w:rPr>
              <w:t>Rådets direktiv 64/432/EØF af 26. juni 1964 om veterinærpolitimæssige problemer ved handel inden for Fællesskabet med kvæg og svin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beslutning 86/474/EØF af 11. september 1986 om gennemførelse af veterinærkontrol på stedet i forbindelse med indførsel af kvæg og svin samt fersk kød fra tredjelande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direktiv 88/407/EØF af 14. juni 1988 om fastsættelse af de veterinærpolitimæssige krav i forbindelse med handelen inden for Fællesskabet med tyresæd og indførsel heraf</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direktiv 89/556/EØF af 25. september 1989 om fastsættelse af veterinærpolitimæssige betingelser i forbindelse med handel inden for Fællesskabet med embryoner af tamkvæg samt med indførsel heraf fra tredjelande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direktiv 90/429/EØF af 26. juni 1990 om fastsættelse af de dyresundhedsmæssige krav i forbindelse med handelen inden for Fællesskabet med ornesæd og indførsel heraf</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direktiv 92/65/EØF af 13. juli 1992 om dyresundhedsmæssige betingelser for samhandel med og indførsel til Fællesskabet af dyr samt sæd, æg og embryoner, der for så vidt angår disse betingelser ikke er underlagt specifikke fællesskabsbetingelser som omhandlet i bilag A, del I, til direktiv 90/425/EØF</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 xml:space="preserve">Rådets forordning (EF) nr. 338/97 af 9. december 1996 om beskyttelse af vilde dyr og planter ved kontrol af handelen hermed </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Kommissionens beslutning 2004/211/EF af 6. januar 2004 om listen over tredjelande og dele af tredjelande, hvorfra medlemsstaterne tillader import af levende dyr af hestefamilien samt sæd, æg og embryoner fra dyr af hestefamilien, og om ændring af beslutning 93/195/EØF og 94/63/EF</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Europa-Parlamentets og Rådets forordning (EF) nr. 853/2004 af 29. april 2004 om særlige hygiejnebestemmelser for animalske fødevarer (Kapitel VII)</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forordning (EF) nr. 1739/2005 af 21. oktober 2005 om dyresundhedsmæssige betingelser for transport af cirkusdyr mellem medlemsstater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beslutning 2006/168/EF af 4. januar 2006 om fastsættelse af krav vedrørende dyresundhed og udstedelse af veterinærcertifikat ved import af kvægembryoner til Fællesskabet og om ophævelse af beslutning 2005/217/EF</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beslutning 2006/605/EF af 6. september 2006 om visse beskyttelsesforanstaltninger vedrørende samhandelen inden for Fællesskabet med fjerkræ bestemt til udsætning som fjervildt</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Rådets direktiv 2006/88/EF af 24. oktober 2006 om dyresundhedsbestemmelser for akvakulturdyr og produkter deraf og om forebyggelse og bekæmpelse af visse sygdomme hos vanddyr</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beslutning 2006/767/EF af 6. november 2006 om ændring af beslutning 2003/804/EF og 2003/858/EF for så vidt angår bestemmelser om udstedelse af certifikat for levende bløddyr og levende akvakulturfisk og -fiskevarer til konsum</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Kommissionens forordning (EF) nr. 798/2008 af 8. august 2008 om fastlæggelse af en liste over tredjelande, områder, zoner og segmenter, hvorfra fjerkræ og fjerkræprodukter kan importeres til og sendes i transit gennem Fællesskabet, og krav vedrørende udstedelse af veterinærcertifikat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forordning (EF) nr. 1251/2008 af 12. december 2008 om gennemførelse af Rådets direktiv 2006/88/EF for så vidt angår betingelser og udstedelse af certifikat ved omsætning og import til Fællesskabet af akvakulturdyr og produkter deraf og om fastlæggelse af en liste over vektorarter</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beslutning 2009/712/EF af 18. september 2009 om gennemførelse af Rådets direktiv 2008/73/EF for så vidt angår internetbaserede informationssider med lister over virksomheder og laboratorier, som medlemsstaterne har godkendt i overensstemmelse med Fællesskabets lovgivning på veterinærområdet og det zootekniske område</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Rådets direktiv 2009/156/EF af 30. november 2009 om dyresundhedsmæssige betingelser for enhovede dyrs bevægelser og indførsel af enhovede dyr fra tredjelande</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Rådets direktiv 2009/158/EF af 30. november 2009 om dyresundhedsmæssige betingelser for samhandelen inden for Fællesskabet med fjerkræ og rugeæg samt for indførsel heraf fra tredjelande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afgørelse 2010/57/EU af 3. februar 2010 om sundhedsmæssige garantier for transit af dyr af hestefamilien, der transporteres gennem de i bilag I til Rådets direktiv 97/78/EF anførte områder</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Kommissionens afgørelse 2010/270/EU af 6. maj 2010 om ændring af del 1 og 2 i bilag E til Rådets direktiv 92/65/EØF for så vidt angår standardsundhedscertifikaterne for dyr fra bedrifter og for bier og humlebier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Kommissionens afgørelse 2010/471/EU af 26. august 2010 om import til Unionen af sæd, æg og embryoner fra dyr af hestefamilien for så vidt angår lister over sædopsamlingsstationer og sædbanker, embryoopsamlings- og embryoproduktionshold samt krav vedrørende udstedelse af certifikater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afgørelse 2010/472/EU af 26. august 2010 om import til Unionen af sæd, æg og embryoner fra fåre- og gedearter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gennemførelsesafgørelse 2011/630/EU af 20. september 2011 om import af tyresæd til Unionen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 xml:space="preserve">Kommissionens gennemførelsesafgørelse 2012/137/EU af 1. marts 2012 om import af ornesæd til Unionen </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spacing w:before="60" w:after="60"/>
              <w:jc w:val="center"/>
              <w:rPr>
                <w:noProof/>
                <w:szCs w:val="24"/>
              </w:rPr>
            </w:pPr>
            <w:r>
              <w:rPr>
                <w:noProof/>
              </w:rPr>
              <w:t>Dyresygdomme</w:t>
            </w:r>
          </w:p>
        </w:tc>
      </w:tr>
      <w:tr>
        <w:tc>
          <w:tcPr>
            <w:tcW w:w="3579" w:type="pct"/>
            <w:shd w:val="clear" w:color="auto" w:fill="auto"/>
          </w:tcPr>
          <w:p>
            <w:pPr>
              <w:spacing w:before="60" w:after="60"/>
              <w:jc w:val="left"/>
              <w:rPr>
                <w:noProof/>
                <w:szCs w:val="24"/>
              </w:rPr>
            </w:pPr>
            <w:r>
              <w:rPr>
                <w:noProof/>
              </w:rPr>
              <w:t>Rådets direktiv 82/894/EØF af 21. december 1982 om anmeldelse af dyresygdomme inden for Fællesskabet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beslutning 92/260/EØF af 10. april 1992 om dyresundhedsmæssige betingelser og udstedelse af sundhedscertifikat for midlertidig indførsel af registrerede heste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direktiv 92/35/EØF af 29. april 1992 om fastsættelse af regler for kontrol med og foranstaltninger til bekæmpelse af hestepest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direktiv 92/119/EØF af 17. december 1992 om generelle fællesskabsforanstaltninger til bekæmpelse af visse dyresygdomme samt om specifikke foranstaltninger vedrørende blæreudslæt hos svin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Kommissionens beslutning 93/197/EØF af 5. februar 1993 om dyresundhedsmæssige betingelser og udstedelse af sundhedscertifikat ved indførsel af registrerede hovdyr og hovdyr til opdræt og som brugsdyr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beslutning 2000/428/EF af 4. juli 2000 om diagnosticeringsprocedurer, prøvetagningsmetoder og kriterier for evaluering af resultaterne af laboratorieprøver til bekræftelse og differentialdiagnosticering af smitsom blæreudslet hos svin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direktiv 2000/75/EF af 20. november 2000 om vedtagelse af specifikke bestemmelser vedrørende foranstaltninger til bekæmpelse og udryddelse af bluetongue hos får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direktiv 2001/89/EF af 23. oktober 2001 om EF-foranstaltninger til bekæmpelse af klassisk svinepest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direktiv 2002/60/EF af 27. juni 2002 om specifikke bestemmelser for bekæmpelse af afrikansk svinepest og om ændring af direktiv 92/119/EØF for så vidt angår Teschener syge og afrikansk svinepest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beslutning 2003/466/EF af 13. juni 2003 om kriterier for etablering af zoner og officielt tilsyn ved mistanke om eller bekræftet forekomst af infektiøs lakseanæmi (ISA)</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beslutning 2003/634/EF af 28. august 2003 om godkendelse af programmer, der er forelagt for at opnå godkendelse af zoner og akvakulturbrug i zoner, der ikke er godkendt med hensyn til egtvedsyge (VHS) og infektiøs hæmatopoietisk nekrose (IHN)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beslutning 2005/217/EF af 9. marts 2005 om fastsættelse af dyresundhedsmæssige betingelser og krav om udstedelse af sundhedscertifikat ved indførsel af koembryoner til Fællesskabet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rFonts w:eastAsia="Calibri"/>
                <w:noProof/>
                <w:szCs w:val="24"/>
              </w:rPr>
            </w:pPr>
            <w:r>
              <w:rPr>
                <w:noProof/>
              </w:rPr>
              <w:t>Kommissionens beslutning 2008/855/EF af 3. november 2008 om dyresundhedsmæssige foranstaltninger til bekæmpelse af klassisk svinepest i visse medlemsstater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afgørelse 2009/3/EF af 18. december 2008 om oprettelse af fællesskabsberedskabslagre af afrikansk hestepest-vaccine</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forordning (EF) nr. 789/2009 af 28. august 2009 om ændring af forordning (EF) nr. 1266/2007 for så vidt angår beskyttelse mod vektorangreb og minimumskrav til programmer for overvågning af bluetongue</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spacing w:before="60" w:after="60"/>
              <w:jc w:val="center"/>
              <w:rPr>
                <w:noProof/>
                <w:szCs w:val="24"/>
              </w:rPr>
            </w:pPr>
            <w:r>
              <w:rPr>
                <w:noProof/>
              </w:rPr>
              <w:t>Identifikation og registrering af dyr</w:t>
            </w:r>
          </w:p>
        </w:tc>
      </w:tr>
      <w:tr>
        <w:tc>
          <w:tcPr>
            <w:tcW w:w="3579" w:type="pct"/>
            <w:shd w:val="clear" w:color="auto" w:fill="auto"/>
          </w:tcPr>
          <w:p>
            <w:pPr>
              <w:spacing w:before="60" w:after="60"/>
              <w:jc w:val="left"/>
              <w:rPr>
                <w:noProof/>
                <w:szCs w:val="24"/>
              </w:rPr>
            </w:pPr>
            <w:r>
              <w:rPr>
                <w:noProof/>
              </w:rPr>
              <w:t>Kommissionens forordning (EF) nr. 494/98 af 27. februar 1998 om gennemførelsesbestemmelser til Rådets forordning (EF) nr. 820/97 for så vidt angår anvendelsen af administrative minimumssanktioner i forbindelse med ordningen for identifikation og registrering af kvæg</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rFonts w:eastAsia="Calibri"/>
                <w:noProof/>
                <w:szCs w:val="24"/>
              </w:rPr>
            </w:pPr>
            <w:r>
              <w:rPr>
                <w:noProof/>
              </w:rPr>
              <w:t>Europa-Parlamentets og Rådets forordning (EF) nr. 1760/2000 af 17. juli 2000 om indførelse af en ordning for identifikation og registrering af kvæg og om mærkning af oksekød og oksekødsprodukter og om ophævelse af Rådets forordning (EF) nr. 820/97</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rFonts w:eastAsia="Calibri"/>
                <w:noProof/>
                <w:szCs w:val="24"/>
              </w:rPr>
            </w:pPr>
            <w:r>
              <w:rPr>
                <w:noProof/>
              </w:rPr>
              <w:t>Kommissionens beslutning 2000/678/EF af 23. oktober 2000 om nærmere regler for registrering af bedrifter i nationale databaser for svin som fastsat i Rådets direktiv 64/432/EØF</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forordning (EF) nr. 1082/2003 af 23. juni 2003 om gennemførelsesbestemmelser til Europa-Parlamentets og Rådets forordning (EF) nr. 1760/2000 for så vidt angår mindstekrav til den kontrol, der skal foretages i forbindelse med ordningen for identifikation og registrering af kvæg</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Rådets forordning (EF) nr. 21/2004 af 17. december 2003 om indførelse af en ordning for identifikation og registrering af får og geder og om ændring af forordning (EF) nr. 1782/2003 og direktiv 92/102/EØF og 64/432/EØF</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forordning (EF) nr. 911/2004 af 29. april 2004 om gennemførelse af Europa-Parlamentets og Rådets forordning (EF) nr. 1760/2000 for så vidt angår øremærker, pas og bedriftslister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rFonts w:eastAsia="Calibri"/>
                <w:noProof/>
                <w:szCs w:val="24"/>
              </w:rPr>
            </w:pPr>
            <w:r>
              <w:rPr>
                <w:noProof/>
              </w:rPr>
              <w:t>Kommissionens beslutning 2006/28/EF af 18. januar 2006 om forlængelse af maksimumsfristen for anbringelse af øremærker på visse kreaturer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rFonts w:eastAsia="Calibri"/>
                <w:noProof/>
                <w:szCs w:val="24"/>
              </w:rPr>
            </w:pPr>
            <w:r>
              <w:rPr>
                <w:noProof/>
              </w:rPr>
              <w:t>Kommissionens forordning (EF) nr. 1505/2006 af 11. oktober 2006 om gennemførelse af Rådets forordning (EF) nr. 21/2004 for så vidt angår mindstekrav til kontrollen i forbindelse med identifikation og registrering af får og geder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rFonts w:eastAsia="Calibri"/>
                <w:noProof/>
                <w:szCs w:val="24"/>
              </w:rPr>
            </w:pPr>
            <w:r>
              <w:rPr>
                <w:noProof/>
              </w:rPr>
              <w:t>Kommissionens beslutning 2006/968/EF af 15. december 2006 om gennemførelse af Rådets forordning (EF) nr. 21/2004 for så vidt angår retningslinjer og procedurer for elektronisk identifikation af får og geder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rFonts w:eastAsia="Calibri"/>
                <w:noProof/>
                <w:szCs w:val="24"/>
              </w:rPr>
            </w:pPr>
            <w:r>
              <w:rPr>
                <w:noProof/>
              </w:rPr>
              <w:t>Rådets direktiv 2008/71/EF af 15. juli 2008 om identifikation og registrering af svin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rFonts w:eastAsia="Calibri"/>
                <w:noProof/>
                <w:szCs w:val="24"/>
              </w:rPr>
            </w:pPr>
            <w:r>
              <w:rPr>
                <w:noProof/>
              </w:rPr>
              <w:t>Kommissionens gennemførelsesforordning (EU) 2015/262 af 17. februar 2015 om metoder til identifikation af dyr af hestefamilien, jf. Rådets direktiv 90/427/EØF og 2009/156/EF (hestepasforordningen)</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pageBreakBefore/>
              <w:spacing w:before="60" w:after="60"/>
              <w:jc w:val="center"/>
              <w:rPr>
                <w:noProof/>
                <w:color w:val="C00000"/>
                <w:szCs w:val="24"/>
              </w:rPr>
            </w:pPr>
            <w:r>
              <w:rPr>
                <w:noProof/>
              </w:rPr>
              <w:t>Animalske biprodukter</w:t>
            </w:r>
          </w:p>
        </w:tc>
      </w:tr>
      <w:tr>
        <w:tc>
          <w:tcPr>
            <w:tcW w:w="3579" w:type="pct"/>
            <w:shd w:val="clear" w:color="auto" w:fill="auto"/>
          </w:tcPr>
          <w:p>
            <w:pPr>
              <w:spacing w:before="60" w:after="60"/>
              <w:jc w:val="left"/>
              <w:rPr>
                <w:noProof/>
                <w:szCs w:val="24"/>
              </w:rPr>
            </w:pPr>
            <w:r>
              <w:rPr>
                <w:noProof/>
              </w:rPr>
              <w:t>Europa-Parlamentets og Rådets forordning (EF) nr. 2160/2003 af 17. november 2003 om bekæmpelse af salmonella og andre bestemte fødevarebårne zoonotiske agenser</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Europa-Parlamentets og Rådets direktiv 2003/99/EF af 17. november 2003 om overvågning af zoonoser og zoonotiske agenser, om ændring af Rådets beslutning 90/424/EØF og om ophævelse af Rådets direktiv 92/117/EØF</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Europa-Parlamentets og Rådets forordning (EF) nr. 1069/2009 af 21. oktober 2009 om sundhedsbestemmelser for animalske biprodukter og afledte produkter, som ikke er bestemt til konsum, og om ophævelse af forordning (EF) nr. 1774/2002 (forordningen om animalske biprodukter)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forordning (EU) nr. 142/2011 af 25. februar 2011 om gennemførelse af Europa-Parlamentets og Rådets forordning (EF) nr. 1069/2009 om sundhedsbestemmelser for animalske biprodukter og afledte produkter, som ikke er bestemt til konsum, og om gennemførelse af Rådets direktiv 97/78/EF for så vidt angår visse prøver og genstande, der er fritaget for veterinærkontrol ved grænsen som omhandlet i samme direktiv</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forordning (EU) nr. 749/2011 af 29. juli 2011 om ændring af forordning (EU) nr. 142/2011 om gennemførelse af Europa-Parlamentets og Rådets forordning (EF) nr. 1069/2009 om sundhedsbestemmelser for animalske biprodukter og afledte produkter, som ikke er bestemt til konsum, og om gennemførelse af Rådets direktiv 97/78/EF for så vidt angår visse prøver og genstande, der er fritaget for veterinærkontrol ved grænsen som omhandlet i samme direktiv</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pageBreakBefore/>
              <w:spacing w:before="60" w:after="60"/>
              <w:jc w:val="center"/>
              <w:rPr>
                <w:noProof/>
                <w:szCs w:val="24"/>
              </w:rPr>
            </w:pPr>
            <w:r>
              <w:rPr>
                <w:noProof/>
              </w:rPr>
              <w:t>Foranstaltninger, der finder anvendelse på tilsætningsstoffer til fødevarer og foder</w:t>
            </w:r>
          </w:p>
        </w:tc>
      </w:tr>
      <w:tr>
        <w:tc>
          <w:tcPr>
            <w:tcW w:w="3579" w:type="pct"/>
            <w:shd w:val="clear" w:color="auto" w:fill="auto"/>
          </w:tcPr>
          <w:p>
            <w:pPr>
              <w:spacing w:before="60" w:after="60"/>
              <w:jc w:val="left"/>
              <w:rPr>
                <w:noProof/>
                <w:szCs w:val="24"/>
              </w:rPr>
            </w:pPr>
            <w:r>
              <w:rPr>
                <w:noProof/>
              </w:rPr>
              <w:t>Rådets direktiv 90/167/EØF af 26. marts 1990 om fastsættelse af betingelserne for tilberedning, markedsføring og anvendelse af foderlægemidler i Fællesskabet</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Europa-Parlamentets og Rådets direktiv 2001/82/EF af 6. november 2001 om oprettelse af en fællesskabskodeks for veterinærlægemidler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Europa-Parlamentets og Rådet forordning (EF) nr. 1831/2003 af 22. september 2003 om fodertilsætningsstoffer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Europa-Parlamentets og Rådets direktiv 2004/28/EF af 31. marts 2004 om ændring af direktiv 2001/82/EF om oprettelse af en fællesskabskodeks for veterinærlægemidler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henstilling 2004/704/EF af 11. oktober 2004 om overvågning af baggrundsniveauet for dioxiner og dioxinlignende PCB i foderstoffer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Europa-Parlamentets og Rådets forordning (EF) nr. 183/2005 af 12. januar 2005 om krav til foderstofhygiejne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forordning (EF) nr. 378/2005 af 4. marts 2005 om gennemførelsesbestemmelser til Europa-Parlamentets og Rådets forordning (EF) nr. 1831/2003 for så vidt angår EF-referencelaboratoriets forpligtelser og opgaver i forbindelse med ansøgninger om godkendelse af fodertilsætningsstoffer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forordning (EF) nr. 1876/2006 af 18. december 2006 om midlertidig og permanent godkendelse af visse fodertilsætningsstoffer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direktiv 2008/38/EF af 5. marts 2008 om udarbejdelse af en liste over anvendelsesområder for foder med særlige ernæringsformål</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Kommissionens forordning (EF) nr. 429/2008 af 25. april 2008 om gennemførelsesbestemmelser til Europa-Parlamentets og Rådets forordning (EF) nr. 1831/2003 for så vidt angår udarbejdelse og indgivelse af ansøgninger samt vurdering og godkendelse af fodertilsætningsstoffer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Europa-Parlamentets og Rådets forordning (EF) nr. 470/2009 af 6. maj 2009 om fællesskabsprocedurer for fastsættelse af grænseværdier for restkoncentrationer af farmakologisk virksomme stoffer i animalske fødevarer, om ophævelse af Rådets forordning (EØF) nr. 2377/90 og om ændring af Europa-Parlamentets og Rådets direktiv 2001/82/EF og Europa-Parlamentets og Rådets forordning (EF) nr. 726/2004</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Europa-Parlamentets og Rådets forordning (EF) nr. 767/2009 af 13. juli 2009 om markedsføring og anvendelse af foder, ændring af Europa-Parlamentets og Rådets forordning (EF) nr. 1831/2003 og ophævelse af Rådets direktiv 79/373/EØF, Kommissionens direktiv 80/511/EØF, Rådets direktiv 82/471/EØF, 83/228/EØF, 93/74/EØF, 93/113/EF og 96/25/EF og Kommissionens beslutning 2004/217/EF</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forordning (EU) nr. 1270/2009 af 21. december 2009 om permanente godkendelser af visse fodertilsætningsstoffer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forordning (EU) nr. 37/2010 af 22. december 2009 om farmakologisk virksomme stoffer og disses klassifikation med hensyn til maksimalgrænseværdier for restkoncentrationer i animalske fødevarer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forordning (EU) nr. 892/2010 af 8. oktober 2010 om visse produkters status som fodertilsætningsstoffer henhørende under anvendelsesområdet for Europa-Parlamentets og Rådets forordning (EF) nr. 1831/2003</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Kommissionens henstilling 2011/25/EU af 14. januar 2011 om retningslinjer for sondring mellem fodermidler, fodertilsætningsstoffer, biocidholdige produkter og veterinærlægemidler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forordning (EU) nr. 68/2013 af 16. januar 2013 om fortegnelsen over fodermidler</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spacing w:before="60" w:after="60"/>
              <w:jc w:val="center"/>
              <w:rPr>
                <w:noProof/>
                <w:szCs w:val="24"/>
              </w:rPr>
            </w:pPr>
            <w:r>
              <w:rPr>
                <w:noProof/>
              </w:rPr>
              <w:t>Dyrevelfærd</w:t>
            </w:r>
          </w:p>
        </w:tc>
      </w:tr>
      <w:tr>
        <w:tc>
          <w:tcPr>
            <w:tcW w:w="3579" w:type="pct"/>
            <w:shd w:val="clear" w:color="auto" w:fill="auto"/>
          </w:tcPr>
          <w:p>
            <w:pPr>
              <w:spacing w:before="60" w:after="60"/>
              <w:jc w:val="left"/>
              <w:rPr>
                <w:noProof/>
                <w:szCs w:val="24"/>
              </w:rPr>
            </w:pPr>
            <w:r>
              <w:rPr>
                <w:noProof/>
              </w:rPr>
              <w:t>Rådets direktiv 1999/74/EF af 19. juli 1999 om mindstekrav til beskyttelse af æglæggende høner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direktiv 2002/4/EF af 30. januar 2002 om registrering af virksomheder, der holder æglæggende høner, og som er omfattet af Rådets direktiv 1999/74/EF</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forordning (EF) nr. 1/2005 af 22. december 2004 om beskyttelse af dyr under transport og dermed forbundne aktiviteter og om ændring af direktiv 64/432/EØF og 93/119/EF og forordning (EF) nr. 1255/97</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Kommissionens beslutning 2006/778/EF af 14. november 2006 om mindstekrav til indsamling af oplysninger i forbindelse med inspektion af produktionssteder, hvor der holdes visse dyr til landbrugsformål</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direktiv 2007/43/EF af 28. juni 2007 om minimumsforskrifter for beskyttelse af slagtekyllinger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direktiv 2008/119/EF af 18. december 2008 om fastsættelse af mindstekrav med hensyn til beskyttelse af kalve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direktiv 2008/120/EF af 18. december 2008 om fastsættelse af mindstekrav med hensyn til beskyttelse af svin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Rådets forordning (EF) nr. 1099/2009 af 24. september 2009 om beskyttelse af dyr på aflivningstidspunktet</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Kommissionens gennemførelsesafgørelse 2013/188/EU af 18. april 2013 om årsrapporter om ikke-diskriminerende kontrol foretaget i henhold til Rådets forordning (EF) nr. 1/2005 om beskyttelse af dyr under transport og dermed forbundne aktiviteter og om ændring af direktiv 64/432/EØF og 93/119/EF og forordning (EF) nr. 1255/97</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spacing w:before="60" w:after="60"/>
              <w:jc w:val="center"/>
              <w:rPr>
                <w:noProof/>
                <w:szCs w:val="24"/>
              </w:rPr>
            </w:pPr>
            <w:r>
              <w:rPr>
                <w:noProof/>
              </w:rPr>
              <w:t>Kapitel III — Plantesundhedsforanstaltninger</w:t>
            </w:r>
          </w:p>
        </w:tc>
      </w:tr>
      <w:tr>
        <w:tc>
          <w:tcPr>
            <w:tcW w:w="3579" w:type="pct"/>
            <w:shd w:val="clear" w:color="auto" w:fill="auto"/>
          </w:tcPr>
          <w:p>
            <w:pPr>
              <w:spacing w:before="60" w:after="60"/>
              <w:jc w:val="left"/>
              <w:rPr>
                <w:noProof/>
                <w:szCs w:val="24"/>
              </w:rPr>
            </w:pPr>
            <w:r>
              <w:rPr>
                <w:noProof/>
              </w:rPr>
              <w:t>Rådets direktiv 66/401/EØF af 14. juni 1966 om handel med frø af foderplanter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direktiv 66/402/EØF af 14. juni 1966 om handel med såsæd</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direktiv 69/464/EØF af 8. december 1969 om bekæmpelse af kartoffelbrok</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 xml:space="preserve">Kommissionens direktiv 92/90/EØF af 3. november 1992 om forpligtelser, som producenter og importører af planter, planteprodukter eller andet skal opfylde, og om nærmere regler for registrering af sådanne personer </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Kommissionens direktiv 92/105/EØF af 3. december 1992 om en vis standardisering af plantepas til benyttelse ved flytning af en række planter, planteprodukter og andre genstande inden for Fællesskabet og om nærmere regler for udstedelse af sådanne plantepas samt betingelser og nærmere regler for erstatning af plantepas</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direktiv 93/51/EØF af 24. juni 1993 om regler for flytning af visse planter, planteprodukter eller andre objekter gennem en beskyttet zone og for flytning af sådanne planter, planteprodukter eller andre objekter, der har oprindelse i og flyttes inden for en sådan beskyttet zone</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Rådets direktiv 93/85/EØF af 4. oktober 1993 om bekæmpelse af kartoflens ringbakteriose</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direktiv 94/3/EF af 21. januar 1994 om en procedure for meddelelse om tilbageholdelse af en forsendelse eller af en skadegører, der kommer fra et tredjeland, og som frembyder en overhængende fare for plantesundheden</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Rådets forordning (EF) nr. 2100/94 af 27. juli 1994 om EF-sortsbeskyttelse</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forordning (EF) nr. 1238/95 af 31. maj 1995 om gennemførelsesbestemmelser til Rådets forordning (EF) nr. 2100/94 for så vidt angår fastsættelsen af gebyrer til EF-sortsmyndigheden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forordning (EF) nr. 1768/95 af 24. juli 1995 om gennemførelsesbestemmelser vedrørende landbrugsundtagelsen i artikel 14, stk. 3, i Rådets forordning (EF) nr. 2100/94 om EF-sortsbeskyttelse</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Rådets forordning (EF) nr. 2506/95 af 25. oktober 1995 om ændring af forordning (EF) nr. 2100/94 om EF- sortsbeskyttelse</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Rådets forordning (EF) nr. 2470/96 af 17. december 1996 om forlængelse af gyldigheden af EF-sortsbeskyttelse for så vidt angår kartofler</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 xml:space="preserve">Kommissionens direktiv 97/46/EF af 25. juli 1997 om ændring af direktiv 95/44/EF om de betingelser, hvorunder visse skadegørende planter, planteprodukter og andre objekter, der er anført i bilag I-V til Rådets direktiv 77/93/EØF, må føres ind i eller flyttes inden for Fællesskabet eller visse beskyttede zoner inden for dette med henblik på forsøg, forskning eller planteforædling </w:t>
            </w:r>
          </w:p>
        </w:tc>
        <w:tc>
          <w:tcPr>
            <w:tcW w:w="1421" w:type="pct"/>
            <w:shd w:val="clear" w:color="auto" w:fill="auto"/>
          </w:tcPr>
          <w:p>
            <w:pPr>
              <w:spacing w:before="60" w:after="60"/>
              <w:jc w:val="center"/>
              <w:rPr>
                <w:noProof/>
                <w:szCs w:val="24"/>
              </w:rPr>
            </w:pPr>
            <w:r>
              <w:rPr>
                <w:noProof/>
              </w:rPr>
              <w:t>2021</w:t>
            </w:r>
          </w:p>
        </w:tc>
      </w:tr>
      <w:tr>
        <w:tc>
          <w:tcPr>
            <w:tcW w:w="3579" w:type="pct"/>
            <w:shd w:val="clear" w:color="auto" w:fill="auto"/>
          </w:tcPr>
          <w:p>
            <w:pPr>
              <w:spacing w:before="60" w:after="60"/>
              <w:jc w:val="left"/>
              <w:rPr>
                <w:noProof/>
                <w:szCs w:val="24"/>
              </w:rPr>
            </w:pPr>
            <w:r>
              <w:rPr>
                <w:noProof/>
              </w:rPr>
              <w:t>Kommissionens direktiv 98/22/EF af 15. april 1998 om fastsættelse af minimumskravene gældende for plantesundhedskontrol i EF på andre kontrolsteder end kontrolstederne på bestemmelsesstedet af planter, planteprodukter eller andre objekter fra tredjelande</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pageBreakBefore/>
              <w:spacing w:before="60" w:after="60"/>
              <w:jc w:val="left"/>
              <w:rPr>
                <w:noProof/>
                <w:szCs w:val="24"/>
              </w:rPr>
            </w:pPr>
            <w:r>
              <w:rPr>
                <w:noProof/>
              </w:rPr>
              <w:t>Rådets direktiv 98/56/EF af 20. juli 1998 om afsætning af prydplanteformeringsmateriale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direktiv 98/57/EF af 20. juli 1998 om bekæmpelse af Ralstonia solanacearum (Smith) Yabuuchi et al.</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forordning (EF) nr. 2605/98 af 3. december 1998 om ændring af forordning (EF) nr. 1768/95 om gennemførelsesbestemmelser vedrørende landbrugsundtagelsen i artikel 14, stk. 3, i Rådets forordning (EF) nr. 2100/94 om EF-sortsbeskyttelse</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Rådets direktiv 2000/29/EF af 8. maj 2000 om foranstaltninger mod indslæbning i Fællesskabet af skadegørere på planter eller planteprodukter og mod deres spredning inden for Fællesskabet</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Rådets direktiv 2002/54/EF af 13. juni 2002 om handel med bederoefrø</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direktiv 2002/55/EF af 13. juni 2002 om handel med grøntsagsfrø</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direktiv 2002/56/EF af 13. juni 2002 om handel med læggekartofler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direktiv 2002/57/EF af 13. juni 2002 om handel med frø af olie- og spindplanter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beslutning 2003/17/EF af 16. december 2002 om ligestilling af markinspektioner af afgrøder til formering af udsæd i tredjelande og om ligestilling af frø produceret i tredjelande.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Europa-Parlamentets og Rådets forordning (EF) nr. 1830/2003 af 22. september 2003 om sporbarhed og mærkning af genetisk modificerede organismer og sporbarhed af fødevarer og foder fremstillet af genetisk modificerede organismer og om ændring af direktiv 2001/18/EF</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Europa-Parlamentets og Rådets forordning (EF) nr. 2003/2003 af 13. oktober 2003 om gødninger</w:t>
            </w:r>
          </w:p>
        </w:tc>
        <w:tc>
          <w:tcPr>
            <w:tcW w:w="1421" w:type="pct"/>
            <w:shd w:val="clear" w:color="auto" w:fill="auto"/>
          </w:tcPr>
          <w:p>
            <w:pPr>
              <w:spacing w:before="60" w:after="60"/>
              <w:jc w:val="center"/>
              <w:rPr>
                <w:noProof/>
                <w:szCs w:val="24"/>
              </w:rPr>
            </w:pPr>
            <w:r>
              <w:rPr>
                <w:noProof/>
              </w:rPr>
              <w:t>2021</w:t>
            </w:r>
          </w:p>
        </w:tc>
      </w:tr>
      <w:tr>
        <w:tc>
          <w:tcPr>
            <w:tcW w:w="3579" w:type="pct"/>
            <w:shd w:val="clear" w:color="auto" w:fill="auto"/>
          </w:tcPr>
          <w:p>
            <w:pPr>
              <w:spacing w:before="60" w:after="60"/>
              <w:jc w:val="left"/>
              <w:rPr>
                <w:noProof/>
                <w:szCs w:val="24"/>
              </w:rPr>
            </w:pPr>
            <w:r>
              <w:rPr>
                <w:noProof/>
              </w:rPr>
              <w:t>Europa-Parlamentets og Rådets forordning (EF) nr. 882/2004 af 29. april 2004 om offentlig kontrol med henblik på verifikation af, at foderstof- og fødevarelovgivningen samt dyresundheds- og dyrevelfærdsbestemmelserne overholdes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direktiv 2004/102/EF af 5. oktober 2004 om ændring af bilag II, III, IV og V til Rådets direktiv 2000/29/EF om foranstaltninger mod indslæbning i Fællesskabet af skadegørere på planter eller planteprodukter og mod deres spredning inden for Fællesskabet</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Kommissionens direktiv 2004/103/EF af 7. oktober 2004 om identitetskontrol og plantesundhedskontrol af planter, planteprodukter eller andre objekter opført i del B i bilag V til Rådets direktiv 2000/29/EF, som kan gennemføres et andet sted end indførselsstedet i Fællesskabet eller et sted i nærheden, og om fastsættelse af de nærmere bestemmelser i forbindelse med denne kontrol</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forordning (EF) nr. 1756/2004 af 11. oktober 2004 om fastsættelse af de nærmere betingelser for den nødvendige dokumentation og kriterierne for type og niveau for formindskelse af plantesundhedskontrollen af visse planter, planteprodukter eller andre objekter, der er opført i del B i bilag V til Rådets direktiv 2000/29/EF</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direktiv 2004/105/EF af 15. oktober 2004 om fastlæggelse af modeller til officielle plantesundhedscertifikater eller plantesundhedscertifikater for reeksport, som ledsager planter, planteprodukter og andre objekter, der kommer fra tredjelande, og som er opført i Rådets direktiv 2000/29/EF</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pageBreakBefore/>
              <w:spacing w:before="60" w:after="60"/>
              <w:jc w:val="left"/>
              <w:rPr>
                <w:noProof/>
                <w:szCs w:val="24"/>
              </w:rPr>
            </w:pPr>
            <w:r>
              <w:rPr>
                <w:noProof/>
              </w:rPr>
              <w:t>Europa-Parlamentets og Rådets forordning (EF) nr. 396/2005 af 23. februar 2005 om maksimalgrænseværdier for pesticidrester i eller på vegetabilske og animalske fødevarer og foderstoffer og om ændring af Rådets direktiv 91/414/EØF</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forordning (EF) nr. 217/2006 af 8. februar 2006 om gennemførelsesbestemmelser til Rådets direktiv 66/401/EØF, 66/402/EØF, 2002/54/EF, 2002/55/EF og 2002/57/EF for så vidt angår medlemsstaternes bemyndigelse til midlertidigt at tillade handel med frø, der ikke opfylder kravene med hensyn til mindste spireevne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direktiv 2007/33/EF af 11. juni 2007 om bekæmpelse af kartoffelcystenematoder og om ophævelse af direktiv 69/465/EØF</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beslutning 2008/495/EF af 7. maj 2008 om midlertidigt forbud mod brug og salg i Østrig af genetisk modificeret majs (Zea mays L. linje MON810) i medfør af Europa-Parlamentets og Rådets direktiv 2001/18/EF</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direktiv 2008/61/EF af 17. juni 2008 om de betingelser, hvorunder visse skadegørende planter, planteprodukter og andre objekter, der er anført i bilag I-V til Rådets direktiv 2000/29/EF, må føres ind i eller flyttes inden for Fællesskabet eller visse beskyttede zoner inden for dette med henblik på forsøg, forskning eller planteforædling</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Rådets direktiv 2008/72/EF af 15. juli 2008 om afsætning af plantemateriale og formeringsmateriale af grøntsagsplanter bortset fra frø</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Rådets direktiv 2008/90/EF af 29. september 2008 om afsætning af frugtplanteformeringsmateriale og frugtplanter bestemt til frugtproduktion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beslutning 2009/244/EF af 16. marts 2009 om markedsføring i medfør af Europa-Parlamentets og Rådets direktiv 2001/18/EF af en nellike (</w:t>
            </w:r>
            <w:r>
              <w:rPr>
                <w:i/>
                <w:noProof/>
              </w:rPr>
              <w:t>Dianthus caryophyllus</w:t>
            </w:r>
            <w:r>
              <w:rPr>
                <w:noProof/>
              </w:rPr>
              <w:t xml:space="preserve"> L., linje 123.8.12), der er genetisk modificeret med henblik på farveændring</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Europa-Parlamentets og Rådets direktiv 2009/41/EF af 6. maj 2009 om indesluttet anvendelse af genetisk modificerede mikroorganismer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Kommissionens forordning (EF) nr. 874/2009 af 17. september 2009 om gennemførelsesbestemmelser til Rådets forordning (EF) nr. 2100/94 for så vidt angår sagsbehandlingen ved EF-Sortsmyndigheden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beslutning 2009/770/EF af 13. oktober 2009 om fastlæggelse af standardrapporteringsmodeller til brug ved fremlæggelse af overvågningsresultaterne i forbindelse med udsætning i miljøet af genetisk modificerede organismer, som eller i produkter, med henblik på markedsføring i overensstemmelse med Europa-Parlamentets og Rådets direktiv 2001/18/EF</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Europa-Parlamentets og Rådets direktiv 2009/128/EF af 21. oktober 2009 om en ramme for Fællesskabets indsats for en bæredygtig anvendelse af pesticider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Europa-Parlamentets og Rådets forordning (EF) nr. 1107/2009 af 21. oktober 2009 om markedsføring af plantebeskyttelsesmidler og om ophævelse af Rådets direktiv 79/117/EØF og 91/414/EØF</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afgørelse 2010/135 af 2. marts 2010 om markedsføring i overensstemmelse med Europa-Parlamentets og Rådets direktiv 2001/18/EF af et kartoffelprodukt (Solanum tuberosum L. linje EH92-527-1), der er genetisk modificeret med henblik på et forhøjet indhold af stivelseskomponenten amylopektin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henstilling 2010/C 200/01 af 13. juli 2010 om retningslinjer for udvikling af nationale sameksistensforanstaltninger til at forhindre utilsigtet forekomst af gmo'er i konventionelle og økologiske afgrøder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forordning (EU) nr. 188/2011 af 25. februar 2011 om gennemførelsesbestemmelser til Rådets direktiv 91/414/EØF for så vidt angår proceduren for vurdering af aktivstoffer, der ikke fandtes på markedet to år efter meddelelsen af direktivet</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Kommissionens gennemførelsesforordning (EU) nr. 540/2011 af 25. maj 2011 om gennemførelse af Europa-Parlamentets og Rådets forordning (EF) nr. 1107/2009 for så vidt angår listen over godkendte aktivstoffer</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gennemførelsesforordning (EU) nr. 541/2011 af 1. juni 2011 om ændring af gennemførelsesforordning (EU) nr. 540/2011 om gennemførelse af Europa-Parlamentets og Rådets forordning (EF) nr. 1107/2009 for så vidt angår listen over godkendte aktivstoffer</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forordning (EU) nr. 547/2011 af 8. juni 2011 om gennemførelse af Europa-Parlamentets og Rådets forordning (EF) nr. 1107/2009 for så vidt angår mærkningskrav vedrørende plantebeskyttelsesmidler</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forordning (EU) nr. 544/2011 af 10. juni 2011 om gennemførelse af Europa-Parlamentets og Rådets forordning (EF) nr. 1107/2009 for så vidt angår datakravene vedrørende aktivstoffer</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forordning (EU) nr. 545/2011 af 10. juni 2011 om gennemførelse af Europa-Parlamentets og Rådets forordning (EF) nr. 1107/2009 for så vidt angår datakravene vedrørende plantebeskyttelsesmidler</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gennemførelsesforordning (EU) nr. 702/2011 af 20. juli 2011 om godkendelse af aktivstoffet prohexadion, jf. Europa-Parlamentets og Rådets forordning (EF) nr. 1107/2009 om markedsføring af plantebeskyttelsesmidler, og om ændring af bilaget til Kommissionens gennemførelsesforordning (EU) nr.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gennemførelsesforordning (EU) nr. 703/2011 af 20. juli 2011 om godkendelse af aktivstoffet prohexadion, jf. Europa-Parlamentets og Rådets forordning (EF) nr. 1107/2009 om markedsføring af plantebeskyttelsesmidler, og om ændring af bilaget til Kommissionens gennemførelsesforordning (EU) nr.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Kommissionens gennemførelsesforordning (EU) nr. 704/2011 af 20. juli 2011 om godkendelse af aktivstoffet azimsulfuron, jf. Europa-Parlamentets og Rådets forordning (EF) nr. 1107/2009 om markedsføring af plantebeskyttelsesmidler, og om ændring af bilaget til Kommissionens gennemførelsesforordning (EU) nr.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gennemførelsesforordning (EU) nr. 705/2011 af 20. juli 2011 om godkendelse af aktivstoffet imazalil, jf. Europa-Parlamentets og Rådets forordning (EF) nr. 1107/2009 om markedsføring af plantebeskyttelsesmidler, og om ændring af bilaget til Kommissionens gennemførelsesforordning (EU) nr.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gennemførelsesforordning (EU) nr. 706/2011 af 20. juli 2011 om godkendelse af aktivstoffet profoxydim, jf. Europa-Parlamentets og Rådets forordning (EF) nr. 1107/2009 om markedsføring af plantebeskyttelsesmidler, og om ændring af bilaget til Kommissionens gennemførelsesforordning (EU) nr.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gennemførelsesforordning (EU) nr. 736/2011 af 26. juli 2011 om godkendelse af aktivstoffet fluroxypyr, jf. Europa-Parlamentets og Rådets forordning (EF) nr. 1107/2009 om markedsføring af plantebeskyttelsesmidler, og om ændring af bilaget til Kommissionens gennemførelsesforordning (EU) nr.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gennemførelsesforordning (EU) nr. 740/2011 af 27. juli 2011 om godkendelse af aktivstoffet bispyribac, jf. Europa-Parlamentets og Rådets forordning (EF) nr. 1107/2009 om markedsføring af plantebeskyttelsesmidler, og om ændring af bilaget til Kommissionens gennemførelsesforordning (EU) nr. 540/2011</w:t>
            </w:r>
          </w:p>
        </w:tc>
        <w:tc>
          <w:tcPr>
            <w:tcW w:w="1421" w:type="pct"/>
            <w:shd w:val="clear" w:color="auto" w:fill="auto"/>
          </w:tcPr>
          <w:p>
            <w:pPr>
              <w:spacing w:before="60" w:after="60"/>
              <w:jc w:val="center"/>
              <w:rPr>
                <w:noProof/>
                <w:color w:val="C00000"/>
                <w:szCs w:val="24"/>
              </w:rPr>
            </w:pPr>
            <w:r>
              <w:rPr>
                <w:noProof/>
              </w:rPr>
              <w:t>2020</w:t>
            </w:r>
          </w:p>
        </w:tc>
      </w:tr>
      <w:tr>
        <w:tc>
          <w:tcPr>
            <w:tcW w:w="3579" w:type="pct"/>
            <w:shd w:val="clear" w:color="auto" w:fill="auto"/>
          </w:tcPr>
          <w:p>
            <w:pPr>
              <w:pageBreakBefore/>
              <w:spacing w:before="60" w:after="60"/>
              <w:jc w:val="left"/>
              <w:rPr>
                <w:noProof/>
                <w:szCs w:val="24"/>
              </w:rPr>
            </w:pPr>
            <w:r>
              <w:rPr>
                <w:noProof/>
              </w:rPr>
              <w:t>Kommissionens gennemførelsesforordning (EU) nr. 786/2011 af 5. august 2011 om godkendelse af aktivstoffet 1-naphthylacetamid, jf. Europa-Parlamentets og Rådets forordning (EF) nr. 1107/2009 om markedsføring af plantebeskyttelsesmidler, og om ændring af bilaget til gennemførelsesforordning (EU) nr. 540/2011 og beslutning 2008/941/EF</w:t>
            </w:r>
          </w:p>
        </w:tc>
        <w:tc>
          <w:tcPr>
            <w:tcW w:w="1421" w:type="pct"/>
            <w:shd w:val="clear" w:color="auto" w:fill="auto"/>
          </w:tcPr>
          <w:p>
            <w:pPr>
              <w:spacing w:before="60" w:after="60"/>
              <w:jc w:val="center"/>
              <w:rPr>
                <w:noProof/>
                <w:color w:val="C00000"/>
                <w:szCs w:val="24"/>
              </w:rPr>
            </w:pPr>
            <w:r>
              <w:rPr>
                <w:noProof/>
              </w:rPr>
              <w:t>2020</w:t>
            </w:r>
          </w:p>
        </w:tc>
      </w:tr>
      <w:tr>
        <w:tc>
          <w:tcPr>
            <w:tcW w:w="3579" w:type="pct"/>
            <w:shd w:val="clear" w:color="auto" w:fill="auto"/>
          </w:tcPr>
          <w:p>
            <w:pPr>
              <w:spacing w:before="60" w:after="60"/>
              <w:jc w:val="left"/>
              <w:rPr>
                <w:noProof/>
                <w:szCs w:val="24"/>
              </w:rPr>
            </w:pPr>
            <w:r>
              <w:rPr>
                <w:noProof/>
              </w:rPr>
              <w:t>Kommissionens gennemførelsesforordning (EU) nr. 787/2011 af 5. august 2011 om godkendelse af aktivstoffet 1-naphthyleddikesyre, jf. Europa-Parlamentets og Rådets forordning (EF) nr. 1107/2009 om markedsføring af plantebeskyttelsesmidler, og om ændring af bilaget til Kommissionens gennemførelsesforordning (EU) nr. 540/2011 og Kommissionens beslutning 2008/941/EF</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gennemførelsesforordning (EU) nr. 788/2011 af 5. august 2011 om godkendelse af aktivstoffet fluazifop-P, jf. Europa-Parlamentets og Rådets forordning (EF) nr. 1107/2009 om markedsføring af plantebeskyttelsesmidler, og om ændring af bilaget til Kommissionens gennemførelsesforordning (EU) nr. 540/2011 og Kommissionens beslutning 2008/934/EF</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gennemførelsesforordning (EU) nr. 797/2011 af 9. august 2011 om godkendelse af aktivstoffet spiroxamin, jf. Europa-Parlamentets og Rådets forordning (EF) nr. 1107/2009 om markedsføring af plantebeskyttelsesmidler, og om ændring af bilaget til Kommissionens gennemførelsesforordning (EU) nr.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gennemførelsesforordning (EU) nr. 798/2011 af 9. august 2011 om godkendelse af aktivstoffet oxyfluorfen, jf. Europa-Parlamentets og Rådets forordning (EF) nr. 1107/2009 om markedsføring af plantebeskyttelsesmidler, og om ændring af bilaget til Kommissionens gennemførelsesforordning (EU) nr. 540/2011 og Kommissionens beslutning 2008/934/EF</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Kommissionens gennemførelsesforordning (EU) nr. 800/2011 af 9. august 2011 om godkendelse af aktivstoffet tefluthrin, jf. Europa-Parlamentets og Rådets forordning (EF) nr. 1107/2009 om markedsføring af plantebeskyttelsesmidler, og om ændring af bilaget til Kommissionens gennemførelsesforordning (EU) nr. 540/2011 og om ændring af Kommissionens beslutning 2008/934/EF</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gennemførelsesforordning (EU) nr. 807/2011 af 10. august 2011 om godkendelse af aktivstoffet triazoxid, jf. Europa-Parlamentets og Rådets forordning (EF) nr. 1107/2009 om markedsføring af plantebeskyttelsesmidler, og om ændring af bilaget til Kommissionens gennemførelsesforordning (EU) nr.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gennemførelsesforordning (EU) nr. 810/2011 af 11. august 2011 om godkendelse af aktivstoffet kresoxim-methyl, jf. Europa-Parlamentets og Rådets forordning (EF) nr. 1107/2009 om markedsføring af plantebeskyttelsesmidler, og om ændring af bilaget til Kommissionens gennemførelsesforordning (EU) nr.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gennemførelsesforordning (EU) nr. 974/2011 af 29. september 2011 om godkendelse af aktivstoffet acrinathrin, jf. Europa-Parlamentets og Rådets forordning (EF) nr. 1107/2009 om markedsføring af plantebeskyttelsesmidler, og om ændring af bilaget til Kommissionens gennemførelsesforordning (EU) nr. 540/2011 og Kommissionens beslutning 2008/934/EF</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gennemførelsesforordning (EU) nr. 993/2011 af 6. oktober 2011 om godkendelse af aktivstoffet 8-hydroxyquinolin, jf. Europa-Parlamentets og Rådets forordning (EF) nr. 1107/2009 om markedsføring af plantebeskyttelsesmidler, og om ændring af bilaget til Kommissionens gennemførelsesforordning (EU) nr.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Kommissionens gennemførelsesforordning (EU) nr. 1143/2011 af 10. november 2011 om godkendelse af aktivstoffet prochloraz, jf. Europa-Parlamentets og Rådets forordning (EF) nr. 1107/2009 om markedsføring af plantebeskyttelsesmidler, og om ændring af bilaget til Kommissionens gennemførelsesforordning (EU) nr. 540/2011 og Kommissionens beslutning 2008/934/EF</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 xml:space="preserve">Kommissionens gennemførelsesafgørelse 2011/787/EU af 29. november 2011 om bemyndigelse af medlemsstaterne til midlertidigt at træffe hasteforanstaltninger mod spredning af </w:t>
            </w:r>
            <w:r>
              <w:rPr>
                <w:i/>
                <w:noProof/>
              </w:rPr>
              <w:t>Ralstonia solanacearum</w:t>
            </w:r>
            <w:r>
              <w:rPr>
                <w:noProof/>
              </w:rPr>
              <w:t xml:space="preserve"> (Smith) Yabuuchi et al., for så vidt angår Egypten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 xml:space="preserve">Kommissionens gennemførelsesafgørelse 2012/138/EU af 1. marts 2012 om hasteforanstaltninger mod indslæbning og spredning i Unionen af </w:t>
            </w:r>
            <w:r>
              <w:rPr>
                <w:i/>
                <w:noProof/>
              </w:rPr>
              <w:t>Anoplophora chinensis</w:t>
            </w:r>
            <w:r>
              <w:rPr>
                <w:noProof/>
              </w:rPr>
              <w:t xml:space="preserve"> (Forster)</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gennemførelsesforordning (EU) nr. 359/2012 af 25. april 2012 om godkendelse af aktivstoffet metam, jf. Europa-Parlamentets og Rådets forordning (EF) nr. 1107/2009 om markedsføring af plantebeskyttelsesmidler og om ændring af bilaget til Kommissionens gennemførelsesforordning (EU) nr.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gennemførelsesafgørelse 2012/340/EU af 25. juni 2012 om gennemførelse af et tidsbegrænset forsøg i henhold til Rådets direktiv 66/401/EØF, 66/402/EØF, 2002/54/EF, 2002/55/EF og 2002/57/EF for så vidt angår besigtigelse under officielt tilsyn af basisfrø og forædlet frø af generationer forud for basisfrøet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gennemførelsesforordning (EU) nr. 582/2012 af 2. juli 2012 om godkendelse af aktivstoffet bifenthrin, jf. Europa-Parlamentets og Rådets forordning (EF) nr. 1107/2009 om markedsføring af plantebeskyttelsesmidler, og om ændring af bilaget til Kommissionens gennemførelsesforordning (EU) nr. 540/2011</w:t>
            </w:r>
          </w:p>
        </w:tc>
        <w:tc>
          <w:tcPr>
            <w:tcW w:w="1421" w:type="pct"/>
            <w:shd w:val="clear" w:color="auto" w:fill="auto"/>
          </w:tcPr>
          <w:p>
            <w:pPr>
              <w:spacing w:before="60" w:after="60"/>
              <w:jc w:val="center"/>
              <w:rPr>
                <w:noProof/>
                <w:color w:val="C00000"/>
                <w:szCs w:val="24"/>
              </w:rPr>
            </w:pPr>
            <w:r>
              <w:rPr>
                <w:noProof/>
              </w:rPr>
              <w:t>2020</w:t>
            </w:r>
          </w:p>
        </w:tc>
      </w:tr>
      <w:tr>
        <w:tc>
          <w:tcPr>
            <w:tcW w:w="3579" w:type="pct"/>
            <w:shd w:val="clear" w:color="auto" w:fill="auto"/>
          </w:tcPr>
          <w:p>
            <w:pPr>
              <w:pageBreakBefore/>
              <w:spacing w:before="60" w:after="60"/>
              <w:jc w:val="left"/>
              <w:rPr>
                <w:noProof/>
                <w:szCs w:val="24"/>
              </w:rPr>
            </w:pPr>
            <w:r>
              <w:rPr>
                <w:noProof/>
              </w:rPr>
              <w:t>Kommissionens gennemførelsesforordning (EU) nr. 589/2012 af 4. juli 2012 om godkendelse af aktivstoffet fluxapyroxad, jf. Europa-Parlamentets og Rådets forordning (EF) nr. 1107/2009 om markedsføring af plantebeskyttelsesmidler og om ændring af bilaget til Kommissionens gennemførelsesforordning (EU) nr.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 xml:space="preserve">Kommissionens gennemførelsesforordning (EU) nr. 595/2012 af 5. juli 2012 om godkendelse af aktivstoffet fenpyrazamin, jf. Europa-Parlamentets og Rådets forordning (EF) nr. 1107/2009 om markedsføring af plantebeskyttelsesmidler og om ændring af bilaget til Kommissionens gennemførelsesforordning (EU) nr. 540/2011 </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 xml:space="preserve">Kommissionens gennemførelsesforordning (EU) nr. 746/2012 af 16. august 2012 om godkendelse af aktivstoffet </w:t>
            </w:r>
            <w:r>
              <w:rPr>
                <w:i/>
                <w:noProof/>
              </w:rPr>
              <w:t>Adoxophyes orana granulovirus</w:t>
            </w:r>
            <w:r>
              <w:rPr>
                <w:noProof/>
              </w:rPr>
              <w:t>, jf. Europa-Parlamentets og Rådets forordning (EF) nr. 1107/2009 om markedsføring af plantebeskyttelsesmidler, og om ændring af bilaget til Kommissionens gennemførelsesforordning (EU) nr.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 xml:space="preserve">Kommissionens gennemførelsesafgørelse 2012/535/EU af 26. september 2012 om nødforanstaltninger til forebyggelse af spredning af </w:t>
            </w:r>
            <w:r>
              <w:rPr>
                <w:i/>
                <w:noProof/>
              </w:rPr>
              <w:t>Bursaphelenchus xylophilus</w:t>
            </w:r>
            <w:r>
              <w:rPr>
                <w:noProof/>
              </w:rPr>
              <w:t xml:space="preserve"> (Steiner et Buhrer) Nickle et al. (fyrrevednematoden) i Unionen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gennemførelsesforordning (EU) nr. 485/2013 af 24. maj 2013 om ændring af gennemførelsesforordning (EU) nr. 540/2011 for så vidt angår godkendelsesbetingelserne for aktivstofferne clothianidin, thiamethoxam og imidacloprid og om forbud mod anvendelse og salg af frø, som er behandlet med plantebeskyttelsesmidler, der indeholder disse aktivstoffer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Kommissionens gennemførelsesdirektiv 2014/20/EU af 6. februar 2014 om EU-klasser for basislæggekartofler og certificerede læggekartofler og de betingelser og betegnelser, der skal gælde for disse klasser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gennemførelsesdirektiv 2014/21/EU af 6. februar 2014 om minimumsbetingelser og EU-klasser for præ-basislæggekartofler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gennemførelsesforordning (EU) nr. 632/2014 af 13. maj 2014 om godkendelse af aktivstoffet flubendiamid, jf. Europa-Parlamentets og Rådets forordning (EF) nr. 1107/2009 om markedsføring af plantebeskyttelsesmidler, og om ændring af bilaget til Kommissionens gennemførelsesforordning (EU) nr.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gennemførelsesforordning (EU) nr. 571/2014 af 26. maj 2014 om godkendelse af aktivstoffet ipconazol, jf. Europa-Parlamentets og Rådets forordning (EF) nr. 1107/2009 om markedsføring af plantebeskyttelsesmidler, og om ændring af bilaget til Kommissionens gennemførelsesforordning (EU) nr.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Kommissionens gennemførelsesafgørelse 2014/362/EU af 13. juni 2014 om ændring af beslutning 2009/109/EF om gennemførelse af et tidsbegrænset forsøg vedrørende visse undtagelser for omsætningen af frøblandinger bestemt til anvendelse som foderplanter i henhold til Rådets direktiv 66/401/EØF</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gennemførelsesafgørelse 2014/367/EU af 16. juni 2014 om ændring af Rådets direktiv 2002/56/EF for så vidt angår datoen i artikel 21, stk. 3, indtil hvilken medlemsstaterne har bemyndigelse til at forlænge gyldigheden af beslutninger om ligestilling af læggekartofler fra tredjelande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Kommissionens gennemførelsesdirektiv 2014/83/EU af 25. juni 2014 om ændring af bilag I, II, III, IV og V til Rådets direktiv 2000/29/EF om foranstaltninger mod indslæbning i Fællesskabet af skadegørere på planter eller planteprodukter og mod deres spredning inden for Fællesskabet</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Kommissionens gennemførelsesdirektiv 2014/96/EU af 15. oktober 2014 om krav vedrørende mærkning, lukning og emballering af frugtplanteformeringsmateriale og frugtplanter bestemt til frugtproduktion, som er omfattet af Rådets direktiv 2008/90/EF</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gennemførelsesdirektiv 2014/97/EU af 15. oktober 2014 om gennemførelse af Rådets direktiv 2008/90/EF for så vidt angår registrering af leverandører og sorter samt den fælles sortsliste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Kommissionens gennemførelsesdirektiv 2014/98/EU af 15. oktober 2014 om gennemførelse af Rådets direktiv 2008/90/EF for så vidt angår specifikke krav til de i bilag I til samme direktiv nævnte slægter og arter af frugtplanter, specifikke krav til leverandører og nærmere regler vedrørende officielle inspektioner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b/>
                <w:noProof/>
                <w:szCs w:val="24"/>
              </w:rPr>
            </w:pPr>
            <w:r>
              <w:rPr>
                <w:noProof/>
              </w:rPr>
              <w:t>Europa-Parlamentets og Rådets direktiv 2001/18/EF af 12. marts 2001 om udsætning i miljøet af genetisk modificerede organismer og om ophævelse af Rådets direktiv 90/220/EØF - Erklæring fra Kommissionen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0" w:after="0"/>
              <w:jc w:val="left"/>
              <w:rPr>
                <w:noProof/>
              </w:rPr>
            </w:pPr>
            <w:r>
              <w:rPr>
                <w:noProof/>
              </w:rPr>
              <w:t>Europa-Parlamentets og Rådets forordning (EF) nr. 1946/2003 af 15. juli 2003 om grænseoverskridende overførsler af genetisk modificerede organismer</w:t>
            </w:r>
          </w:p>
        </w:tc>
        <w:tc>
          <w:tcPr>
            <w:tcW w:w="1421" w:type="pct"/>
            <w:shd w:val="clear" w:color="auto" w:fill="auto"/>
          </w:tcPr>
          <w:p>
            <w:pPr>
              <w:spacing w:before="0" w:after="0"/>
              <w:jc w:val="center"/>
              <w:rPr>
                <w:noProof/>
                <w:szCs w:val="24"/>
              </w:rPr>
            </w:pPr>
            <w:r>
              <w:rPr>
                <w:noProof/>
              </w:rPr>
              <w:t>2018</w:t>
            </w:r>
          </w:p>
        </w:tc>
      </w:tr>
    </w:tbl>
    <w:p>
      <w:pPr>
        <w:rPr>
          <w:noProof/>
        </w:rPr>
      </w:pPr>
      <w:r>
        <w:rPr>
          <w:noProof/>
        </w:rPr>
        <w: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161 af 29.5.2014, s. 3.</w:t>
      </w:r>
    </w:p>
  </w:footnote>
  <w:footnote w:id="2">
    <w:p>
      <w:pPr>
        <w:pStyle w:val="FootnoteText"/>
      </w:pPr>
      <w:r>
        <w:rPr>
          <w:rStyle w:val="FootnoteReference"/>
        </w:rPr>
        <w:footnoteRef/>
      </w:r>
      <w:r>
        <w:tab/>
        <w:t xml:space="preserve">"Vedtagelse" betyder gennemførelsesdatoen </w:t>
      </w:r>
      <w:r>
        <w:rPr>
          <w:rFonts w:asciiTheme="majorBidi" w:hAnsiTheme="majorBidi" w:cstheme="majorBidi"/>
        </w:rPr>
        <w:t>fastlagt i den relevante retsakt offentliggjort i det ukrainske statstidende eller regeringens meddelelsesblad</w:t>
      </w:r>
      <w:r>
        <w:t xml:space="preserve"> eller offentliggjort på den officielle hjemmeside for den ukrainske fødevaresikkerheds- og forbrugerbeskyttelsesmyndighed med direkte virkning eller med en angiven overgangsperiode.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AB4E0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11831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E8668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2ACCB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7949D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01AA1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300FE0"/>
    <w:lvl w:ilvl="0">
      <w:start w:val="1"/>
      <w:numFmt w:val="decimal"/>
      <w:pStyle w:val="ListNumber"/>
      <w:lvlText w:val="%1."/>
      <w:lvlJc w:val="left"/>
      <w:pPr>
        <w:tabs>
          <w:tab w:val="num" w:pos="360"/>
        </w:tabs>
        <w:ind w:left="360" w:hanging="360"/>
      </w:pPr>
    </w:lvl>
  </w:abstractNum>
  <w:abstractNum w:abstractNumId="7">
    <w:nsid w:val="FFFFFF89"/>
    <w:multiLevelType w:val="singleLevel"/>
    <w:tmpl w:val="44921DC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1"/>
  </w:num>
  <w:num w:numId="7">
    <w:abstractNumId w:val="6"/>
  </w:num>
  <w:num w:numId="8">
    <w:abstractNumId w:val="2"/>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5 15:00: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til"/>
    <w:docVar w:name="LW_ACCOMPAGNANT.CP" w:val="til"/>
    <w:docVar w:name="LW_ANNEX_NBR_FIRST" w:val="1"/>
    <w:docVar w:name="LW_ANNEX_NBR_LAST" w:val="1"/>
    <w:docVar w:name="LW_ANNEX_UNIQUE" w:val="1"/>
    <w:docVar w:name="LW_CORRIGENDUM" w:val="&lt;UNUSED&gt;"/>
    <w:docVar w:name="LW_COVERPAGE_EXISTS" w:val="True"/>
    <w:docVar w:name="LW_COVERPAGE_GUID" w:val="85FAD478-6921-4311-87E3-AD59C9F0F18A"/>
    <w:docVar w:name="LW_COVERPAGE_TYPE" w:val="1"/>
    <w:docVar w:name="LW_CROSSREFERENCE" w:val="&lt;UNUSED&gt;"/>
    <w:docVar w:name="LW_DocType" w:val="ANNEX"/>
    <w:docVar w:name="LW_EMISSION" w:val="22.7.2019"/>
    <w:docVar w:name="LW_EMISSION_ISODATE" w:val="2019-07-22"/>
    <w:docVar w:name="LW_EMISSION_LOCATION" w:val="BRX"/>
    <w:docVar w:name="LW_EMISSION_PREFIX" w:val="Bruxelles, den "/>
    <w:docVar w:name="LW_EMISSION_SUFFIX" w:val="&lt;EMPTY&gt;"/>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om den holdning, der skal indtages på Den Europæiske Unions vegne i Underudvalget vedrørende Sundhed og Plantesundhed, som er nedsat ved associeringsaftalen mellem Den Europæiske Union og Det Europæiske Atomenergifællesskab og deres medlemsstater på den ene side og Ukraine på den anden side"/>
    <w:docVar w:name="LW_OBJETACTEPRINCIPAL.CP" w:val="om den holdning, der skal indtages på Den Europæiske Unions vegne i Underudvalget vedrørende Sundhed og Plantesundhed, som er nedsat ved associeringsaftalen mellem Den Europæiske Union og Det Europæiske Atomenergifællesskab og deres medlemsstater på den ene side og Ukraine på den anden side"/>
    <w:docVar w:name="LW_PART_NBR" w:val="1"/>
    <w:docVar w:name="LW_PART_NBR_TOTAL" w:val="1"/>
    <w:docVar w:name="LW_REF.INST.NEW" w:val="COM"/>
    <w:docVar w:name="LW_REF.INST.NEW_ADOPTED" w:val="final"/>
    <w:docVar w:name="LW_REF.INST.NEW_TEXT" w:val="(2019) 3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
    <w:docVar w:name="LW_TYPE.DOC.CP" w:val="BILAG"/>
    <w:docVar w:name="LW_TYPEACTEPRINCIPAL" w:val="Forslag til Rådets afgørelse"/>
    <w:docVar w:name="LW_TYPEACTEPRINCIPAL.CP" w:val="Forslag til 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numbering" w:customStyle="1" w:styleId="NoList1">
    <w:name w:val="No List1"/>
    <w:next w:val="NoList"/>
    <w:uiPriority w:val="99"/>
    <w:semiHidden/>
    <w:unhideWhenUsed/>
  </w:style>
  <w:style w:type="paragraph" w:customStyle="1" w:styleId="HeaderCouncilLarge">
    <w:name w:val="Header Council Large"/>
    <w:basedOn w:val="Normal"/>
    <w:link w:val="HeaderCouncilLargeChar"/>
    <w:pPr>
      <w:spacing w:before="0" w:after="440" w:line="360" w:lineRule="auto"/>
      <w:jc w:val="left"/>
    </w:pPr>
    <w:rPr>
      <w:sz w:val="2"/>
    </w:rPr>
  </w:style>
  <w:style w:type="character" w:customStyle="1" w:styleId="LignefinalChar">
    <w:name w:val="Ligne final Char"/>
    <w:basedOn w:val="DefaultParagraphFont"/>
    <w:rPr>
      <w:rFonts w:ascii="Times New Roman" w:hAnsi="Times New Roman" w:cs="Times New Roman"/>
      <w:b/>
      <w:sz w:val="24"/>
      <w:lang w:val="da-DK"/>
    </w:rPr>
  </w:style>
  <w:style w:type="character" w:customStyle="1" w:styleId="HeaderCouncilLargeChar">
    <w:name w:val="Header Council Large Char"/>
    <w:basedOn w:val="LignefinalChar"/>
    <w:link w:val="HeaderCouncilLarge"/>
    <w:rPr>
      <w:rFonts w:ascii="Times New Roman" w:hAnsi="Times New Roman" w:cs="Times New Roman"/>
      <w:b w:val="0"/>
      <w:sz w:val="2"/>
      <w:lang w:val="da-DK"/>
    </w:rPr>
  </w:style>
  <w:style w:type="paragraph" w:customStyle="1" w:styleId="FooterText">
    <w:name w:val="Footer Text"/>
    <w:basedOn w:val="Normal"/>
    <w:pPr>
      <w:spacing w:before="0" w:after="0"/>
      <w:jc w:val="left"/>
    </w:pPr>
    <w:rPr>
      <w:rFonts w:eastAsia="Times New Roman"/>
      <w:szCs w:val="24"/>
    </w:rPr>
  </w:style>
  <w:style w:type="paragraph" w:styleId="ListNumber3">
    <w:name w:val="List Number 3"/>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customStyle="1" w:styleId="TitreobjetPagedecouverture">
    <w:name w:val="Titre objet (Page de couverture)"/>
    <w:basedOn w:val="Titreobjet"/>
    <w:next w:val="Sous-titreobjetPagedecouverture"/>
    <w:pPr>
      <w:spacing w:line="240" w:lineRule="auto"/>
    </w:pPr>
  </w:style>
  <w:style w:type="paragraph" w:customStyle="1" w:styleId="Sous-titreobjetPagedecouverture">
    <w:name w:val="Sous-titre objet (Page de couverture)"/>
    <w:basedOn w:val="Sous-titreobjet"/>
    <w:pPr>
      <w:spacing w:line="240" w:lineRule="auto"/>
    </w:pPr>
  </w:style>
  <w:style w:type="character" w:customStyle="1" w:styleId="TechnicalBlockChar">
    <w:name w:val="Technical Block Char"/>
    <w:basedOn w:val="DefaultParagraphFont"/>
    <w:rPr>
      <w:rFonts w:ascii="Times New Roman" w:hAnsi="Times New Roman" w:cs="Times New Roman"/>
      <w:sz w:val="24"/>
      <w:lang w:val="da-DK"/>
    </w:rPr>
  </w:style>
  <w:style w:type="paragraph" w:customStyle="1" w:styleId="pj">
    <w:name w:val="p.j."/>
    <w:basedOn w:val="TechnicalBlock"/>
    <w:link w:val="pjChar"/>
    <w:pPr>
      <w:spacing w:before="1200" w:after="120"/>
      <w:ind w:left="1440" w:hanging="1440"/>
      <w:jc w:val="left"/>
    </w:pPr>
  </w:style>
  <w:style w:type="character" w:customStyle="1" w:styleId="pjChar">
    <w:name w:val="p.j. Char"/>
    <w:basedOn w:val="TechnicalBlockChar"/>
    <w:link w:val="pj"/>
    <w:rPr>
      <w:rFonts w:ascii="Times New Roman" w:hAnsi="Times New Roman" w:cs="Times New Roman"/>
      <w:sz w:val="24"/>
      <w:lang w:val="da-DK"/>
    </w:rPr>
  </w:style>
  <w:style w:type="character" w:customStyle="1" w:styleId="HeaderCouncilChar">
    <w:name w:val="Header Council Char"/>
    <w:basedOn w:val="pjChar"/>
    <w:rPr>
      <w:rFonts w:ascii="Times New Roman" w:hAnsi="Times New Roman" w:cs="Times New Roman"/>
      <w:sz w:val="2"/>
      <w:lang w:val="da-DK"/>
    </w:rPr>
  </w:style>
  <w:style w:type="character" w:customStyle="1" w:styleId="FooterCouncilChar">
    <w:name w:val="Footer Council Char"/>
    <w:basedOn w:val="pjChar"/>
    <w:rPr>
      <w:rFonts w:ascii="Times New Roman" w:hAnsi="Times New Roman" w:cs="Times New Roman"/>
      <w:sz w:val="2"/>
      <w:lang w:val="da-DK"/>
    </w:rPr>
  </w:style>
  <w:style w:type="paragraph" w:customStyle="1" w:styleId="doc-ti">
    <w:name w:val="doc-ti"/>
    <w:basedOn w:val="Normal"/>
    <w:pPr>
      <w:spacing w:before="100" w:beforeAutospacing="1" w:after="100" w:afterAutospacing="1"/>
      <w:jc w:val="left"/>
    </w:pPr>
    <w:rPr>
      <w:rFonts w:eastAsia="Times New Roman"/>
      <w:szCs w:val="24"/>
    </w:rPr>
  </w:style>
  <w:style w:type="character" w:customStyle="1" w:styleId="super">
    <w:name w:val="super"/>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pPr>
      <w:spacing w:before="0" w:after="240"/>
      <w:jc w:val="center"/>
    </w:pPr>
  </w:style>
  <w:style w:type="paragraph" w:customStyle="1" w:styleId="Annexetitreacte">
    <w:name w:val="Annexe titre (acte)"/>
    <w:basedOn w:val="Normal"/>
    <w:next w:val="Normal"/>
    <w:pPr>
      <w:spacing w:line="360" w:lineRule="auto"/>
      <w:jc w:val="center"/>
    </w:pPr>
    <w:rPr>
      <w:b/>
      <w:u w:val="single"/>
    </w:rPr>
  </w:style>
  <w:style w:type="paragraph" w:customStyle="1" w:styleId="Annexetitreglobale">
    <w:name w:val="Annexe titre (globale)"/>
    <w:basedOn w:val="Normal"/>
    <w:next w:val="Normal"/>
    <w:pPr>
      <w:spacing w:line="360" w:lineRule="auto"/>
      <w:jc w:val="center"/>
    </w:pPr>
    <w:rPr>
      <w:b/>
      <w:u w:val="single"/>
    </w:rPr>
  </w:style>
  <w:style w:type="paragraph" w:customStyle="1" w:styleId="Sous-titreobjet">
    <w:name w:val="Sous-titre objet"/>
    <w:basedOn w:val="Normal"/>
    <w:pPr>
      <w:spacing w:before="0" w:after="0" w:line="360" w:lineRule="auto"/>
      <w:jc w:val="center"/>
    </w:pPr>
    <w:rPr>
      <w:b/>
    </w:rPr>
  </w:style>
  <w:style w:type="paragraph" w:customStyle="1" w:styleId="Titreobjet">
    <w:name w:val="Titre objet"/>
    <w:basedOn w:val="Normal"/>
    <w:next w:val="Sous-titreobjet"/>
    <w:pPr>
      <w:spacing w:before="360" w:after="360" w:line="360" w:lineRule="auto"/>
      <w:jc w:val="center"/>
    </w:pPr>
    <w:rPr>
      <w:b/>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b/>
    </w:rPr>
  </w:style>
  <w:style w:type="paragraph" w:customStyle="1" w:styleId="Rfrenceinterinstitutionelle">
    <w:name w:val="Référence interinstitutionelle"/>
    <w:basedOn w:val="Normal"/>
    <w:next w:val="Statut"/>
    <w:pPr>
      <w:spacing w:before="0" w:after="0" w:line="360" w:lineRule="auto"/>
      <w:ind w:left="5103"/>
      <w:jc w:val="left"/>
    </w:pPr>
  </w:style>
  <w:style w:type="paragraph" w:customStyle="1" w:styleId="EntLogo">
    <w:name w:val="EntLogo"/>
    <w:basedOn w:val="Normal"/>
    <w:pPr>
      <w:tabs>
        <w:tab w:val="right" w:pos="9639"/>
      </w:tabs>
      <w:spacing w:before="0" w:after="0" w:line="360" w:lineRule="auto"/>
      <w:jc w:val="left"/>
    </w:pPr>
    <w:rPr>
      <w:b/>
    </w:rPr>
  </w:style>
  <w:style w:type="paragraph" w:customStyle="1" w:styleId="EntInstit">
    <w:name w:val="EntInstit"/>
    <w:basedOn w:val="Normal"/>
    <w:pPr>
      <w:spacing w:before="0" w:after="0"/>
      <w:jc w:val="right"/>
    </w:pPr>
    <w:rPr>
      <w:b/>
    </w:rPr>
  </w:style>
  <w:style w:type="paragraph" w:customStyle="1" w:styleId="EntRefer">
    <w:name w:val="EntRefer"/>
    <w:basedOn w:val="Normal"/>
    <w:pPr>
      <w:spacing w:before="0" w:after="0"/>
      <w:jc w:val="left"/>
    </w:pPr>
    <w:rPr>
      <w:b/>
    </w:rPr>
  </w:style>
  <w:style w:type="paragraph" w:customStyle="1" w:styleId="EntEmet">
    <w:name w:val="EntEmet"/>
    <w:basedOn w:val="Normal"/>
    <w:pPr>
      <w:spacing w:before="40" w:after="0"/>
      <w:jc w:val="left"/>
    </w:pPr>
  </w:style>
  <w:style w:type="paragraph" w:customStyle="1" w:styleId="EntText">
    <w:name w:val="EntText"/>
    <w:basedOn w:val="Normal"/>
    <w:pPr>
      <w:spacing w:line="360" w:lineRule="auto"/>
      <w:jc w:val="left"/>
    </w:pPr>
  </w:style>
  <w:style w:type="paragraph" w:customStyle="1" w:styleId="EntEU">
    <w:name w:val="EntEU"/>
    <w:basedOn w:val="Normal"/>
    <w:pPr>
      <w:spacing w:before="240" w:after="240"/>
      <w:jc w:val="center"/>
    </w:pPr>
    <w:rPr>
      <w:b/>
      <w:sz w:val="36"/>
    </w:rPr>
  </w:style>
  <w:style w:type="paragraph" w:customStyle="1" w:styleId="EntASSOC">
    <w:name w:val="EntASSOC"/>
    <w:basedOn w:val="Normal"/>
    <w:pPr>
      <w:spacing w:before="0" w:after="0"/>
      <w:jc w:val="center"/>
    </w:pPr>
    <w:rPr>
      <w:b/>
    </w:rPr>
  </w:style>
  <w:style w:type="paragraph" w:customStyle="1" w:styleId="EntACP">
    <w:name w:val="EntACP"/>
    <w:basedOn w:val="Normal"/>
    <w:pPr>
      <w:spacing w:before="0" w:after="180"/>
      <w:jc w:val="center"/>
    </w:pPr>
    <w:rPr>
      <w:b/>
      <w:spacing w:val="40"/>
      <w:sz w:val="28"/>
    </w:rPr>
  </w:style>
  <w:style w:type="paragraph" w:customStyle="1" w:styleId="EntInstitACP">
    <w:name w:val="EntInstitACP"/>
    <w:basedOn w:val="Normal"/>
    <w:pPr>
      <w:spacing w:before="0" w:after="0"/>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style>
  <w:style w:type="paragraph" w:customStyle="1" w:styleId="FooterAccord">
    <w:name w:val="Footer Accord"/>
    <w:basedOn w:val="Normal"/>
    <w:pPr>
      <w:tabs>
        <w:tab w:val="center" w:pos="4819"/>
        <w:tab w:val="center" w:pos="7370"/>
        <w:tab w:val="right" w:pos="9638"/>
      </w:tabs>
      <w:spacing w:before="360" w:after="0"/>
      <w:jc w:val="center"/>
    </w:pPr>
  </w:style>
  <w:style w:type="paragraph" w:customStyle="1" w:styleId="FooterLandscapeAccord">
    <w:name w:val="FooterLandscape Accord"/>
    <w:basedOn w:val="Normal"/>
    <w:pPr>
      <w:tabs>
        <w:tab w:val="center" w:pos="7285"/>
        <w:tab w:val="center" w:pos="10930"/>
        <w:tab w:val="right" w:pos="14570"/>
      </w:tabs>
      <w:spacing w:before="360" w:after="0"/>
      <w:jc w:val="center"/>
    </w:pPr>
  </w:style>
  <w:style w:type="paragraph" w:customStyle="1" w:styleId="TitrearticleAccord">
    <w:name w:val="Titre article Accord"/>
    <w:basedOn w:val="Normal"/>
    <w:next w:val="Normal"/>
    <w:pPr>
      <w:keepNext/>
      <w:spacing w:before="600" w:line="360" w:lineRule="auto"/>
      <w:jc w:val="center"/>
    </w:pPr>
    <w:rPr>
      <w:i/>
    </w:rPr>
  </w:style>
  <w:style w:type="paragraph" w:customStyle="1" w:styleId="DESignature">
    <w:name w:val="DE Signature"/>
    <w:basedOn w:val="Normal"/>
    <w:next w:val="Normal"/>
    <w:pPr>
      <w:tabs>
        <w:tab w:val="center" w:pos="5953"/>
      </w:tabs>
      <w:spacing w:before="720" w:line="360" w:lineRule="auto"/>
      <w:jc w:val="left"/>
    </w:p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numbering" w:customStyle="1" w:styleId="NoList1">
    <w:name w:val="No List1"/>
    <w:next w:val="NoList"/>
    <w:uiPriority w:val="99"/>
    <w:semiHidden/>
    <w:unhideWhenUsed/>
  </w:style>
  <w:style w:type="paragraph" w:customStyle="1" w:styleId="HeaderCouncilLarge">
    <w:name w:val="Header Council Large"/>
    <w:basedOn w:val="Normal"/>
    <w:link w:val="HeaderCouncilLargeChar"/>
    <w:pPr>
      <w:spacing w:before="0" w:after="440" w:line="360" w:lineRule="auto"/>
      <w:jc w:val="left"/>
    </w:pPr>
    <w:rPr>
      <w:sz w:val="2"/>
    </w:rPr>
  </w:style>
  <w:style w:type="character" w:customStyle="1" w:styleId="LignefinalChar">
    <w:name w:val="Ligne final Char"/>
    <w:basedOn w:val="DefaultParagraphFont"/>
    <w:rPr>
      <w:rFonts w:ascii="Times New Roman" w:hAnsi="Times New Roman" w:cs="Times New Roman"/>
      <w:b/>
      <w:sz w:val="24"/>
      <w:lang w:val="da-DK"/>
    </w:rPr>
  </w:style>
  <w:style w:type="character" w:customStyle="1" w:styleId="HeaderCouncilLargeChar">
    <w:name w:val="Header Council Large Char"/>
    <w:basedOn w:val="LignefinalChar"/>
    <w:link w:val="HeaderCouncilLarge"/>
    <w:rPr>
      <w:rFonts w:ascii="Times New Roman" w:hAnsi="Times New Roman" w:cs="Times New Roman"/>
      <w:b w:val="0"/>
      <w:sz w:val="2"/>
      <w:lang w:val="da-DK"/>
    </w:rPr>
  </w:style>
  <w:style w:type="paragraph" w:customStyle="1" w:styleId="FooterText">
    <w:name w:val="Footer Text"/>
    <w:basedOn w:val="Normal"/>
    <w:pPr>
      <w:spacing w:before="0" w:after="0"/>
      <w:jc w:val="left"/>
    </w:pPr>
    <w:rPr>
      <w:rFonts w:eastAsia="Times New Roman"/>
      <w:szCs w:val="24"/>
    </w:rPr>
  </w:style>
  <w:style w:type="paragraph" w:styleId="ListNumber3">
    <w:name w:val="List Number 3"/>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customStyle="1" w:styleId="TitreobjetPagedecouverture">
    <w:name w:val="Titre objet (Page de couverture)"/>
    <w:basedOn w:val="Titreobjet"/>
    <w:next w:val="Sous-titreobjetPagedecouverture"/>
    <w:pPr>
      <w:spacing w:line="240" w:lineRule="auto"/>
    </w:pPr>
  </w:style>
  <w:style w:type="paragraph" w:customStyle="1" w:styleId="Sous-titreobjetPagedecouverture">
    <w:name w:val="Sous-titre objet (Page de couverture)"/>
    <w:basedOn w:val="Sous-titreobjet"/>
    <w:pPr>
      <w:spacing w:line="240" w:lineRule="auto"/>
    </w:pPr>
  </w:style>
  <w:style w:type="character" w:customStyle="1" w:styleId="TechnicalBlockChar">
    <w:name w:val="Technical Block Char"/>
    <w:basedOn w:val="DefaultParagraphFont"/>
    <w:rPr>
      <w:rFonts w:ascii="Times New Roman" w:hAnsi="Times New Roman" w:cs="Times New Roman"/>
      <w:sz w:val="24"/>
      <w:lang w:val="da-DK"/>
    </w:rPr>
  </w:style>
  <w:style w:type="paragraph" w:customStyle="1" w:styleId="pj">
    <w:name w:val="p.j."/>
    <w:basedOn w:val="TechnicalBlock"/>
    <w:link w:val="pjChar"/>
    <w:pPr>
      <w:spacing w:before="1200" w:after="120"/>
      <w:ind w:left="1440" w:hanging="1440"/>
      <w:jc w:val="left"/>
    </w:pPr>
  </w:style>
  <w:style w:type="character" w:customStyle="1" w:styleId="pjChar">
    <w:name w:val="p.j. Char"/>
    <w:basedOn w:val="TechnicalBlockChar"/>
    <w:link w:val="pj"/>
    <w:rPr>
      <w:rFonts w:ascii="Times New Roman" w:hAnsi="Times New Roman" w:cs="Times New Roman"/>
      <w:sz w:val="24"/>
      <w:lang w:val="da-DK"/>
    </w:rPr>
  </w:style>
  <w:style w:type="character" w:customStyle="1" w:styleId="HeaderCouncilChar">
    <w:name w:val="Header Council Char"/>
    <w:basedOn w:val="pjChar"/>
    <w:rPr>
      <w:rFonts w:ascii="Times New Roman" w:hAnsi="Times New Roman" w:cs="Times New Roman"/>
      <w:sz w:val="2"/>
      <w:lang w:val="da-DK"/>
    </w:rPr>
  </w:style>
  <w:style w:type="character" w:customStyle="1" w:styleId="FooterCouncilChar">
    <w:name w:val="Footer Council Char"/>
    <w:basedOn w:val="pjChar"/>
    <w:rPr>
      <w:rFonts w:ascii="Times New Roman" w:hAnsi="Times New Roman" w:cs="Times New Roman"/>
      <w:sz w:val="2"/>
      <w:lang w:val="da-DK"/>
    </w:rPr>
  </w:style>
  <w:style w:type="paragraph" w:customStyle="1" w:styleId="doc-ti">
    <w:name w:val="doc-ti"/>
    <w:basedOn w:val="Normal"/>
    <w:pPr>
      <w:spacing w:before="100" w:beforeAutospacing="1" w:after="100" w:afterAutospacing="1"/>
      <w:jc w:val="left"/>
    </w:pPr>
    <w:rPr>
      <w:rFonts w:eastAsia="Times New Roman"/>
      <w:szCs w:val="24"/>
    </w:rPr>
  </w:style>
  <w:style w:type="character" w:customStyle="1" w:styleId="super">
    <w:name w:val="super"/>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pPr>
      <w:spacing w:before="0" w:after="240"/>
      <w:jc w:val="center"/>
    </w:pPr>
  </w:style>
  <w:style w:type="paragraph" w:customStyle="1" w:styleId="Annexetitreacte">
    <w:name w:val="Annexe titre (acte)"/>
    <w:basedOn w:val="Normal"/>
    <w:next w:val="Normal"/>
    <w:pPr>
      <w:spacing w:line="360" w:lineRule="auto"/>
      <w:jc w:val="center"/>
    </w:pPr>
    <w:rPr>
      <w:b/>
      <w:u w:val="single"/>
    </w:rPr>
  </w:style>
  <w:style w:type="paragraph" w:customStyle="1" w:styleId="Annexetitreglobale">
    <w:name w:val="Annexe titre (globale)"/>
    <w:basedOn w:val="Normal"/>
    <w:next w:val="Normal"/>
    <w:pPr>
      <w:spacing w:line="360" w:lineRule="auto"/>
      <w:jc w:val="center"/>
    </w:pPr>
    <w:rPr>
      <w:b/>
      <w:u w:val="single"/>
    </w:rPr>
  </w:style>
  <w:style w:type="paragraph" w:customStyle="1" w:styleId="Sous-titreobjet">
    <w:name w:val="Sous-titre objet"/>
    <w:basedOn w:val="Normal"/>
    <w:pPr>
      <w:spacing w:before="0" w:after="0" w:line="360" w:lineRule="auto"/>
      <w:jc w:val="center"/>
    </w:pPr>
    <w:rPr>
      <w:b/>
    </w:rPr>
  </w:style>
  <w:style w:type="paragraph" w:customStyle="1" w:styleId="Titreobjet">
    <w:name w:val="Titre objet"/>
    <w:basedOn w:val="Normal"/>
    <w:next w:val="Sous-titreobjet"/>
    <w:pPr>
      <w:spacing w:before="360" w:after="360" w:line="360" w:lineRule="auto"/>
      <w:jc w:val="center"/>
    </w:pPr>
    <w:rPr>
      <w:b/>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b/>
    </w:rPr>
  </w:style>
  <w:style w:type="paragraph" w:customStyle="1" w:styleId="Rfrenceinterinstitutionelle">
    <w:name w:val="Référence interinstitutionelle"/>
    <w:basedOn w:val="Normal"/>
    <w:next w:val="Statut"/>
    <w:pPr>
      <w:spacing w:before="0" w:after="0" w:line="360" w:lineRule="auto"/>
      <w:ind w:left="5103"/>
      <w:jc w:val="left"/>
    </w:pPr>
  </w:style>
  <w:style w:type="paragraph" w:customStyle="1" w:styleId="EntLogo">
    <w:name w:val="EntLogo"/>
    <w:basedOn w:val="Normal"/>
    <w:pPr>
      <w:tabs>
        <w:tab w:val="right" w:pos="9639"/>
      </w:tabs>
      <w:spacing w:before="0" w:after="0" w:line="360" w:lineRule="auto"/>
      <w:jc w:val="left"/>
    </w:pPr>
    <w:rPr>
      <w:b/>
    </w:rPr>
  </w:style>
  <w:style w:type="paragraph" w:customStyle="1" w:styleId="EntInstit">
    <w:name w:val="EntInstit"/>
    <w:basedOn w:val="Normal"/>
    <w:pPr>
      <w:spacing w:before="0" w:after="0"/>
      <w:jc w:val="right"/>
    </w:pPr>
    <w:rPr>
      <w:b/>
    </w:rPr>
  </w:style>
  <w:style w:type="paragraph" w:customStyle="1" w:styleId="EntRefer">
    <w:name w:val="EntRefer"/>
    <w:basedOn w:val="Normal"/>
    <w:pPr>
      <w:spacing w:before="0" w:after="0"/>
      <w:jc w:val="left"/>
    </w:pPr>
    <w:rPr>
      <w:b/>
    </w:rPr>
  </w:style>
  <w:style w:type="paragraph" w:customStyle="1" w:styleId="EntEmet">
    <w:name w:val="EntEmet"/>
    <w:basedOn w:val="Normal"/>
    <w:pPr>
      <w:spacing w:before="40" w:after="0"/>
      <w:jc w:val="left"/>
    </w:pPr>
  </w:style>
  <w:style w:type="paragraph" w:customStyle="1" w:styleId="EntText">
    <w:name w:val="EntText"/>
    <w:basedOn w:val="Normal"/>
    <w:pPr>
      <w:spacing w:line="360" w:lineRule="auto"/>
      <w:jc w:val="left"/>
    </w:pPr>
  </w:style>
  <w:style w:type="paragraph" w:customStyle="1" w:styleId="EntEU">
    <w:name w:val="EntEU"/>
    <w:basedOn w:val="Normal"/>
    <w:pPr>
      <w:spacing w:before="240" w:after="240"/>
      <w:jc w:val="center"/>
    </w:pPr>
    <w:rPr>
      <w:b/>
      <w:sz w:val="36"/>
    </w:rPr>
  </w:style>
  <w:style w:type="paragraph" w:customStyle="1" w:styleId="EntASSOC">
    <w:name w:val="EntASSOC"/>
    <w:basedOn w:val="Normal"/>
    <w:pPr>
      <w:spacing w:before="0" w:after="0"/>
      <w:jc w:val="center"/>
    </w:pPr>
    <w:rPr>
      <w:b/>
    </w:rPr>
  </w:style>
  <w:style w:type="paragraph" w:customStyle="1" w:styleId="EntACP">
    <w:name w:val="EntACP"/>
    <w:basedOn w:val="Normal"/>
    <w:pPr>
      <w:spacing w:before="0" w:after="180"/>
      <w:jc w:val="center"/>
    </w:pPr>
    <w:rPr>
      <w:b/>
      <w:spacing w:val="40"/>
      <w:sz w:val="28"/>
    </w:rPr>
  </w:style>
  <w:style w:type="paragraph" w:customStyle="1" w:styleId="EntInstitACP">
    <w:name w:val="EntInstitACP"/>
    <w:basedOn w:val="Normal"/>
    <w:pPr>
      <w:spacing w:before="0" w:after="0"/>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style>
  <w:style w:type="paragraph" w:customStyle="1" w:styleId="FooterAccord">
    <w:name w:val="Footer Accord"/>
    <w:basedOn w:val="Normal"/>
    <w:pPr>
      <w:tabs>
        <w:tab w:val="center" w:pos="4819"/>
        <w:tab w:val="center" w:pos="7370"/>
        <w:tab w:val="right" w:pos="9638"/>
      </w:tabs>
      <w:spacing w:before="360" w:after="0"/>
      <w:jc w:val="center"/>
    </w:pPr>
  </w:style>
  <w:style w:type="paragraph" w:customStyle="1" w:styleId="FooterLandscapeAccord">
    <w:name w:val="FooterLandscape Accord"/>
    <w:basedOn w:val="Normal"/>
    <w:pPr>
      <w:tabs>
        <w:tab w:val="center" w:pos="7285"/>
        <w:tab w:val="center" w:pos="10930"/>
        <w:tab w:val="right" w:pos="14570"/>
      </w:tabs>
      <w:spacing w:before="360" w:after="0"/>
      <w:jc w:val="center"/>
    </w:pPr>
  </w:style>
  <w:style w:type="paragraph" w:customStyle="1" w:styleId="TitrearticleAccord">
    <w:name w:val="Titre article Accord"/>
    <w:basedOn w:val="Normal"/>
    <w:next w:val="Normal"/>
    <w:pPr>
      <w:keepNext/>
      <w:spacing w:before="600" w:line="360" w:lineRule="auto"/>
      <w:jc w:val="center"/>
    </w:pPr>
    <w:rPr>
      <w:i/>
    </w:rPr>
  </w:style>
  <w:style w:type="paragraph" w:customStyle="1" w:styleId="DESignature">
    <w:name w:val="DE Signature"/>
    <w:basedOn w:val="Normal"/>
    <w:next w:val="Normal"/>
    <w:pPr>
      <w:tabs>
        <w:tab w:val="center" w:pos="5953"/>
      </w:tabs>
      <w:spacing w:before="720" w:line="360" w:lineRule="auto"/>
      <w:jc w:val="left"/>
    </w:p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39</Pages>
  <Words>7533</Words>
  <Characters>48970</Characters>
  <Application>Microsoft Office Word</Application>
  <DocSecurity>0</DocSecurity>
  <Lines>1255</Lines>
  <Paragraphs>614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MOLLER</dc:creator>
  <cp:lastModifiedBy>WES PDFC Administrator</cp:lastModifiedBy>
  <cp:revision>8</cp:revision>
  <cp:lastPrinted>2019-05-16T15:39:00Z</cp:lastPrinted>
  <dcterms:created xsi:type="dcterms:W3CDTF">2019-06-24T10:32:00Z</dcterms:created>
  <dcterms:modified xsi:type="dcterms:W3CDTF">2019-07-15T13:00:00Z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