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F229036-AEC5-4125-B3EA-36AB0F83FD94" style="width:450.75pt;height:37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rFonts w:eastAsia="Arial Unicode MS"/>
          <w:noProof/>
        </w:rPr>
      </w:pPr>
      <w:r>
        <w:t>1.</w:t>
      </w:r>
      <w:r>
        <w:tab/>
      </w:r>
      <w:r>
        <w:rPr>
          <w:noProof/>
        </w:rPr>
        <w:t>Ehdotuksen kohde</w:t>
      </w:r>
    </w:p>
    <w:p>
      <w:pPr>
        <w:rPr>
          <w:noProof/>
        </w:rPr>
      </w:pPr>
      <w:r>
        <w:rPr>
          <w:noProof/>
        </w:rPr>
        <w:t>Tämä ehdotus koskee päätöstä Euroopan yhteisön ja sen jäsenvaltioiden sekä Keski-Afrikka-osapuolen välisellä ensivaiheen talouskumppanuussopimuksella, jäljempänä ’sopimus’</w:t>
      </w:r>
      <w:r>
        <w:rPr>
          <w:rStyle w:val="FootnoteReference"/>
          <w:noProof/>
        </w:rPr>
        <w:footnoteReference w:id="1"/>
      </w:r>
      <w:r>
        <w:rPr>
          <w:noProof/>
        </w:rPr>
        <w:t>, perustetussa talouskumppanuussopimuskomiteassa Euroopan unionin, jäljempänä ’unioni’, puolesta otettavan kannan vahvistamisesta, silloin kun tämän komitean on määrä antaa päätös sellaisten henkilöiden luettelosta, jotka ovat halukkaita ja kykeneviä toimimaan välimiehinä.</w:t>
      </w:r>
    </w:p>
    <w:p>
      <w:pPr>
        <w:pStyle w:val="ManualHeading1"/>
        <w:rPr>
          <w:noProof/>
          <w:szCs w:val="24"/>
        </w:rPr>
      </w:pPr>
      <w:r>
        <w:t>2.</w:t>
      </w:r>
      <w:r>
        <w:tab/>
      </w:r>
      <w:r>
        <w:rPr>
          <w:noProof/>
        </w:rPr>
        <w:t>Ehdotuksen tausta</w:t>
      </w:r>
    </w:p>
    <w:p>
      <w:pPr>
        <w:pStyle w:val="ManualHeading2"/>
        <w:rPr>
          <w:noProof/>
        </w:rPr>
      </w:pPr>
      <w:r>
        <w:rPr>
          <w:noProof/>
        </w:rPr>
        <w:t>2.1.</w:t>
      </w:r>
      <w:r>
        <w:rPr>
          <w:noProof/>
        </w:rPr>
        <w:tab/>
        <w:t>EU:n ja Keski-Afrikan ensivaiheen talouskumppanuussopimus</w:t>
      </w:r>
    </w:p>
    <w:p>
      <w:pPr>
        <w:pBdr>
          <w:top w:val="nil"/>
          <w:left w:val="nil"/>
          <w:bottom w:val="nil"/>
          <w:right w:val="nil"/>
          <w:between w:val="nil"/>
          <w:bar w:val="nil"/>
        </w:pBdr>
        <w:spacing w:after="100" w:afterAutospacing="1"/>
        <w:rPr>
          <w:noProof/>
          <w:szCs w:val="24"/>
        </w:rPr>
      </w:pPr>
      <w:r>
        <w:rPr>
          <w:noProof/>
        </w:rPr>
        <w:t>Sopimuksen tarkoituksena on vahvistaa ensivaiheen puitteet Cotonoun sopimuksen mukaiselle täysimääräiselle alueelliselle talouskumppanuussopimukselle. Keski-Afrikka-osapuoli koostuu toistaiseksi Kamerunin tasavallasta. Sopimusta on sovellettu väliaikaisesti 4. elokuuta 2014 alkaen.</w:t>
      </w:r>
    </w:p>
    <w:p>
      <w:pPr>
        <w:pStyle w:val="ManualHeading2"/>
        <w:rPr>
          <w:b w:val="0"/>
          <w:noProof/>
          <w:szCs w:val="24"/>
        </w:rPr>
      </w:pPr>
      <w:r>
        <w:rPr>
          <w:noProof/>
        </w:rPr>
        <w:t>2.2.</w:t>
      </w:r>
      <w:r>
        <w:rPr>
          <w:noProof/>
        </w:rPr>
        <w:tab/>
        <w:t>Talouskumppanuussopimuskomitea</w:t>
      </w:r>
    </w:p>
    <w:p>
      <w:pPr>
        <w:pBdr>
          <w:top w:val="nil"/>
          <w:left w:val="nil"/>
          <w:bottom w:val="nil"/>
          <w:right w:val="nil"/>
          <w:between w:val="nil"/>
          <w:bar w:val="nil"/>
        </w:pBdr>
        <w:spacing w:after="100" w:afterAutospacing="1"/>
        <w:rPr>
          <w:noProof/>
          <w:szCs w:val="24"/>
        </w:rPr>
      </w:pPr>
      <w:r>
        <w:rPr>
          <w:noProof/>
        </w:rPr>
        <w:t>Talouskumppanuussopimuskomitea on sopimuksen yhteinen institutionaalinen elin. Sopimuksen 92 artiklassa määrätään, että talouskumppanuussopimuskomitea vastaa kaikkien sopimuksen piiriin kuuluvien alojen hallinnoinnista ja kaikkien sopimuksessa mainittujen tehtävien toteuttamisesta. Talouskumppanuussopimuskomitea tekee päätöksensä yksimielisesti. Talouskumppanuussopimuskomitean toiminta selostetaan sen työjärjestyksessä</w:t>
      </w:r>
      <w:r>
        <w:rPr>
          <w:rStyle w:val="FootnoteReference"/>
          <w:noProof/>
        </w:rPr>
        <w:footnoteReference w:id="2"/>
      </w:r>
      <w:r>
        <w:rPr>
          <w:noProof/>
        </w:rPr>
        <w:t xml:space="preserve">. </w:t>
      </w:r>
    </w:p>
    <w:p>
      <w:pPr>
        <w:pStyle w:val="ManualHeading2"/>
        <w:rPr>
          <w:b w:val="0"/>
          <w:noProof/>
          <w:szCs w:val="24"/>
        </w:rPr>
      </w:pPr>
      <w:r>
        <w:rPr>
          <w:noProof/>
        </w:rPr>
        <w:t>2.3.</w:t>
      </w:r>
      <w:r>
        <w:rPr>
          <w:noProof/>
        </w:rPr>
        <w:tab/>
        <w:t>Suunniteltu talouskumppanuussopimuskomitean säädös</w:t>
      </w:r>
    </w:p>
    <w:p>
      <w:pPr>
        <w:pBdr>
          <w:top w:val="nil"/>
          <w:left w:val="nil"/>
          <w:bottom w:val="nil"/>
          <w:right w:val="nil"/>
          <w:between w:val="nil"/>
          <w:bar w:val="nil"/>
        </w:pBdr>
        <w:spacing w:after="100" w:afterAutospacing="1"/>
        <w:rPr>
          <w:noProof/>
          <w:szCs w:val="24"/>
        </w:rPr>
      </w:pPr>
      <w:r>
        <w:rPr>
          <w:noProof/>
        </w:rPr>
        <w:t>Talouskumppanuussopimuskomitean on määrä hyväksyä [</w:t>
      </w:r>
      <w:r>
        <w:rPr>
          <w:i/>
          <w:noProof/>
        </w:rPr>
        <w:t>päivämäärä</w:t>
      </w:r>
      <w:r>
        <w:rPr>
          <w:noProof/>
        </w:rPr>
        <w:t xml:space="preserve">] pidettävässä viidennessä kokouksessaan päätös välimiesten luettelon hyväksymisestä, jäljempänä ’suunniteltu säädös’, sopimuksen 85 artiklan mukaisesti. </w:t>
      </w:r>
    </w:p>
    <w:p>
      <w:pPr>
        <w:pBdr>
          <w:top w:val="nil"/>
          <w:left w:val="nil"/>
          <w:bottom w:val="nil"/>
          <w:right w:val="nil"/>
          <w:between w:val="nil"/>
          <w:bar w:val="nil"/>
        </w:pBdr>
        <w:spacing w:after="100" w:afterAutospacing="1"/>
        <w:rPr>
          <w:noProof/>
          <w:szCs w:val="24"/>
        </w:rPr>
      </w:pPr>
      <w:r>
        <w:rPr>
          <w:noProof/>
        </w:rPr>
        <w:t>Sopimuksen 85 artiklan 1 kohdassa määrätään, että ”talouskumppanuussopimuskomitea laatii luettelon viidestätoista (15) henkilöstä, jotka ovat halukkaita ja kykeneviä toimimaan välimiehinä”.</w:t>
      </w:r>
    </w:p>
    <w:p>
      <w:pPr>
        <w:pBdr>
          <w:top w:val="nil"/>
          <w:left w:val="nil"/>
          <w:bottom w:val="nil"/>
          <w:right w:val="nil"/>
          <w:between w:val="nil"/>
          <w:bar w:val="nil"/>
        </w:pBdr>
        <w:spacing w:after="100" w:afterAutospacing="1"/>
        <w:rPr>
          <w:noProof/>
          <w:szCs w:val="24"/>
        </w:rPr>
      </w:pPr>
      <w:r>
        <w:rPr>
          <w:noProof/>
        </w:rPr>
        <w:t>Suunnitellun säädöksen tarkoituksena on laatia luettelo viidestätoista henkilöstä, jotka voisivat toimia välimiehinä mahdollisessa riitojenratkaisumenettelyssä sopimuksen VI osaston mukaisesti. Luettelon hyväksyminen on olennainen osa riitojen estämistä ja ratkaisemista koskeviin sopimuksen määräyksiin liittyvän toimintakehyksen viimeistelyä.</w:t>
      </w:r>
    </w:p>
    <w:p>
      <w:pPr>
        <w:pStyle w:val="ManualHeading1"/>
        <w:rPr>
          <w:noProof/>
        </w:rPr>
      </w:pPr>
      <w:r>
        <w:t>3.</w:t>
      </w:r>
      <w:r>
        <w:tab/>
      </w:r>
      <w:r>
        <w:rPr>
          <w:noProof/>
        </w:rPr>
        <w:t>Unionin puolesta otettava kanta</w:t>
      </w:r>
    </w:p>
    <w:p>
      <w:pPr>
        <w:pBdr>
          <w:top w:val="nil"/>
          <w:left w:val="nil"/>
          <w:bottom w:val="nil"/>
          <w:right w:val="nil"/>
          <w:between w:val="nil"/>
          <w:bar w:val="nil"/>
        </w:pBdr>
        <w:spacing w:after="100" w:afterAutospacing="1"/>
        <w:rPr>
          <w:noProof/>
          <w:szCs w:val="24"/>
        </w:rPr>
      </w:pPr>
      <w:r>
        <w:rPr>
          <w:noProof/>
        </w:rPr>
        <w:t>Tämä ehdotus neuvoston päätökseksi koskee Euroopan yhteisön ja sen jäsenvaltioiden sekä Keski-Afrikka-osapuolen välisellä ensivaiheen talouskumppanuussopimuksella perustetussa talouskumppanuussopimuskomiteassa unionin puolesta otettavan kannan vahvistamista, kun on kyse – sopimuksen 85 artiklan mukaisesti – luettelon laatimisesta sellaisista henkilöistä, jotka ovat halukkaita ja kykeneviä toimimaan välimiehinä.</w:t>
      </w:r>
    </w:p>
    <w:p>
      <w:pPr>
        <w:pBdr>
          <w:top w:val="nil"/>
          <w:left w:val="nil"/>
          <w:bottom w:val="nil"/>
          <w:right w:val="nil"/>
          <w:between w:val="nil"/>
          <w:bar w:val="nil"/>
        </w:pBdr>
        <w:spacing w:after="100" w:afterAutospacing="1"/>
        <w:rPr>
          <w:noProof/>
          <w:szCs w:val="24"/>
        </w:rPr>
      </w:pPr>
      <w:r>
        <w:rPr>
          <w:noProof/>
        </w:rPr>
        <w:lastRenderedPageBreak/>
        <w:t>Sopimuksen osapuolet ovat sopineet tästä päätösluonnoksesta ja parafoineet sen talouskumppanuussopimuskomitean neljännessä kokouksessa 18. ja 19. helmikuuta 2019, ja jollei Euroopan unionin päätöksentekomenettelyistä muuta johdu, se olisi hyväksyttävä talouskumppanuussopimuskomitean seuraavassa kokouksessa, joka on määrä pitää vuoden 2019 lopussa.</w:t>
      </w:r>
    </w:p>
    <w:p>
      <w:pPr>
        <w:pBdr>
          <w:top w:val="nil"/>
          <w:left w:val="nil"/>
          <w:bottom w:val="nil"/>
          <w:right w:val="nil"/>
          <w:between w:val="nil"/>
          <w:bar w:val="nil"/>
        </w:pBdr>
        <w:spacing w:after="100" w:afterAutospacing="1"/>
        <w:rPr>
          <w:noProof/>
          <w:szCs w:val="24"/>
        </w:rPr>
      </w:pPr>
      <w:r>
        <w:rPr>
          <w:noProof/>
        </w:rPr>
        <w:t>Tämä päätös on välttämätön, jotta sopimuksen VI osaston määräyksiä, jotka koskevat riitojen estämistä ja ratkaisemista, voidaan soveltaa ja siten varmistaa sopimuksen asianmukainen soveltaminen.</w:t>
      </w:r>
    </w:p>
    <w:p>
      <w:pPr>
        <w:pStyle w:val="ManualHeading1"/>
        <w:rPr>
          <w:noProof/>
          <w:szCs w:val="24"/>
        </w:rPr>
      </w:pPr>
      <w:r>
        <w:t>4.</w:t>
      </w:r>
      <w:r>
        <w:tab/>
      </w:r>
      <w:r>
        <w:rPr>
          <w:noProof/>
        </w:rPr>
        <w:t>Menettelyllinen oikeusperusta</w:t>
      </w:r>
      <w:bookmarkStart w:id="1" w:name="bookmark7"/>
    </w:p>
    <w:p>
      <w:pPr>
        <w:pStyle w:val="ManualHeading2"/>
        <w:rPr>
          <w:noProof/>
        </w:rPr>
      </w:pPr>
      <w:r>
        <w:rPr>
          <w:noProof/>
        </w:rPr>
        <w:t>4.1.</w:t>
      </w:r>
      <w:r>
        <w:rPr>
          <w:noProof/>
        </w:rPr>
        <w:tab/>
        <w:t>Menettelyllinen oikeusperusta</w:t>
      </w:r>
      <w:bookmarkEnd w:id="1"/>
    </w:p>
    <w:p>
      <w:pPr>
        <w:pStyle w:val="ManualHeading3"/>
        <w:rPr>
          <w:noProof/>
        </w:rPr>
      </w:pPr>
      <w:r>
        <w:rPr>
          <w:noProof/>
        </w:rPr>
        <w:t>4.1.1.</w:t>
      </w:r>
      <w:r>
        <w:rPr>
          <w:noProof/>
        </w:rPr>
        <w:tab/>
        <w:t>Periaatteet</w:t>
      </w:r>
    </w:p>
    <w:p>
      <w:pPr>
        <w:pBdr>
          <w:top w:val="nil"/>
          <w:left w:val="nil"/>
          <w:bottom w:val="nil"/>
          <w:right w:val="nil"/>
          <w:between w:val="nil"/>
          <w:bar w:val="nil"/>
        </w:pBdr>
        <w:spacing w:after="100" w:afterAutospacing="1"/>
        <w:rPr>
          <w:noProof/>
          <w:szCs w:val="24"/>
        </w:rPr>
      </w:pPr>
      <w:r>
        <w:rPr>
          <w:rStyle w:val="Bodytext9NotItalic"/>
          <w:rFonts w:eastAsiaTheme="minorHAnsi"/>
          <w:noProof/>
        </w:rPr>
        <w:t>Euroopan unionin toiminnasta tehdyn sopimuksen, jäljempänä ’SEUT-sopimus’, 218 artiklan 9 kohdassa määrätään päätöksistä</w:t>
      </w:r>
      <w:r>
        <w:rPr>
          <w:noProof/>
        </w:rPr>
        <w:t xml:space="preserve"> </w:t>
      </w:r>
      <w:r>
        <w:rPr>
          <w:rStyle w:val="Bodytext9NotItalic"/>
          <w:rFonts w:eastAsiaTheme="minorHAnsi"/>
          <w:noProof/>
        </w:rPr>
        <w:t>”</w:t>
      </w:r>
      <w:r>
        <w:rPr>
          <w:i/>
          <w:noProof/>
        </w:rPr>
        <w:t>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r>
        <w:rPr>
          <w:rStyle w:val="Bodytext9NotItalic"/>
          <w:rFonts w:eastAsiaTheme="minorHAnsi"/>
          <w:noProof/>
        </w:rPr>
        <w:t>”.</w:t>
      </w:r>
    </w:p>
    <w:p>
      <w:pPr>
        <w:pBdr>
          <w:top w:val="nil"/>
          <w:left w:val="nil"/>
          <w:bottom w:val="nil"/>
          <w:right w:val="nil"/>
          <w:between w:val="nil"/>
          <w:bar w:val="nil"/>
        </w:pBdr>
        <w:spacing w:after="100" w:afterAutospacing="1"/>
        <w:rPr>
          <w:rStyle w:val="Bodytext2Italic"/>
          <w:rFonts w:eastAsiaTheme="minorHAnsi"/>
          <w:noProof/>
        </w:rPr>
      </w:pPr>
      <w:r>
        <w:rPr>
          <w:rStyle w:val="Bodytext9NotItalic"/>
          <w:rFonts w:eastAsiaTheme="minorHAnsi"/>
          <w:noProof/>
        </w:rPr>
        <w:t>Ilmaisu</w:t>
      </w:r>
      <w:r>
        <w:rPr>
          <w:noProof/>
        </w:rPr>
        <w:t xml:space="preserve"> ”</w:t>
      </w:r>
      <w:r>
        <w:rPr>
          <w:rStyle w:val="Bodytext2Italic"/>
          <w:rFonts w:eastAsiaTheme="minorHAnsi"/>
          <w:noProof/>
        </w:rPr>
        <w:t>säädökset, joilla on oikeusvaikutuksia</w:t>
      </w:r>
      <w:r>
        <w:rPr>
          <w:noProof/>
        </w:rPr>
        <w:t>” kattaa myös säädökset, joilla on oikeusvaikutuksia kyseiseen elimeen sovellettavan kansainvälisen oikeuden nojalla. Se kattaa myös välineet, joilla ei ole sitovaa vaikutusta kansainvälisen oikeuden nojalla mutta jotka ”</w:t>
      </w:r>
      <w:r>
        <w:rPr>
          <w:rStyle w:val="Bodytext2Italic"/>
          <w:rFonts w:eastAsiaTheme="minorHAnsi"/>
          <w:noProof/>
        </w:rPr>
        <w:t>voivat vaikuttaa ratkaisevasti sen säännöstön sisältöön, jonka unionin lainsäätäjä antaa</w:t>
      </w:r>
      <w:r>
        <w:rPr>
          <w:noProof/>
        </w:rPr>
        <w:t>”.</w:t>
      </w:r>
      <w:r>
        <w:rPr>
          <w:rStyle w:val="FootnoteReference"/>
          <w:noProof/>
        </w:rPr>
        <w:footnoteReference w:id="3"/>
      </w:r>
    </w:p>
    <w:p>
      <w:pPr>
        <w:pStyle w:val="ManualHeading3"/>
        <w:rPr>
          <w:noProof/>
          <w:szCs w:val="24"/>
        </w:rPr>
      </w:pPr>
      <w:r>
        <w:rPr>
          <w:noProof/>
        </w:rPr>
        <w:t>4.1.2.</w:t>
      </w:r>
      <w:r>
        <w:rPr>
          <w:noProof/>
        </w:rPr>
        <w:tab/>
        <w:t>Soveltaminen käsillä olevassa asiassa</w:t>
      </w:r>
    </w:p>
    <w:p>
      <w:pPr>
        <w:rPr>
          <w:noProof/>
        </w:rPr>
      </w:pPr>
      <w:r>
        <w:rPr>
          <w:noProof/>
        </w:rPr>
        <w:t>Talouskumppanuussopimuskomitea on perustettu Euroopan yhteisön ja sen jäsenvaltioiden sekä Keski-Afrikka-osapuolen välisellä ensivaiheen talouskumppanuussopimuksella eli se on sopimuksella perustettu elin.</w:t>
      </w:r>
    </w:p>
    <w:p>
      <w:pPr>
        <w:rPr>
          <w:noProof/>
        </w:rPr>
      </w:pPr>
      <w:r>
        <w:rPr>
          <w:noProof/>
        </w:rPr>
        <w:t>Säädös, joka talouskumppanuussopimuskomitean on määrä antaa, on säädös, jolla on oikeusvaikutuksia. Suunniteltu säädös on sitova kansainvälisen oikeuden nojalla sopimuksen 85 artiklan mukaisesti.</w:t>
      </w:r>
    </w:p>
    <w:p>
      <w:pPr>
        <w:rPr>
          <w:noProof/>
        </w:rPr>
      </w:pPr>
      <w:r>
        <w:rPr>
          <w:noProof/>
        </w:rPr>
        <w:t>Suunnitellulla säädöksellä ei täydennetä eikä muuteta sopimuksen institutionaalisia rakenteita.</w:t>
      </w:r>
    </w:p>
    <w:p>
      <w:pPr>
        <w:rPr>
          <w:noProof/>
        </w:rPr>
      </w:pPr>
      <w:r>
        <w:rPr>
          <w:noProof/>
        </w:rPr>
        <w:t>Sen vuoksi ehdotetun päätöksen menettelyllinen oikeusperusta on SEUT-sopimuksen 218 artiklan 9 kohta.</w:t>
      </w:r>
    </w:p>
    <w:p>
      <w:pPr>
        <w:pStyle w:val="ManualHeading2"/>
        <w:rPr>
          <w:noProof/>
          <w:szCs w:val="24"/>
        </w:rPr>
      </w:pPr>
      <w:bookmarkStart w:id="2" w:name="bookmark8"/>
      <w:r>
        <w:rPr>
          <w:noProof/>
        </w:rPr>
        <w:t>4.2.</w:t>
      </w:r>
      <w:r>
        <w:rPr>
          <w:noProof/>
        </w:rPr>
        <w:tab/>
        <w:t>Aineellinen oikeusperusta</w:t>
      </w:r>
      <w:bookmarkEnd w:id="2"/>
    </w:p>
    <w:p>
      <w:pPr>
        <w:pStyle w:val="ManualHeading3"/>
        <w:rPr>
          <w:noProof/>
          <w:szCs w:val="24"/>
        </w:rPr>
      </w:pPr>
      <w:r>
        <w:rPr>
          <w:noProof/>
        </w:rPr>
        <w:t>4.2.1.</w:t>
      </w:r>
      <w:r>
        <w:rPr>
          <w:noProof/>
        </w:rPr>
        <w:tab/>
        <w:t>Periaatteet</w:t>
      </w:r>
    </w:p>
    <w:p>
      <w:pPr>
        <w:rPr>
          <w:noProof/>
          <w:szCs w:val="24"/>
        </w:rPr>
      </w:pPr>
      <w:r>
        <w:rPr>
          <w:noProof/>
        </w:rPr>
        <w:t xml:space="preserve">SEUT-sopimuksen 218 artiklan 9 kohdan nojalla annettavan päätöksen aineellinen oikeusperusta määräytyy ensisijaisesti sen suunnitellun säädöksen tavoitteen ja sisällön perusteella, jota unionin puolesta otettava kanta koskee. Jos suunnitellulla säädöksellä on kaksi tavoitetta tai siihen sisältyy kaksi osatekijää ja jos näistä tavoitteista tai osatekijöistä toinen on mahdollista määritellä pääasialliseksi tavoitteeksi tai osatekijäksi, johon nähden toinen tavoite tai osatekijä on liitännäinen, SEUT-sopimuksen 218 artiklan 9 kohdan nojalla </w:t>
      </w:r>
      <w:r>
        <w:rPr>
          <w:noProof/>
        </w:rPr>
        <w:lastRenderedPageBreak/>
        <w:t>hyväksyttävällä päätöksellä on oltava vain yksi aineellinen oikeusperusta, eli se, jota pääasiallinen tai ensisijainen tavoite tai osatekijä edellyttää.</w:t>
      </w:r>
    </w:p>
    <w:p>
      <w:pPr>
        <w:pStyle w:val="ManualHeading3"/>
        <w:rPr>
          <w:noProof/>
          <w:szCs w:val="24"/>
        </w:rPr>
      </w:pPr>
      <w:r>
        <w:rPr>
          <w:noProof/>
        </w:rPr>
        <w:t>4.2.2.</w:t>
      </w:r>
      <w:r>
        <w:rPr>
          <w:noProof/>
        </w:rPr>
        <w:tab/>
        <w:t>Soveltaminen käsillä olevassa asiassa</w:t>
      </w:r>
    </w:p>
    <w:p>
      <w:pPr>
        <w:rPr>
          <w:noProof/>
          <w:szCs w:val="24"/>
        </w:rPr>
      </w:pPr>
      <w:r>
        <w:rPr>
          <w:noProof/>
        </w:rPr>
        <w:t>Suunnitellun säädöksen pääasiallinen tavoite ja sisältö liittyvät yhteiseen kauppapolitiikkaan. Sen vuoksi ehdotetun päätöksen aineellinen oikeusperusta on SEUT-sopimuksen 207 artikla.</w:t>
      </w:r>
    </w:p>
    <w:p>
      <w:pPr>
        <w:pStyle w:val="ManualHeading2"/>
        <w:rPr>
          <w:noProof/>
          <w:szCs w:val="24"/>
        </w:rPr>
      </w:pPr>
      <w:bookmarkStart w:id="3" w:name="bookmark9"/>
      <w:r>
        <w:rPr>
          <w:noProof/>
        </w:rPr>
        <w:t>4.3.</w:t>
      </w:r>
      <w:r>
        <w:rPr>
          <w:noProof/>
        </w:rPr>
        <w:tab/>
        <w:t>Päätelmät</w:t>
      </w:r>
      <w:bookmarkEnd w:id="3"/>
    </w:p>
    <w:p>
      <w:pPr>
        <w:rPr>
          <w:noProof/>
        </w:rPr>
      </w:pPr>
      <w:r>
        <w:rPr>
          <w:noProof/>
        </w:rPr>
        <w:t>Ehdotetun päätöksen oikeusperustana tulisi olla SEUT-sopimuksen 207 artiklan 4 kohdan ensimmäinen alakohta yhdessä SEUT-sopimuksen 218 artiklan 9 kohdan kanssa.</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2019/0160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Euroopan yhteisön ja sen jäsenvaltioiden sekä Keski-Afrikka-osapuolen välisellä ensivaiheen talouskumppanuussopimuksella perustetussa talouskumppanuussopimuskomiteassa Euroopan unionin puolesta otettavasta kannasta, joka koskee välimiesten luettelon hyväksymistä</w:t>
      </w:r>
    </w:p>
    <w:p>
      <w:pPr>
        <w:pStyle w:val="Institutionquiagit"/>
        <w:rPr>
          <w:noProof/>
        </w:rPr>
      </w:pPr>
      <w:bookmarkStart w:id="4" w:name="bookmark11"/>
      <w:r>
        <w:rPr>
          <w:noProof/>
        </w:rPr>
        <w:t>EUROOPAN UNIONIN NEUVOSTO, joka</w:t>
      </w:r>
      <w:bookmarkEnd w:id="4"/>
    </w:p>
    <w:p>
      <w:pPr>
        <w:rPr>
          <w:noProof/>
        </w:rPr>
      </w:pPr>
      <w:r>
        <w:rPr>
          <w:noProof/>
        </w:rPr>
        <w:t xml:space="preserve">ottaa huomioon Euroopan unionin toiminnasta tehdyn sopimuksen, jäljempänä ’SEUT-sopimus’, ja erityisesti sen 207 artiklan 4 kohdan ensimmäisen alakohdan yhdessä sen 218 artiklan 9 kohdan kanssa, </w:t>
      </w:r>
    </w:p>
    <w:p>
      <w:pPr>
        <w:rPr>
          <w:noProof/>
        </w:rPr>
      </w:pPr>
      <w:r>
        <w:rPr>
          <w:noProof/>
        </w:rPr>
        <w:t>ottaa huomioon Euroopan yhteisön ja sen jäsenvaltioiden sekä Keski-Afrikka-osapuolen välisen ensivaiheen talouskumppanuussopimuksen, jäljempänä ’sopimus’</w:t>
      </w:r>
      <w:r>
        <w:rPr>
          <w:rStyle w:val="FootnoteReference"/>
          <w:noProof/>
        </w:rPr>
        <w:footnoteReference w:id="4"/>
      </w:r>
      <w:r>
        <w:rPr>
          <w:noProof/>
        </w:rPr>
        <w:t>,</w:t>
      </w:r>
    </w:p>
    <w:p>
      <w:pPr>
        <w:rPr>
          <w:noProof/>
        </w:rPr>
      </w:pPr>
      <w:r>
        <w:rPr>
          <w:noProof/>
        </w:rPr>
        <w:t>ottaa huomioon Euroopan komission ehdotuksen,</w:t>
      </w:r>
    </w:p>
    <w:p>
      <w:pPr>
        <w:rPr>
          <w:noProof/>
        </w:rPr>
      </w:pPr>
      <w:r>
        <w:rPr>
          <w:noProof/>
        </w:rPr>
        <w:t>sekä katsoo seuraavaa:</w:t>
      </w:r>
    </w:p>
    <w:p>
      <w:pPr>
        <w:pStyle w:val="ManualConsidrant"/>
        <w:rPr>
          <w:noProof/>
          <w:szCs w:val="24"/>
        </w:rPr>
      </w:pPr>
      <w:r>
        <w:t>(1)</w:t>
      </w:r>
      <w:r>
        <w:tab/>
      </w:r>
      <w:r>
        <w:rPr>
          <w:noProof/>
        </w:rPr>
        <w:t>Sopimus tehtiin Euroopan unionin, jäljempänä ’unioni’, puolesta päätöksellä 2009/152/EY</w:t>
      </w:r>
      <w:r>
        <w:rPr>
          <w:rStyle w:val="FootnoteReference"/>
          <w:noProof/>
        </w:rPr>
        <w:footnoteReference w:id="5"/>
      </w:r>
      <w:r>
        <w:rPr>
          <w:noProof/>
        </w:rPr>
        <w:t>, ja sitä on sovellettu väliaikaisesti 4 päivästä elokuuta 2014.</w:t>
      </w:r>
    </w:p>
    <w:p>
      <w:pPr>
        <w:pStyle w:val="ManualConsidrant"/>
        <w:rPr>
          <w:rFonts w:eastAsia="Times New Roman"/>
          <w:noProof/>
          <w:szCs w:val="24"/>
        </w:rPr>
      </w:pPr>
      <w:r>
        <w:t>(2)</w:t>
      </w:r>
      <w:r>
        <w:tab/>
      </w:r>
      <w:r>
        <w:rPr>
          <w:noProof/>
        </w:rPr>
        <w:t>Sopimuksen 85 artiklan 1 kohdan mukaan talouskumppanuussopimuskomitea laatii luettelon henkilöistä, jotka ovat halukkaita ja kykeneviä toimimaan välimiehinä.</w:t>
      </w:r>
    </w:p>
    <w:p>
      <w:pPr>
        <w:pStyle w:val="ManualConsidrant"/>
        <w:rPr>
          <w:rFonts w:eastAsia="Times New Roman"/>
          <w:noProof/>
          <w:szCs w:val="24"/>
        </w:rPr>
      </w:pPr>
      <w:r>
        <w:t>(3)</w:t>
      </w:r>
      <w:r>
        <w:tab/>
      </w:r>
      <w:r>
        <w:rPr>
          <w:noProof/>
        </w:rPr>
        <w:t>Talouskumppanuussopimuskomitean on määrä hyväksyä [päivämäärä] pidettävässä vuosikokouksessaan päätös, jossa vahvistetaan luettelo henkilöistä, jotka ovat halukkaita ja kykeneviä toimimaan välimiehinä.</w:t>
      </w:r>
    </w:p>
    <w:p>
      <w:pPr>
        <w:pStyle w:val="ManualConsidrant"/>
        <w:rPr>
          <w:rFonts w:eastAsia="Times New Roman"/>
          <w:noProof/>
          <w:szCs w:val="24"/>
        </w:rPr>
      </w:pPr>
      <w:r>
        <w:t>(4)</w:t>
      </w:r>
      <w:r>
        <w:tab/>
      </w:r>
      <w:r>
        <w:rPr>
          <w:noProof/>
        </w:rPr>
        <w:t>Koska suunniteltu päätös sitoo unionia, on aiheellista vahvistaa unionin puolesta talouskumppanuussopimuskomiteassa otettava kanta.</w:t>
      </w:r>
    </w:p>
    <w:p>
      <w:pPr>
        <w:pStyle w:val="ManualConsidrant"/>
        <w:rPr>
          <w:noProof/>
          <w:szCs w:val="24"/>
        </w:rPr>
      </w:pPr>
      <w:r>
        <w:t>(5)</w:t>
      </w:r>
      <w:r>
        <w:tab/>
      </w:r>
      <w:r>
        <w:rPr>
          <w:noProof/>
        </w:rPr>
        <w:t>Sellaisia henkilöitä, jotka ovat halukkaita ja kykeneviä toimimaan välimiehinä, koskevan luettelon laatimisesta määrätään sopimuksen 85 artiklan 1 kohdassa,</w:t>
      </w:r>
    </w:p>
    <w:p>
      <w:pPr>
        <w:pStyle w:val="Formuledadoption"/>
        <w:rPr>
          <w:noProof/>
        </w:rPr>
      </w:pPr>
      <w:r>
        <w:rPr>
          <w:noProof/>
        </w:rPr>
        <w:t>ON HYVÄKSYNYT TÄMÄN PÄÄTÖKSEN:</w:t>
      </w:r>
    </w:p>
    <w:p>
      <w:pPr>
        <w:pStyle w:val="Titrearticle"/>
        <w:rPr>
          <w:noProof/>
        </w:rPr>
      </w:pPr>
      <w:r>
        <w:rPr>
          <w:noProof/>
        </w:rPr>
        <w:t>1 artikla</w:t>
      </w:r>
    </w:p>
    <w:p>
      <w:pPr>
        <w:rPr>
          <w:noProof/>
        </w:rPr>
      </w:pPr>
      <w:r>
        <w:rPr>
          <w:noProof/>
        </w:rPr>
        <w:t>Unionin puolesta talouskumppanuussopimuskomiteassa otettava kanta perustuu tämän päätöksen liitteenä olevaan talouskumppanuussopimuskomitean päätösluonnokseen, joka koskee luetteloa henkilöistä, jotka ovat halukkaita ja kykeneviä toimimaan välimiehinä.</w:t>
      </w:r>
    </w:p>
    <w:p>
      <w:pPr>
        <w:pStyle w:val="Titrearticle"/>
        <w:rPr>
          <w:noProof/>
          <w:szCs w:val="24"/>
        </w:rPr>
      </w:pPr>
      <w:r>
        <w:rPr>
          <w:noProof/>
        </w:rPr>
        <w:t>2 artikla</w:t>
      </w:r>
    </w:p>
    <w:p>
      <w:pPr>
        <w:keepNext/>
        <w:keepLines/>
        <w:rPr>
          <w:noProof/>
          <w:szCs w:val="24"/>
        </w:rPr>
      </w:pPr>
      <w:r>
        <w:rPr>
          <w:noProof/>
        </w:rPr>
        <w:t>Tämä päätös on osoitettu komissiolle.</w:t>
      </w:r>
    </w:p>
    <w:p>
      <w:pPr>
        <w:pStyle w:val="Fait"/>
        <w:rPr>
          <w:noProof/>
        </w:rPr>
      </w:pPr>
      <w:r>
        <w:lastRenderedPageBreak/>
        <w:t>Tehty Brysselissä</w:t>
      </w:r>
    </w:p>
    <w:p>
      <w:pPr>
        <w:pStyle w:val="Institutionquisigne"/>
        <w:rPr>
          <w:noProof/>
          <w:szCs w:val="24"/>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EUVL L 57, 28.2.2009, s. 2.</w:t>
      </w:r>
    </w:p>
  </w:footnote>
  <w:footnote w:id="2">
    <w:p>
      <w:pPr>
        <w:pStyle w:val="FootnoteText"/>
      </w:pPr>
      <w:r>
        <w:rPr>
          <w:rStyle w:val="FootnoteReference"/>
        </w:rPr>
        <w:footnoteRef/>
      </w:r>
      <w:r>
        <w:tab/>
        <w:t>EUVL L 17, 21.1.2017, s. 46.</w:t>
      </w:r>
    </w:p>
  </w:footnote>
  <w:footnote w:id="3">
    <w:p>
      <w:pPr>
        <w:pStyle w:val="FootnoteText"/>
      </w:pPr>
      <w:r>
        <w:rPr>
          <w:rStyle w:val="FootnoteReference"/>
        </w:rPr>
        <w:footnoteRef/>
      </w:r>
      <w:r>
        <w:tab/>
        <w:t xml:space="preserve">Unionin tuomioistuimen tuomio 7.10.2014, Saksa v. neuvosto, C-399/12, ECLI:EU:C:2014:2258, 61–64 kohta. </w:t>
      </w:r>
    </w:p>
  </w:footnote>
  <w:footnote w:id="4">
    <w:p>
      <w:pPr>
        <w:pStyle w:val="FootnoteText"/>
        <w:rPr>
          <w:lang w:val="fr-BE"/>
        </w:rPr>
      </w:pPr>
      <w:r>
        <w:rPr>
          <w:rStyle w:val="FootnoteReference"/>
        </w:rPr>
        <w:footnoteRef/>
      </w:r>
      <w:r>
        <w:tab/>
        <w:t>EUVL L 57, 28.2.2009, s. 2.</w:t>
      </w:r>
    </w:p>
  </w:footnote>
  <w:footnote w:id="5">
    <w:p>
      <w:pPr>
        <w:pStyle w:val="FootnoteText"/>
        <w:rPr>
          <w:lang w:val="fr-BE"/>
        </w:rPr>
      </w:pPr>
      <w:r>
        <w:rPr>
          <w:rStyle w:val="FootnoteReference"/>
        </w:rPr>
        <w:footnoteRef/>
      </w:r>
      <w:r>
        <w:tab/>
        <w:t>EUVL L 57, 28.2.2009,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275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6C3E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6A6C8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2024CF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1DC14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F2440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FD00FC0"/>
    <w:lvl w:ilvl="0">
      <w:start w:val="1"/>
      <w:numFmt w:val="decimal"/>
      <w:pStyle w:val="ListNumber"/>
      <w:lvlText w:val="%1."/>
      <w:lvlJc w:val="left"/>
      <w:pPr>
        <w:tabs>
          <w:tab w:val="num" w:pos="360"/>
        </w:tabs>
        <w:ind w:left="360" w:hanging="360"/>
      </w:pPr>
    </w:lvl>
  </w:abstractNum>
  <w:abstractNum w:abstractNumId="7">
    <w:nsid w:val="FFFFFF89"/>
    <w:multiLevelType w:val="singleLevel"/>
    <w:tmpl w:val="BB6A664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8 11:47: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F229036-AEC5-4125-B3EA-36AB0F83FD94"/>
    <w:docVar w:name="LW_COVERPAGE_TYPE" w:val="1"/>
    <w:docVar w:name="LW_CROSSREFERENCE" w:val="&lt;UNUSED&gt;"/>
    <w:docVar w:name="LW_DocType" w:val="COM"/>
    <w:docVar w:name="LW_EMISSION" w:val="25.7.2019"/>
    <w:docVar w:name="LW_EMISSION_ISODATE" w:val="2019-07-25"/>
    <w:docVar w:name="LW_EMISSION_LOCATION" w:val="BRX"/>
    <w:docVar w:name="LW_EMISSION_PREFIX" w:val="Bry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160"/>
    <w:docVar w:name="LW_REF.II.NEW.CP_YEAR" w:val="2019"/>
    <w:docVar w:name="LW_REF.INST.NEW" w:val="COM"/>
    <w:docVar w:name="LW_REF.INST.NEW_ADOPTED" w:val="final"/>
    <w:docVar w:name="LW_REF.INST.NEW_TEXT" w:val="(2019) 3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Euroopan yhteisön ja sen jäsenvaltioiden sekä Keski-Afrikka-osapuolen välisellä ensivaiheen talouskumppanuussopimuksella perustetussa talouskumppanuussopimuskomiteassa Euroopan unionin puolesta otettavasta kannasta, joka koskee välimiesten luettelon hyväksymistä"/>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NotItalic">
    <w:name w:val="Body text (9) + Not Italic"/>
    <w:basedOn w:val="DefaultParagraphFont"/>
    <w:rPr>
      <w:rFonts w:ascii="Times New Roman" w:eastAsia="Times New Roman" w:hAnsi="Times New Roman" w:cs="Times New Roman"/>
      <w:i/>
      <w:iCs/>
      <w:color w:val="000000"/>
      <w:spacing w:val="0"/>
      <w:w w:val="100"/>
      <w:position w:val="0"/>
      <w:sz w:val="24"/>
      <w:szCs w:val="24"/>
      <w:shd w:val="clear" w:color="auto" w:fill="FFFFFF"/>
      <w:lang w:val="fi-FI" w:eastAsia="fi-FI" w:bidi="fi-FI"/>
    </w:rPr>
  </w:style>
  <w:style w:type="character" w:customStyle="1" w:styleId="Bodytext2Italic">
    <w:name w:val="Body text (2) + Italic"/>
    <w:basedOn w:val="DefaultParagraphFont"/>
    <w:rPr>
      <w:rFonts w:ascii="Times New Roman" w:eastAsia="Times New Roman" w:hAnsi="Times New Roman" w:cs="Times New Roman"/>
      <w:i/>
      <w:iCs/>
      <w:color w:val="000000"/>
      <w:spacing w:val="0"/>
      <w:w w:val="100"/>
      <w:position w:val="0"/>
      <w:sz w:val="24"/>
      <w:szCs w:val="24"/>
      <w:shd w:val="clear" w:color="auto" w:fill="FFFFFF"/>
      <w:lang w:val="fi-FI" w:eastAsia="fi-FI" w:bidi="fi-FI"/>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NotItalic">
    <w:name w:val="Body text (9) + Not Italic"/>
    <w:basedOn w:val="DefaultParagraphFont"/>
    <w:rPr>
      <w:rFonts w:ascii="Times New Roman" w:eastAsia="Times New Roman" w:hAnsi="Times New Roman" w:cs="Times New Roman"/>
      <w:i/>
      <w:iCs/>
      <w:color w:val="000000"/>
      <w:spacing w:val="0"/>
      <w:w w:val="100"/>
      <w:position w:val="0"/>
      <w:sz w:val="24"/>
      <w:szCs w:val="24"/>
      <w:shd w:val="clear" w:color="auto" w:fill="FFFFFF"/>
      <w:lang w:val="fi-FI" w:eastAsia="fi-FI" w:bidi="fi-FI"/>
    </w:rPr>
  </w:style>
  <w:style w:type="character" w:customStyle="1" w:styleId="Bodytext2Italic">
    <w:name w:val="Body text (2) + Italic"/>
    <w:basedOn w:val="DefaultParagraphFont"/>
    <w:rPr>
      <w:rFonts w:ascii="Times New Roman" w:eastAsia="Times New Roman" w:hAnsi="Times New Roman" w:cs="Times New Roman"/>
      <w:i/>
      <w:iCs/>
      <w:color w:val="000000"/>
      <w:spacing w:val="0"/>
      <w:w w:val="100"/>
      <w:position w:val="0"/>
      <w:sz w:val="24"/>
      <w:szCs w:val="24"/>
      <w:shd w:val="clear" w:color="auto" w:fill="FFFFFF"/>
      <w:lang w:val="fi-FI" w:eastAsia="fi-FI" w:bidi="fi-FI"/>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802</Words>
  <Characters>6925</Characters>
  <Application>Microsoft Office Word</Application>
  <DocSecurity>0</DocSecurity>
  <Lines>123</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2019-05-15T13:57:00Z</cp:lastPrinted>
  <dcterms:created xsi:type="dcterms:W3CDTF">2019-06-12T09:00:00Z</dcterms:created>
  <dcterms:modified xsi:type="dcterms:W3CDTF">2019-07-18T09:47:00Z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