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CC921E10-299E-45BA-99E4-5C7C5D535C19" style="width:450.8pt;height:410.7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DOCUMENTO ADJUNTO</w:t>
      </w:r>
    </w:p>
    <w:p>
      <w:pPr>
        <w:jc w:val="center"/>
        <w:rPr>
          <w:b/>
          <w:noProof/>
        </w:rPr>
      </w:pPr>
      <w:r>
        <w:rPr>
          <w:b/>
          <w:noProof/>
        </w:rPr>
        <w:t>DECISIÓN N.º xx/2019 DEL COMITÉ AAE</w:t>
      </w:r>
      <w:r>
        <w:rPr>
          <w:b/>
          <w:noProof/>
        </w:rPr>
        <w:br/>
        <w:t>creado en virtud del Acuerdo interino con miras a un Acuerdo de Asociación Económica</w:t>
      </w:r>
      <w:r>
        <w:rPr>
          <w:b/>
          <w:noProof/>
        </w:rPr>
        <w:br/>
        <w:t>entre la Comunidad Europea y sus Estados miembros, por una parte,</w:t>
      </w:r>
      <w:r>
        <w:rPr>
          <w:b/>
          <w:noProof/>
        </w:rPr>
        <w:br/>
        <w:t>y la Parte África Central, por otra,</w:t>
      </w:r>
    </w:p>
    <w:p>
      <w:pPr>
        <w:jc w:val="center"/>
        <w:rPr>
          <w:rFonts w:eastAsia="Times New Roman"/>
          <w:b/>
          <w:noProof/>
          <w:szCs w:val="24"/>
        </w:rPr>
      </w:pPr>
      <w:r>
        <w:rPr>
          <w:b/>
          <w:noProof/>
        </w:rPr>
        <w:t>de xx/xx/2019</w:t>
      </w:r>
    </w:p>
    <w:p>
      <w:pPr>
        <w:jc w:val="center"/>
        <w:rPr>
          <w:rFonts w:eastAsia="Times New Roman"/>
          <w:b/>
          <w:noProof/>
          <w:szCs w:val="24"/>
        </w:rPr>
      </w:pPr>
      <w:r>
        <w:rPr>
          <w:b/>
          <w:noProof/>
        </w:rPr>
        <w:t>relativa a la adopción de la lista de árbitros</w:t>
      </w:r>
    </w:p>
    <w:p>
      <w:pPr>
        <w:keepNext/>
        <w:spacing w:before="600"/>
        <w:rPr>
          <w:rFonts w:eastAsia="Times New Roman"/>
          <w:noProof/>
          <w:szCs w:val="24"/>
        </w:rPr>
      </w:pPr>
      <w:r>
        <w:rPr>
          <w:noProof/>
        </w:rPr>
        <w:t>EL COMITÉ AAE,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>Visto el Acuerdo interino con miras a un Acuerdo de Asociación Económica entre la Comunidad Europea y sus Estados miembros, por una parte, y la Parte África Central, por otra (en lo sucesivo, el «Acuerdo»), firmado en Bruselas el 15 de enero de 2009 y aplicado con carácter provisional desde el 4 de agosto de 2014, y en particular su artículo 85, apartado 1,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>Considerando lo siguiente:</w:t>
      </w:r>
    </w:p>
    <w:p>
      <w:pPr>
        <w:pStyle w:val="Point0"/>
        <w:rPr>
          <w:noProof/>
        </w:rPr>
      </w:pPr>
      <w:r>
        <w:rPr>
          <w:noProof/>
        </w:rPr>
        <w:t>(1)</w:t>
      </w:r>
      <w:r>
        <w:rPr>
          <w:noProof/>
        </w:rPr>
        <w:tab/>
        <w:t>A efectos del Acuerdo y de la presente Decisión, la Parte África Central está compuesta por la República de Camerún.</w:t>
      </w:r>
    </w:p>
    <w:p>
      <w:pPr>
        <w:pStyle w:val="Point0"/>
        <w:rPr>
          <w:noProof/>
        </w:rPr>
      </w:pPr>
      <w:r>
        <w:rPr>
          <w:noProof/>
        </w:rPr>
        <w:t>(2)</w:t>
      </w:r>
      <w:r>
        <w:rPr>
          <w:noProof/>
        </w:rPr>
        <w:tab/>
        <w:t>El Acuerdo dispone que el Comité AAE elaborará una lista de quince (15) personas dispuestas a actuar como árbitros para la solución de diferencias y capacitadas para ello.</w:t>
      </w:r>
    </w:p>
    <w:p>
      <w:pPr>
        <w:keepNext/>
        <w:rPr>
          <w:rFonts w:eastAsia="Times New Roman"/>
          <w:noProof/>
          <w:szCs w:val="24"/>
        </w:rPr>
      </w:pPr>
      <w:r>
        <w:rPr>
          <w:noProof/>
        </w:rPr>
        <w:t>HA ADOPTADO LA PRESENTE DECISIÓN:</w:t>
      </w:r>
    </w:p>
    <w:p>
      <w:pPr>
        <w:keepNext/>
        <w:spacing w:before="360"/>
        <w:jc w:val="center"/>
        <w:rPr>
          <w:rFonts w:eastAsia="Times New Roman"/>
          <w:i/>
          <w:noProof/>
          <w:szCs w:val="24"/>
        </w:rPr>
      </w:pPr>
      <w:r>
        <w:rPr>
          <w:i/>
          <w:noProof/>
        </w:rPr>
        <w:t>Artículo 1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>La lista de quince (15) árbitros contemplada en el artículo 85, apartado 1, queda establecida tal como figura en el anexo.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>Dicha lista queda establecida sin perjuicio de las normas específicas dispuestas en el Acuerdo o que puedan ser adoptadas por el Comité AAE.</w:t>
      </w:r>
    </w:p>
    <w:p>
      <w:pPr>
        <w:keepNext/>
        <w:spacing w:before="360"/>
        <w:jc w:val="center"/>
        <w:rPr>
          <w:rFonts w:eastAsia="Times New Roman"/>
          <w:i/>
          <w:iCs/>
          <w:noProof/>
          <w:szCs w:val="24"/>
        </w:rPr>
      </w:pPr>
      <w:r>
        <w:rPr>
          <w:i/>
          <w:noProof/>
        </w:rPr>
        <w:t>Artículo 2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>La presente lista puede modificarse mediante una decisión del Comité AAE adoptada de conformidad con el artículo 92, apartado 4, del Acuerdo.</w:t>
      </w:r>
    </w:p>
    <w:p>
      <w:pPr>
        <w:jc w:val="center"/>
        <w:rPr>
          <w:rFonts w:eastAsia="Times New Roman"/>
          <w:i/>
          <w:noProof/>
          <w:szCs w:val="24"/>
        </w:rPr>
      </w:pPr>
      <w:r>
        <w:rPr>
          <w:i/>
          <w:noProof/>
        </w:rPr>
        <w:t>Artículo 3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>La presente Decisión entrará en vigor en el momento de su firma.</w:t>
      </w:r>
    </w:p>
    <w:p>
      <w:pPr>
        <w:keepNext/>
        <w:spacing w:after="0"/>
        <w:rPr>
          <w:rFonts w:eastAsia="Times New Roman"/>
          <w:noProof/>
          <w:szCs w:val="24"/>
        </w:rPr>
      </w:pPr>
      <w:r>
        <w:rPr>
          <w:noProof/>
        </w:rPr>
        <w:t>Hecho en xxx, el xxx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>
        <w:tc>
          <w:tcPr>
            <w:tcW w:w="4644" w:type="dxa"/>
          </w:tcPr>
          <w:p>
            <w:pPr>
              <w:keepNext/>
              <w:spacing w:after="0"/>
              <w:rPr>
                <w:rFonts w:eastAsia="Times New Roman"/>
                <w:i/>
                <w:noProof/>
                <w:szCs w:val="24"/>
              </w:rPr>
            </w:pPr>
            <w:r>
              <w:rPr>
                <w:i/>
                <w:noProof/>
              </w:rPr>
              <w:t>Por la República de Camerún</w:t>
            </w:r>
          </w:p>
          <w:p>
            <w:pPr>
              <w:keepNext/>
              <w:spacing w:after="0"/>
              <w:rPr>
                <w:rFonts w:eastAsia="Times New Roman"/>
                <w:i/>
                <w:noProof/>
                <w:szCs w:val="24"/>
              </w:rPr>
            </w:pPr>
          </w:p>
        </w:tc>
        <w:tc>
          <w:tcPr>
            <w:tcW w:w="4645" w:type="dxa"/>
          </w:tcPr>
          <w:p>
            <w:pPr>
              <w:keepNext/>
              <w:spacing w:after="0"/>
              <w:rPr>
                <w:rFonts w:eastAsia="Times New Roman"/>
                <w:i/>
                <w:noProof/>
                <w:szCs w:val="24"/>
              </w:rPr>
            </w:pPr>
            <w:r>
              <w:rPr>
                <w:i/>
                <w:noProof/>
              </w:rPr>
              <w:t>Por la Unión Europea</w:t>
            </w:r>
          </w:p>
        </w:tc>
      </w:tr>
      <w:tr>
        <w:tc>
          <w:tcPr>
            <w:tcW w:w="4644" w:type="dxa"/>
          </w:tcPr>
          <w:p>
            <w:pPr>
              <w:keepNext/>
              <w:spacing w:after="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Alamine Ousmane MEY</w:t>
            </w:r>
          </w:p>
        </w:tc>
        <w:tc>
          <w:tcPr>
            <w:tcW w:w="4645" w:type="dxa"/>
          </w:tcPr>
          <w:p>
            <w:pPr>
              <w:keepNext/>
              <w:spacing w:after="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Cecilia MALMSTRÖM</w:t>
            </w:r>
          </w:p>
        </w:tc>
      </w:tr>
    </w:tbl>
    <w:p>
      <w:pPr>
        <w:shd w:val="clear" w:color="auto" w:fill="FFFFFF"/>
        <w:jc w:val="center"/>
        <w:rPr>
          <w:rFonts w:eastAsia="Times New Roman"/>
          <w:i/>
          <w:noProof/>
          <w:szCs w:val="24"/>
        </w:rPr>
        <w:sectPr>
          <w:footerReference w:type="default" r:id="rId15"/>
          <w:footerReference w:type="first" r:id="rId16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  <w:r>
        <w:rPr>
          <w:noProof/>
        </w:rPr>
        <w:br w:type="page"/>
      </w:r>
    </w:p>
    <w:p>
      <w:pPr>
        <w:spacing w:after="0"/>
        <w:jc w:val="center"/>
        <w:rPr>
          <w:rFonts w:eastAsia="Times New Roman"/>
          <w:b/>
          <w:noProof/>
          <w:szCs w:val="24"/>
        </w:rPr>
      </w:pPr>
      <w:r>
        <w:rPr>
          <w:b/>
          <w:noProof/>
        </w:rPr>
        <w:t>ANEXO</w:t>
      </w:r>
    </w:p>
    <w:p>
      <w:pPr>
        <w:spacing w:after="0"/>
        <w:jc w:val="center"/>
        <w:rPr>
          <w:rFonts w:eastAsia="Calibri"/>
          <w:b/>
          <w:bCs/>
          <w:noProof/>
          <w:szCs w:val="24"/>
        </w:rPr>
      </w:pPr>
      <w:r>
        <w:rPr>
          <w:b/>
          <w:noProof/>
        </w:rPr>
        <w:t>Lista de árbitros (Artículo 85, apartado 1)</w:t>
      </w:r>
    </w:p>
    <w:p>
      <w:pPr>
        <w:spacing w:after="360"/>
        <w:jc w:val="center"/>
        <w:rPr>
          <w:b/>
          <w:noProof/>
          <w:szCs w:val="24"/>
        </w:rPr>
      </w:pPr>
      <w:r>
        <w:rPr>
          <w:b/>
          <w:noProof/>
        </w:rPr>
        <w:t>Árbitros seleccionados por la Parte África Central (Camerún):</w:t>
      </w:r>
    </w:p>
    <w:p>
      <w:pPr>
        <w:spacing w:after="0"/>
        <w:rPr>
          <w:noProof/>
          <w:szCs w:val="24"/>
        </w:rPr>
      </w:pPr>
      <w:r>
        <w:rPr>
          <w:noProof/>
        </w:rPr>
        <w:t xml:space="preserve">Mildred Alugu </w:t>
      </w:r>
      <w:r>
        <w:rPr>
          <w:b/>
          <w:noProof/>
        </w:rPr>
        <w:t>BEJUKA</w:t>
      </w:r>
      <w:r>
        <w:rPr>
          <w:noProof/>
        </w:rPr>
        <w:t xml:space="preserve"> – Camerún </w:t>
      </w:r>
    </w:p>
    <w:p>
      <w:pPr>
        <w:spacing w:after="0"/>
        <w:rPr>
          <w:noProof/>
          <w:szCs w:val="24"/>
        </w:rPr>
      </w:pPr>
      <w:r>
        <w:rPr>
          <w:noProof/>
        </w:rPr>
        <w:t xml:space="preserve">Jean Michel </w:t>
      </w:r>
      <w:r>
        <w:rPr>
          <w:b/>
          <w:noProof/>
        </w:rPr>
        <w:t>MBOCK BIUMLA</w:t>
      </w:r>
      <w:r>
        <w:rPr>
          <w:noProof/>
        </w:rPr>
        <w:t xml:space="preserve"> – Camerún</w:t>
      </w:r>
    </w:p>
    <w:p>
      <w:pPr>
        <w:spacing w:after="0"/>
        <w:rPr>
          <w:noProof/>
          <w:szCs w:val="24"/>
        </w:rPr>
      </w:pPr>
      <w:r>
        <w:rPr>
          <w:noProof/>
        </w:rPr>
        <w:t xml:space="preserve">Henri-Désiré </w:t>
      </w:r>
      <w:r>
        <w:rPr>
          <w:b/>
          <w:noProof/>
        </w:rPr>
        <w:t>MODI KOKO BEBEY</w:t>
      </w:r>
      <w:r>
        <w:rPr>
          <w:noProof/>
        </w:rPr>
        <w:t xml:space="preserve"> – Camerún</w:t>
      </w:r>
    </w:p>
    <w:p>
      <w:pPr>
        <w:spacing w:after="0"/>
        <w:rPr>
          <w:noProof/>
          <w:szCs w:val="24"/>
        </w:rPr>
      </w:pPr>
      <w:r>
        <w:rPr>
          <w:noProof/>
        </w:rPr>
        <w:t xml:space="preserve">David </w:t>
      </w:r>
      <w:r>
        <w:rPr>
          <w:b/>
          <w:noProof/>
        </w:rPr>
        <w:t>NYAMSI</w:t>
      </w:r>
      <w:r>
        <w:rPr>
          <w:noProof/>
        </w:rPr>
        <w:t xml:space="preserve"> – Camerún</w:t>
      </w:r>
    </w:p>
    <w:p>
      <w:pPr>
        <w:spacing w:after="360"/>
        <w:rPr>
          <w:noProof/>
          <w:szCs w:val="24"/>
        </w:rPr>
      </w:pPr>
      <w:r>
        <w:rPr>
          <w:noProof/>
        </w:rPr>
        <w:t xml:space="preserve">Sadjo </w:t>
      </w:r>
      <w:r>
        <w:rPr>
          <w:b/>
          <w:noProof/>
        </w:rPr>
        <w:t>OUSMANOU</w:t>
      </w:r>
      <w:r>
        <w:rPr>
          <w:noProof/>
        </w:rPr>
        <w:t xml:space="preserve"> – Camerún</w:t>
      </w:r>
    </w:p>
    <w:p>
      <w:pPr>
        <w:spacing w:after="240"/>
        <w:jc w:val="center"/>
        <w:rPr>
          <w:rFonts w:eastAsia="Calibri"/>
          <w:b/>
          <w:bCs/>
          <w:noProof/>
          <w:szCs w:val="24"/>
        </w:rPr>
      </w:pPr>
      <w:r>
        <w:rPr>
          <w:b/>
          <w:noProof/>
        </w:rPr>
        <w:t>Árbitros seleccionados por la Parte Unión Europea:</w:t>
      </w:r>
    </w:p>
    <w:p>
      <w:pPr>
        <w:spacing w:after="0"/>
        <w:rPr>
          <w:rFonts w:eastAsia="Calibri"/>
          <w:noProof/>
          <w:szCs w:val="24"/>
        </w:rPr>
      </w:pPr>
      <w:r>
        <w:rPr>
          <w:noProof/>
        </w:rPr>
        <w:t xml:space="preserve">Jacques </w:t>
      </w:r>
      <w:r>
        <w:rPr>
          <w:b/>
          <w:noProof/>
        </w:rPr>
        <w:t>BOURGEOIS</w:t>
      </w:r>
      <w:r>
        <w:rPr>
          <w:noProof/>
        </w:rPr>
        <w:t xml:space="preserve"> – Bélgica</w:t>
      </w:r>
    </w:p>
    <w:p>
      <w:pPr>
        <w:spacing w:after="0"/>
        <w:rPr>
          <w:rFonts w:eastAsia="Calibri"/>
          <w:noProof/>
          <w:szCs w:val="24"/>
        </w:rPr>
      </w:pPr>
      <w:r>
        <w:rPr>
          <w:noProof/>
        </w:rPr>
        <w:t xml:space="preserve">Claus – Dieter </w:t>
      </w:r>
      <w:r>
        <w:rPr>
          <w:b/>
          <w:noProof/>
        </w:rPr>
        <w:t>EHLERMANN</w:t>
      </w:r>
      <w:r>
        <w:rPr>
          <w:noProof/>
        </w:rPr>
        <w:t xml:space="preserve"> – Alemania</w:t>
      </w:r>
    </w:p>
    <w:p>
      <w:pPr>
        <w:spacing w:after="0"/>
        <w:rPr>
          <w:rFonts w:eastAsia="Calibri"/>
          <w:noProof/>
          <w:szCs w:val="24"/>
        </w:rPr>
      </w:pPr>
      <w:r>
        <w:rPr>
          <w:noProof/>
        </w:rPr>
        <w:t xml:space="preserve">Pieter Jan </w:t>
      </w:r>
      <w:r>
        <w:rPr>
          <w:b/>
          <w:noProof/>
        </w:rPr>
        <w:t>KUIJPER</w:t>
      </w:r>
      <w:r>
        <w:rPr>
          <w:noProof/>
        </w:rPr>
        <w:t xml:space="preserve"> – Países Bajos</w:t>
      </w:r>
    </w:p>
    <w:p>
      <w:pPr>
        <w:spacing w:after="0"/>
        <w:rPr>
          <w:rFonts w:eastAsia="Calibri"/>
          <w:noProof/>
          <w:szCs w:val="24"/>
        </w:rPr>
      </w:pPr>
      <w:r>
        <w:rPr>
          <w:noProof/>
        </w:rPr>
        <w:t xml:space="preserve">Giorgio </w:t>
      </w:r>
      <w:r>
        <w:rPr>
          <w:b/>
          <w:noProof/>
        </w:rPr>
        <w:t>SACERDOTI</w:t>
      </w:r>
      <w:r>
        <w:rPr>
          <w:noProof/>
        </w:rPr>
        <w:t xml:space="preserve"> – Italia</w:t>
      </w:r>
    </w:p>
    <w:p>
      <w:pPr>
        <w:spacing w:after="240"/>
        <w:rPr>
          <w:rFonts w:eastAsia="Calibri"/>
          <w:noProof/>
          <w:szCs w:val="24"/>
        </w:rPr>
      </w:pPr>
      <w:r>
        <w:rPr>
          <w:noProof/>
        </w:rPr>
        <w:t xml:space="preserve">Ramon </w:t>
      </w:r>
      <w:r>
        <w:rPr>
          <w:b/>
          <w:noProof/>
        </w:rPr>
        <w:t>TORRENT</w:t>
      </w:r>
      <w:r>
        <w:rPr>
          <w:noProof/>
        </w:rPr>
        <w:t xml:space="preserve"> – España</w:t>
      </w:r>
    </w:p>
    <w:p>
      <w:pPr>
        <w:spacing w:after="240"/>
        <w:jc w:val="center"/>
        <w:rPr>
          <w:rFonts w:eastAsia="Calibri"/>
          <w:b/>
          <w:noProof/>
          <w:szCs w:val="24"/>
        </w:rPr>
      </w:pPr>
      <w:r>
        <w:rPr>
          <w:b/>
          <w:noProof/>
        </w:rPr>
        <w:t>Árbitros seleccionados conjuntamente por las dos Partes:</w:t>
      </w:r>
    </w:p>
    <w:p>
      <w:pPr>
        <w:spacing w:after="0"/>
        <w:rPr>
          <w:rFonts w:eastAsia="Times New Roman"/>
          <w:bCs/>
          <w:noProof/>
          <w:color w:val="000000"/>
          <w:szCs w:val="24"/>
        </w:rPr>
      </w:pPr>
      <w:bookmarkStart w:id="1" w:name="_CopyToNewDocument_"/>
      <w:bookmarkEnd w:id="1"/>
      <w:r>
        <w:rPr>
          <w:noProof/>
          <w:color w:val="000000"/>
        </w:rPr>
        <w:t xml:space="preserve">Thomas </w:t>
      </w:r>
      <w:r>
        <w:rPr>
          <w:b/>
          <w:noProof/>
          <w:color w:val="000000"/>
        </w:rPr>
        <w:t>COTTIER</w:t>
      </w:r>
      <w:r>
        <w:rPr>
          <w:noProof/>
          <w:color w:val="000000"/>
        </w:rPr>
        <w:t xml:space="preserve"> – Suiza</w:t>
      </w:r>
    </w:p>
    <w:p>
      <w:pPr>
        <w:spacing w:after="0"/>
        <w:rPr>
          <w:noProof/>
          <w:szCs w:val="24"/>
        </w:rPr>
      </w:pPr>
      <w:r>
        <w:rPr>
          <w:noProof/>
        </w:rPr>
        <w:t xml:space="preserve">Fabien </w:t>
      </w:r>
      <w:r>
        <w:rPr>
          <w:b/>
          <w:noProof/>
        </w:rPr>
        <w:t>GELINAS</w:t>
      </w:r>
      <w:r>
        <w:rPr>
          <w:noProof/>
        </w:rPr>
        <w:t xml:space="preserve"> – Canadá</w:t>
      </w:r>
    </w:p>
    <w:p>
      <w:pPr>
        <w:spacing w:after="0"/>
        <w:rPr>
          <w:rFonts w:eastAsia="Calibri"/>
          <w:b/>
          <w:noProof/>
          <w:sz w:val="6"/>
          <w:szCs w:val="6"/>
        </w:rPr>
      </w:pPr>
      <w:r>
        <w:rPr>
          <w:noProof/>
          <w:color w:val="000000"/>
        </w:rPr>
        <w:t>Merit E.</w:t>
      </w:r>
      <w:r>
        <w:rPr>
          <w:b/>
          <w:noProof/>
          <w:color w:val="000000"/>
        </w:rPr>
        <w:t xml:space="preserve"> JANOW</w:t>
      </w:r>
      <w:r>
        <w:rPr>
          <w:noProof/>
          <w:color w:val="000000"/>
        </w:rPr>
        <w:t xml:space="preserve"> – Estados Unidos</w:t>
      </w:r>
    </w:p>
    <w:p>
      <w:pPr>
        <w:spacing w:after="0"/>
        <w:rPr>
          <w:rFonts w:eastAsia="Times New Roman"/>
          <w:bCs/>
          <w:noProof/>
          <w:color w:val="000000"/>
          <w:szCs w:val="24"/>
        </w:rPr>
      </w:pPr>
      <w:r>
        <w:rPr>
          <w:noProof/>
        </w:rPr>
        <w:t xml:space="preserve">Anna </w:t>
      </w:r>
      <w:r>
        <w:rPr>
          <w:b/>
          <w:noProof/>
        </w:rPr>
        <w:t xml:space="preserve">KOUYATE </w:t>
      </w:r>
      <w:r>
        <w:rPr>
          <w:noProof/>
        </w:rPr>
        <w:t>– Malí</w:t>
      </w:r>
    </w:p>
    <w:p>
      <w:pPr>
        <w:spacing w:after="0"/>
        <w:rPr>
          <w:rFonts w:eastAsia="Times New Roman"/>
          <w:b/>
          <w:noProof/>
          <w:szCs w:val="24"/>
        </w:rPr>
      </w:pPr>
      <w:r>
        <w:rPr>
          <w:noProof/>
          <w:color w:val="000000"/>
        </w:rPr>
        <w:t xml:space="preserve">Helge </w:t>
      </w:r>
      <w:r>
        <w:rPr>
          <w:b/>
          <w:noProof/>
          <w:color w:val="000000"/>
        </w:rPr>
        <w:t xml:space="preserve">SELAND </w:t>
      </w:r>
      <w:r>
        <w:rPr>
          <w:noProof/>
          <w:color w:val="000000"/>
        </w:rPr>
        <w:t>– Noruega</w:t>
      </w:r>
    </w:p>
    <w:sectPr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ES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ES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ES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7B60A48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98E0C8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05E44F2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3DB80C6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7F67F5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56BA8A2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D778A3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760C334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 w:numId="37">
    <w:abstractNumId w:val="18"/>
  </w:num>
  <w:num w:numId="38">
    <w:abstractNumId w:val="12"/>
  </w:num>
  <w:num w:numId="39">
    <w:abstractNumId w:val="20"/>
  </w:num>
  <w:num w:numId="40">
    <w:abstractNumId w:val="11"/>
  </w:num>
  <w:num w:numId="41">
    <w:abstractNumId w:val="13"/>
  </w:num>
  <w:num w:numId="42">
    <w:abstractNumId w:val="9"/>
  </w:num>
  <w:num w:numId="43">
    <w:abstractNumId w:val="19"/>
  </w:num>
  <w:num w:numId="44">
    <w:abstractNumId w:val="8"/>
  </w:num>
  <w:num w:numId="45">
    <w:abstractNumId w:val="14"/>
  </w:num>
  <w:num w:numId="46">
    <w:abstractNumId w:val="16"/>
  </w:num>
  <w:num w:numId="47">
    <w:abstractNumId w:val="17"/>
  </w:num>
  <w:num w:numId="48">
    <w:abstractNumId w:val="10"/>
  </w:num>
  <w:num w:numId="49">
    <w:abstractNumId w:val="15"/>
  </w:num>
  <w:num w:numId="50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hideSpellingErrors/>
  <w:hideGrammaticalErrors/>
  <w:attachedTemplate r:id="rId1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7-18 11:50:46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de la"/>
    <w:docVar w:name="LW_ACCOMPAGNANT.CP" w:val="de la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CC921E10-299E-45BA-99E4-5C7C5D535C19"/>
    <w:docVar w:name="LW_COVERPAGE_TYPE" w:val="1"/>
    <w:docVar w:name="LW_CROSSREFERENCE" w:val="&lt;UNUSED&gt;"/>
    <w:docVar w:name="LW_DocType" w:val="ANNEX"/>
    <w:docVar w:name="LW_EMISSION" w:val="25.7.2019"/>
    <w:docVar w:name="LW_EMISSION_ISODATE" w:val="2019-07-25"/>
    <w:docVar w:name="LW_EMISSION_LOCATION" w:val="BRX"/>
    <w:docVar w:name="LW_EMISSION_PREFIX" w:val="Bruselas, "/>
    <w:docVar w:name="LW_EMISSION_SUFFIX" w:val=" "/>
    <w:docVar w:name="LW_ID_DOCSTRUCTURE" w:val="COM/ANNEX"/>
    <w:docVar w:name="LW_ID_DOCTYPE" w:val="SG-017"/>
    <w:docVar w:name="LW_LANGUE" w:val="ES"/>
    <w:docVar w:name="LW_LEVEL_OF_SENSITIVITY" w:val="Standard treatment"/>
    <w:docVar w:name="LW_NOM.INST" w:val="COMISIÓN EUROPEA"/>
    <w:docVar w:name="LW_NOM.INST_JOINTDOC" w:val="&lt;EMPTY&gt;"/>
    <w:docVar w:name="LW_OBJETACTEPRINCIPAL" w:val="relativa a la posición que deberá adoptarse en nombre de la Unión Europea en el Comité AAE creado por el Acuerdo interino con miras a un Acuerdo de Asociación Económica entre la Comunidad Europea y sus Estados miembros, por una parte, y la Parte África Central, por otra, en lo que respecta a la adopción de la lista de árbitros"/>
    <w:docVar w:name="LW_OBJETACTEPRINCIPAL.CP" w:val="relativa a la posición que deberá adoptarse en nombre de la Unión Europea en el Comité AAE creado por el Acuerdo interino con miras a un Acuerdo de Asociación Económica entre la Comunidad Europea y sus Estados miembros, por una parte, y la Parte África Central, por otra, en lo que respecta a la adopción de la lista de árbitros"/>
    <w:docVar w:name="LW_PART_NBR" w:val="1"/>
    <w:docVar w:name="LW_PART_NBR_TOTAL" w:val="1"/>
    <w:docVar w:name="LW_REF.INST.NEW" w:val="COM"/>
    <w:docVar w:name="LW_REF.INST.NEW_ADOPTED" w:val="final"/>
    <w:docVar w:name="LW_REF.INST.NEW_TEXT" w:val="(2019) 348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ANEXO"/>
    <w:docVar w:name="LW_TYPE.DOC.CP" w:val="ANEXO"/>
    <w:docVar w:name="LW_TYPEACTEPRINCIPAL" w:val="Propuesta de Decisión del Consejo"/>
    <w:docVar w:name="LW_TYPEACTEPRINCIPAL.CP" w:val="Propuesta de Decisión del Consejo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s-ES_tradn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s-ES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s-ES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es-ES_tradn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es-ES_tradnl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s-ES_tradn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s-ES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s-ES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es-ES_tradn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es-ES_tradnl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3</Pages>
  <Words>368</Words>
  <Characters>1932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MOLLER Birgit (TRADE)</dc:creator>
  <cp:lastModifiedBy>WES PDFC Administrator</cp:lastModifiedBy>
  <cp:revision>8</cp:revision>
  <dcterms:created xsi:type="dcterms:W3CDTF">2019-06-11T11:21:00Z</dcterms:created>
  <dcterms:modified xsi:type="dcterms:W3CDTF">2019-07-18T09:50:00Z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