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4CA2F9E9-C80C-4647-B2B1-5A5703621C9E" style="width:450.75pt;height:406.5pt">
            <v:imagedata r:id="rId8" o:title=""/>
          </v:shape>
        </w:pict>
      </w:r>
    </w:p>
    <w:p>
      <w:pPr>
        <w:rPr>
          <w:noProof/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szCs w:val="24"/>
        </w:rPr>
      </w:pPr>
      <w:bookmarkStart w:id="0" w:name="_GoBack"/>
      <w:bookmarkEnd w:id="0"/>
      <w:r>
        <w:rPr>
          <w:noProof/>
        </w:rPr>
        <w:t>INDOKOLÁS</w:t>
      </w:r>
    </w:p>
    <w:p>
      <w:pPr>
        <w:pStyle w:val="ManualHeading1"/>
        <w:rPr>
          <w:noProof/>
          <w:szCs w:val="24"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rPr>
          <w:noProof/>
          <w:szCs w:val="24"/>
        </w:rPr>
      </w:pPr>
      <w:r>
        <w:rPr>
          <w:noProof/>
        </w:rPr>
        <w:t>Ez a javaslat az egyrészről az Európai Közösség és tagállamai, másrészről a közép-afrikai fél közötti átmeneti gazdasági partnerségi megállapodással (a továbbiakban: a megállapodás)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létrehozott gazdasági partnerségi megállapodással foglalkozó bizottságban a közvetítésre vonatkozó eljárási szabályzat, a választottbírói testületre vonatkozó eljárási szabályzat, valamint a választottbírák magatartási kódexének tervezett elfogadása céljából az Európai Unió (a továbbiakban: az Unió) által képviselendő álláspontot meghatározó határozatra vonatkozik.</w:t>
      </w:r>
    </w:p>
    <w:p>
      <w:pPr>
        <w:pStyle w:val="ManualHeading1"/>
        <w:rPr>
          <w:noProof/>
          <w:szCs w:val="24"/>
        </w:rPr>
      </w:pPr>
      <w:r>
        <w:t>2.</w:t>
      </w:r>
      <w:r>
        <w:tab/>
      </w:r>
      <w:r>
        <w:rPr>
          <w:noProof/>
        </w:rPr>
        <w:t>A javaslat háttere</w:t>
      </w:r>
    </w:p>
    <w:p>
      <w:pPr>
        <w:pStyle w:val="ManualHeading2"/>
        <w:rPr>
          <w:noProof/>
          <w:szCs w:val="24"/>
        </w:rPr>
      </w:pPr>
      <w:r>
        <w:t>2.1.</w:t>
      </w:r>
      <w:r>
        <w:tab/>
      </w:r>
      <w:r>
        <w:rPr>
          <w:noProof/>
        </w:rPr>
        <w:t>Közép-Afrika–EU átmeneti gazdasági partnerségi megállapodás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megállapodás célja a Cotonoui Megállapodással összhangban álló átfogó regionális gazdasági partnerségi megállapodás kezdeti keretének létrehozása. A közép-afrikai felet eddig a Kameruni Köztársaság alkotja. A megállapodást 2014. augusztus 4. óta ideiglenesen alkalmazzák.</w:t>
      </w:r>
    </w:p>
    <w:p>
      <w:pPr>
        <w:pStyle w:val="ManualHeading2"/>
        <w:rPr>
          <w:noProof/>
          <w:szCs w:val="24"/>
        </w:rPr>
      </w:pPr>
      <w:r>
        <w:t>2.2.</w:t>
      </w:r>
      <w:r>
        <w:tab/>
      </w:r>
      <w:r>
        <w:rPr>
          <w:noProof/>
        </w:rPr>
        <w:t>A gazdasági partnerségi megállapodással foglalkozó bizottság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gazdasági partnerségi megállapodással foglalkozó bizottság a megállapodás vegyes jellegű intézményi szerve. A megállapodás 92. cikke értelmében a gazdasági partnerségi megállapodással foglalkozó bizottság felelős az e megállapodás alkalmazási körébe tartozó valamennyi terület igazgatásáért és az e megállapodásban említett valamennyi feladat megvalósításáért. A gazdasági partnerségi megállapodással foglalkozó bizottság határozatait konszenzusos úton hozza. A gazdasági partnerségi megállapodással foglalkozó bizottság működését az eljárási szabályzat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állapítja meg. </w:t>
      </w:r>
    </w:p>
    <w:p>
      <w:pPr>
        <w:pStyle w:val="ManualHeading2"/>
        <w:rPr>
          <w:noProof/>
          <w:szCs w:val="24"/>
        </w:rPr>
      </w:pPr>
      <w:r>
        <w:t>2.3.</w:t>
      </w:r>
      <w:r>
        <w:tab/>
      </w:r>
      <w:r>
        <w:rPr>
          <w:noProof/>
        </w:rPr>
        <w:t>A gazdasági partnerségi megállapodással foglalkozó bizottság tervezett jogi aktusa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 xml:space="preserve">[dátum]-i ötödik ülésén a gazdasági partnerségi megállapodással foglalkozó bizottságnak határozatot kell elfogadnia a vitarendezési eljárásokról (a továbbiakban: a tervezett jogi aktus).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megállapodás 80. cikkének (1) bekezdése szerint „(a) 3. fejezetben előírt vitarendezési eljárásokat a gazdasági partnerségi megállapodással foglalkozó bizottság által elfogadandó eljárási szabályzat és magatartási kódex szabályozza. 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megállapodás 88. cikke értelmében „(a) gazdasági partnerségi megállapodással foglalkozó bizottság határozhat ennek a címnek és mellékleteinek módosításáról. 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tervezett jogi aktus célja, hogy meghatározza a megállapodás VI. címében előírt, a Felek között esetlegesen felmerülő viták megelőzését és rendezését célzó intézkedések végrehajtására vonatkozó szabályokat és eljárásokat. E szabályok elfogadása elengedhetetlen a megállapodás viták elkerülésére és vitarendezésre vonatkozó rendelkezéseinek megfelelő működési keret megvalósításához.</w:t>
      </w:r>
    </w:p>
    <w:p>
      <w:pPr>
        <w:pStyle w:val="ManualHeading1"/>
        <w:rPr>
          <w:noProof/>
          <w:szCs w:val="24"/>
        </w:rPr>
      </w:pPr>
      <w:r>
        <w:t>3.</w:t>
      </w:r>
      <w:r>
        <w:tab/>
      </w:r>
      <w:r>
        <w:rPr>
          <w:noProof/>
        </w:rPr>
        <w:t>Az Unió által képviselendő álláspont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Ez a tanácsi határozatra irányuló javaslat meghatározza az egyrészről az Európai Közösség és tagállamai, másrészről a közép-afrikai fél közötti átmeneti gazdasági partnerségi megállapodással létrehozott gazdasági partnerségi megállapodással foglalkozó bizottságban a közvetítésre vonatkozó eljárási szabályzat, a választottbírói testületre vonatkozó eljárási szabályzat, és a választottbírák magatartási kódexének  megállapítása céljából az Unió által képviselendő álláspontot.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megállapodás részes felei elfogadták ezt a határozattervezetet, amelyet a gazdasági partnerségi megállapodással foglalkozó bizottság 2019. február 19–18-i negyedik ülésén parafáltak, és azt – az Európai Unió döntéshozatali eljárásainak függvényében – várhatóan a gazdasági partnerségi megállapodással foglalkozó bizottság következő, 2019 végén esedékes ülésén fogják elfogadni.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Ez a határozat elengedhetetlen ahhoz, hogy a megállapodásnak a viták elkerüléséről és a vitarendezésről szóló VI. címében foglalt rendelkezések működőképesek legyenek, és ezáltal biztosítható legyen a megállapodás zökkenőmentes végrehajtása.</w:t>
      </w:r>
    </w:p>
    <w:p>
      <w:pPr>
        <w:pStyle w:val="ManualHeading1"/>
        <w:rPr>
          <w:noProof/>
          <w:szCs w:val="24"/>
        </w:rPr>
      </w:pPr>
      <w:r>
        <w:t>4.</w:t>
      </w:r>
      <w:r>
        <w:tab/>
      </w:r>
      <w:r>
        <w:rPr>
          <w:noProof/>
        </w:rPr>
        <w:t>Jogalap</w:t>
      </w:r>
      <w:bookmarkStart w:id="1" w:name="bookmark7"/>
    </w:p>
    <w:p>
      <w:pPr>
        <w:pStyle w:val="ManualHeading2"/>
        <w:rPr>
          <w:noProof/>
          <w:szCs w:val="24"/>
        </w:rPr>
      </w:pPr>
      <w:r>
        <w:t>4.1.</w:t>
      </w:r>
      <w:r>
        <w:tab/>
      </w:r>
      <w:r>
        <w:rPr>
          <w:noProof/>
        </w:rPr>
        <w:t>Eljárási jogalap</w:t>
      </w:r>
      <w:bookmarkEnd w:id="1"/>
    </w:p>
    <w:p>
      <w:pPr>
        <w:pStyle w:val="ManualHeading3"/>
        <w:rPr>
          <w:noProof/>
        </w:rPr>
      </w:pPr>
      <w:r>
        <w:rPr>
          <w:noProof/>
        </w:rPr>
        <w:t>4.1.1.</w:t>
      </w:r>
      <w:r>
        <w:rPr>
          <w:noProof/>
        </w:rPr>
        <w:tab/>
        <w:t>Alapelvek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Az Európai Unió működéséről szóló szerződés (a továbbiakban: EUMSZ) 218. cikkének (9) bekezdése határozatok elfogadásáról rendelkezik „a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„joghatással bíró jogi aktus” fogalmába beletartoznak a nemzetközi jognak a kérdéses szervet szabályozó szabályai szerint joghatással bíró jogi aktusok. Ezenfelül a fogalom kiterjed azokra az eszközökre is, amelyek a nemzetközi jog értelmében nem bírnak kötelező erővel, de „meghatározó módon befolyásolják az uniós jogalkotó által [...] elfogadott szabályozás tartalmát”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  <w:szCs w:val="24"/>
        </w:rPr>
      </w:pPr>
      <w:r>
        <w:rPr>
          <w:noProof/>
        </w:rPr>
        <w:t>4.1.2.</w:t>
      </w:r>
      <w:r>
        <w:rPr>
          <w:noProof/>
        </w:rPr>
        <w:tab/>
        <w:t>A jelen esetre történő alkalmazás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gazdasági partnerségi megállapodással foglalkozó bizottság egy megállapodással – nevezetesen az egyrészről az Európai Közösség és tagállamai, másrészről a közép-afrikai fél közötti átmeneti gazdasági partnerségi megállapodással – létrehozott szerv.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gazdasági partnerségi megállapodással foglalkozó bizottság által elfogadandó jogi aktus joghatással bíró jogi aktus. A megállapodás 80. és 88. cikkének megfelelően a tervezett jogi aktus a nemzetközi jog szerint kötelező érvényű lesz.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 tervezett jogi aktus nem egészíti ki és nem módosítja a megállapodás intézményi kereteit.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Ezért a javasolt határozat eljárási jogalapja az EUMSZ 218. cikkének (9) bekezdése.</w:t>
      </w:r>
    </w:p>
    <w:p>
      <w:pPr>
        <w:pStyle w:val="ManualHeading2"/>
        <w:rPr>
          <w:noProof/>
          <w:szCs w:val="24"/>
        </w:rPr>
      </w:pPr>
      <w:bookmarkStart w:id="2" w:name="bookmark8"/>
      <w:r>
        <w:t>4.2.</w:t>
      </w:r>
      <w:r>
        <w:tab/>
      </w:r>
      <w:r>
        <w:rPr>
          <w:noProof/>
        </w:rPr>
        <w:t>Anyagi jogalap</w:t>
      </w:r>
      <w:bookmarkEnd w:id="2"/>
    </w:p>
    <w:p>
      <w:pPr>
        <w:pStyle w:val="ManualHeading3"/>
        <w:rPr>
          <w:noProof/>
          <w:szCs w:val="24"/>
        </w:rPr>
      </w:pPr>
      <w:r>
        <w:rPr>
          <w:noProof/>
        </w:rPr>
        <w:t>4.2.1.</w:t>
      </w:r>
      <w:r>
        <w:rPr>
          <w:noProof/>
        </w:rPr>
        <w:tab/>
        <w:t>Alapelvek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  <w:szCs w:val="24"/>
        </w:rPr>
      </w:pPr>
      <w:r>
        <w:rPr>
          <w:noProof/>
        </w:rPr>
        <w:t>Az EUMSZ 218. cikkének (9) bekezdése szerinti határozat anyagi jogi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pusztán járulékos jellegű, az EUMSZ 218. cikkének (9) bekezdése szerinti határozatot egyetlen jogalapra, azaz az elsődleges, illetve döntő jellegű célkitűzés vagy összetevő által megkövetelt jogalapra kell alapítani.</w:t>
      </w:r>
    </w:p>
    <w:p>
      <w:pPr>
        <w:pStyle w:val="ManualHeading3"/>
        <w:rPr>
          <w:noProof/>
        </w:rPr>
      </w:pPr>
      <w:r>
        <w:rPr>
          <w:noProof/>
        </w:rPr>
        <w:t>4.2.2.</w:t>
      </w:r>
      <w:r>
        <w:rPr>
          <w:noProof/>
        </w:rPr>
        <w:tab/>
        <w:t>A jelen esetre történő alkalmazás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rPr>
          <w:noProof/>
        </w:rPr>
      </w:pPr>
      <w:r>
        <w:rPr>
          <w:noProof/>
        </w:rPr>
        <w:t>A tervezett jogi aktus elsődleges célkitűzése és tartalma a közös kereskedelempolitikával kapcsolatos. Ezért a javasolt határozat anyagi jogalapja az EUMSZ 207. cikke.</w:t>
      </w:r>
    </w:p>
    <w:p>
      <w:pPr>
        <w:pStyle w:val="ManualHeading2"/>
        <w:rPr>
          <w:noProof/>
          <w:szCs w:val="24"/>
        </w:rPr>
      </w:pPr>
      <w:bookmarkStart w:id="3" w:name="bookmark9"/>
      <w:r>
        <w:t>4.3.</w:t>
      </w:r>
      <w:r>
        <w:tab/>
      </w:r>
      <w:r>
        <w:rPr>
          <w:noProof/>
        </w:rPr>
        <w:t>Következtetés</w:t>
      </w:r>
      <w:bookmarkEnd w:id="3"/>
    </w:p>
    <w:p>
      <w:pPr>
        <w:rPr>
          <w:noProof/>
          <w:szCs w:val="24"/>
        </w:rPr>
      </w:pPr>
      <w:r>
        <w:rPr>
          <w:noProof/>
        </w:rPr>
        <w:t>A javasolt határozat jogalapja az EUMSZ 207. cikke (4) bekezdésének első albekezdése, az EUMSZ 218. cikkének (9) bekezdésével együtt értelmezve.</w:t>
      </w:r>
    </w:p>
    <w:p>
      <w:pPr>
        <w:rPr>
          <w:noProof/>
          <w:szCs w:val="24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2019/0159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egyrészről az Európai Közösség és tagállamai, másrészről a közép-afrikai fél közötti átmeneti gazdasági partnerségi megállapodással létrehozott gazdasági partnerségi megállapodással foglalkozó bizottságban a közvetítésre vonatkozó eljárási szabályzat, a választottbírói testületre vonatkozó eljárási szabályzat, valamint a választottbírák magatartási kódexének elfogadása céljából az Európai Unió által képviselendő álláspontról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 xml:space="preserve">tekintettel az Európai Unió működéséről szóló szerződésre (EUMSZ) és különösen annak 207. cikke (4) bekezdésének első albekezdésére, összefüggésben 218. cikkének (9) bekezdésével, </w:t>
      </w:r>
    </w:p>
    <w:p>
      <w:pPr>
        <w:rPr>
          <w:noProof/>
        </w:rPr>
      </w:pPr>
      <w:r>
        <w:rPr>
          <w:noProof/>
        </w:rPr>
        <w:t>tekintettel az egyrészről az Európai Közösség és tagállamai, másrészről a közép-afrikai fél közötti átmeneti gazdasági partnerségi megállapodásra (a továbbiakban: a megállapodás)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A 2009/152/EK határozattal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megkötötték a megállapodást az Európai Unió (a továbbiakban: az Unió) nevében, és azt 2014. augusztus 4. óta ideiglenesen alkalmazzák.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(2)</w:t>
      </w:r>
      <w:r>
        <w:tab/>
      </w:r>
      <w:r>
        <w:rPr>
          <w:noProof/>
        </w:rPr>
        <w:t>A megállapodás 80. cikkének (1) bekezdésével összhangban a gazdasági partnerségi megállapodással foglalkozó bizottság megállapítja az eljárási szabályzatot és a magatartási kódexet.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(3)</w:t>
      </w:r>
      <w:r>
        <w:tab/>
      </w:r>
      <w:r>
        <w:rPr>
          <w:noProof/>
        </w:rPr>
        <w:t>A megállapodás 88. cikke értelmében a gazdasági partnerségi megállapodással foglalkozó bizottság határozhat a megállapodás VI. címének és mellékleteinek módosításáról.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(4)</w:t>
      </w:r>
      <w:r>
        <w:tab/>
      </w:r>
      <w:r>
        <w:rPr>
          <w:noProof/>
        </w:rPr>
        <w:t>A gazdasági partnerségi megállapodással foglalkozó bizottságnak a [dátum]-i éves ülésén el kell fogadnia a közvetítésre és a választottbírói testületre vonatkozó eljárási szabályzat, valamint a választottbírák magatartási kódexének megállapításáról szóló határozatot.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(5)</w:t>
      </w:r>
      <w:r>
        <w:tab/>
      </w:r>
      <w:r>
        <w:rPr>
          <w:noProof/>
        </w:rPr>
        <w:t>Helyénvaló meghatározni a gazdasági partnerségi megállapodással foglalkozó bizottságban az Unió által képviselendő álláspontot, mivel a tervezett határozat kötelező érvényű lesz az Unióra nézve,</w:t>
      </w:r>
    </w:p>
    <w:p>
      <w:pPr>
        <w:pStyle w:val="Formuledadoption"/>
        <w:rPr>
          <w:noProof/>
          <w:szCs w:val="24"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  <w:szCs w:val="24"/>
        </w:rPr>
      </w:pPr>
      <w:r>
        <w:rPr>
          <w:noProof/>
        </w:rPr>
        <w:t>Első cikk</w:t>
      </w:r>
    </w:p>
    <w:p>
      <w:pPr>
        <w:rPr>
          <w:noProof/>
        </w:rPr>
      </w:pPr>
      <w:r>
        <w:rPr>
          <w:noProof/>
        </w:rPr>
        <w:t>A gazdasági partnerségi megállapodással foglalkozó bizottságban az eljárási szabályzatok és a magatartási kódex tekintetében az Unió által képviselendő álláspont a gazdasági partnerségi megállapodással foglalkozó bizottság e határozathoz csatolt határozattervezetén alapul.</w:t>
      </w:r>
    </w:p>
    <w:p>
      <w:pPr>
        <w:rPr>
          <w:noProof/>
        </w:rPr>
      </w:pPr>
      <w:r>
        <w:rPr>
          <w:noProof/>
        </w:rPr>
        <w:t>Ennek a határozatnak a Bizottság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  <w:szCs w:val="24"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  <w:szCs w:val="24"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HL L 57., 2009.2.28., 2. o.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HL L 17., 2017.1.21., 46. o.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 xml:space="preserve">A Bíróság   (OIV), C-399/12. sz., Németország kontra Tanács ügyben 2014. október 7-én hozott ítéletének 61–64. pontja, ECLI:EU:C:2014:2258. 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HL L 57., 2009.2.28., 2. o.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HL L 57., 2009.2.28., 1. 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24C8B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26E52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DC0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2DC24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E86A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DAAC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CCC6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7C4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5 17:10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CA2F9E9-C80C-4647-B2B1-5A5703621C9E"/>
    <w:docVar w:name="LW_COVERPAGE_TYPE" w:val="1"/>
    <w:docVar w:name="LW_CROSSREFERENCE" w:val="&lt;UNUSED&gt;"/>
    <w:docVar w:name="LW_DocType" w:val="COM"/>
    <w:docVar w:name="LW_EMISSION" w:val="2019.7.25."/>
    <w:docVar w:name="LW_EMISSION_ISODATE" w:val="2019-07-25"/>
    <w:docVar w:name="LW_EMISSION_LOCATION" w:val="BRX"/>
    <w:docVar w:name="LW_EMISSION_PREFIX" w:val="Brüssze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9"/>
    <w:docVar w:name="LW_REF.II.NEW.CP_YEAR" w:val="2019"/>
    <w:docVar w:name="LW_REF.INST.NEW" w:val="COM"/>
    <w:docVar w:name="LW_REF.INST.NEW_ADOPTED" w:val="final"/>
    <w:docVar w:name="LW_REF.INST.NEW_TEXT" w:val="(2019) 3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gyrészr\u337?l az Európai Közösség és tagállamai, másrészr\u337?l a közép-afrikai fél közötti átmeneti gazdasági partnerségi megállapodással létrehozott gazdasági partnerségi megállapodással foglalkozó bizottságban a közvetítésre vonatkozó eljárási szabályzat, a választottbírói testületre vonatkozó eljárási szabályzat, valamint a választottbírák magatartási kódexének elfogadása céljából az Európai Unió által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520" w:after="260" w:line="266" w:lineRule="exact"/>
      <w:ind w:hanging="880"/>
      <w:jc w:val="center"/>
    </w:pPr>
    <w:rPr>
      <w:rFonts w:asciiTheme="minorHAnsi" w:hAnsiTheme="minorHAnsi" w:cstheme="minorBidi"/>
      <w:sz w:val="22"/>
    </w:rPr>
  </w:style>
  <w:style w:type="character" w:customStyle="1" w:styleId="Heading30">
    <w:name w:val="Heading #3_"/>
    <w:basedOn w:val="DefaultParagraphFont"/>
    <w:link w:val="Heading31"/>
    <w:rPr>
      <w:b/>
      <w:bCs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Pr>
      <w:b/>
      <w:bCs/>
      <w:shd w:val="clear" w:color="auto" w:fill="FFFFFF"/>
    </w:rPr>
  </w:style>
  <w:style w:type="character" w:customStyle="1" w:styleId="Bodytext8SmallCaps">
    <w:name w:val="Body text (8) + Small Caps"/>
    <w:basedOn w:val="Bodytext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Bodytext9">
    <w:name w:val="Body text (9)_"/>
    <w:basedOn w:val="DefaultParagraphFont"/>
    <w:link w:val="Bodytext90"/>
    <w:rPr>
      <w:i/>
      <w:iCs/>
      <w:shd w:val="clear" w:color="auto" w:fill="FFFFFF"/>
    </w:rPr>
  </w:style>
  <w:style w:type="character" w:customStyle="1" w:styleId="Bodytext9NotItalic">
    <w:name w:val="Body text (9) + Not Italic"/>
    <w:basedOn w:val="Bodytext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Bodytext10">
    <w:name w:val="Body text (10)_"/>
    <w:basedOn w:val="DefaultParagraphFont"/>
    <w:link w:val="Bodytext100"/>
    <w:rPr>
      <w:sz w:val="20"/>
      <w:szCs w:val="20"/>
      <w:shd w:val="clear" w:color="auto" w:fill="FFFFFF"/>
    </w:rPr>
  </w:style>
  <w:style w:type="paragraph" w:customStyle="1" w:styleId="Heading31">
    <w:name w:val="Heading #3"/>
    <w:basedOn w:val="Normal"/>
    <w:link w:val="Heading30"/>
    <w:pPr>
      <w:widowControl w:val="0"/>
      <w:shd w:val="clear" w:color="auto" w:fill="FFFFFF"/>
      <w:spacing w:before="380" w:after="380" w:line="244" w:lineRule="exact"/>
      <w:ind w:hanging="880"/>
      <w:jc w:val="center"/>
      <w:outlineLvl w:val="2"/>
    </w:pPr>
    <w:rPr>
      <w:rFonts w:asciiTheme="minorHAnsi" w:hAnsiTheme="minorHAnsi" w:cstheme="minorBidi"/>
      <w:b/>
      <w:bCs/>
      <w:sz w:val="22"/>
    </w:rPr>
  </w:style>
  <w:style w:type="paragraph" w:customStyle="1" w:styleId="Bodytext80">
    <w:name w:val="Body text (8)"/>
    <w:basedOn w:val="Normal"/>
    <w:link w:val="Bodytext8"/>
    <w:pPr>
      <w:widowControl w:val="0"/>
      <w:shd w:val="clear" w:color="auto" w:fill="FFFFFF"/>
      <w:spacing w:before="380" w:line="244" w:lineRule="exact"/>
    </w:pPr>
    <w:rPr>
      <w:rFonts w:asciiTheme="minorHAnsi" w:hAnsiTheme="minorHAnsi" w:cstheme="minorBidi"/>
      <w:b/>
      <w:bCs/>
      <w:sz w:val="22"/>
    </w:rPr>
  </w:style>
  <w:style w:type="paragraph" w:customStyle="1" w:styleId="Bodytext90">
    <w:name w:val="Body text (9)"/>
    <w:basedOn w:val="Normal"/>
    <w:link w:val="Bodytext9"/>
    <w:pPr>
      <w:widowControl w:val="0"/>
      <w:shd w:val="clear" w:color="auto" w:fill="FFFFFF"/>
      <w:spacing w:before="140" w:after="140" w:line="266" w:lineRule="exact"/>
    </w:pPr>
    <w:rPr>
      <w:rFonts w:asciiTheme="minorHAnsi" w:hAnsiTheme="minorHAnsi" w:cstheme="minorBidi"/>
      <w:i/>
      <w:iCs/>
      <w:sz w:val="22"/>
    </w:rPr>
  </w:style>
  <w:style w:type="paragraph" w:customStyle="1" w:styleId="Bodytext100">
    <w:name w:val="Body text (10)"/>
    <w:basedOn w:val="Normal"/>
    <w:link w:val="Bodytext10"/>
    <w:pPr>
      <w:widowControl w:val="0"/>
      <w:shd w:val="clear" w:color="auto" w:fill="FFFFFF"/>
      <w:spacing w:before="1580" w:after="0" w:line="226" w:lineRule="exact"/>
    </w:pPr>
    <w:rPr>
      <w:rFonts w:asciiTheme="minorHAnsi" w:hAnsiTheme="minorHAnsi" w:cstheme="min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520" w:after="260" w:line="266" w:lineRule="exact"/>
      <w:ind w:hanging="880"/>
      <w:jc w:val="center"/>
    </w:pPr>
    <w:rPr>
      <w:rFonts w:asciiTheme="minorHAnsi" w:hAnsiTheme="minorHAnsi" w:cstheme="minorBidi"/>
      <w:sz w:val="22"/>
    </w:rPr>
  </w:style>
  <w:style w:type="character" w:customStyle="1" w:styleId="Heading30">
    <w:name w:val="Heading #3_"/>
    <w:basedOn w:val="DefaultParagraphFont"/>
    <w:link w:val="Heading31"/>
    <w:rPr>
      <w:b/>
      <w:bCs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Pr>
      <w:b/>
      <w:bCs/>
      <w:shd w:val="clear" w:color="auto" w:fill="FFFFFF"/>
    </w:rPr>
  </w:style>
  <w:style w:type="character" w:customStyle="1" w:styleId="Bodytext8SmallCaps">
    <w:name w:val="Body text (8) + Small Caps"/>
    <w:basedOn w:val="Bodytext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Bodytext9">
    <w:name w:val="Body text (9)_"/>
    <w:basedOn w:val="DefaultParagraphFont"/>
    <w:link w:val="Bodytext90"/>
    <w:rPr>
      <w:i/>
      <w:iCs/>
      <w:shd w:val="clear" w:color="auto" w:fill="FFFFFF"/>
    </w:rPr>
  </w:style>
  <w:style w:type="character" w:customStyle="1" w:styleId="Bodytext9NotItalic">
    <w:name w:val="Body text (9) + Not Italic"/>
    <w:basedOn w:val="Bodytext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Bodytext10">
    <w:name w:val="Body text (10)_"/>
    <w:basedOn w:val="DefaultParagraphFont"/>
    <w:link w:val="Bodytext100"/>
    <w:rPr>
      <w:sz w:val="20"/>
      <w:szCs w:val="20"/>
      <w:shd w:val="clear" w:color="auto" w:fill="FFFFFF"/>
    </w:rPr>
  </w:style>
  <w:style w:type="paragraph" w:customStyle="1" w:styleId="Heading31">
    <w:name w:val="Heading #3"/>
    <w:basedOn w:val="Normal"/>
    <w:link w:val="Heading30"/>
    <w:pPr>
      <w:widowControl w:val="0"/>
      <w:shd w:val="clear" w:color="auto" w:fill="FFFFFF"/>
      <w:spacing w:before="380" w:after="380" w:line="244" w:lineRule="exact"/>
      <w:ind w:hanging="880"/>
      <w:jc w:val="center"/>
      <w:outlineLvl w:val="2"/>
    </w:pPr>
    <w:rPr>
      <w:rFonts w:asciiTheme="minorHAnsi" w:hAnsiTheme="minorHAnsi" w:cstheme="minorBidi"/>
      <w:b/>
      <w:bCs/>
      <w:sz w:val="22"/>
    </w:rPr>
  </w:style>
  <w:style w:type="paragraph" w:customStyle="1" w:styleId="Bodytext80">
    <w:name w:val="Body text (8)"/>
    <w:basedOn w:val="Normal"/>
    <w:link w:val="Bodytext8"/>
    <w:pPr>
      <w:widowControl w:val="0"/>
      <w:shd w:val="clear" w:color="auto" w:fill="FFFFFF"/>
      <w:spacing w:before="380" w:line="244" w:lineRule="exact"/>
    </w:pPr>
    <w:rPr>
      <w:rFonts w:asciiTheme="minorHAnsi" w:hAnsiTheme="minorHAnsi" w:cstheme="minorBidi"/>
      <w:b/>
      <w:bCs/>
      <w:sz w:val="22"/>
    </w:rPr>
  </w:style>
  <w:style w:type="paragraph" w:customStyle="1" w:styleId="Bodytext90">
    <w:name w:val="Body text (9)"/>
    <w:basedOn w:val="Normal"/>
    <w:link w:val="Bodytext9"/>
    <w:pPr>
      <w:widowControl w:val="0"/>
      <w:shd w:val="clear" w:color="auto" w:fill="FFFFFF"/>
      <w:spacing w:before="140" w:after="140" w:line="266" w:lineRule="exact"/>
    </w:pPr>
    <w:rPr>
      <w:rFonts w:asciiTheme="minorHAnsi" w:hAnsiTheme="minorHAnsi" w:cstheme="minorBidi"/>
      <w:i/>
      <w:iCs/>
      <w:sz w:val="22"/>
    </w:rPr>
  </w:style>
  <w:style w:type="paragraph" w:customStyle="1" w:styleId="Bodytext100">
    <w:name w:val="Body text (10)"/>
    <w:basedOn w:val="Normal"/>
    <w:link w:val="Bodytext10"/>
    <w:pPr>
      <w:widowControl w:val="0"/>
      <w:shd w:val="clear" w:color="auto" w:fill="FFFFFF"/>
      <w:spacing w:before="1580" w:after="0" w:line="226" w:lineRule="exact"/>
    </w:pPr>
    <w:rPr>
      <w:rFonts w:asciiTheme="minorHAnsi" w:hAnsiTheme="minorHAnsi" w:cstheme="min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1039</Words>
  <Characters>7633</Characters>
  <Application>Microsoft Office Word</Application>
  <DocSecurity>0</DocSecurity>
  <Lines>136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2019-06-07T08:44:00Z</dcterms:created>
  <dcterms:modified xsi:type="dcterms:W3CDTF">2019-07-15T15:10:00Z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