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97520215-1A98-496E-94FD-39105D063E56"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7" w:h="16840"/>
          <w:pgMar w:top="1134" w:right="1417" w:bottom="1134" w:left="1417" w:header="709" w:footer="709" w:gutter="0"/>
          <w:pgNumType w:start="1"/>
          <w:cols w:space="720"/>
          <w:docGrid w:linePitch="299"/>
        </w:sectPr>
      </w:pPr>
    </w:p>
    <w:p>
      <w:pPr>
        <w:spacing w:after="0"/>
        <w:rPr>
          <w:rFonts w:ascii="Times New Roman" w:hAnsi="Times New Roman"/>
          <w:noProof/>
          <w:sz w:val="24"/>
          <w:szCs w:val="24"/>
        </w:rPr>
      </w:pPr>
      <w:bookmarkStart w:id="1" w:name="_GoBack"/>
      <w:bookmarkEnd w:id="1"/>
    </w:p>
    <w:p>
      <w:pPr>
        <w:spacing w:after="0"/>
        <w:rPr>
          <w:rFonts w:ascii="Times New Roman" w:hAnsi="Times New Roman"/>
          <w:noProof/>
          <w:sz w:val="24"/>
          <w:szCs w:val="24"/>
        </w:rPr>
      </w:pPr>
    </w:p>
    <w:p>
      <w:pPr>
        <w:spacing w:after="0"/>
        <w:rPr>
          <w:rFonts w:ascii="Times New Roman" w:hAnsi="Times New Roman"/>
          <w:noProof/>
          <w:sz w:val="24"/>
          <w:szCs w:val="24"/>
        </w:rPr>
      </w:pPr>
    </w:p>
    <w:p>
      <w:pPr>
        <w:spacing w:after="0"/>
        <w:rPr>
          <w:rFonts w:ascii="Times New Roman" w:hAnsi="Times New Roman"/>
          <w:noProof/>
          <w:sz w:val="24"/>
          <w:szCs w:val="24"/>
        </w:rPr>
      </w:pPr>
    </w:p>
    <w:p>
      <w:pPr>
        <w:spacing w:after="0"/>
        <w:rPr>
          <w:rFonts w:ascii="Times New Roman" w:hAnsi="Times New Roman"/>
          <w:noProof/>
          <w:sz w:val="24"/>
          <w:szCs w:val="24"/>
        </w:rPr>
      </w:pPr>
    </w:p>
    <w:p>
      <w:pPr>
        <w:spacing w:after="0"/>
        <w:rPr>
          <w:rFonts w:ascii="Times New Roman" w:hAnsi="Times New Roman"/>
          <w:noProof/>
          <w:sz w:val="24"/>
          <w:szCs w:val="24"/>
        </w:rPr>
      </w:pPr>
    </w:p>
    <w:sdt>
      <w:sdtPr>
        <w:rPr>
          <w:rFonts w:ascii="Calibri" w:eastAsia="Calibri" w:hAnsi="Calibri"/>
          <w:b w:val="0"/>
          <w:noProof/>
          <w:sz w:val="22"/>
          <w:szCs w:val="22"/>
        </w:rPr>
        <w:id w:val="670845034"/>
        <w:docPartObj>
          <w:docPartGallery w:val="Table of Contents"/>
          <w:docPartUnique/>
        </w:docPartObj>
      </w:sdtPr>
      <w:sdtEndPr>
        <w:rPr>
          <w:bCs/>
        </w:rPr>
      </w:sdtEndPr>
      <w:sdtContent>
        <w:p>
          <w:pPr>
            <w:pStyle w:val="TOCHeading"/>
            <w:rPr>
              <w:noProof/>
            </w:rPr>
          </w:pPr>
          <w:r>
            <w:rPr>
              <w:noProof/>
            </w:rPr>
            <w:t>Inhoudsopgave</w:t>
          </w:r>
        </w:p>
        <w:p>
          <w:pPr>
            <w:rPr>
              <w:noProof/>
            </w:rPr>
          </w:pPr>
        </w:p>
        <w:p>
          <w:pPr>
            <w:pStyle w:val="TOC1"/>
            <w:rPr>
              <w:rFonts w:asciiTheme="minorHAnsi" w:eastAsiaTheme="minorEastAsia" w:hAnsiTheme="minorHAnsi" w:cstheme="minorBidi"/>
              <w:noProof/>
              <w:sz w:val="22"/>
              <w:szCs w:val="22"/>
              <w:lang w:val="en-GB" w:eastAsia="en-GB" w:bidi="ar-SA"/>
            </w:rPr>
          </w:pPr>
          <w:r>
            <w:rPr>
              <w:noProof/>
            </w:rPr>
            <w:fldChar w:fldCharType="begin"/>
          </w:r>
          <w:r>
            <w:rPr>
              <w:noProof/>
            </w:rPr>
            <w:instrText xml:space="preserve"> TOC \o "1-3" \h \z \u </w:instrText>
          </w:r>
          <w:r>
            <w:rPr>
              <w:noProof/>
            </w:rPr>
            <w:fldChar w:fldCharType="separate"/>
          </w:r>
          <w:hyperlink w:anchor="_Toc14684621" w:history="1">
            <w:r>
              <w:rPr>
                <w:rStyle w:val="Hyperlink"/>
                <w:noProof/>
              </w:rPr>
              <w:t>1.</w:t>
            </w:r>
            <w:r>
              <w:rPr>
                <w:rFonts w:asciiTheme="minorHAnsi" w:eastAsiaTheme="minorEastAsia" w:hAnsiTheme="minorHAnsi" w:cstheme="minorBidi"/>
                <w:noProof/>
                <w:sz w:val="22"/>
                <w:szCs w:val="22"/>
                <w:lang w:val="en-GB" w:eastAsia="en-GB" w:bidi="ar-SA"/>
              </w:rPr>
              <w:tab/>
            </w:r>
            <w:r>
              <w:rPr>
                <w:rStyle w:val="Hyperlink"/>
                <w:noProof/>
              </w:rPr>
              <w:t>Procedure voor de vaststelling van de ELGF-begroting 2019</w:t>
            </w:r>
            <w:r>
              <w:rPr>
                <w:noProof/>
                <w:webHidden/>
              </w:rPr>
              <w:tab/>
            </w:r>
            <w:r>
              <w:rPr>
                <w:noProof/>
                <w:webHidden/>
              </w:rPr>
              <w:fldChar w:fldCharType="begin"/>
            </w:r>
            <w:r>
              <w:rPr>
                <w:noProof/>
                <w:webHidden/>
              </w:rPr>
              <w:instrText xml:space="preserve"> PAGEREF _Toc14684621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sz w:val="22"/>
              <w:szCs w:val="22"/>
              <w:lang w:val="en-GB" w:eastAsia="en-GB" w:bidi="ar-SA"/>
            </w:rPr>
          </w:pPr>
          <w:hyperlink w:anchor="_Toc14684622" w:history="1">
            <w:r>
              <w:rPr>
                <w:rStyle w:val="Hyperlink"/>
                <w:noProof/>
              </w:rPr>
              <w:t>2.</w:t>
            </w:r>
            <w:r>
              <w:rPr>
                <w:rFonts w:asciiTheme="minorHAnsi" w:eastAsiaTheme="minorEastAsia" w:hAnsiTheme="minorHAnsi" w:cstheme="minorBidi"/>
                <w:noProof/>
                <w:sz w:val="22"/>
                <w:szCs w:val="22"/>
                <w:lang w:val="en-GB" w:eastAsia="en-GB" w:bidi="ar-SA"/>
              </w:rPr>
              <w:tab/>
            </w:r>
            <w:r>
              <w:rPr>
                <w:rStyle w:val="Hyperlink"/>
                <w:noProof/>
              </w:rPr>
              <w:t>Bestemmingsontvangsten voor het ELGF</w:t>
            </w:r>
            <w:r>
              <w:rPr>
                <w:noProof/>
                <w:webHidden/>
              </w:rPr>
              <w:tab/>
            </w:r>
            <w:r>
              <w:rPr>
                <w:noProof/>
                <w:webHidden/>
              </w:rPr>
              <w:fldChar w:fldCharType="begin"/>
            </w:r>
            <w:r>
              <w:rPr>
                <w:noProof/>
                <w:webHidden/>
              </w:rPr>
              <w:instrText xml:space="preserve"> PAGEREF _Toc14684622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sz w:val="22"/>
              <w:szCs w:val="22"/>
              <w:lang w:val="en-GB" w:eastAsia="en-GB" w:bidi="ar-SA"/>
            </w:rPr>
          </w:pPr>
          <w:hyperlink w:anchor="_Toc14684623" w:history="1">
            <w:r>
              <w:rPr>
                <w:rStyle w:val="Hyperlink"/>
                <w:noProof/>
              </w:rPr>
              <w:t>3.</w:t>
            </w:r>
            <w:r>
              <w:rPr>
                <w:rFonts w:asciiTheme="minorHAnsi" w:eastAsiaTheme="minorEastAsia" w:hAnsiTheme="minorHAnsi" w:cstheme="minorBidi"/>
                <w:noProof/>
                <w:sz w:val="22"/>
                <w:szCs w:val="22"/>
                <w:lang w:val="en-GB" w:eastAsia="en-GB" w:bidi="ar-SA"/>
              </w:rPr>
              <w:tab/>
            </w:r>
            <w:r>
              <w:rPr>
                <w:rStyle w:val="Hyperlink"/>
                <w:noProof/>
              </w:rPr>
              <w:t>Opmerkingen over de uitvoering van de ELGF-begroting 2019 (voorlopige cijfers)</w:t>
            </w:r>
            <w:r>
              <w:rPr>
                <w:noProof/>
                <w:webHidden/>
              </w:rPr>
              <w:tab/>
            </w:r>
            <w:r>
              <w:rPr>
                <w:noProof/>
                <w:webHidden/>
              </w:rPr>
              <w:fldChar w:fldCharType="begin"/>
            </w:r>
            <w:r>
              <w:rPr>
                <w:noProof/>
                <w:webHidden/>
              </w:rPr>
              <w:instrText xml:space="preserve"> PAGEREF _Toc14684623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50"/>
              <w:tab w:val="right" w:leader="dot" w:pos="9039"/>
            </w:tabs>
            <w:rPr>
              <w:rFonts w:asciiTheme="minorHAnsi" w:eastAsiaTheme="minorEastAsia" w:hAnsiTheme="minorHAnsi" w:cstheme="minorBidi"/>
              <w:noProof/>
              <w:lang w:val="en-GB" w:eastAsia="en-GB" w:bidi="ar-SA"/>
            </w:rPr>
          </w:pPr>
          <w:hyperlink w:anchor="_Toc14684624" w:history="1">
            <w:r>
              <w:rPr>
                <w:rStyle w:val="Hyperlink"/>
                <w:noProof/>
              </w:rPr>
              <w:t>3.1.</w:t>
            </w:r>
            <w:r>
              <w:rPr>
                <w:rFonts w:asciiTheme="minorHAnsi" w:eastAsiaTheme="minorEastAsia" w:hAnsiTheme="minorHAnsi" w:cstheme="minorBidi"/>
                <w:noProof/>
                <w:lang w:val="en-GB" w:eastAsia="en-GB" w:bidi="ar-SA"/>
              </w:rPr>
              <w:tab/>
            </w:r>
            <w:r>
              <w:rPr>
                <w:rStyle w:val="Hyperlink"/>
                <w:noProof/>
              </w:rPr>
              <w:t>Marktmaatregelen</w:t>
            </w:r>
            <w:r>
              <w:rPr>
                <w:noProof/>
                <w:webHidden/>
              </w:rPr>
              <w:tab/>
            </w:r>
            <w:r>
              <w:rPr>
                <w:noProof/>
                <w:webHidden/>
              </w:rPr>
              <w:fldChar w:fldCharType="begin"/>
            </w:r>
            <w:r>
              <w:rPr>
                <w:noProof/>
                <w:webHidden/>
              </w:rPr>
              <w:instrText xml:space="preserve"> PAGEREF _Toc14684624 \h </w:instrText>
            </w:r>
            <w:r>
              <w:rPr>
                <w:noProof/>
                <w:webHidden/>
              </w:rPr>
            </w:r>
            <w:r>
              <w:rPr>
                <w:noProof/>
                <w:webHidden/>
              </w:rPr>
              <w:fldChar w:fldCharType="separate"/>
            </w:r>
            <w:r>
              <w:rPr>
                <w:noProof/>
                <w:webHidden/>
              </w:rPr>
              <w:t>3</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GB" w:eastAsia="en-GB" w:bidi="ar-SA"/>
            </w:rPr>
          </w:pPr>
          <w:hyperlink w:anchor="_Toc14684625" w:history="1">
            <w:r>
              <w:rPr>
                <w:rStyle w:val="Hyperlink"/>
                <w:noProof/>
              </w:rPr>
              <w:t>3.1.1.</w:t>
            </w:r>
            <w:r>
              <w:rPr>
                <w:rFonts w:asciiTheme="minorHAnsi" w:eastAsiaTheme="minorEastAsia" w:hAnsiTheme="minorHAnsi" w:cstheme="minorBidi"/>
                <w:noProof/>
                <w:lang w:val="en-GB" w:eastAsia="en-GB" w:bidi="ar-SA"/>
              </w:rPr>
              <w:tab/>
            </w:r>
            <w:r>
              <w:rPr>
                <w:rStyle w:val="Hyperlink"/>
                <w:noProof/>
              </w:rPr>
              <w:t>Olijfolie</w:t>
            </w:r>
            <w:r>
              <w:rPr>
                <w:noProof/>
                <w:webHidden/>
              </w:rPr>
              <w:tab/>
            </w:r>
            <w:r>
              <w:rPr>
                <w:noProof/>
                <w:webHidden/>
              </w:rPr>
              <w:fldChar w:fldCharType="begin"/>
            </w:r>
            <w:r>
              <w:rPr>
                <w:noProof/>
                <w:webHidden/>
              </w:rPr>
              <w:instrText xml:space="preserve"> PAGEREF _Toc14684625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GB" w:eastAsia="en-GB" w:bidi="ar-SA"/>
            </w:rPr>
          </w:pPr>
          <w:hyperlink w:anchor="_Toc14684626" w:history="1">
            <w:r>
              <w:rPr>
                <w:rStyle w:val="Hyperlink"/>
                <w:noProof/>
              </w:rPr>
              <w:t>3.1.2.</w:t>
            </w:r>
            <w:r>
              <w:rPr>
                <w:rFonts w:asciiTheme="minorHAnsi" w:eastAsiaTheme="minorEastAsia" w:hAnsiTheme="minorHAnsi" w:cstheme="minorBidi"/>
                <w:noProof/>
                <w:lang w:val="en-GB" w:eastAsia="en-GB" w:bidi="ar-SA"/>
              </w:rPr>
              <w:tab/>
            </w:r>
            <w:r>
              <w:rPr>
                <w:rStyle w:val="Hyperlink"/>
                <w:noProof/>
              </w:rPr>
              <w:t>Groenten en fruit</w:t>
            </w:r>
            <w:r>
              <w:rPr>
                <w:noProof/>
                <w:webHidden/>
              </w:rPr>
              <w:tab/>
            </w:r>
            <w:r>
              <w:rPr>
                <w:noProof/>
                <w:webHidden/>
              </w:rPr>
              <w:fldChar w:fldCharType="begin"/>
            </w:r>
            <w:r>
              <w:rPr>
                <w:noProof/>
                <w:webHidden/>
              </w:rPr>
              <w:instrText xml:space="preserve"> PAGEREF _Toc14684626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GB" w:eastAsia="en-GB" w:bidi="ar-SA"/>
            </w:rPr>
          </w:pPr>
          <w:hyperlink w:anchor="_Toc14684627" w:history="1">
            <w:r>
              <w:rPr>
                <w:rStyle w:val="Hyperlink"/>
                <w:noProof/>
              </w:rPr>
              <w:t>3.1.3.</w:t>
            </w:r>
            <w:r>
              <w:rPr>
                <w:rFonts w:asciiTheme="minorHAnsi" w:eastAsiaTheme="minorEastAsia" w:hAnsiTheme="minorHAnsi" w:cstheme="minorBidi"/>
                <w:noProof/>
                <w:lang w:val="en-GB" w:eastAsia="en-GB" w:bidi="ar-SA"/>
              </w:rPr>
              <w:tab/>
            </w:r>
            <w:r>
              <w:rPr>
                <w:rStyle w:val="Hyperlink"/>
                <w:noProof/>
              </w:rPr>
              <w:t>Producten van de wijnbouwsector</w:t>
            </w:r>
            <w:r>
              <w:rPr>
                <w:noProof/>
                <w:webHidden/>
              </w:rPr>
              <w:tab/>
            </w:r>
            <w:r>
              <w:rPr>
                <w:noProof/>
                <w:webHidden/>
              </w:rPr>
              <w:fldChar w:fldCharType="begin"/>
            </w:r>
            <w:r>
              <w:rPr>
                <w:noProof/>
                <w:webHidden/>
              </w:rPr>
              <w:instrText xml:space="preserve"> PAGEREF _Toc14684627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GB" w:eastAsia="en-GB" w:bidi="ar-SA"/>
            </w:rPr>
          </w:pPr>
          <w:hyperlink w:anchor="_Toc14684628" w:history="1">
            <w:r>
              <w:rPr>
                <w:rStyle w:val="Hyperlink"/>
                <w:noProof/>
              </w:rPr>
              <w:t>3.1.4.</w:t>
            </w:r>
            <w:r>
              <w:rPr>
                <w:rFonts w:asciiTheme="minorHAnsi" w:eastAsiaTheme="minorEastAsia" w:hAnsiTheme="minorHAnsi" w:cstheme="minorBidi"/>
                <w:noProof/>
                <w:lang w:val="en-GB" w:eastAsia="en-GB" w:bidi="ar-SA"/>
              </w:rPr>
              <w:tab/>
            </w:r>
            <w:r>
              <w:rPr>
                <w:rStyle w:val="Hyperlink"/>
                <w:noProof/>
              </w:rPr>
              <w:t>Afzetbevordering</w:t>
            </w:r>
            <w:r>
              <w:rPr>
                <w:noProof/>
                <w:webHidden/>
              </w:rPr>
              <w:tab/>
            </w:r>
            <w:r>
              <w:rPr>
                <w:noProof/>
                <w:webHidden/>
              </w:rPr>
              <w:fldChar w:fldCharType="begin"/>
            </w:r>
            <w:r>
              <w:rPr>
                <w:noProof/>
                <w:webHidden/>
              </w:rPr>
              <w:instrText xml:space="preserve"> PAGEREF _Toc14684628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GB" w:eastAsia="en-GB" w:bidi="ar-SA"/>
            </w:rPr>
          </w:pPr>
          <w:hyperlink w:anchor="_Toc14684629" w:history="1">
            <w:r>
              <w:rPr>
                <w:rStyle w:val="Hyperlink"/>
                <w:noProof/>
              </w:rPr>
              <w:t>3.1.5.</w:t>
            </w:r>
            <w:r>
              <w:rPr>
                <w:rFonts w:asciiTheme="minorHAnsi" w:eastAsiaTheme="minorEastAsia" w:hAnsiTheme="minorHAnsi" w:cstheme="minorBidi"/>
                <w:noProof/>
                <w:lang w:val="en-GB" w:eastAsia="en-GB" w:bidi="ar-SA"/>
              </w:rPr>
              <w:tab/>
            </w:r>
            <w:r>
              <w:rPr>
                <w:rStyle w:val="Hyperlink"/>
                <w:noProof/>
              </w:rPr>
              <w:t>Melk en zuivelproducten</w:t>
            </w:r>
            <w:r>
              <w:rPr>
                <w:noProof/>
                <w:webHidden/>
              </w:rPr>
              <w:tab/>
            </w:r>
            <w:r>
              <w:rPr>
                <w:noProof/>
                <w:webHidden/>
              </w:rPr>
              <w:fldChar w:fldCharType="begin"/>
            </w:r>
            <w:r>
              <w:rPr>
                <w:noProof/>
                <w:webHidden/>
              </w:rPr>
              <w:instrText xml:space="preserve"> PAGEREF _Toc14684629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50"/>
              <w:tab w:val="right" w:leader="dot" w:pos="9039"/>
            </w:tabs>
            <w:rPr>
              <w:rFonts w:asciiTheme="minorHAnsi" w:eastAsiaTheme="minorEastAsia" w:hAnsiTheme="minorHAnsi" w:cstheme="minorBidi"/>
              <w:noProof/>
              <w:lang w:val="en-GB" w:eastAsia="en-GB" w:bidi="ar-SA"/>
            </w:rPr>
          </w:pPr>
          <w:hyperlink w:anchor="_Toc14684630" w:history="1">
            <w:r>
              <w:rPr>
                <w:rStyle w:val="Hyperlink"/>
                <w:noProof/>
              </w:rPr>
              <w:t>3.2.</w:t>
            </w:r>
            <w:r>
              <w:rPr>
                <w:rFonts w:asciiTheme="minorHAnsi" w:eastAsiaTheme="minorEastAsia" w:hAnsiTheme="minorHAnsi" w:cstheme="minorBidi"/>
                <w:noProof/>
                <w:lang w:val="en-GB" w:eastAsia="en-GB" w:bidi="ar-SA"/>
              </w:rPr>
              <w:tab/>
            </w:r>
            <w:r>
              <w:rPr>
                <w:rStyle w:val="Hyperlink"/>
                <w:noProof/>
              </w:rPr>
              <w:t>Rechtstreekse betalingen</w:t>
            </w:r>
            <w:r>
              <w:rPr>
                <w:noProof/>
                <w:webHidden/>
              </w:rPr>
              <w:tab/>
            </w:r>
            <w:r>
              <w:rPr>
                <w:noProof/>
                <w:webHidden/>
              </w:rPr>
              <w:fldChar w:fldCharType="begin"/>
            </w:r>
            <w:r>
              <w:rPr>
                <w:noProof/>
                <w:webHidden/>
              </w:rPr>
              <w:instrText xml:space="preserve"> PAGEREF _Toc14684630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GB" w:eastAsia="en-GB" w:bidi="ar-SA"/>
            </w:rPr>
          </w:pPr>
          <w:hyperlink w:anchor="_Toc14684631" w:history="1">
            <w:r>
              <w:rPr>
                <w:rStyle w:val="Hyperlink"/>
                <w:noProof/>
              </w:rPr>
              <w:t>3.2.1.</w:t>
            </w:r>
            <w:r>
              <w:rPr>
                <w:rFonts w:asciiTheme="minorHAnsi" w:eastAsiaTheme="minorEastAsia" w:hAnsiTheme="minorHAnsi" w:cstheme="minorBidi"/>
                <w:noProof/>
                <w:lang w:val="en-GB" w:eastAsia="en-GB" w:bidi="ar-SA"/>
              </w:rPr>
              <w:tab/>
            </w:r>
            <w:r>
              <w:rPr>
                <w:rStyle w:val="Hyperlink"/>
                <w:noProof/>
              </w:rPr>
              <w:t>Ontkoppelde rechtstreekse betalingen</w:t>
            </w:r>
            <w:r>
              <w:rPr>
                <w:noProof/>
                <w:webHidden/>
              </w:rPr>
              <w:tab/>
            </w:r>
            <w:r>
              <w:rPr>
                <w:noProof/>
                <w:webHidden/>
              </w:rPr>
              <w:fldChar w:fldCharType="begin"/>
            </w:r>
            <w:r>
              <w:rPr>
                <w:noProof/>
                <w:webHidden/>
              </w:rPr>
              <w:instrText xml:space="preserve"> PAGEREF _Toc14684631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GB" w:eastAsia="en-GB" w:bidi="ar-SA"/>
            </w:rPr>
          </w:pPr>
          <w:hyperlink w:anchor="_Toc14684632" w:history="1">
            <w:r>
              <w:rPr>
                <w:rStyle w:val="Hyperlink"/>
                <w:noProof/>
              </w:rPr>
              <w:t>3.2.2.</w:t>
            </w:r>
            <w:r>
              <w:rPr>
                <w:rFonts w:asciiTheme="minorHAnsi" w:eastAsiaTheme="minorEastAsia" w:hAnsiTheme="minorHAnsi" w:cstheme="minorBidi"/>
                <w:noProof/>
                <w:lang w:val="en-GB" w:eastAsia="en-GB" w:bidi="ar-SA"/>
              </w:rPr>
              <w:tab/>
            </w:r>
            <w:r>
              <w:rPr>
                <w:rStyle w:val="Hyperlink"/>
                <w:noProof/>
              </w:rPr>
              <w:t>Andere rechtstreekse betalingen</w:t>
            </w:r>
            <w:r>
              <w:rPr>
                <w:noProof/>
                <w:webHidden/>
              </w:rPr>
              <w:tab/>
            </w:r>
            <w:r>
              <w:rPr>
                <w:noProof/>
                <w:webHidden/>
              </w:rPr>
              <w:fldChar w:fldCharType="begin"/>
            </w:r>
            <w:r>
              <w:rPr>
                <w:noProof/>
                <w:webHidden/>
              </w:rPr>
              <w:instrText xml:space="preserve"> PAGEREF _Toc14684632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noProof/>
              <w:sz w:val="22"/>
              <w:szCs w:val="22"/>
              <w:lang w:val="en-GB" w:eastAsia="en-GB" w:bidi="ar-SA"/>
            </w:rPr>
          </w:pPr>
          <w:hyperlink w:anchor="_Toc14684633" w:history="1">
            <w:r>
              <w:rPr>
                <w:rStyle w:val="Hyperlink"/>
                <w:noProof/>
              </w:rPr>
              <w:t>4.</w:t>
            </w:r>
            <w:r>
              <w:rPr>
                <w:rFonts w:asciiTheme="minorHAnsi" w:eastAsiaTheme="minorEastAsia" w:hAnsiTheme="minorHAnsi" w:cstheme="minorBidi"/>
                <w:noProof/>
                <w:sz w:val="22"/>
                <w:szCs w:val="22"/>
                <w:lang w:val="en-GB" w:eastAsia="en-GB" w:bidi="ar-SA"/>
              </w:rPr>
              <w:tab/>
            </w:r>
            <w:r>
              <w:rPr>
                <w:rStyle w:val="Hyperlink"/>
                <w:noProof/>
              </w:rPr>
              <w:t>Feitelijke bestemmingsontvangsten voor het ELGF</w:t>
            </w:r>
            <w:r>
              <w:rPr>
                <w:noProof/>
                <w:webHidden/>
              </w:rPr>
              <w:tab/>
            </w:r>
            <w:r>
              <w:rPr>
                <w:noProof/>
                <w:webHidden/>
              </w:rPr>
              <w:fldChar w:fldCharType="begin"/>
            </w:r>
            <w:r>
              <w:rPr>
                <w:noProof/>
                <w:webHidden/>
              </w:rPr>
              <w:instrText xml:space="preserve"> PAGEREF _Toc14684633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noProof/>
              <w:sz w:val="22"/>
              <w:szCs w:val="22"/>
              <w:lang w:val="en-GB" w:eastAsia="en-GB" w:bidi="ar-SA"/>
            </w:rPr>
          </w:pPr>
          <w:hyperlink w:anchor="_Toc14684634" w:history="1">
            <w:r>
              <w:rPr>
                <w:rStyle w:val="Hyperlink"/>
                <w:noProof/>
              </w:rPr>
              <w:t>5.</w:t>
            </w:r>
            <w:r>
              <w:rPr>
                <w:rFonts w:asciiTheme="minorHAnsi" w:eastAsiaTheme="minorEastAsia" w:hAnsiTheme="minorHAnsi" w:cstheme="minorBidi"/>
                <w:noProof/>
                <w:sz w:val="22"/>
                <w:szCs w:val="22"/>
                <w:lang w:val="en-GB" w:eastAsia="en-GB" w:bidi="ar-SA"/>
              </w:rPr>
              <w:tab/>
            </w:r>
            <w:r>
              <w:rPr>
                <w:rStyle w:val="Hyperlink"/>
                <w:noProof/>
              </w:rPr>
              <w:t>Conclusies</w:t>
            </w:r>
            <w:r>
              <w:rPr>
                <w:noProof/>
                <w:webHidden/>
              </w:rPr>
              <w:tab/>
            </w:r>
            <w:r>
              <w:rPr>
                <w:noProof/>
                <w:webHidden/>
              </w:rPr>
              <w:fldChar w:fldCharType="begin"/>
            </w:r>
            <w:r>
              <w:rPr>
                <w:noProof/>
                <w:webHidden/>
              </w:rPr>
              <w:instrText xml:space="preserve"> PAGEREF _Toc14684634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noProof/>
              <w:sz w:val="22"/>
              <w:szCs w:val="22"/>
            </w:rPr>
          </w:pPr>
          <w:r>
            <w:rPr>
              <w:rFonts w:asciiTheme="minorHAnsi" w:eastAsiaTheme="minorEastAsia" w:hAnsiTheme="minorHAnsi" w:cstheme="minorBidi"/>
              <w:noProof/>
              <w:sz w:val="22"/>
              <w:szCs w:val="22"/>
            </w:rPr>
            <w:fldChar w:fldCharType="end"/>
          </w:r>
        </w:p>
      </w:sdtContent>
    </w:sdt>
    <w:p>
      <w:pPr>
        <w:spacing w:after="0"/>
        <w:rPr>
          <w:rFonts w:ascii="Times New Roman" w:hAnsi="Times New Roman"/>
          <w:noProof/>
          <w:sz w:val="24"/>
          <w:szCs w:val="24"/>
        </w:rPr>
      </w:pPr>
    </w:p>
    <w:tbl>
      <w:tblPr>
        <w:tblW w:w="0" w:type="auto"/>
        <w:tblLook w:val="01E0" w:firstRow="1" w:lastRow="1" w:firstColumn="1" w:lastColumn="1" w:noHBand="0" w:noVBand="0"/>
      </w:tblPr>
      <w:tblGrid>
        <w:gridCol w:w="1908"/>
        <w:gridCol w:w="7320"/>
      </w:tblGrid>
      <w:tr>
        <w:tc>
          <w:tcPr>
            <w:tcW w:w="1908" w:type="dxa"/>
            <w:hideMark/>
          </w:tcPr>
          <w:p>
            <w:pPr>
              <w:spacing w:before="120" w:after="120"/>
              <w:ind w:right="612"/>
              <w:rPr>
                <w:rFonts w:ascii="Times New Roman" w:hAnsi="Times New Roman"/>
                <w:smallCaps/>
                <w:noProof/>
              </w:rPr>
            </w:pPr>
            <w:r>
              <w:rPr>
                <w:rFonts w:ascii="Times New Roman" w:hAnsi="Times New Roman"/>
                <w:smallCaps/>
                <w:noProof/>
              </w:rPr>
              <w:t>Bijlage:</w:t>
            </w:r>
          </w:p>
          <w:p>
            <w:pPr>
              <w:spacing w:before="120" w:after="120"/>
              <w:ind w:right="612"/>
              <w:rPr>
                <w:rFonts w:ascii="Times New Roman" w:hAnsi="Times New Roman"/>
                <w:smallCaps/>
                <w:noProof/>
                <w:sz w:val="24"/>
                <w:szCs w:val="24"/>
              </w:rPr>
            </w:pPr>
          </w:p>
        </w:tc>
        <w:tc>
          <w:tcPr>
            <w:tcW w:w="7320" w:type="dxa"/>
            <w:hideMark/>
          </w:tcPr>
          <w:p>
            <w:pPr>
              <w:spacing w:before="120" w:after="120"/>
              <w:rPr>
                <w:rFonts w:ascii="Times New Roman" w:hAnsi="Times New Roman"/>
                <w:smallCaps/>
                <w:noProof/>
                <w:sz w:val="24"/>
                <w:szCs w:val="24"/>
              </w:rPr>
            </w:pPr>
            <w:r>
              <w:rPr>
                <w:rFonts w:ascii="Times New Roman" w:hAnsi="Times New Roman"/>
                <w:smallCaps/>
                <w:noProof/>
              </w:rPr>
              <w:t>Besteding van de ELGF-kredieten tot en met 30.4.2019 (voorlopige cijfers)</w:t>
            </w:r>
          </w:p>
        </w:tc>
      </w:tr>
    </w:tbl>
    <w:p>
      <w:pPr>
        <w:spacing w:after="0"/>
        <w:rPr>
          <w:noProof/>
        </w:rPr>
      </w:pPr>
    </w:p>
    <w:p>
      <w:pPr>
        <w:spacing w:after="0"/>
        <w:rPr>
          <w:noProof/>
        </w:rPr>
        <w:sectPr>
          <w:headerReference w:type="even" r:id="rId16"/>
          <w:headerReference w:type="default" r:id="rId17"/>
          <w:footerReference w:type="even" r:id="rId18"/>
          <w:footerReference w:type="default" r:id="rId19"/>
          <w:headerReference w:type="first" r:id="rId20"/>
          <w:footerReference w:type="first" r:id="rId21"/>
          <w:pgSz w:w="11907" w:h="16840"/>
          <w:pgMar w:top="1134" w:right="1418" w:bottom="1134" w:left="1440" w:header="595" w:footer="567" w:gutter="0"/>
          <w:pgNumType w:start="1"/>
          <w:cols w:space="720"/>
        </w:sectPr>
      </w:pPr>
    </w:p>
    <w:p>
      <w:pPr>
        <w:pStyle w:val="Heading1"/>
        <w:numPr>
          <w:ilvl w:val="0"/>
          <w:numId w:val="4"/>
        </w:numPr>
        <w:rPr>
          <w:noProof/>
        </w:rPr>
      </w:pPr>
      <w:bookmarkStart w:id="2" w:name="_Toc229306111"/>
      <w:bookmarkStart w:id="3" w:name="_Toc413145207"/>
      <w:bookmarkStart w:id="4" w:name="_Toc11851181"/>
      <w:bookmarkStart w:id="5" w:name="_Toc14684621"/>
      <w:bookmarkStart w:id="6" w:name="_Toc244054012"/>
      <w:bookmarkStart w:id="7" w:name="_Toc244054013"/>
      <w:r>
        <w:rPr>
          <w:noProof/>
        </w:rPr>
        <w:t>Procedure voor de vaststelling van de ELGF-begroting 2019</w:t>
      </w:r>
      <w:bookmarkEnd w:id="2"/>
      <w:bookmarkEnd w:id="3"/>
      <w:bookmarkEnd w:id="4"/>
      <w:bookmarkEnd w:id="5"/>
    </w:p>
    <w:p>
      <w:pPr>
        <w:pStyle w:val="Text1"/>
        <w:rPr>
          <w:noProof/>
        </w:rPr>
      </w:pPr>
      <w:r>
        <w:rPr>
          <w:noProof/>
        </w:rPr>
        <w:t>Op 12 december 2018 heeft het Europees Parlement de algemene begroting van de Europese Unie voor 2019 goedgekeurd. In de begroting zijn voor het Europees Landbouwgarantiefonds (ELGF) vastleggings- en betalingskredieten ten bedrage van 43 192 miljoen EUR, respectievelijk 43 116 miljoen EUR opgenomen voor rechtstreekse betalingen en marktgerelateerde uitgaven.</w:t>
      </w:r>
    </w:p>
    <w:p>
      <w:pPr>
        <w:pStyle w:val="Text1"/>
        <w:rPr>
          <w:noProof/>
        </w:rPr>
      </w:pPr>
      <w:r>
        <w:rPr>
          <w:noProof/>
        </w:rPr>
        <w:t>De bedragen voor de twee soorten kredieten verschillen van elkaar omdat voor bepaalde maatregelen die rechtstreeks door de Commissie worden uitgevoerd, gesplitste kredieten worden gebruikt. Deze kredieten dienen hoofdzakelijk voor maatregelen om de afzet van landbouwproducten te bevorderen en voor maatregelen op het gebied van beleidsstrategie en -coördinatie.</w:t>
      </w:r>
    </w:p>
    <w:p>
      <w:pPr>
        <w:pStyle w:val="Heading1"/>
        <w:rPr>
          <w:noProof/>
        </w:rPr>
      </w:pPr>
      <w:bookmarkStart w:id="8" w:name="_Toc413145208"/>
      <w:bookmarkStart w:id="9" w:name="_Toc11851182"/>
      <w:bookmarkStart w:id="10" w:name="_Toc14684622"/>
      <w:bookmarkEnd w:id="6"/>
      <w:r>
        <w:rPr>
          <w:noProof/>
        </w:rPr>
        <w:t>Bestemmingsontvangsten voor het ELGF</w:t>
      </w:r>
      <w:bookmarkEnd w:id="7"/>
      <w:bookmarkEnd w:id="8"/>
      <w:bookmarkEnd w:id="9"/>
      <w:bookmarkEnd w:id="10"/>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 xml:space="preserve">Op grond van artikel 43 van Verordening (EU) nr. 1306/2013 gelden ontvangsten uit financiële correcties die zijn opgelegd op grond van besluiten tot boekhoudkundige en conformiteitsgoedkeuring, en ontvangsten uit terugvorderingen wegens onregelmatigheden, als bestemmingsontvangsten ter financiering van ELGF-uitgaven. </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Overeenkomstig dat artikel kunnen bestemmingsontvangsten worden gebruikt om welke ELGF-uitgaven dan ook te financieren. Als een deel van die ontvangsten niet binnen het begrotingsjaar wordt gebruikt, wordt dat deel automatisch overgedragen naar het volgende begrotingsjaar</w:t>
      </w:r>
      <w:r>
        <w:rPr>
          <w:rFonts w:ascii="Times New Roman" w:hAnsi="Times New Roman"/>
          <w:noProof/>
          <w:sz w:val="24"/>
          <w:vertAlign w:val="superscript"/>
        </w:rPr>
        <w:footnoteReference w:id="1"/>
      </w:r>
      <w:r>
        <w:rPr>
          <w:rFonts w:ascii="Times New Roman" w:hAnsi="Times New Roman"/>
          <w:noProof/>
          <w:sz w:val="24"/>
        </w:rPr>
        <w:t>.</w:t>
      </w:r>
    </w:p>
    <w:p>
      <w:pPr>
        <w:spacing w:before="120" w:after="0" w:line="240" w:lineRule="auto"/>
        <w:ind w:left="851"/>
        <w:jc w:val="both"/>
        <w:rPr>
          <w:rFonts w:ascii="Times New Roman" w:eastAsia="Times New Roman" w:hAnsi="Times New Roman"/>
          <w:noProof/>
          <w:sz w:val="24"/>
          <w:szCs w:val="24"/>
        </w:rPr>
      </w:pPr>
      <w:r>
        <w:rPr>
          <w:rFonts w:ascii="Times New Roman" w:hAnsi="Times New Roman"/>
          <w:noProof/>
          <w:sz w:val="24"/>
        </w:rPr>
        <w:t>De ELGF-begroting 2019 bevat:</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rPr>
        <w:t>de meest recente ramingen van de Commissie van de middelen die nodig zijn voor de financiering van de marktmaatregelen en de rechtstreekse betalingen,</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rPr>
        <w:t>de ramingen van de bestemmingsontvangsten die in de loop van het begrotingsjaar zullen worden geïnd,</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rPr>
        <w:t>en de overdracht van het uit het voorafgaande begrotingsjaar overgebleven saldo aan bestemmingsontvangsten.</w:t>
      </w:r>
    </w:p>
    <w:p>
      <w:pPr>
        <w:spacing w:before="120" w:after="0" w:line="240" w:lineRule="auto"/>
        <w:ind w:left="850"/>
        <w:jc w:val="both"/>
        <w:rPr>
          <w:rFonts w:ascii="Times New Roman" w:eastAsia="Times New Roman" w:hAnsi="Times New Roman"/>
          <w:noProof/>
          <w:sz w:val="24"/>
          <w:szCs w:val="24"/>
        </w:rPr>
      </w:pPr>
      <w:r>
        <w:rPr>
          <w:rFonts w:ascii="Times New Roman" w:hAnsi="Times New Roman"/>
          <w:noProof/>
          <w:sz w:val="24"/>
        </w:rPr>
        <w:t xml:space="preserve">In haar voorstel voor de ELGF-begrotingskredieten voor 2019 heeft de Commissie rekening gehouden met het totale bedrag aan verwachte bestemmingsontvangsten en heeft zij voor de begroting 2019 kredieten gevraagd die zijn berekend door de geraamde bestemmingsontvangsten in mindering te brengen op de geraamde behoeften. De begrotingsautoriteit heeft de ELGF-begroting goedgekeurd, rekening houdend met de verwachte bestemmingsontvangsten. </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 xml:space="preserve">Bij de opstelling van de begroting 2019 werden de beschikbare bestemmingsontvangsten door de Commissie op 1 078 miljoen EUR geraamd. Zij bestaan uit: </w:t>
      </w:r>
    </w:p>
    <w:p>
      <w:pPr>
        <w:numPr>
          <w:ilvl w:val="0"/>
          <w:numId w:val="13"/>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de in de loop van het begrotingsjaar 2019 verwachte bestemmingsontvangsten, die worden geraamd op 634 miljoen EUR (499 miljoen EUR uit correcties in het kader van de conformiteitsgoedkeuring en 135 miljoen EUR uit terugvorderingen wegens onregelmatigheden);</w:t>
      </w:r>
    </w:p>
    <w:p>
      <w:pPr>
        <w:numPr>
          <w:ilvl w:val="0"/>
          <w:numId w:val="13"/>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de van 2018 over te dragen bestemmingsontvangsten, die op 444 miljoen EUR worden geraamd.</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 xml:space="preserve">De Commissie heeft die op 1 078 miljoen EUR geraamde ontvangsten toegewezen aan de volgende regelingen: </w:t>
      </w:r>
    </w:p>
    <w:p>
      <w:pPr>
        <w:numPr>
          <w:ilvl w:val="0"/>
          <w:numId w:val="14"/>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140 miljoen EUR voor de actiefondsen van de producentenorganisaties in de sector groenten en fruit, en</w:t>
      </w:r>
    </w:p>
    <w:p>
      <w:pPr>
        <w:numPr>
          <w:ilvl w:val="0"/>
          <w:numId w:val="14"/>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938 miljoen EUR voor de basisbetalingsregeling. </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De som van de goedgekeurde kredieten en de bestemmingsontvangsten voor die regelingen komt overeen met:</w:t>
      </w:r>
    </w:p>
    <w:p>
      <w:pPr>
        <w:numPr>
          <w:ilvl w:val="0"/>
          <w:numId w:val="15"/>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849 miljoen EUR voor de actiefondsen van de producentenorganisaties in de sector groenten en fruit, en</w:t>
      </w:r>
    </w:p>
    <w:p>
      <w:pPr>
        <w:numPr>
          <w:ilvl w:val="0"/>
          <w:numId w:val="15"/>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17 149 miljoen EUR voor de basisbetalingsregeling.</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 xml:space="preserve">In de bijlage, waarin de uitvoering van de begroting 2019 (voorlopige cijfers) wordt weergegeven, is bij de begrotingskredieten voor groenten en fruit en voor ontkoppelde rechtstreekse betalingen (weergegeven op het niveau van het artikel) geen rekening gehouden met de genoemde bestemmingsontvangsten. Die cijfers geven de goedgekeurde kredieten voor die artikelen weer (respectievelijk 715 miljoen EUR en 34 388 miljoen EUR). </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 xml:space="preserve">Als de aan die artikelen toegewezen bestemmingsontvangsten worden meegerekend, lopen de totale bedragen in de begroting 2019 op tot 855 miljoen EUR voor groenten en fruit en 35 326 miljoen EUR voor ontkoppelde rechtstreekse betalingen. </w:t>
      </w:r>
    </w:p>
    <w:p>
      <w:pPr>
        <w:pStyle w:val="Heading1"/>
        <w:rPr>
          <w:noProof/>
        </w:rPr>
      </w:pPr>
      <w:bookmarkStart w:id="11" w:name="_Toc244054015"/>
      <w:bookmarkStart w:id="12" w:name="_Toc413145209"/>
      <w:bookmarkStart w:id="13" w:name="_Toc11851183"/>
      <w:bookmarkStart w:id="14" w:name="_Toc14684623"/>
      <w:r>
        <w:rPr>
          <w:noProof/>
        </w:rPr>
        <w:t>Opmerkingen over de uitvoering van de ELGF-begroting 2019 (voorlopige cijfers)</w:t>
      </w:r>
      <w:bookmarkEnd w:id="11"/>
      <w:bookmarkEnd w:id="12"/>
      <w:bookmarkEnd w:id="13"/>
      <w:bookmarkEnd w:id="14"/>
    </w:p>
    <w:p>
      <w:pPr>
        <w:spacing w:before="120" w:after="120" w:line="240" w:lineRule="auto"/>
        <w:ind w:left="850"/>
        <w:jc w:val="both"/>
        <w:rPr>
          <w:rFonts w:ascii="Times New Roman" w:eastAsia="Times New Roman" w:hAnsi="Times New Roman"/>
          <w:noProof/>
          <w:sz w:val="24"/>
          <w:szCs w:val="24"/>
        </w:rPr>
      </w:pPr>
      <w:bookmarkStart w:id="15" w:name="_Toc244054016"/>
      <w:r>
        <w:rPr>
          <w:rFonts w:ascii="Times New Roman" w:hAnsi="Times New Roman"/>
          <w:noProof/>
          <w:sz w:val="24"/>
        </w:rPr>
        <w:t>De bijlage bij dit verslag geeft een overzicht van de uitvoering van de begroting voor de periode van 16 oktober 2018 tot en met 30 april 2019 (voorlopige cijfers). Dat uitvoeringsniveau wordt vergeleken met het uitgavenprofiel van het systeem voor vroegtijdige waarschuwing, dat is opgezet op grond van artikel 28 van Verordening (EU) nr. 1306/2013.</w:t>
      </w:r>
    </w:p>
    <w:p>
      <w:pPr>
        <w:spacing w:before="120" w:after="120" w:line="240" w:lineRule="auto"/>
        <w:ind w:left="850"/>
        <w:jc w:val="both"/>
        <w:rPr>
          <w:rFonts w:ascii="Times New Roman" w:eastAsia="Times New Roman" w:hAnsi="Times New Roman"/>
          <w:noProof/>
          <w:sz w:val="24"/>
          <w:szCs w:val="24"/>
        </w:rPr>
      </w:pPr>
    </w:p>
    <w:p>
      <w:pPr>
        <w:pStyle w:val="Heading2"/>
        <w:rPr>
          <w:noProof/>
        </w:rPr>
      </w:pPr>
      <w:bookmarkStart w:id="16" w:name="_Toc11851184"/>
      <w:bookmarkStart w:id="17" w:name="_Toc14684624"/>
      <w:r>
        <w:rPr>
          <w:noProof/>
        </w:rPr>
        <w:t>Marktmaatregelen</w:t>
      </w:r>
      <w:bookmarkEnd w:id="15"/>
      <w:bookmarkEnd w:id="16"/>
      <w:bookmarkEnd w:id="17"/>
    </w:p>
    <w:p>
      <w:pPr>
        <w:pStyle w:val="Text1"/>
        <w:rPr>
          <w:noProof/>
        </w:rPr>
      </w:pPr>
      <w:r>
        <w:rPr>
          <w:noProof/>
        </w:rPr>
        <w:t>De opname van de kredieten was lager dan verwacht in de sectoren olijfolie, wijn, bevordering van de afzet van landbouwproducten, en melk. Bij de uitvoering van de begroting in de sector groenten en fruit daarentegen werd beter gepresteerd dan geraamd.</w:t>
      </w:r>
    </w:p>
    <w:p>
      <w:pPr>
        <w:pStyle w:val="Heading3"/>
        <w:rPr>
          <w:noProof/>
        </w:rPr>
      </w:pPr>
      <w:bookmarkStart w:id="18" w:name="_Toc525722902"/>
      <w:bookmarkStart w:id="19" w:name="_Toc525734906"/>
      <w:bookmarkStart w:id="20" w:name="_Toc525736637"/>
      <w:bookmarkStart w:id="21" w:name="_Toc526175165"/>
      <w:bookmarkStart w:id="22" w:name="_Toc11851185"/>
      <w:bookmarkStart w:id="23" w:name="_Toc14684625"/>
      <w:bookmarkEnd w:id="18"/>
      <w:bookmarkEnd w:id="19"/>
      <w:bookmarkEnd w:id="20"/>
      <w:bookmarkEnd w:id="21"/>
      <w:r>
        <w:rPr>
          <w:noProof/>
        </w:rPr>
        <w:t>Olijfolie</w:t>
      </w:r>
      <w:bookmarkEnd w:id="22"/>
      <w:bookmarkEnd w:id="23"/>
    </w:p>
    <w:p>
      <w:pPr>
        <w:pStyle w:val="Text1"/>
        <w:rPr>
          <w:noProof/>
        </w:rPr>
      </w:pPr>
      <w:r>
        <w:rPr>
          <w:noProof/>
        </w:rPr>
        <w:t>De uitgaven voor de programma’s voor kwaliteitsverbetering liggen 9 miljoen EUR lager (– 20 procentpunten) dan wat eind april op basis van het uitgavenprofiel werd verwacht. Naar verwachting zal het begrote bedrag uiterlijk eind van het jaar zijn besteed.</w:t>
      </w:r>
    </w:p>
    <w:p>
      <w:pPr>
        <w:pStyle w:val="Heading3"/>
        <w:rPr>
          <w:noProof/>
        </w:rPr>
      </w:pPr>
      <w:bookmarkStart w:id="24" w:name="_Toc11851186"/>
      <w:bookmarkStart w:id="25" w:name="_Toc14684626"/>
      <w:r>
        <w:rPr>
          <w:noProof/>
        </w:rPr>
        <w:t>Groenten en fruit</w:t>
      </w:r>
      <w:bookmarkEnd w:id="24"/>
      <w:bookmarkEnd w:id="25"/>
    </w:p>
    <w:p>
      <w:pPr>
        <w:pStyle w:val="Text1"/>
        <w:rPr>
          <w:noProof/>
        </w:rPr>
      </w:pPr>
      <w:r>
        <w:rPr>
          <w:noProof/>
        </w:rPr>
        <w:t xml:space="preserve">De in deze sector gedeclareerde uitgaven liggen bijna 53 miljoen EUR hoger (+ 7 procentpunten) dan het profiel. Op dit moment wordt er echter van uitgegaan dat het totale begrote bedrag toereikend zal zijn om aan alle behoeften te voldoen. </w:t>
      </w:r>
    </w:p>
    <w:p>
      <w:pPr>
        <w:pStyle w:val="Heading3"/>
        <w:rPr>
          <w:noProof/>
        </w:rPr>
      </w:pPr>
      <w:bookmarkStart w:id="26" w:name="_Toc11851187"/>
      <w:bookmarkStart w:id="27" w:name="_Toc14684627"/>
      <w:r>
        <w:rPr>
          <w:noProof/>
        </w:rPr>
        <w:t>Producten van de wijnbouwsector</w:t>
      </w:r>
      <w:bookmarkEnd w:id="26"/>
      <w:bookmarkEnd w:id="27"/>
    </w:p>
    <w:p>
      <w:pPr>
        <w:pStyle w:val="Text1"/>
        <w:rPr>
          <w:noProof/>
        </w:rPr>
      </w:pPr>
      <w:r>
        <w:rPr>
          <w:noProof/>
        </w:rPr>
        <w:t>Voor dit begrotingsartikel liggen de tot dusver gedeclareerde uitgaven 44 miljoen EUR of 4 procentpunten lager dan het uitgavenprofiel. Het kleine verschil wordt als tijdelijk beschouwd en naar verwachting zal het begrote bedrag eind van het jaar zijn besteed.</w:t>
      </w:r>
    </w:p>
    <w:p>
      <w:pPr>
        <w:pStyle w:val="Heading3"/>
        <w:rPr>
          <w:noProof/>
        </w:rPr>
      </w:pPr>
      <w:bookmarkStart w:id="28" w:name="_Toc11851188"/>
      <w:bookmarkStart w:id="29" w:name="_Toc14684628"/>
      <w:r>
        <w:rPr>
          <w:noProof/>
        </w:rPr>
        <w:t>Afzetbevordering</w:t>
      </w:r>
      <w:bookmarkEnd w:id="28"/>
      <w:bookmarkEnd w:id="29"/>
    </w:p>
    <w:p>
      <w:pPr>
        <w:pStyle w:val="Text1"/>
        <w:rPr>
          <w:noProof/>
        </w:rPr>
      </w:pPr>
      <w:r>
        <w:rPr>
          <w:noProof/>
        </w:rPr>
        <w:t>Het verschil van – 15 procentpunten ten opzichte van het profiel (of – 27 miljoen EUR) wordt als tijdelijk beschouwd en naar verwachting zal het begrote bedrag eind van het jaar zijn besteed.</w:t>
      </w:r>
    </w:p>
    <w:p>
      <w:pPr>
        <w:pStyle w:val="Heading3"/>
        <w:rPr>
          <w:noProof/>
        </w:rPr>
      </w:pPr>
      <w:bookmarkStart w:id="30" w:name="_Toc11851189"/>
      <w:bookmarkStart w:id="31" w:name="_Toc14684629"/>
      <w:r>
        <w:rPr>
          <w:noProof/>
        </w:rPr>
        <w:t>Melk en zuivelproducten</w:t>
      </w:r>
      <w:bookmarkEnd w:id="30"/>
      <w:bookmarkEnd w:id="31"/>
      <w:r>
        <w:rPr>
          <w:noProof/>
        </w:rPr>
        <w:t xml:space="preserve"> </w:t>
      </w:r>
    </w:p>
    <w:p>
      <w:pPr>
        <w:pStyle w:val="Text1"/>
        <w:rPr>
          <w:noProof/>
        </w:rPr>
      </w:pPr>
      <w:r>
        <w:rPr>
          <w:noProof/>
        </w:rPr>
        <w:t>De afwijking ten opzichte van het uitgavenprofiel (– 66 miljoen EUR) is te verklaren door de winsten (ten opzichte van de boekwaarde) die de lidstaten op de verkoop van mageremelkpoeder hebben gedeclareerd. Aan het einde van het begrotingsjaar 2018 werd voor de openbare voorraden mageremelkpoeder een waardevermindering geboekt om de waarde van de voorraden aan te passen aan de op dat moment verwachte verkoopprijs. Sindsdien is de markt constant gestegen. Daarom wordt de mageremelkpoeder verkocht tegen een hogere prijs dan de boekwaarde, wat resulteert in de door de lidstaten gedeclareerde winsten.</w:t>
      </w:r>
    </w:p>
    <w:p>
      <w:pPr>
        <w:pStyle w:val="Text1"/>
        <w:rPr>
          <w:noProof/>
        </w:rPr>
      </w:pPr>
    </w:p>
    <w:p>
      <w:pPr>
        <w:pStyle w:val="Heading2"/>
        <w:rPr>
          <w:noProof/>
        </w:rPr>
      </w:pPr>
      <w:bookmarkStart w:id="32" w:name="_Toc11851190"/>
      <w:bookmarkStart w:id="33" w:name="_Toc14684630"/>
      <w:bookmarkStart w:id="34" w:name="_Toc244054022"/>
      <w:r>
        <w:rPr>
          <w:noProof/>
        </w:rPr>
        <w:t>Rechtstreekse betalingen</w:t>
      </w:r>
      <w:bookmarkEnd w:id="32"/>
      <w:bookmarkEnd w:id="33"/>
      <w:r>
        <w:rPr>
          <w:noProof/>
        </w:rPr>
        <w:t xml:space="preserve"> </w:t>
      </w:r>
      <w:bookmarkEnd w:id="34"/>
    </w:p>
    <w:p>
      <w:pPr>
        <w:spacing w:before="120" w:after="120" w:line="240" w:lineRule="auto"/>
        <w:ind w:left="850"/>
        <w:jc w:val="both"/>
        <w:rPr>
          <w:rFonts w:ascii="Times New Roman" w:eastAsia="Times New Roman" w:hAnsi="Times New Roman"/>
          <w:noProof/>
          <w:sz w:val="24"/>
          <w:szCs w:val="24"/>
        </w:rPr>
      </w:pPr>
      <w:bookmarkStart w:id="35" w:name="_Toc244054023"/>
      <w:r>
        <w:rPr>
          <w:rFonts w:ascii="Times New Roman" w:hAnsi="Times New Roman"/>
          <w:noProof/>
          <w:sz w:val="24"/>
        </w:rPr>
        <w:t>De opname van kredieten voor rechtstreekse betalingen is iets hoger dan geraamd.</w:t>
      </w:r>
    </w:p>
    <w:p>
      <w:pPr>
        <w:pStyle w:val="Heading3"/>
        <w:rPr>
          <w:noProof/>
        </w:rPr>
      </w:pPr>
      <w:bookmarkStart w:id="36" w:name="_Toc11851191"/>
      <w:bookmarkStart w:id="37" w:name="_Toc14684631"/>
      <w:r>
        <w:rPr>
          <w:noProof/>
        </w:rPr>
        <w:t>Ontkoppelde rechtstreekse betalingen</w:t>
      </w:r>
      <w:bookmarkEnd w:id="36"/>
      <w:bookmarkEnd w:id="37"/>
    </w:p>
    <w:p>
      <w:pPr>
        <w:pStyle w:val="Text1"/>
        <w:rPr>
          <w:noProof/>
        </w:rPr>
      </w:pPr>
      <w:r>
        <w:rPr>
          <w:noProof/>
        </w:rPr>
        <w:t xml:space="preserve">De gedeclareerde uitgaven liggen 624 miljoen EUR of 1,8 procentpunt hoger dan het profiel. </w:t>
      </w:r>
    </w:p>
    <w:p>
      <w:pPr>
        <w:pStyle w:val="Text1"/>
        <w:rPr>
          <w:noProof/>
          <w:highlight w:val="yellow"/>
        </w:rPr>
      </w:pPr>
      <w:r>
        <w:rPr>
          <w:noProof/>
        </w:rPr>
        <w:t>De herverdelingsbetaling en de betaling voor klimaat- en milieuvriendelijke landbouwpraktijken stroken met het profiel. De betaling voor landbouwers in gebieden met natuurlijke beperkingen ligt iets achter ten opzichte van het uitgavenprofiel (– 4,5 procentpunten), terwijl de uitgaven voor de drie andere regelingen in dit begrotingsartikel hoger liggen dan het uitgavenprofiel, met name voor de basisbetalingsregeling (+ 489 miljoen EUR).</w:t>
      </w:r>
    </w:p>
    <w:p>
      <w:pPr>
        <w:pStyle w:val="Heading3"/>
        <w:rPr>
          <w:noProof/>
        </w:rPr>
      </w:pPr>
      <w:bookmarkStart w:id="38" w:name="_Toc525734915"/>
      <w:bookmarkStart w:id="39" w:name="_Toc525736646"/>
      <w:bookmarkStart w:id="40" w:name="_Toc526175174"/>
      <w:bookmarkStart w:id="41" w:name="_Toc525734916"/>
      <w:bookmarkStart w:id="42" w:name="_Toc525736647"/>
      <w:bookmarkStart w:id="43" w:name="_Toc526175175"/>
      <w:bookmarkStart w:id="44" w:name="_Toc525734917"/>
      <w:bookmarkStart w:id="45" w:name="_Toc525736648"/>
      <w:bookmarkStart w:id="46" w:name="_Toc526175176"/>
      <w:bookmarkStart w:id="47" w:name="_Toc11851192"/>
      <w:bookmarkStart w:id="48" w:name="_Toc14684632"/>
      <w:bookmarkEnd w:id="38"/>
      <w:bookmarkEnd w:id="39"/>
      <w:bookmarkEnd w:id="40"/>
      <w:bookmarkEnd w:id="41"/>
      <w:bookmarkEnd w:id="42"/>
      <w:bookmarkEnd w:id="43"/>
      <w:bookmarkEnd w:id="44"/>
      <w:bookmarkEnd w:id="45"/>
      <w:bookmarkEnd w:id="46"/>
      <w:r>
        <w:rPr>
          <w:noProof/>
        </w:rPr>
        <w:t>Andere rechtstreekse betalingen</w:t>
      </w:r>
      <w:bookmarkEnd w:id="47"/>
      <w:bookmarkEnd w:id="48"/>
    </w:p>
    <w:p>
      <w:pPr>
        <w:spacing w:before="120" w:after="120" w:line="240" w:lineRule="auto"/>
        <w:ind w:left="850"/>
        <w:jc w:val="both"/>
        <w:rPr>
          <w:rFonts w:ascii="Times New Roman" w:eastAsia="Times New Roman" w:hAnsi="Times New Roman"/>
          <w:noProof/>
          <w:sz w:val="24"/>
          <w:szCs w:val="24"/>
        </w:rPr>
      </w:pPr>
      <w:bookmarkStart w:id="49" w:name="_Toc244054027"/>
      <w:bookmarkEnd w:id="35"/>
      <w:r>
        <w:rPr>
          <w:rFonts w:ascii="Times New Roman" w:hAnsi="Times New Roman"/>
          <w:noProof/>
          <w:sz w:val="24"/>
        </w:rPr>
        <w:t>De gedeclareerde uitgaven voor dit begrotingsartikel stroken met het profiel.</w:t>
      </w:r>
    </w:p>
    <w:p>
      <w:pPr>
        <w:pStyle w:val="Heading1"/>
        <w:rPr>
          <w:noProof/>
        </w:rPr>
      </w:pPr>
      <w:bookmarkStart w:id="50" w:name="_Toc413145210"/>
      <w:bookmarkStart w:id="51" w:name="_Toc11851193"/>
      <w:bookmarkStart w:id="52" w:name="_Toc14684633"/>
      <w:r>
        <w:rPr>
          <w:noProof/>
        </w:rPr>
        <w:t>Feitelijke bestemmingsontvangsten voor het ELGF</w:t>
      </w:r>
      <w:bookmarkEnd w:id="49"/>
      <w:bookmarkEnd w:id="50"/>
      <w:bookmarkEnd w:id="51"/>
      <w:bookmarkEnd w:id="52"/>
    </w:p>
    <w:p>
      <w:pPr>
        <w:spacing w:before="90" w:after="120" w:line="240" w:lineRule="auto"/>
        <w:ind w:left="851"/>
        <w:jc w:val="both"/>
        <w:rPr>
          <w:rFonts w:ascii="Times New Roman" w:eastAsia="Times New Roman" w:hAnsi="Times New Roman"/>
          <w:noProof/>
          <w:sz w:val="24"/>
          <w:szCs w:val="24"/>
        </w:rPr>
      </w:pPr>
      <w:bookmarkStart w:id="53" w:name="_Toc244054028"/>
      <w:r>
        <w:rPr>
          <w:rFonts w:ascii="Times New Roman" w:hAnsi="Times New Roman"/>
          <w:noProof/>
          <w:sz w:val="24"/>
        </w:rPr>
        <w:t>Uit de tabel in de bijlage blijkt dat eind april 2019 in totaal 283,2 miljoen EUR aan bestemmingsontvangsten waren geïnd, wat 4,8 miljoen EUR meer is dan verwacht bij de vaststelling van de begroting 2019. Meer bepaald:</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rPr>
        <w:t>bedroegen de ontvangsten uit correcties die zijn opgelegd op grond van besluiten tot boekhoudkundige en conformiteitsgoedkeuring 200,2 miljoen EUR;</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rPr>
        <w:t xml:space="preserve">bedroegen de ontvangsten uit terugvorderingen wegens onregelmatigheden 81,6 miljoen EUR, en </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rPr>
        <w:t>bedroegen een aantal resterende inkomsten van de melkheffing 1,4 miljoen EUR.</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 xml:space="preserve"> </w:t>
      </w:r>
    </w:p>
    <w:p>
      <w:pPr>
        <w:pStyle w:val="Text1"/>
        <w:rPr>
          <w:noProof/>
        </w:rPr>
      </w:pPr>
      <w:r>
        <w:rPr>
          <w:noProof/>
        </w:rPr>
        <w:t>Als het bedrag wordt meegerekend dat van het voorgaande jaar is overgedragen (448,8 miljoen EUR), was er op 30 april 2019 een totaalbedrag van 732,0 miljoen EUR aan bestemmingsontvangsten beschikbaar. Naar verwachting zullen er in de loop van het begrotingsjaar nog andere bedragen worden geïnd.</w:t>
      </w:r>
    </w:p>
    <w:p>
      <w:pPr>
        <w:pStyle w:val="Heading1"/>
        <w:rPr>
          <w:noProof/>
        </w:rPr>
      </w:pPr>
      <w:bookmarkStart w:id="54" w:name="_Toc244054030"/>
      <w:bookmarkStart w:id="55" w:name="_Toc413145211"/>
      <w:bookmarkStart w:id="56" w:name="_Toc11851194"/>
      <w:bookmarkStart w:id="57" w:name="_Toc14684634"/>
      <w:bookmarkEnd w:id="53"/>
      <w:r>
        <w:rPr>
          <w:noProof/>
        </w:rPr>
        <w:t>Conclusies</w:t>
      </w:r>
      <w:bookmarkEnd w:id="54"/>
      <w:bookmarkEnd w:id="55"/>
      <w:bookmarkEnd w:id="56"/>
      <w:bookmarkEnd w:id="57"/>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 xml:space="preserve">Uit de voorlopige uitvoering van de ELGF-begrotingskredieten 2019 voor de periode tot en met 30 april 2019 blijkt dat de maandelijkse vergoedingen aan de lidstaten 533 miljoen EUR boven het berekende bestedingsprofiel liggen. </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rPr>
        <w:t xml:space="preserve">Er is reeds een bedrag van 732 miljoen EUR aan bestemmingsontvangsten beschikbaar en naar verwachting zullen in de loop van het begrotingsjaar nog andere bedragen worden geïnd. </w:t>
      </w:r>
    </w:p>
    <w:p>
      <w:pPr>
        <w:spacing w:before="120" w:after="120" w:line="240" w:lineRule="auto"/>
        <w:ind w:left="850"/>
        <w:jc w:val="both"/>
        <w:rPr>
          <w:noProof/>
        </w:rPr>
      </w:pPr>
      <w:r>
        <w:rPr>
          <w:rFonts w:ascii="Times New Roman" w:hAnsi="Times New Roman"/>
          <w:noProof/>
          <w:sz w:val="24"/>
        </w:rPr>
        <w:t>Momenteel verwacht de Commissie dat de goedgekeurde kredieten, samen met het bedrag aan bestemmingsontvangsten dat uiterlijk eind van het begrotingsjaar beschikbaar zal zijn, voldoende zullen zijn om alle uitgaven te dekken.</w:t>
      </w:r>
    </w:p>
    <w:sectPr>
      <w:headerReference w:type="even" r:id="rId22"/>
      <w:headerReference w:type="default" r:id="rId23"/>
      <w:footerReference w:type="even" r:id="rId24"/>
      <w:footerReference w:type="default" r:id="rId25"/>
      <w:headerReference w:type="first" r:id="rId26"/>
      <w:footerReference w:type="first" r:id="rId27"/>
      <w:pgSz w:w="11907" w:h="16840"/>
      <w:pgMar w:top="1134" w:right="1418" w:bottom="1134" w:left="1440" w:header="595"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1</w:t>
    </w:r>
    <w:r>
      <w:rPr>
        <w:noProof/>
        <w:szCs w:val="24"/>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6403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60"/>
        <w:ind w:left="851" w:hanging="851"/>
        <w:jc w:val="both"/>
        <w:rPr>
          <w:rFonts w:ascii="Times New Roman" w:hAnsi="Times New Roman"/>
        </w:rPr>
      </w:pPr>
      <w:r>
        <w:rPr>
          <w:rStyle w:val="FootnoteReference"/>
          <w:rFonts w:ascii="Times New Roman" w:hAnsi="Times New Roman"/>
        </w:rPr>
        <w:footnoteRef/>
      </w:r>
      <w:r>
        <w:tab/>
      </w:r>
      <w:r>
        <w:rPr>
          <w:rFonts w:ascii="Times New Roman" w:hAnsi="Times New Roman"/>
        </w:rPr>
        <w:t>In artikel 12, lid 4, onder b), van Verordening (EU, Euratom) 2018/1046 van het Europees Parlement en de Raad tot vaststelling van de financiële regels van toepassing op de algemene begroting van de Unie is bepaald dat kredieten die overeenkomen met interne bestemmingsontvangsten, uitsluitend naar het volgende begrotingsjaar mogen worden overgedragen.</w:t>
      </w:r>
      <w:r>
        <w:t xml:space="preserve"> </w:t>
      </w:r>
      <w:r>
        <w:rPr>
          <w:rFonts w:ascii="Times New Roman" w:hAnsi="Times New Roman"/>
        </w:rPr>
        <w:t xml:space="preserve">Daarom worden die bestemmingsontvangsten, met het oog op een gezond begrotingsbeheer, over het algemeen eerst gebruikt, vóór de goedgekeurde kredieten van het betrokken begrotingsartikel.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0243"/>
    <w:multiLevelType w:val="hybridMultilevel"/>
    <w:tmpl w:val="F10CF124"/>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
    <w:nsid w:val="12E871E7"/>
    <w:multiLevelType w:val="hybridMultilevel"/>
    <w:tmpl w:val="FE3E400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
    <w:nsid w:val="51043F95"/>
    <w:multiLevelType w:val="hybridMultilevel"/>
    <w:tmpl w:val="EC6A612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4">
    <w:nsid w:val="53F47367"/>
    <w:multiLevelType w:val="singleLevel"/>
    <w:tmpl w:val="B4E8C9F0"/>
    <w:name w:val="LegalNumbering"/>
    <w:lvl w:ilvl="0">
      <w:start w:val="1"/>
      <w:numFmt w:val="bullet"/>
      <w:lvlRestart w:val="0"/>
      <w:lvlText w:val="–"/>
      <w:lvlJc w:val="left"/>
      <w:pPr>
        <w:tabs>
          <w:tab w:val="num" w:pos="1417"/>
        </w:tabs>
        <w:ind w:left="1417" w:hanging="567"/>
      </w:pPr>
    </w:lvl>
  </w:abstractNum>
  <w:abstractNum w:abstractNumId="5">
    <w:nsid w:val="55EA2AD9"/>
    <w:multiLevelType w:val="hybridMultilevel"/>
    <w:tmpl w:val="FB28C2BA"/>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6">
    <w:nsid w:val="64A12FA4"/>
    <w:multiLevelType w:val="multilevel"/>
    <w:tmpl w:val="3BE63518"/>
    <w:lvl w:ilvl="0">
      <w:start w:val="1"/>
      <w:numFmt w:val="decimal"/>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850"/>
        </w:tabs>
        <w:ind w:left="850" w:hanging="850"/>
      </w:pPr>
      <w:rPr>
        <w:rFonts w:hint="default"/>
      </w:rPr>
    </w:lvl>
    <w:lvl w:ilvl="3">
      <w:start w:val="1"/>
      <w:numFmt w:val="decimal"/>
      <w:pStyle w:val="Heading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4E147BA"/>
    <w:multiLevelType w:val="hybridMultilevel"/>
    <w:tmpl w:val="C4FC6E94"/>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8">
    <w:nsid w:val="6C827C2A"/>
    <w:multiLevelType w:val="hybridMultilevel"/>
    <w:tmpl w:val="253E2B0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nsid w:val="6E6B4B85"/>
    <w:multiLevelType w:val="hybridMultilevel"/>
    <w:tmpl w:val="E67CE6C8"/>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0">
    <w:nsid w:val="71632DBE"/>
    <w:multiLevelType w:val="hybridMultilevel"/>
    <w:tmpl w:val="253CB540"/>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num w:numId="1">
    <w:abstractNumId w:val="6"/>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7"/>
  </w:num>
  <w:num w:numId="8">
    <w:abstractNumId w:val="6"/>
  </w:num>
  <w:num w:numId="9">
    <w:abstractNumId w:val="6"/>
  </w:num>
  <w:num w:numId="10">
    <w:abstractNumId w:val="6"/>
  </w:num>
  <w:num w:numId="11">
    <w:abstractNumId w:val="9"/>
  </w:num>
  <w:num w:numId="12">
    <w:abstractNumId w:val="1"/>
  </w:num>
  <w:num w:numId="13">
    <w:abstractNumId w:val="5"/>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05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7520215-1A98-496E-94FD-39105D063E56"/>
    <w:docVar w:name="LW_COVERPAGE_TYPE" w:val="1"/>
    <w:docVar w:name="LW_CROSSREFERENCE" w:val="&lt;UNUSED&gt;"/>
    <w:docVar w:name="LW_DocType" w:val="NORMAL"/>
    <w:docVar w:name="LW_EMISSION" w:val="29.7.2019"/>
    <w:docVar w:name="LW_EMISSION_ISODATE" w:val="2019-07-29"/>
    <w:docVar w:name="LW_EMISSION_LOCATION" w:val="BRX"/>
    <w:docVar w:name="LW_EMISSION_PREFIX" w:val="Brussel, "/>
    <w:docVar w:name="LW_EMISSION_SUFFIX" w:val=" "/>
    <w:docVar w:name="LW_ID_DOCTYPE_NONLW" w:val="CP-006"/>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9) 3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over de uitgaven uit het ELGF_x000d__x000d__x000d__x000d__x000d__x000d__x000d__x000d__x000d__x000d__x000d__x000d__x000d__x000d__x000d__x000d__x000d__x000d__x000d__x000d__x000d__x000b__x000d__x000d__x000d__x000d__x000d__x000d__x000d__x000d__x000d__x000d__x000d__x000d__x000d__x000d__x000d__x000d__x000d__x000d__x000d__x000d__x000d__x000b_Systeem voor vroegtijdige waarschuwing nr. 4-6/2019"/>
    <w:docVar w:name="LW_TYPE.DOC.CP" w:val="VERSLAG VAN DE COMMISSIE A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qFormat/>
    <w:pPr>
      <w:keepNext/>
      <w:numPr>
        <w:numId w:val="1"/>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unhideWhenUsed/>
    <w:qFormat/>
    <w:pPr>
      <w:keepNext/>
      <w:numPr>
        <w:ilvl w:val="1"/>
        <w:numId w:val="1"/>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unhideWhenUsed/>
    <w:qFormat/>
    <w:pPr>
      <w:keepNext/>
      <w:numPr>
        <w:ilvl w:val="2"/>
        <w:numId w:val="1"/>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semiHidden/>
    <w:unhideWhenUsed/>
    <w:qFormat/>
    <w:pPr>
      <w:keepNext/>
      <w:numPr>
        <w:ilvl w:val="3"/>
        <w:numId w:val="1"/>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lang w:eastAsia="nl-NL"/>
    </w:rPr>
  </w:style>
  <w:style w:type="character" w:styleId="FootnoteReference">
    <w:name w:val="footnote reference"/>
    <w:semiHidden/>
    <w:unhideWhenUsed/>
    <w:rPr>
      <w:vertAlign w:val="superscrip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nl-NL"/>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nl-NL"/>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character" w:customStyle="1" w:styleId="Heading1Char">
    <w:name w:val="Heading 1 Char"/>
    <w:link w:val="Heading1"/>
    <w:rPr>
      <w:rFonts w:ascii="Times New Roman" w:eastAsia="Times New Roman" w:hAnsi="Times New Roman"/>
      <w:b/>
      <w:bCs/>
      <w:smallCaps/>
      <w:sz w:val="24"/>
      <w:szCs w:val="32"/>
      <w:lang w:eastAsia="nl-NL"/>
    </w:rPr>
  </w:style>
  <w:style w:type="character" w:customStyle="1" w:styleId="Heading2Char">
    <w:name w:val="Heading 2 Char"/>
    <w:link w:val="Heading2"/>
    <w:rPr>
      <w:rFonts w:ascii="Times New Roman" w:eastAsia="Times New Roman" w:hAnsi="Times New Roman"/>
      <w:b/>
      <w:bCs/>
      <w:iCs/>
      <w:sz w:val="24"/>
      <w:szCs w:val="28"/>
      <w:lang w:eastAsia="nl-NL"/>
    </w:rPr>
  </w:style>
  <w:style w:type="character" w:customStyle="1" w:styleId="Heading3Char">
    <w:name w:val="Heading 3 Char"/>
    <w:link w:val="Heading3"/>
    <w:rPr>
      <w:rFonts w:ascii="Times New Roman" w:eastAsia="Times New Roman" w:hAnsi="Times New Roman"/>
      <w:bCs/>
      <w:i/>
      <w:sz w:val="24"/>
      <w:szCs w:val="26"/>
      <w:lang w:eastAsia="nl-NL"/>
    </w:rPr>
  </w:style>
  <w:style w:type="character" w:customStyle="1" w:styleId="Heading4Char">
    <w:name w:val="Heading 4 Char"/>
    <w:link w:val="Heading4"/>
    <w:semiHidden/>
    <w:rPr>
      <w:rFonts w:ascii="Times New Roman" w:eastAsia="Times New Roman" w:hAnsi="Times New Roman"/>
      <w:bCs/>
      <w:sz w:val="24"/>
      <w:szCs w:val="28"/>
      <w:lang w:eastAsia="nl-NL"/>
    </w:rPr>
  </w:style>
  <w:style w:type="paragraph" w:customStyle="1" w:styleId="Text1">
    <w:name w:val="Text 1"/>
    <w:basedOn w:val="Normal"/>
    <w:link w:val="Text1Char"/>
    <w:pPr>
      <w:spacing w:before="120" w:after="120" w:line="240" w:lineRule="auto"/>
      <w:ind w:left="850"/>
      <w:jc w:val="both"/>
    </w:pPr>
    <w:rPr>
      <w:rFonts w:ascii="Times New Roman" w:eastAsia="Times New Roman" w:hAnsi="Times New Roman"/>
      <w:sz w:val="24"/>
      <w:szCs w:val="24"/>
    </w:rPr>
  </w:style>
  <w:style w:type="paragraph" w:styleId="TOC1">
    <w:name w:val="toc 1"/>
    <w:basedOn w:val="Normal"/>
    <w:next w:val="Normal"/>
    <w:autoRedefine/>
    <w:uiPriority w:val="39"/>
    <w:unhideWhenUsed/>
    <w:qFormat/>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Heading">
    <w:name w:val="TOC Heading"/>
    <w:basedOn w:val="Normal"/>
    <w:next w:val="Normal"/>
    <w:uiPriority w:val="39"/>
    <w:semiHidden/>
    <w:unhideWhenUsed/>
    <w:qFormat/>
    <w:pPr>
      <w:spacing w:before="120" w:after="240" w:line="240" w:lineRule="auto"/>
      <w:jc w:val="center"/>
    </w:pPr>
    <w:rPr>
      <w:rFonts w:ascii="Times New Roman" w:eastAsia="Times New Roman" w:hAnsi="Times New Roman"/>
      <w:b/>
      <w:sz w:val="28"/>
      <w:szCs w:val="24"/>
    </w:rPr>
  </w:style>
  <w:style w:type="character" w:customStyle="1" w:styleId="Text1Char">
    <w:name w:val="Text 1 Char"/>
    <w:link w:val="Text1"/>
    <w:locked/>
    <w:rPr>
      <w:rFonts w:ascii="Times New Roman" w:eastAsia="Times New Roman" w:hAnsi="Times New Roman"/>
      <w:sz w:val="24"/>
      <w:szCs w:val="24"/>
      <w:lang w:eastAsia="nl-NL"/>
    </w:rPr>
  </w:style>
  <w:style w:type="paragraph" w:customStyle="1" w:styleId="Tiret1">
    <w:name w:val="Tiret 1"/>
    <w:basedOn w:val="Normal"/>
    <w:pPr>
      <w:numPr>
        <w:numId w:val="2"/>
      </w:numPr>
      <w:spacing w:before="120" w:after="120" w:line="240" w:lineRule="auto"/>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nl-NL"/>
    </w:rPr>
  </w:style>
  <w:style w:type="paragraph" w:customStyle="1" w:styleId="Text2">
    <w:name w:val="Text 2"/>
    <w:basedOn w:val="Normal"/>
    <w:pPr>
      <w:spacing w:before="120" w:after="120" w:line="240" w:lineRule="auto"/>
      <w:ind w:left="850"/>
      <w:jc w:val="both"/>
    </w:pPr>
    <w:rPr>
      <w:rFonts w:ascii="Times New Roman" w:hAnsi="Times New Roman"/>
      <w:sz w:val="24"/>
      <w:szCs w:val="24"/>
    </w:rPr>
  </w:style>
  <w:style w:type="paragraph" w:styleId="TOC2">
    <w:name w:val="toc 2"/>
    <w:basedOn w:val="Normal"/>
    <w:next w:val="Normal"/>
    <w:autoRedefine/>
    <w:uiPriority w:val="39"/>
    <w:unhideWhenUsed/>
    <w:qFormat/>
    <w:pPr>
      <w:ind w:left="220"/>
    </w:pPr>
  </w:style>
  <w:style w:type="paragraph" w:styleId="TOC3">
    <w:name w:val="toc 3"/>
    <w:basedOn w:val="Normal"/>
    <w:next w:val="Normal"/>
    <w:autoRedefine/>
    <w:uiPriority w:val="39"/>
    <w:unhideWhenUsed/>
    <w:qFormat/>
    <w:pPr>
      <w:ind w:left="440"/>
    </w:pPr>
  </w:style>
  <w:style w:type="character" w:styleId="Hyperlink">
    <w:name w:val="Hyperlink"/>
    <w:uiPriority w:val="99"/>
    <w:unhideWhenUsed/>
    <w:rPr>
      <w:color w:val="0000FF"/>
      <w:u w:val="single"/>
    </w:rPr>
  </w:style>
  <w:style w:type="paragraph" w:styleId="Revision">
    <w:name w:val="Revision"/>
    <w:hidden/>
    <w:uiPriority w:val="99"/>
    <w:semiHidden/>
    <w:rPr>
      <w:sz w:val="22"/>
      <w:szCs w:val="22"/>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nl-NL"/>
    </w:rPr>
  </w:style>
  <w:style w:type="paragraph" w:customStyle="1" w:styleId="Typedudocument">
    <w:name w:val="Type du document"/>
    <w:basedOn w:val="Normal"/>
    <w:next w:val="Normal"/>
    <w:pPr>
      <w:spacing w:before="360" w:after="0" w:line="240" w:lineRule="auto"/>
      <w:jc w:val="center"/>
    </w:pPr>
    <w:rPr>
      <w:rFonts w:ascii="Times New Roman" w:eastAsiaTheme="minorHAnsi" w:hAnsi="Times New Roman"/>
      <w:b/>
      <w:sz w:val="24"/>
    </w:rPr>
  </w:style>
  <w:style w:type="paragraph" w:customStyle="1" w:styleId="Titreobjet">
    <w:name w:val="Titre objet"/>
    <w:basedOn w:val="Normal"/>
    <w:next w:val="Normal"/>
    <w:pPr>
      <w:spacing w:before="360" w:after="360" w:line="240" w:lineRule="auto"/>
      <w:jc w:val="center"/>
    </w:pPr>
    <w:rPr>
      <w:rFonts w:ascii="Times New Roman" w:eastAsiaTheme="minorHAnsi" w:hAnsi="Times New Roman"/>
      <w:b/>
      <w:sz w:val="24"/>
    </w:rPr>
  </w:style>
  <w:style w:type="paragraph" w:styleId="ListParagraph">
    <w:name w:val="List Paragraph"/>
    <w:basedOn w:val="Normal"/>
    <w:uiPriority w:val="34"/>
    <w:qFormat/>
    <w:pPr>
      <w:ind w:left="720"/>
      <w:contextualSpacing/>
    </w:pPr>
  </w:style>
  <w:style w:type="character" w:customStyle="1" w:styleId="tlid-translation">
    <w:name w:val="tlid-translation"/>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qFormat/>
    <w:pPr>
      <w:keepNext/>
      <w:numPr>
        <w:numId w:val="1"/>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unhideWhenUsed/>
    <w:qFormat/>
    <w:pPr>
      <w:keepNext/>
      <w:numPr>
        <w:ilvl w:val="1"/>
        <w:numId w:val="1"/>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unhideWhenUsed/>
    <w:qFormat/>
    <w:pPr>
      <w:keepNext/>
      <w:numPr>
        <w:ilvl w:val="2"/>
        <w:numId w:val="1"/>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semiHidden/>
    <w:unhideWhenUsed/>
    <w:qFormat/>
    <w:pPr>
      <w:keepNext/>
      <w:numPr>
        <w:ilvl w:val="3"/>
        <w:numId w:val="1"/>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lang w:eastAsia="nl-NL"/>
    </w:rPr>
  </w:style>
  <w:style w:type="character" w:styleId="FootnoteReference">
    <w:name w:val="footnote reference"/>
    <w:semiHidden/>
    <w:unhideWhenUsed/>
    <w:rPr>
      <w:vertAlign w:val="superscrip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nl-NL"/>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nl-NL"/>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character" w:customStyle="1" w:styleId="Heading1Char">
    <w:name w:val="Heading 1 Char"/>
    <w:link w:val="Heading1"/>
    <w:rPr>
      <w:rFonts w:ascii="Times New Roman" w:eastAsia="Times New Roman" w:hAnsi="Times New Roman"/>
      <w:b/>
      <w:bCs/>
      <w:smallCaps/>
      <w:sz w:val="24"/>
      <w:szCs w:val="32"/>
      <w:lang w:eastAsia="nl-NL"/>
    </w:rPr>
  </w:style>
  <w:style w:type="character" w:customStyle="1" w:styleId="Heading2Char">
    <w:name w:val="Heading 2 Char"/>
    <w:link w:val="Heading2"/>
    <w:rPr>
      <w:rFonts w:ascii="Times New Roman" w:eastAsia="Times New Roman" w:hAnsi="Times New Roman"/>
      <w:b/>
      <w:bCs/>
      <w:iCs/>
      <w:sz w:val="24"/>
      <w:szCs w:val="28"/>
      <w:lang w:eastAsia="nl-NL"/>
    </w:rPr>
  </w:style>
  <w:style w:type="character" w:customStyle="1" w:styleId="Heading3Char">
    <w:name w:val="Heading 3 Char"/>
    <w:link w:val="Heading3"/>
    <w:rPr>
      <w:rFonts w:ascii="Times New Roman" w:eastAsia="Times New Roman" w:hAnsi="Times New Roman"/>
      <w:bCs/>
      <w:i/>
      <w:sz w:val="24"/>
      <w:szCs w:val="26"/>
      <w:lang w:eastAsia="nl-NL"/>
    </w:rPr>
  </w:style>
  <w:style w:type="character" w:customStyle="1" w:styleId="Heading4Char">
    <w:name w:val="Heading 4 Char"/>
    <w:link w:val="Heading4"/>
    <w:semiHidden/>
    <w:rPr>
      <w:rFonts w:ascii="Times New Roman" w:eastAsia="Times New Roman" w:hAnsi="Times New Roman"/>
      <w:bCs/>
      <w:sz w:val="24"/>
      <w:szCs w:val="28"/>
      <w:lang w:eastAsia="nl-NL"/>
    </w:rPr>
  </w:style>
  <w:style w:type="paragraph" w:customStyle="1" w:styleId="Text1">
    <w:name w:val="Text 1"/>
    <w:basedOn w:val="Normal"/>
    <w:link w:val="Text1Char"/>
    <w:pPr>
      <w:spacing w:before="120" w:after="120" w:line="240" w:lineRule="auto"/>
      <w:ind w:left="850"/>
      <w:jc w:val="both"/>
    </w:pPr>
    <w:rPr>
      <w:rFonts w:ascii="Times New Roman" w:eastAsia="Times New Roman" w:hAnsi="Times New Roman"/>
      <w:sz w:val="24"/>
      <w:szCs w:val="24"/>
    </w:rPr>
  </w:style>
  <w:style w:type="paragraph" w:styleId="TOC1">
    <w:name w:val="toc 1"/>
    <w:basedOn w:val="Normal"/>
    <w:next w:val="Normal"/>
    <w:autoRedefine/>
    <w:uiPriority w:val="39"/>
    <w:unhideWhenUsed/>
    <w:qFormat/>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Heading">
    <w:name w:val="TOC Heading"/>
    <w:basedOn w:val="Normal"/>
    <w:next w:val="Normal"/>
    <w:uiPriority w:val="39"/>
    <w:semiHidden/>
    <w:unhideWhenUsed/>
    <w:qFormat/>
    <w:pPr>
      <w:spacing w:before="120" w:after="240" w:line="240" w:lineRule="auto"/>
      <w:jc w:val="center"/>
    </w:pPr>
    <w:rPr>
      <w:rFonts w:ascii="Times New Roman" w:eastAsia="Times New Roman" w:hAnsi="Times New Roman"/>
      <w:b/>
      <w:sz w:val="28"/>
      <w:szCs w:val="24"/>
    </w:rPr>
  </w:style>
  <w:style w:type="character" w:customStyle="1" w:styleId="Text1Char">
    <w:name w:val="Text 1 Char"/>
    <w:link w:val="Text1"/>
    <w:locked/>
    <w:rPr>
      <w:rFonts w:ascii="Times New Roman" w:eastAsia="Times New Roman" w:hAnsi="Times New Roman"/>
      <w:sz w:val="24"/>
      <w:szCs w:val="24"/>
      <w:lang w:eastAsia="nl-NL"/>
    </w:rPr>
  </w:style>
  <w:style w:type="paragraph" w:customStyle="1" w:styleId="Tiret1">
    <w:name w:val="Tiret 1"/>
    <w:basedOn w:val="Normal"/>
    <w:pPr>
      <w:numPr>
        <w:numId w:val="2"/>
      </w:numPr>
      <w:spacing w:before="120" w:after="120" w:line="240" w:lineRule="auto"/>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nl-NL"/>
    </w:rPr>
  </w:style>
  <w:style w:type="paragraph" w:customStyle="1" w:styleId="Text2">
    <w:name w:val="Text 2"/>
    <w:basedOn w:val="Normal"/>
    <w:pPr>
      <w:spacing w:before="120" w:after="120" w:line="240" w:lineRule="auto"/>
      <w:ind w:left="850"/>
      <w:jc w:val="both"/>
    </w:pPr>
    <w:rPr>
      <w:rFonts w:ascii="Times New Roman" w:hAnsi="Times New Roman"/>
      <w:sz w:val="24"/>
      <w:szCs w:val="24"/>
    </w:rPr>
  </w:style>
  <w:style w:type="paragraph" w:styleId="TOC2">
    <w:name w:val="toc 2"/>
    <w:basedOn w:val="Normal"/>
    <w:next w:val="Normal"/>
    <w:autoRedefine/>
    <w:uiPriority w:val="39"/>
    <w:unhideWhenUsed/>
    <w:qFormat/>
    <w:pPr>
      <w:ind w:left="220"/>
    </w:pPr>
  </w:style>
  <w:style w:type="paragraph" w:styleId="TOC3">
    <w:name w:val="toc 3"/>
    <w:basedOn w:val="Normal"/>
    <w:next w:val="Normal"/>
    <w:autoRedefine/>
    <w:uiPriority w:val="39"/>
    <w:unhideWhenUsed/>
    <w:qFormat/>
    <w:pPr>
      <w:ind w:left="440"/>
    </w:pPr>
  </w:style>
  <w:style w:type="character" w:styleId="Hyperlink">
    <w:name w:val="Hyperlink"/>
    <w:uiPriority w:val="99"/>
    <w:unhideWhenUsed/>
    <w:rPr>
      <w:color w:val="0000FF"/>
      <w:u w:val="single"/>
    </w:rPr>
  </w:style>
  <w:style w:type="paragraph" w:styleId="Revision">
    <w:name w:val="Revision"/>
    <w:hidden/>
    <w:uiPriority w:val="99"/>
    <w:semiHidden/>
    <w:rPr>
      <w:sz w:val="22"/>
      <w:szCs w:val="22"/>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nl-NL"/>
    </w:rPr>
  </w:style>
  <w:style w:type="paragraph" w:customStyle="1" w:styleId="Typedudocument">
    <w:name w:val="Type du document"/>
    <w:basedOn w:val="Normal"/>
    <w:next w:val="Normal"/>
    <w:pPr>
      <w:spacing w:before="360" w:after="0" w:line="240" w:lineRule="auto"/>
      <w:jc w:val="center"/>
    </w:pPr>
    <w:rPr>
      <w:rFonts w:ascii="Times New Roman" w:eastAsiaTheme="minorHAnsi" w:hAnsi="Times New Roman"/>
      <w:b/>
      <w:sz w:val="24"/>
    </w:rPr>
  </w:style>
  <w:style w:type="paragraph" w:customStyle="1" w:styleId="Titreobjet">
    <w:name w:val="Titre objet"/>
    <w:basedOn w:val="Normal"/>
    <w:next w:val="Normal"/>
    <w:pPr>
      <w:spacing w:before="360" w:after="360" w:line="240" w:lineRule="auto"/>
      <w:jc w:val="center"/>
    </w:pPr>
    <w:rPr>
      <w:rFonts w:ascii="Times New Roman" w:eastAsiaTheme="minorHAnsi" w:hAnsi="Times New Roman"/>
      <w:b/>
      <w:sz w:val="24"/>
    </w:rPr>
  </w:style>
  <w:style w:type="paragraph" w:styleId="ListParagraph">
    <w:name w:val="List Paragraph"/>
    <w:basedOn w:val="Normal"/>
    <w:uiPriority w:val="34"/>
    <w:qFormat/>
    <w:pPr>
      <w:ind w:left="720"/>
      <w:contextualSpacing/>
    </w:pPr>
  </w:style>
  <w:style w:type="character" w:customStyle="1" w:styleId="tlid-translation">
    <w:name w:val="tlid-translatio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03164">
      <w:bodyDiv w:val="1"/>
      <w:marLeft w:val="0"/>
      <w:marRight w:val="0"/>
      <w:marTop w:val="0"/>
      <w:marBottom w:val="0"/>
      <w:divBdr>
        <w:top w:val="none" w:sz="0" w:space="0" w:color="auto"/>
        <w:left w:val="none" w:sz="0" w:space="0" w:color="auto"/>
        <w:bottom w:val="none" w:sz="0" w:space="0" w:color="auto"/>
        <w:right w:val="none" w:sz="0" w:space="0" w:color="auto"/>
      </w:divBdr>
    </w:div>
    <w:div w:id="1684211282">
      <w:bodyDiv w:val="1"/>
      <w:marLeft w:val="0"/>
      <w:marRight w:val="0"/>
      <w:marTop w:val="0"/>
      <w:marBottom w:val="0"/>
      <w:divBdr>
        <w:top w:val="none" w:sz="0" w:space="0" w:color="auto"/>
        <w:left w:val="none" w:sz="0" w:space="0" w:color="auto"/>
        <w:bottom w:val="none" w:sz="0" w:space="0" w:color="auto"/>
        <w:right w:val="none" w:sz="0" w:space="0" w:color="auto"/>
      </w:divBdr>
    </w:div>
    <w:div w:id="1811054184">
      <w:bodyDiv w:val="1"/>
      <w:marLeft w:val="0"/>
      <w:marRight w:val="0"/>
      <w:marTop w:val="0"/>
      <w:marBottom w:val="0"/>
      <w:divBdr>
        <w:top w:val="none" w:sz="0" w:space="0" w:color="auto"/>
        <w:left w:val="none" w:sz="0" w:space="0" w:color="auto"/>
        <w:bottom w:val="none" w:sz="0" w:space="0" w:color="auto"/>
        <w:right w:val="none" w:sz="0" w:space="0" w:color="auto"/>
      </w:divBdr>
    </w:div>
    <w:div w:id="1870990847">
      <w:bodyDiv w:val="1"/>
      <w:marLeft w:val="0"/>
      <w:marRight w:val="0"/>
      <w:marTop w:val="0"/>
      <w:marBottom w:val="0"/>
      <w:divBdr>
        <w:top w:val="none" w:sz="0" w:space="0" w:color="auto"/>
        <w:left w:val="none" w:sz="0" w:space="0" w:color="auto"/>
        <w:bottom w:val="none" w:sz="0" w:space="0" w:color="auto"/>
        <w:right w:val="none" w:sz="0" w:space="0" w:color="auto"/>
      </w:divBdr>
    </w:div>
    <w:div w:id="2035571687">
      <w:bodyDiv w:val="1"/>
      <w:marLeft w:val="0"/>
      <w:marRight w:val="0"/>
      <w:marTop w:val="0"/>
      <w:marBottom w:val="0"/>
      <w:divBdr>
        <w:top w:val="none" w:sz="0" w:space="0" w:color="auto"/>
        <w:left w:val="none" w:sz="0" w:space="0" w:color="auto"/>
        <w:bottom w:val="none" w:sz="0" w:space="0" w:color="auto"/>
        <w:right w:val="none" w:sz="0" w:space="0" w:color="auto"/>
      </w:divBdr>
    </w:div>
    <w:div w:id="210344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8255B-45FB-4736-BE07-34FFA1D06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1441</Words>
  <Characters>8696</Characters>
  <Application>Microsoft Office Word</Application>
  <DocSecurity>0</DocSecurity>
  <Lines>189</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25</cp:revision>
  <cp:lastPrinted>2019-06-13T10:56:00Z</cp:lastPrinted>
  <dcterms:created xsi:type="dcterms:W3CDTF">2019-07-02T09:55:00Z</dcterms:created>
  <dcterms:modified xsi:type="dcterms:W3CDTF">2019-07-30T06:01:00Z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evel of sensitivity">
    <vt:lpwstr>Standard treatment</vt:lpwstr>
  </property>
  <property fmtid="{D5CDD505-2E9C-101B-9397-08002B2CF9AE}" pid="7" name="Last edited using">
    <vt:lpwstr>LW 6.0.1, Build 20180503</vt:lpwstr>
  </property>
  <property fmtid="{D5CDD505-2E9C-101B-9397-08002B2CF9AE}" pid="8" name="Created using">
    <vt:lpwstr>LW 6.0.1, Build 20180503</vt:lpwstr>
  </property>
</Properties>
</file>