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F146D4C9-82D9-463D-81A5-1DA775ABB1C6" style="width:450.75pt;height:334.5pt">
            <v:imagedata r:id="rId9" o:title=""/>
          </v:shape>
        </w:pict>
      </w:r>
    </w:p>
    <w:bookmarkEnd w:id="0"/>
    <w:p>
      <w:pPr>
        <w:rPr>
          <w:noProof/>
          <w:lang w:eastAsia="de-DE"/>
        </w:rPr>
        <w:sectPr>
          <w:headerReference w:type="even" r:id="rId10"/>
          <w:headerReference w:type="default" r:id="rId11"/>
          <w:footerReference w:type="even" r:id="rId12"/>
          <w:footerReference w:type="default" r:id="rId13"/>
          <w:headerReference w:type="first" r:id="rId14"/>
          <w:footerReference w:type="first" r:id="rId15"/>
          <w:pgSz w:w="11907" w:h="16840"/>
          <w:pgMar w:top="1134" w:right="1417" w:bottom="1134" w:left="1417" w:header="709" w:footer="709" w:gutter="0"/>
          <w:pgNumType w:start="1"/>
          <w:cols w:space="720"/>
          <w:docGrid w:linePitch="299"/>
        </w:sectPr>
      </w:pPr>
    </w:p>
    <w:p>
      <w:pPr>
        <w:spacing w:after="0"/>
        <w:rPr>
          <w:rFonts w:ascii="Times New Roman" w:hAnsi="Times New Roman"/>
          <w:noProof/>
          <w:sz w:val="24"/>
          <w:szCs w:val="24"/>
        </w:rPr>
      </w:pPr>
      <w:bookmarkStart w:id="1" w:name="_GoBack"/>
      <w:bookmarkEnd w:id="1"/>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sdt>
      <w:sdtPr>
        <w:rPr>
          <w:rFonts w:ascii="Calibri" w:eastAsia="Calibri" w:hAnsi="Calibri"/>
          <w:b w:val="0"/>
          <w:noProof/>
          <w:sz w:val="22"/>
          <w:szCs w:val="22"/>
        </w:rPr>
        <w:id w:val="670845034"/>
        <w:docPartObj>
          <w:docPartGallery w:val="Table of Contents"/>
          <w:docPartUnique/>
        </w:docPartObj>
      </w:sdtPr>
      <w:sdtEndPr>
        <w:rPr>
          <w:bCs/>
        </w:rPr>
      </w:sdtEndPr>
      <w:sdtContent>
        <w:p>
          <w:pPr>
            <w:pStyle w:val="TOCHeading"/>
            <w:rPr>
              <w:noProof/>
            </w:rPr>
          </w:pPr>
          <w:r>
            <w:rPr>
              <w:noProof/>
            </w:rPr>
            <w:t>Πίνακας περιεχομένων</w:t>
          </w:r>
        </w:p>
        <w:p>
          <w:pPr>
            <w:rPr>
              <w:noProof/>
            </w:rPr>
          </w:pPr>
        </w:p>
        <w:p>
          <w:pPr>
            <w:pStyle w:val="TOC1"/>
            <w:rPr>
              <w:rFonts w:asciiTheme="minorHAnsi" w:eastAsiaTheme="minorEastAsia" w:hAnsiTheme="minorHAnsi" w:cstheme="minorBidi"/>
              <w:noProof/>
              <w:sz w:val="22"/>
              <w:szCs w:val="22"/>
              <w:lang w:val="en-GB" w:eastAsia="en-GB"/>
            </w:rPr>
          </w:pPr>
          <w:r>
            <w:rPr>
              <w:noProof/>
            </w:rPr>
            <w:fldChar w:fldCharType="begin"/>
          </w:r>
          <w:r>
            <w:rPr>
              <w:noProof/>
            </w:rPr>
            <w:instrText xml:space="preserve"> TOC \o "1-3" \h \z \u </w:instrText>
          </w:r>
          <w:r>
            <w:rPr>
              <w:noProof/>
            </w:rPr>
            <w:fldChar w:fldCharType="separate"/>
          </w:r>
          <w:hyperlink w:anchor="_Toc14771691" w:history="1">
            <w:r>
              <w:rPr>
                <w:rStyle w:val="Hyperlink"/>
                <w:noProof/>
              </w:rPr>
              <w:t>1.</w:t>
            </w:r>
            <w:r>
              <w:rPr>
                <w:rFonts w:asciiTheme="minorHAnsi" w:eastAsiaTheme="minorEastAsia" w:hAnsiTheme="minorHAnsi" w:cstheme="minorBidi"/>
                <w:noProof/>
                <w:sz w:val="22"/>
                <w:szCs w:val="22"/>
                <w:lang w:val="en-GB" w:eastAsia="en-GB"/>
              </w:rPr>
              <w:tab/>
            </w:r>
            <w:r>
              <w:rPr>
                <w:rStyle w:val="Hyperlink"/>
                <w:noProof/>
              </w:rPr>
              <w:t>Διαδικασία προϋπολογισμού του ΕΓΤΕ για το 2019</w:t>
            </w:r>
            <w:r>
              <w:rPr>
                <w:noProof/>
                <w:webHidden/>
              </w:rPr>
              <w:tab/>
            </w:r>
            <w:r>
              <w:rPr>
                <w:noProof/>
                <w:webHidden/>
              </w:rPr>
              <w:fldChar w:fldCharType="begin"/>
            </w:r>
            <w:r>
              <w:rPr>
                <w:noProof/>
                <w:webHidden/>
              </w:rPr>
              <w:instrText xml:space="preserve"> PAGEREF _Toc14771691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GB" w:eastAsia="en-GB"/>
            </w:rPr>
          </w:pPr>
          <w:hyperlink w:anchor="_Toc14771692" w:history="1">
            <w:r>
              <w:rPr>
                <w:rStyle w:val="Hyperlink"/>
                <w:noProof/>
              </w:rPr>
              <w:t>2.</w:t>
            </w:r>
            <w:r>
              <w:rPr>
                <w:rFonts w:asciiTheme="minorHAnsi" w:eastAsiaTheme="minorEastAsia" w:hAnsiTheme="minorHAnsi" w:cstheme="minorBidi"/>
                <w:noProof/>
                <w:sz w:val="22"/>
                <w:szCs w:val="22"/>
                <w:lang w:val="en-GB" w:eastAsia="en-GB"/>
              </w:rPr>
              <w:tab/>
            </w:r>
            <w:r>
              <w:rPr>
                <w:rStyle w:val="Hyperlink"/>
                <w:noProof/>
              </w:rPr>
              <w:t>Έσοδα ειδικού προορισμού του ΕΓΤΕ</w:t>
            </w:r>
            <w:r>
              <w:rPr>
                <w:noProof/>
                <w:webHidden/>
              </w:rPr>
              <w:tab/>
            </w:r>
            <w:r>
              <w:rPr>
                <w:noProof/>
                <w:webHidden/>
              </w:rPr>
              <w:fldChar w:fldCharType="begin"/>
            </w:r>
            <w:r>
              <w:rPr>
                <w:noProof/>
                <w:webHidden/>
              </w:rPr>
              <w:instrText xml:space="preserve"> PAGEREF _Toc14771692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GB" w:eastAsia="en-GB"/>
            </w:rPr>
          </w:pPr>
          <w:hyperlink w:anchor="_Toc14771693" w:history="1">
            <w:r>
              <w:rPr>
                <w:rStyle w:val="Hyperlink"/>
                <w:noProof/>
              </w:rPr>
              <w:t>3.</w:t>
            </w:r>
            <w:r>
              <w:rPr>
                <w:rFonts w:asciiTheme="minorHAnsi" w:eastAsiaTheme="minorEastAsia" w:hAnsiTheme="minorHAnsi" w:cstheme="minorBidi"/>
                <w:noProof/>
                <w:sz w:val="22"/>
                <w:szCs w:val="22"/>
                <w:lang w:val="en-GB" w:eastAsia="en-GB"/>
              </w:rPr>
              <w:tab/>
            </w:r>
            <w:r>
              <w:rPr>
                <w:rStyle w:val="Hyperlink"/>
                <w:noProof/>
              </w:rPr>
              <w:t>Παρατηρήσεις σχετικά με την προσωρινή εκτέλεση του προϋπολογισμού του ΕΓΤΕ για το 2019</w:t>
            </w:r>
            <w:r>
              <w:rPr>
                <w:noProof/>
                <w:webHidden/>
              </w:rPr>
              <w:tab/>
            </w:r>
            <w:r>
              <w:rPr>
                <w:noProof/>
                <w:webHidden/>
              </w:rPr>
              <w:fldChar w:fldCharType="begin"/>
            </w:r>
            <w:r>
              <w:rPr>
                <w:noProof/>
                <w:webHidden/>
              </w:rPr>
              <w:instrText xml:space="preserve"> PAGEREF _Toc14771693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val="en-GB" w:eastAsia="en-GB"/>
            </w:rPr>
          </w:pPr>
          <w:hyperlink w:anchor="_Toc14771694" w:history="1">
            <w:r>
              <w:rPr>
                <w:rStyle w:val="Hyperlink"/>
                <w:noProof/>
              </w:rPr>
              <w:t>3.1.</w:t>
            </w:r>
            <w:r>
              <w:rPr>
                <w:rFonts w:asciiTheme="minorHAnsi" w:eastAsiaTheme="minorEastAsia" w:hAnsiTheme="minorHAnsi" w:cstheme="minorBidi"/>
                <w:noProof/>
                <w:lang w:val="en-GB" w:eastAsia="en-GB"/>
              </w:rPr>
              <w:tab/>
            </w:r>
            <w:r>
              <w:rPr>
                <w:rStyle w:val="Hyperlink"/>
                <w:noProof/>
              </w:rPr>
              <w:t>Μέτρα παρέμβασης στην αγορά</w:t>
            </w:r>
            <w:r>
              <w:rPr>
                <w:noProof/>
                <w:webHidden/>
              </w:rPr>
              <w:tab/>
            </w:r>
            <w:r>
              <w:rPr>
                <w:noProof/>
                <w:webHidden/>
              </w:rPr>
              <w:fldChar w:fldCharType="begin"/>
            </w:r>
            <w:r>
              <w:rPr>
                <w:noProof/>
                <w:webHidden/>
              </w:rPr>
              <w:instrText xml:space="preserve"> PAGEREF _Toc14771694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rPr>
          </w:pPr>
          <w:hyperlink w:anchor="_Toc14771695" w:history="1">
            <w:r>
              <w:rPr>
                <w:rStyle w:val="Hyperlink"/>
                <w:noProof/>
              </w:rPr>
              <w:t>3.1.1.</w:t>
            </w:r>
            <w:r>
              <w:rPr>
                <w:rFonts w:asciiTheme="minorHAnsi" w:eastAsiaTheme="minorEastAsia" w:hAnsiTheme="minorHAnsi" w:cstheme="minorBidi"/>
                <w:noProof/>
                <w:lang w:val="en-GB" w:eastAsia="en-GB"/>
              </w:rPr>
              <w:tab/>
            </w:r>
            <w:r>
              <w:rPr>
                <w:rStyle w:val="Hyperlink"/>
                <w:noProof/>
              </w:rPr>
              <w:t>Ελαιόλαδο</w:t>
            </w:r>
            <w:r>
              <w:rPr>
                <w:noProof/>
                <w:webHidden/>
              </w:rPr>
              <w:tab/>
            </w:r>
            <w:r>
              <w:rPr>
                <w:noProof/>
                <w:webHidden/>
              </w:rPr>
              <w:fldChar w:fldCharType="begin"/>
            </w:r>
            <w:r>
              <w:rPr>
                <w:noProof/>
                <w:webHidden/>
              </w:rPr>
              <w:instrText xml:space="preserve"> PAGEREF _Toc14771695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rPr>
          </w:pPr>
          <w:hyperlink w:anchor="_Toc14771696" w:history="1">
            <w:r>
              <w:rPr>
                <w:rStyle w:val="Hyperlink"/>
                <w:noProof/>
              </w:rPr>
              <w:t>3.1.2.</w:t>
            </w:r>
            <w:r>
              <w:rPr>
                <w:rFonts w:asciiTheme="minorHAnsi" w:eastAsiaTheme="minorEastAsia" w:hAnsiTheme="minorHAnsi" w:cstheme="minorBidi"/>
                <w:noProof/>
                <w:lang w:val="en-GB" w:eastAsia="en-GB"/>
              </w:rPr>
              <w:tab/>
            </w:r>
            <w:r>
              <w:rPr>
                <w:rStyle w:val="Hyperlink"/>
                <w:noProof/>
              </w:rPr>
              <w:t>Οπωροκηπευτικά</w:t>
            </w:r>
            <w:r>
              <w:rPr>
                <w:noProof/>
                <w:webHidden/>
              </w:rPr>
              <w:tab/>
            </w:r>
            <w:r>
              <w:rPr>
                <w:noProof/>
                <w:webHidden/>
              </w:rPr>
              <w:fldChar w:fldCharType="begin"/>
            </w:r>
            <w:r>
              <w:rPr>
                <w:noProof/>
                <w:webHidden/>
              </w:rPr>
              <w:instrText xml:space="preserve"> PAGEREF _Toc14771696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rPr>
          </w:pPr>
          <w:hyperlink w:anchor="_Toc14771697" w:history="1">
            <w:r>
              <w:rPr>
                <w:rStyle w:val="Hyperlink"/>
                <w:noProof/>
              </w:rPr>
              <w:t>3.1.3.</w:t>
            </w:r>
            <w:r>
              <w:rPr>
                <w:rFonts w:asciiTheme="minorHAnsi" w:eastAsiaTheme="minorEastAsia" w:hAnsiTheme="minorHAnsi" w:cstheme="minorBidi"/>
                <w:noProof/>
                <w:lang w:val="en-GB" w:eastAsia="en-GB"/>
              </w:rPr>
              <w:tab/>
            </w:r>
            <w:r>
              <w:rPr>
                <w:rStyle w:val="Hyperlink"/>
                <w:noProof/>
              </w:rPr>
              <w:t>Προϊόντα του αμπελοοινικού τομέα</w:t>
            </w:r>
            <w:r>
              <w:rPr>
                <w:noProof/>
                <w:webHidden/>
              </w:rPr>
              <w:tab/>
            </w:r>
            <w:r>
              <w:rPr>
                <w:noProof/>
                <w:webHidden/>
              </w:rPr>
              <w:fldChar w:fldCharType="begin"/>
            </w:r>
            <w:r>
              <w:rPr>
                <w:noProof/>
                <w:webHidden/>
              </w:rPr>
              <w:instrText xml:space="preserve"> PAGEREF _Toc14771697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rPr>
          </w:pPr>
          <w:hyperlink w:anchor="_Toc14771698" w:history="1">
            <w:r>
              <w:rPr>
                <w:rStyle w:val="Hyperlink"/>
                <w:noProof/>
              </w:rPr>
              <w:t>3.1.4.</w:t>
            </w:r>
            <w:r>
              <w:rPr>
                <w:rFonts w:asciiTheme="minorHAnsi" w:eastAsiaTheme="minorEastAsia" w:hAnsiTheme="minorHAnsi" w:cstheme="minorBidi"/>
                <w:noProof/>
                <w:lang w:val="en-GB" w:eastAsia="en-GB"/>
              </w:rPr>
              <w:tab/>
            </w:r>
            <w:r>
              <w:rPr>
                <w:rStyle w:val="Hyperlink"/>
                <w:noProof/>
              </w:rPr>
              <w:t>Προώθηση</w:t>
            </w:r>
            <w:r>
              <w:rPr>
                <w:noProof/>
                <w:webHidden/>
              </w:rPr>
              <w:tab/>
            </w:r>
            <w:r>
              <w:rPr>
                <w:noProof/>
                <w:webHidden/>
              </w:rPr>
              <w:fldChar w:fldCharType="begin"/>
            </w:r>
            <w:r>
              <w:rPr>
                <w:noProof/>
                <w:webHidden/>
              </w:rPr>
              <w:instrText xml:space="preserve"> PAGEREF _Toc14771698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rPr>
          </w:pPr>
          <w:hyperlink w:anchor="_Toc14771699" w:history="1">
            <w:r>
              <w:rPr>
                <w:rStyle w:val="Hyperlink"/>
                <w:noProof/>
              </w:rPr>
              <w:t>3.1.5.</w:t>
            </w:r>
            <w:r>
              <w:rPr>
                <w:rFonts w:asciiTheme="minorHAnsi" w:eastAsiaTheme="minorEastAsia" w:hAnsiTheme="minorHAnsi" w:cstheme="minorBidi"/>
                <w:noProof/>
                <w:lang w:val="en-GB" w:eastAsia="en-GB"/>
              </w:rPr>
              <w:tab/>
            </w:r>
            <w:r>
              <w:rPr>
                <w:rStyle w:val="Hyperlink"/>
                <w:noProof/>
              </w:rPr>
              <w:t>Γάλα και γαλακτοκομικά προϊόντα</w:t>
            </w:r>
            <w:r>
              <w:rPr>
                <w:noProof/>
                <w:webHidden/>
              </w:rPr>
              <w:tab/>
            </w:r>
            <w:r>
              <w:rPr>
                <w:noProof/>
                <w:webHidden/>
              </w:rPr>
              <w:fldChar w:fldCharType="begin"/>
            </w:r>
            <w:r>
              <w:rPr>
                <w:noProof/>
                <w:webHidden/>
              </w:rPr>
              <w:instrText xml:space="preserve"> PAGEREF _Toc14771699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val="en-GB" w:eastAsia="en-GB"/>
            </w:rPr>
          </w:pPr>
          <w:hyperlink w:anchor="_Toc14771700" w:history="1">
            <w:r>
              <w:rPr>
                <w:rStyle w:val="Hyperlink"/>
                <w:noProof/>
              </w:rPr>
              <w:t>3.2.</w:t>
            </w:r>
            <w:r>
              <w:rPr>
                <w:rFonts w:asciiTheme="minorHAnsi" w:eastAsiaTheme="minorEastAsia" w:hAnsiTheme="minorHAnsi" w:cstheme="minorBidi"/>
                <w:noProof/>
                <w:lang w:val="en-GB" w:eastAsia="en-GB"/>
              </w:rPr>
              <w:tab/>
            </w:r>
            <w:r>
              <w:rPr>
                <w:rStyle w:val="Hyperlink"/>
                <w:noProof/>
              </w:rPr>
              <w:t>Άμεσες ενισχύσεις</w:t>
            </w:r>
            <w:r>
              <w:rPr>
                <w:noProof/>
                <w:webHidden/>
              </w:rPr>
              <w:tab/>
            </w:r>
            <w:r>
              <w:rPr>
                <w:noProof/>
                <w:webHidden/>
              </w:rPr>
              <w:fldChar w:fldCharType="begin"/>
            </w:r>
            <w:r>
              <w:rPr>
                <w:noProof/>
                <w:webHidden/>
              </w:rPr>
              <w:instrText xml:space="preserve"> PAGEREF _Toc14771700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rPr>
          </w:pPr>
          <w:hyperlink w:anchor="_Toc14771701" w:history="1">
            <w:r>
              <w:rPr>
                <w:rStyle w:val="Hyperlink"/>
                <w:noProof/>
              </w:rPr>
              <w:t>3.2.1.</w:t>
            </w:r>
            <w:r>
              <w:rPr>
                <w:rFonts w:asciiTheme="minorHAnsi" w:eastAsiaTheme="minorEastAsia" w:hAnsiTheme="minorHAnsi" w:cstheme="minorBidi"/>
                <w:noProof/>
                <w:lang w:val="en-GB" w:eastAsia="en-GB"/>
              </w:rPr>
              <w:tab/>
            </w:r>
            <w:r>
              <w:rPr>
                <w:rStyle w:val="Hyperlink"/>
                <w:noProof/>
              </w:rPr>
              <w:t>Αποσυνδεδεμένες άμεσες ενισχύσεις</w:t>
            </w:r>
            <w:r>
              <w:rPr>
                <w:noProof/>
                <w:webHidden/>
              </w:rPr>
              <w:tab/>
            </w:r>
            <w:r>
              <w:rPr>
                <w:noProof/>
                <w:webHidden/>
              </w:rPr>
              <w:fldChar w:fldCharType="begin"/>
            </w:r>
            <w:r>
              <w:rPr>
                <w:noProof/>
                <w:webHidden/>
              </w:rPr>
              <w:instrText xml:space="preserve"> PAGEREF _Toc14771701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GB" w:eastAsia="en-GB"/>
            </w:rPr>
          </w:pPr>
          <w:hyperlink w:anchor="_Toc14771702" w:history="1">
            <w:r>
              <w:rPr>
                <w:rStyle w:val="Hyperlink"/>
                <w:noProof/>
              </w:rPr>
              <w:t>3.2.2.</w:t>
            </w:r>
            <w:r>
              <w:rPr>
                <w:rFonts w:asciiTheme="minorHAnsi" w:eastAsiaTheme="minorEastAsia" w:hAnsiTheme="minorHAnsi" w:cstheme="minorBidi"/>
                <w:noProof/>
                <w:lang w:val="en-GB" w:eastAsia="en-GB"/>
              </w:rPr>
              <w:tab/>
            </w:r>
            <w:r>
              <w:rPr>
                <w:rStyle w:val="Hyperlink"/>
                <w:noProof/>
              </w:rPr>
              <w:t>Άλλες άμεσες ενισχύσεις</w:t>
            </w:r>
            <w:r>
              <w:rPr>
                <w:noProof/>
                <w:webHidden/>
              </w:rPr>
              <w:tab/>
            </w:r>
            <w:r>
              <w:rPr>
                <w:noProof/>
                <w:webHidden/>
              </w:rPr>
              <w:fldChar w:fldCharType="begin"/>
            </w:r>
            <w:r>
              <w:rPr>
                <w:noProof/>
                <w:webHidden/>
              </w:rPr>
              <w:instrText xml:space="preserve"> PAGEREF _Toc14771702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val="en-GB" w:eastAsia="en-GB"/>
            </w:rPr>
          </w:pPr>
          <w:hyperlink w:anchor="_Toc14771703" w:history="1">
            <w:r>
              <w:rPr>
                <w:rStyle w:val="Hyperlink"/>
                <w:noProof/>
              </w:rPr>
              <w:t>4.</w:t>
            </w:r>
            <w:r>
              <w:rPr>
                <w:rFonts w:asciiTheme="minorHAnsi" w:eastAsiaTheme="minorEastAsia" w:hAnsiTheme="minorHAnsi" w:cstheme="minorBidi"/>
                <w:noProof/>
                <w:sz w:val="22"/>
                <w:szCs w:val="22"/>
                <w:lang w:val="en-GB" w:eastAsia="en-GB"/>
              </w:rPr>
              <w:tab/>
            </w:r>
            <w:r>
              <w:rPr>
                <w:rStyle w:val="Hyperlink"/>
                <w:noProof/>
              </w:rPr>
              <w:t>Εκτέλεση του λογαριασμού εσόδων ειδικού προορισμού του ΕΓΤΕ</w:t>
            </w:r>
            <w:r>
              <w:rPr>
                <w:noProof/>
                <w:webHidden/>
              </w:rPr>
              <w:tab/>
            </w:r>
            <w:r>
              <w:rPr>
                <w:noProof/>
                <w:webHidden/>
              </w:rPr>
              <w:fldChar w:fldCharType="begin"/>
            </w:r>
            <w:r>
              <w:rPr>
                <w:noProof/>
                <w:webHidden/>
              </w:rPr>
              <w:instrText xml:space="preserve"> PAGEREF _Toc14771703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val="en-GB" w:eastAsia="en-GB"/>
            </w:rPr>
          </w:pPr>
          <w:hyperlink w:anchor="_Toc14771704" w:history="1">
            <w:r>
              <w:rPr>
                <w:rStyle w:val="Hyperlink"/>
                <w:noProof/>
              </w:rPr>
              <w:t>5.</w:t>
            </w:r>
            <w:r>
              <w:rPr>
                <w:rFonts w:asciiTheme="minorHAnsi" w:eastAsiaTheme="minorEastAsia" w:hAnsiTheme="minorHAnsi" w:cstheme="minorBidi"/>
                <w:noProof/>
                <w:sz w:val="22"/>
                <w:szCs w:val="22"/>
                <w:lang w:val="en-GB" w:eastAsia="en-GB"/>
              </w:rPr>
              <w:tab/>
            </w:r>
            <w:r>
              <w:rPr>
                <w:rStyle w:val="Hyperlink"/>
                <w:noProof/>
              </w:rPr>
              <w:t>Συμπεράσματα</w:t>
            </w:r>
            <w:r>
              <w:rPr>
                <w:noProof/>
                <w:webHidden/>
              </w:rPr>
              <w:tab/>
            </w:r>
            <w:r>
              <w:rPr>
                <w:noProof/>
                <w:webHidden/>
              </w:rPr>
              <w:fldChar w:fldCharType="begin"/>
            </w:r>
            <w:r>
              <w:rPr>
                <w:noProof/>
                <w:webHidden/>
              </w:rPr>
              <w:instrText xml:space="preserve"> PAGEREF _Toc14771704 \h </w:instrText>
            </w:r>
            <w:r>
              <w:rPr>
                <w:noProof/>
                <w:webHidden/>
              </w:rPr>
            </w:r>
            <w:r>
              <w:rPr>
                <w:noProof/>
                <w:webHidden/>
              </w:rPr>
              <w:fldChar w:fldCharType="separate"/>
            </w:r>
            <w:r>
              <w:rPr>
                <w:noProof/>
                <w:webHidden/>
              </w:rPr>
              <w:t>5</w:t>
            </w:r>
            <w:r>
              <w:rPr>
                <w:noProof/>
                <w:webHidden/>
              </w:rPr>
              <w:fldChar w:fldCharType="end"/>
            </w:r>
          </w:hyperlink>
        </w:p>
        <w:p>
          <w:pPr>
            <w:rPr>
              <w:noProof/>
            </w:rPr>
          </w:pPr>
          <w:r>
            <w:rPr>
              <w:b/>
              <w:bCs/>
              <w:noProof/>
            </w:rPr>
            <w:fldChar w:fldCharType="end"/>
          </w:r>
        </w:p>
      </w:sdtContent>
    </w:sdt>
    <w:p>
      <w:pPr>
        <w:spacing w:after="0"/>
        <w:rPr>
          <w:rFonts w:ascii="Times New Roman" w:hAnsi="Times New Roman"/>
          <w:noProof/>
          <w:sz w:val="24"/>
          <w:szCs w:val="24"/>
        </w:rPr>
      </w:pPr>
    </w:p>
    <w:tbl>
      <w:tblPr>
        <w:tblW w:w="0" w:type="auto"/>
        <w:tblLook w:val="01E0" w:firstRow="1" w:lastRow="1" w:firstColumn="1" w:lastColumn="1" w:noHBand="0" w:noVBand="0"/>
      </w:tblPr>
      <w:tblGrid>
        <w:gridCol w:w="2039"/>
        <w:gridCol w:w="7226"/>
      </w:tblGrid>
      <w:tr>
        <w:tc>
          <w:tcPr>
            <w:tcW w:w="1908" w:type="dxa"/>
            <w:hideMark/>
          </w:tcPr>
          <w:p>
            <w:pPr>
              <w:spacing w:before="120" w:after="120"/>
              <w:ind w:right="612"/>
              <w:rPr>
                <w:rFonts w:ascii="Times New Roman" w:hAnsi="Times New Roman"/>
                <w:smallCaps/>
                <w:noProof/>
              </w:rPr>
            </w:pPr>
            <w:r>
              <w:rPr>
                <w:rFonts w:ascii="Times New Roman" w:hAnsi="Times New Roman"/>
                <w:smallCaps/>
                <w:noProof/>
              </w:rPr>
              <w:t>Παράρτημα:</w:t>
            </w:r>
          </w:p>
          <w:p>
            <w:pPr>
              <w:spacing w:before="120" w:after="120"/>
              <w:ind w:right="612"/>
              <w:rPr>
                <w:rFonts w:ascii="Times New Roman" w:hAnsi="Times New Roman"/>
                <w:smallCaps/>
                <w:noProof/>
                <w:sz w:val="24"/>
                <w:szCs w:val="24"/>
              </w:rPr>
            </w:pPr>
          </w:p>
        </w:tc>
        <w:tc>
          <w:tcPr>
            <w:tcW w:w="7320" w:type="dxa"/>
            <w:hideMark/>
          </w:tcPr>
          <w:p>
            <w:pPr>
              <w:spacing w:before="120" w:after="120"/>
              <w:rPr>
                <w:rFonts w:ascii="Times New Roman" w:hAnsi="Times New Roman"/>
                <w:smallCaps/>
                <w:noProof/>
                <w:sz w:val="24"/>
                <w:szCs w:val="24"/>
              </w:rPr>
            </w:pPr>
            <w:r>
              <w:rPr>
                <w:rFonts w:ascii="Times New Roman" w:hAnsi="Times New Roman"/>
                <w:smallCaps/>
                <w:noProof/>
              </w:rPr>
              <w:t>Προσωρινή απορρόφηση των πιστώσεων του ΕΓΤΕ έως τις 30/4/2019</w:t>
            </w:r>
          </w:p>
        </w:tc>
      </w:tr>
    </w:tbl>
    <w:p>
      <w:pPr>
        <w:spacing w:after="0"/>
        <w:rPr>
          <w:noProof/>
        </w:rPr>
      </w:pPr>
    </w:p>
    <w:p>
      <w:pPr>
        <w:spacing w:after="0"/>
        <w:rPr>
          <w:noProof/>
        </w:rPr>
        <w:sectPr>
          <w:headerReference w:type="even" r:id="rId16"/>
          <w:headerReference w:type="default" r:id="rId17"/>
          <w:footerReference w:type="even" r:id="rId18"/>
          <w:footerReference w:type="default" r:id="rId19"/>
          <w:headerReference w:type="first" r:id="rId20"/>
          <w:footerReference w:type="first" r:id="rId21"/>
          <w:pgSz w:w="11907" w:h="16840"/>
          <w:pgMar w:top="1134" w:right="1418" w:bottom="1134" w:left="1440" w:header="595" w:footer="567" w:gutter="0"/>
          <w:pgNumType w:start="1"/>
          <w:cols w:space="720"/>
        </w:sectPr>
      </w:pPr>
    </w:p>
    <w:p>
      <w:pPr>
        <w:pStyle w:val="Heading1"/>
        <w:numPr>
          <w:ilvl w:val="0"/>
          <w:numId w:val="4"/>
        </w:numPr>
        <w:rPr>
          <w:noProof/>
        </w:rPr>
      </w:pPr>
      <w:bookmarkStart w:id="2" w:name="_Toc229306111"/>
      <w:bookmarkStart w:id="3" w:name="_Toc413145207"/>
      <w:bookmarkStart w:id="4" w:name="_Toc14771691"/>
      <w:bookmarkStart w:id="5" w:name="_Toc244054012"/>
      <w:bookmarkStart w:id="6" w:name="_Toc244054013"/>
      <w:r>
        <w:rPr>
          <w:noProof/>
        </w:rPr>
        <w:t>Διαδικασία προϋπολογισμού του ΕΓΤΕ για το 2019</w:t>
      </w:r>
      <w:bookmarkEnd w:id="2"/>
      <w:bookmarkEnd w:id="3"/>
      <w:bookmarkEnd w:id="4"/>
    </w:p>
    <w:p>
      <w:pPr>
        <w:pStyle w:val="Text1"/>
        <w:rPr>
          <w:noProof/>
        </w:rPr>
      </w:pPr>
      <w:r>
        <w:rPr>
          <w:noProof/>
        </w:rPr>
        <w:t>Στις 12 Δεκεμβρίου 2018, το Ευρωπαϊκό Κοινοβούλιο ενέκρινε τον γενικό προϋπολογισμό της Ευρωπαϊκής Ένωσης για το 2019. Ο προϋπολογισμός προβλέπει για το Ευρωπαϊκό Γεωργικό Ταμείο Εγγυήσεων (ΕΓΤΕ) πιστώσεις ανάληψης υποχρεώσεων και πληρωμών ύψους 43 192 εκατ. EUR και 43 116 εκατ. EUR, αντίστοιχα, για άμεσες ενισχύσεις και δαπάνες που συνδέονται με την αγορά.</w:t>
      </w:r>
    </w:p>
    <w:p>
      <w:pPr>
        <w:pStyle w:val="Text1"/>
        <w:rPr>
          <w:noProof/>
        </w:rPr>
      </w:pPr>
      <w:r>
        <w:rPr>
          <w:noProof/>
        </w:rPr>
        <w:t>Προβλέπονται διαφορετικά ποσά για τα δύο είδη πιστώσεων λόγω της χρήσης διαχωριζόμενων πιστώσεων για ορισμένα μέτρα που εφαρμόζονται απευθείας από την Επιτροπή. Πρόκειται κυρίως για μέτρα προώθησης των γεωργικών προϊόντων, μέτρα που αφορούν την πολιτική στρατηγική και μέτρα συντονισμού.</w:t>
      </w:r>
    </w:p>
    <w:p>
      <w:pPr>
        <w:pStyle w:val="Heading1"/>
        <w:rPr>
          <w:noProof/>
        </w:rPr>
      </w:pPr>
      <w:bookmarkStart w:id="7" w:name="_Toc413145208"/>
      <w:bookmarkStart w:id="8" w:name="_Toc14771692"/>
      <w:bookmarkEnd w:id="5"/>
      <w:r>
        <w:rPr>
          <w:noProof/>
        </w:rPr>
        <w:t>Έσοδα ειδικού προορισμού του ΕΓΤΕ</w:t>
      </w:r>
      <w:bookmarkEnd w:id="6"/>
      <w:bookmarkEnd w:id="7"/>
      <w:bookmarkEnd w:id="8"/>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Βάσει των διατάξεων του άρθρου 43 του κανονισμού (ΕΕ) αριθ. 1306/2013, τα έσοδα που προέρχονται από δημοσιονομικές διορθώσεις στο πλαίσιο αποφάσεων λογιστικής εκκαθάρισης και εκκαθάρισης ως προς τη συμμόρφωση και από παρατυπίες αποτελούν έσοδα ειδικού προορισμού που διατίθενται για τη χρηματοδότηση δαπανών του ΕΓΤΕ.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Σύμφωνα με τις διατάξεις αυτές, τα έσοδα ειδικού προορισμού μπορούν να καλύπτουν τις ανάγκες χρηματοδότησης οποιωνδήποτε δαπανών του ΕΓΤΕ. Όποιο μέρος των εσόδων δεν χρησιμοποιηθεί κατά τη διάρκεια του οικονομικού έτους μεταφέρεται αυτόματα στο επόμενο οικονομικό έτος</w:t>
      </w:r>
      <w:r>
        <w:rPr>
          <w:rFonts w:ascii="Times New Roman" w:eastAsia="Times New Roman" w:hAnsi="Times New Roman"/>
          <w:noProof/>
          <w:sz w:val="24"/>
          <w:szCs w:val="24"/>
          <w:vertAlign w:val="superscript"/>
        </w:rPr>
        <w:footnoteReference w:id="1"/>
      </w:r>
      <w:r>
        <w:rPr>
          <w:rFonts w:ascii="Times New Roman" w:hAnsi="Times New Roman"/>
          <w:noProof/>
          <w:sz w:val="24"/>
          <w:szCs w:val="24"/>
        </w:rPr>
        <w:t>.</w:t>
      </w:r>
    </w:p>
    <w:p>
      <w:pPr>
        <w:spacing w:before="120" w:after="0" w:line="240" w:lineRule="auto"/>
        <w:ind w:left="851"/>
        <w:jc w:val="both"/>
        <w:rPr>
          <w:rFonts w:ascii="Times New Roman" w:eastAsia="Times New Roman" w:hAnsi="Times New Roman"/>
          <w:noProof/>
          <w:sz w:val="24"/>
          <w:szCs w:val="24"/>
        </w:rPr>
      </w:pPr>
      <w:r>
        <w:rPr>
          <w:rFonts w:ascii="Times New Roman" w:hAnsi="Times New Roman"/>
          <w:noProof/>
          <w:sz w:val="24"/>
          <w:szCs w:val="24"/>
        </w:rPr>
        <w:t>Στον προϋπολογισμό του ΕΓΤΕ για το 2019 περιλαμβάνονται:</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οι πλέον πρόσφατες εκτιμήσεις της Επιτροπής σχετικά με τις ανάγκες χρηματοδότησης για μέτρα παρέμβασης στην αγορά και για άμεσες ενισχύσεις,</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οι εκτιμήσεις των εσόδων ειδικού προορισμού προς είσπραξη κατά τη διάρκεια του οικονομικού έτους,</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και το εκ μεταφοράς υπόλοιπο των εσόδων ειδικού προορισμού που παρέμεινε διαθέσιμο από το προηγούμενο οικονομικό έτος.</w:t>
      </w:r>
    </w:p>
    <w:p>
      <w:pPr>
        <w:spacing w:before="120" w:after="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Στην πρότασή της για το ύψος των πιστώσεων του προϋπολογισμού του ΕΓΤΕ για το 2019, η Επιτροπή έλαβε υπόψη τα συνολικά αναμενόμενα έσοδα ειδικού προορισμού και ζήτησε για τον προϋπολογισμό του 2019 ύψος πιστώσεων υπολογιζόμενο με αφαίρεση των εκτιμώμενων εσόδων ειδικού προορισμού από τις εκτιμώμενες ανάγκες. Η αρμόδια για τον προϋπολογισμό αρχή ενέκρινε τον προϋπολογισμό του ΕΓΤΕ, του οποίου οι πιστώσεις περιλαμβάνουν τα εκτιμώμενα έσοδα ειδικού προορισμού.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Κατά την κατάρτιση του προϋπολογισμού για το 2019, βάσει των εκτιμήσεων της Επιτροπής τα διαθέσιμα έσοδα ειδικού προορισμού ανέρχονταν σε 1 078 εκατ. EUR και αποτελούνταν από: </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έσοδα ειδικού προορισμού που αναμένεται να προκύψουν κατά το οικονομικό έτος 2019, εκτιμώμενα σε 634 εκατ. EUR (499 εκατ. EUR από διορθώσεις εκκαθάρισης ως προς τη συμμόρφωση και 135 εκατ. EUR από παρατυπίες)·</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έσοδα ειδικού προορισμού που πρόκειται να μεταφερθούν από το 2018, τα οποία υπολογίστηκαν κατ’ εκτίμηση σε 444 εκατ. EUR.</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Η Επιτροπή διέθεσε το εκτιμηθέν ποσό εσόδων ειδικού προορισμού των 1 078 εκατ. EUR στα ακόλουθα καθεστώτα: </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140 εκατ. EUR διατέθηκαν στα επιχειρησιακά ταμεία των οργανώσεων παραγωγών στον τομέα των οπωροκηπευτικών, και</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938 εκατ. EUR στο καθεστώς βασικής ενίσχυσης.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Το άθροισμα των εγκριθεισών πιστώσεων και των εσόδων ειδικού προορισμού των εν λόγω καθεστώτων αντιστοιχεί σε:</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849 εκατ. EUR για τα επιχειρησιακά ταμεία των οργανώσεων παραγωγών στον τομέα των οπωροκηπευτικών, και</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17 149 εκατ. EUR για το καθεστώς βασικής ενίσχυσης.</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Στο παράρτημα, στο οποίο παρουσιάζεται η προσωρινή εκτέλεση του προϋπολογισμού για το 2019 στα αριθμητικά στοιχεία των πιστώσεων του προϋπολογισμού σε επίπεδο άρθρου για τα οπωροκηπευτικά και τις αποσυνδεδεμένες άμεσες ενισχύσεις, δεν λαμβάνονται υπόψη τα προαναφερθέντα έσοδα ειδικού προορισμού. Αντιστοιχούν σε εγκριθέντα κονδύλια για τα εν λόγω άρθρα ύψους 715 εκατ. EUR και 34 388 εκατ. EUR, αντίστοιχα.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Εφόσον περιληφθούν τα έσοδα ειδικού προορισμού στα άρθρα αυτά, οι συνολικές προβλεπόμενες πιστώσεις στον προϋπολογισμό για το 2019 ανέρχονται σε 855 εκατ. EUR για τα οπωροκηπευτικά και σε 35 326 εκατ. EUR για τις αποσυνδεδεμένες άμεσες ενισχύσεις. </w:t>
      </w:r>
    </w:p>
    <w:p>
      <w:pPr>
        <w:pStyle w:val="Heading1"/>
        <w:rPr>
          <w:noProof/>
        </w:rPr>
      </w:pPr>
      <w:bookmarkStart w:id="9" w:name="_Toc244054015"/>
      <w:bookmarkStart w:id="10" w:name="_Toc413145209"/>
      <w:bookmarkStart w:id="11" w:name="_Toc14771693"/>
      <w:r>
        <w:rPr>
          <w:noProof/>
        </w:rPr>
        <w:t>Παρατηρήσεις σχετικά με την προσωρινή εκτέλεση του προϋπολογισμού του ΕΓΤΕ για το 2019</w:t>
      </w:r>
      <w:bookmarkEnd w:id="9"/>
      <w:bookmarkEnd w:id="10"/>
      <w:bookmarkEnd w:id="11"/>
    </w:p>
    <w:p>
      <w:pPr>
        <w:spacing w:before="120" w:after="120" w:line="240" w:lineRule="auto"/>
        <w:ind w:left="850"/>
        <w:jc w:val="both"/>
        <w:rPr>
          <w:rFonts w:ascii="Times New Roman" w:eastAsia="Times New Roman" w:hAnsi="Times New Roman"/>
          <w:noProof/>
          <w:sz w:val="24"/>
          <w:szCs w:val="24"/>
        </w:rPr>
      </w:pPr>
      <w:bookmarkStart w:id="12" w:name="_Toc244054016"/>
      <w:r>
        <w:rPr>
          <w:rFonts w:ascii="Times New Roman" w:hAnsi="Times New Roman"/>
          <w:noProof/>
          <w:sz w:val="24"/>
          <w:szCs w:val="24"/>
        </w:rPr>
        <w:t>Στο παράρτημα της παρούσας έκθεσης παρουσιάζεται η προσωρινή εκτέλεση του προϋπολογισμού για το διάστημα από τις 16 Οκτωβρίου 2018 έως τις 30 Απριλίου 2019. Το επίπεδο εκτέλεσης συγκρίνεται με την πορεία των δαπανών του συστήματος έγκαιρης προειδοποίησης (ΣΕΠ) που δημιουργήθηκε κατ’ εφαρμογή του άρθρου 28 του κανονισμού (ΕΕ) αριθ. 1306/2013.</w:t>
      </w:r>
    </w:p>
    <w:p>
      <w:pPr>
        <w:spacing w:before="120" w:after="120" w:line="240" w:lineRule="auto"/>
        <w:ind w:left="850"/>
        <w:jc w:val="both"/>
        <w:rPr>
          <w:rFonts w:ascii="Times New Roman" w:eastAsia="Times New Roman" w:hAnsi="Times New Roman"/>
          <w:noProof/>
          <w:sz w:val="24"/>
          <w:szCs w:val="24"/>
        </w:rPr>
      </w:pPr>
    </w:p>
    <w:p>
      <w:pPr>
        <w:pStyle w:val="Heading2"/>
        <w:rPr>
          <w:noProof/>
        </w:rPr>
      </w:pPr>
      <w:bookmarkStart w:id="13" w:name="_Toc14771694"/>
      <w:r>
        <w:rPr>
          <w:noProof/>
        </w:rPr>
        <w:t>Μέτρα παρέμβασης στην αγορά</w:t>
      </w:r>
      <w:bookmarkEnd w:id="12"/>
      <w:bookmarkEnd w:id="13"/>
    </w:p>
    <w:p>
      <w:pPr>
        <w:pStyle w:val="Text1"/>
        <w:rPr>
          <w:noProof/>
        </w:rPr>
      </w:pPr>
      <w:r>
        <w:rPr>
          <w:noProof/>
        </w:rPr>
        <w:t>Η απορρόφηση των πιστώσεων ήταν χαμηλότερη του αναμενόμενου στους τομείς του ελαιολάδου, του οίνου, της προώθησης των γεωργικών προϊόντων και του γάλακτος. Από την άλλη πλευρά, η εκτέλεση του προϋπολογισμού στον τομέα των οπωροκηπευτικών σημείωσε επιδόσεις καλύτερες των αναμενόμενων.</w:t>
      </w:r>
    </w:p>
    <w:p>
      <w:pPr>
        <w:pStyle w:val="Heading3"/>
        <w:rPr>
          <w:noProof/>
        </w:rPr>
      </w:pPr>
      <w:bookmarkStart w:id="14" w:name="_Toc525722902"/>
      <w:bookmarkStart w:id="15" w:name="_Toc525734906"/>
      <w:bookmarkStart w:id="16" w:name="_Toc525736637"/>
      <w:bookmarkStart w:id="17" w:name="_Toc526175165"/>
      <w:bookmarkStart w:id="18" w:name="_Toc14771695"/>
      <w:bookmarkEnd w:id="14"/>
      <w:bookmarkEnd w:id="15"/>
      <w:bookmarkEnd w:id="16"/>
      <w:bookmarkEnd w:id="17"/>
      <w:r>
        <w:rPr>
          <w:noProof/>
        </w:rPr>
        <w:t>Ελαιόλαδο</w:t>
      </w:r>
      <w:bookmarkEnd w:id="18"/>
    </w:p>
    <w:p>
      <w:pPr>
        <w:pStyle w:val="Text1"/>
        <w:rPr>
          <w:noProof/>
        </w:rPr>
      </w:pPr>
      <w:r>
        <w:rPr>
          <w:noProof/>
        </w:rPr>
        <w:t>Οι δαπάνες που πραγματοποιήθηκαν για τα προγράμματα βελτίωσης της ποιότητας είναι κατά 9 εκατ. EUR χαμηλότερες (ή -20 %) από το αναμενόμενο στα τέλη Απριλίου βάσει της πορείας των δαπανών. Το ποσό που έχει εγγραφεί στον προϋπολογισμό αναμένεται να έχει εκτελεστεί έως το τέλος του έτους.</w:t>
      </w:r>
    </w:p>
    <w:p>
      <w:pPr>
        <w:pStyle w:val="Heading3"/>
        <w:rPr>
          <w:noProof/>
        </w:rPr>
      </w:pPr>
      <w:bookmarkStart w:id="19" w:name="_Toc14771696"/>
      <w:r>
        <w:rPr>
          <w:noProof/>
        </w:rPr>
        <w:t>Οπωροκηπευτικά</w:t>
      </w:r>
      <w:bookmarkEnd w:id="19"/>
    </w:p>
    <w:p>
      <w:pPr>
        <w:pStyle w:val="Text1"/>
        <w:rPr>
          <w:noProof/>
        </w:rPr>
      </w:pPr>
      <w:r>
        <w:rPr>
          <w:noProof/>
        </w:rPr>
        <w:t xml:space="preserve">Οι δαπάνες που έχουν δηλωθεί στον εν λόγω τομέα υπερβαίνουν κατά σχεδόν 53 εκατ. EUR (ήτοι + 7 %) την αναμενόμενη πορεία. Ωστόσο, επί του παρόντος, το συνολικό ποσό που έχει εγγραφεί στον προϋπολογισμό αναμένεται ότι θα αρκέσει για την κάλυψη όλων των αναγκών. </w:t>
      </w:r>
    </w:p>
    <w:p>
      <w:pPr>
        <w:pStyle w:val="Heading3"/>
        <w:rPr>
          <w:noProof/>
        </w:rPr>
      </w:pPr>
      <w:bookmarkStart w:id="20" w:name="_Toc14771697"/>
      <w:r>
        <w:rPr>
          <w:noProof/>
        </w:rPr>
        <w:t>Προϊόντα του αμπελοοινικού τομέα</w:t>
      </w:r>
      <w:bookmarkEnd w:id="20"/>
    </w:p>
    <w:p>
      <w:pPr>
        <w:pStyle w:val="Text1"/>
        <w:rPr>
          <w:noProof/>
        </w:rPr>
      </w:pPr>
      <w:r>
        <w:rPr>
          <w:noProof/>
        </w:rPr>
        <w:t>Για το εν λόγω άρθρο του προϋπολογισμού, οι δηλωθείσες μέχρι στιγμής δαπάνες μέχρι στιγμής είναι 44 εκατ. EUR, ήτοι κατά 4 % χαμηλότερες από την αναμενόμενη πορεία των δαπανών. Η μικρή αυτή απόκλιση θεωρείται προσωρινή και το ποσό που έχει εγγραφεί στον προϋπολογισμό αναμένεται να εκτελεστεί προς το τέλος του έτους.</w:t>
      </w:r>
    </w:p>
    <w:p>
      <w:pPr>
        <w:pStyle w:val="Heading3"/>
        <w:rPr>
          <w:noProof/>
        </w:rPr>
      </w:pPr>
      <w:bookmarkStart w:id="21" w:name="_Toc14771698"/>
      <w:r>
        <w:rPr>
          <w:noProof/>
        </w:rPr>
        <w:t>Προώθηση</w:t>
      </w:r>
      <w:bookmarkEnd w:id="21"/>
    </w:p>
    <w:p>
      <w:pPr>
        <w:pStyle w:val="Text1"/>
        <w:rPr>
          <w:noProof/>
        </w:rPr>
      </w:pPr>
      <w:r>
        <w:rPr>
          <w:noProof/>
        </w:rPr>
        <w:t>Η απόκλιση της τάξης του 15 % από την αναμενόμενη πορεία (27 εκατ. EUR) θεωρείται προσωρινή και το ποσό που έχει εγγραφεί στον προϋπολογισμό αναμένεται να εκτελεστεί προς το τέλος του έτους.</w:t>
      </w:r>
    </w:p>
    <w:p>
      <w:pPr>
        <w:pStyle w:val="Heading3"/>
        <w:rPr>
          <w:noProof/>
        </w:rPr>
      </w:pPr>
      <w:bookmarkStart w:id="22" w:name="_Toc14771699"/>
      <w:r>
        <w:rPr>
          <w:noProof/>
        </w:rPr>
        <w:t>Γάλα και γαλακτοκομικά προϊόντα</w:t>
      </w:r>
      <w:bookmarkEnd w:id="22"/>
      <w:r>
        <w:rPr>
          <w:noProof/>
        </w:rPr>
        <w:t xml:space="preserve"> </w:t>
      </w:r>
    </w:p>
    <w:p>
      <w:pPr>
        <w:pStyle w:val="Text1"/>
        <w:rPr>
          <w:noProof/>
        </w:rPr>
      </w:pPr>
      <w:r>
        <w:rPr>
          <w:noProof/>
        </w:rPr>
        <w:t>Η απόκλιση από την αναμενόμενη πορεία των δαπανών (μείον 66 εκατ. EUR) εξηγείται από τη δήλωση των κρατών μελών όσον αφορά τα κέρδη (σε σύγκριση με τη λογιστική αξία) επί των πωλήσεων αποκορυφωμένου γάλακτος σε σκόνη. Η υποτίμηση των δημόσιων αποθεμάτων αποκορυφωμένου γάλακτος σε σκόνη στο τέλος του έτους καταλογίστηκε στο οικονομικό έτος 2018 προκειμένου η αξία του αποθέματος να προσαρμοστεί σε προβλέψιμη τιμή πώλησης κατά τη στιγμή εκείνη. Έκτοτε, η αγορά παρουσιάζει σταθερή ανοδική τάση. Ως εκ τούτου, το αποκορυφωμένο γάλα σε σκόνη πωλείται σε τιμή υψηλότερη από τη λογιστική αξία, και έτσι παράγονται τα κέρδη που δηλώθηκαν από τα κράτη μέλη.</w:t>
      </w:r>
    </w:p>
    <w:p>
      <w:pPr>
        <w:pStyle w:val="Text1"/>
        <w:rPr>
          <w:noProof/>
        </w:rPr>
      </w:pPr>
    </w:p>
    <w:p>
      <w:pPr>
        <w:pStyle w:val="Heading2"/>
        <w:rPr>
          <w:noProof/>
        </w:rPr>
      </w:pPr>
      <w:bookmarkStart w:id="23" w:name="_Toc14771700"/>
      <w:bookmarkStart w:id="24" w:name="_Toc244054022"/>
      <w:r>
        <w:rPr>
          <w:noProof/>
        </w:rPr>
        <w:t>Άμεσες ενισχύσεις</w:t>
      </w:r>
      <w:bookmarkEnd w:id="23"/>
      <w:r>
        <w:rPr>
          <w:noProof/>
        </w:rPr>
        <w:t xml:space="preserve"> </w:t>
      </w:r>
      <w:bookmarkEnd w:id="24"/>
    </w:p>
    <w:p>
      <w:pPr>
        <w:spacing w:before="120" w:after="120" w:line="240" w:lineRule="auto"/>
        <w:ind w:left="850"/>
        <w:jc w:val="both"/>
        <w:rPr>
          <w:rFonts w:ascii="Times New Roman" w:eastAsia="Times New Roman" w:hAnsi="Times New Roman"/>
          <w:noProof/>
          <w:sz w:val="24"/>
          <w:szCs w:val="24"/>
        </w:rPr>
      </w:pPr>
      <w:bookmarkStart w:id="25" w:name="_Toc244054023"/>
      <w:r>
        <w:rPr>
          <w:rFonts w:ascii="Times New Roman" w:hAnsi="Times New Roman"/>
          <w:noProof/>
          <w:sz w:val="24"/>
          <w:szCs w:val="24"/>
        </w:rPr>
        <w:t>Η απορρόφηση των πιστώσεων για άμεσες ενισχύσεις είναι ελαφρώς υψηλότερη από τις προβλέψεις.</w:t>
      </w:r>
    </w:p>
    <w:p>
      <w:pPr>
        <w:pStyle w:val="Heading3"/>
        <w:rPr>
          <w:noProof/>
        </w:rPr>
      </w:pPr>
      <w:bookmarkStart w:id="26" w:name="_Toc14771701"/>
      <w:r>
        <w:rPr>
          <w:noProof/>
        </w:rPr>
        <w:t>Αποσυνδεδεμένες άμεσες ενισχύσεις</w:t>
      </w:r>
      <w:bookmarkEnd w:id="26"/>
    </w:p>
    <w:p>
      <w:pPr>
        <w:pStyle w:val="Text1"/>
        <w:rPr>
          <w:noProof/>
        </w:rPr>
      </w:pPr>
      <w:r>
        <w:rPr>
          <w:noProof/>
        </w:rPr>
        <w:t xml:space="preserve">Οι δηλωθείσες δαπάνες υπερβαίνουν την αναμενόμενη πορεία κατά 624 εκατ. EUR ή κατά 1,8 %. </w:t>
      </w:r>
    </w:p>
    <w:p>
      <w:pPr>
        <w:pStyle w:val="Text1"/>
        <w:rPr>
          <w:noProof/>
          <w:highlight w:val="yellow"/>
        </w:rPr>
      </w:pPr>
      <w:r>
        <w:rPr>
          <w:noProof/>
        </w:rPr>
        <w:t>Η αναδιανεμητική ενίσχυση και η ενίσχυση για γεωργικές πρακτικές που είναι επωφελείς για το κλίμα και το περιβάλλον είναι σύμφωνες με την αναμενόμενη πορεία. Η ενίσχυση για τους γεωργούς σε περιοχές με φυσικούς περιορισμούς υστερεί ελαφρώς σε σχέση με την αναμενόμενη πορεία των δαπανών (-4,5 %), ενώ οι δαπάνες για τα άλλα τρία καθεστώτα του εν λόγω άρθρου του προϋπολογισμού υπερβαίνουν την αναμενόμενη πορεία των δαπανών, ιδίως για το καθεστώς βασικής ενίσχυσης (+ 489 εκατ. EUR).</w:t>
      </w:r>
    </w:p>
    <w:p>
      <w:pPr>
        <w:pStyle w:val="Heading3"/>
        <w:rPr>
          <w:noProof/>
        </w:rPr>
      </w:pPr>
      <w:bookmarkStart w:id="27" w:name="_Toc525734915"/>
      <w:bookmarkStart w:id="28" w:name="_Toc525736646"/>
      <w:bookmarkStart w:id="29" w:name="_Toc526175174"/>
      <w:bookmarkStart w:id="30" w:name="_Toc525734916"/>
      <w:bookmarkStart w:id="31" w:name="_Toc525736647"/>
      <w:bookmarkStart w:id="32" w:name="_Toc526175175"/>
      <w:bookmarkStart w:id="33" w:name="_Toc525734917"/>
      <w:bookmarkStart w:id="34" w:name="_Toc525736648"/>
      <w:bookmarkStart w:id="35" w:name="_Toc526175176"/>
      <w:bookmarkStart w:id="36" w:name="_Toc14771702"/>
      <w:bookmarkEnd w:id="27"/>
      <w:bookmarkEnd w:id="28"/>
      <w:bookmarkEnd w:id="29"/>
      <w:bookmarkEnd w:id="30"/>
      <w:bookmarkEnd w:id="31"/>
      <w:bookmarkEnd w:id="32"/>
      <w:bookmarkEnd w:id="33"/>
      <w:bookmarkEnd w:id="34"/>
      <w:bookmarkEnd w:id="35"/>
      <w:r>
        <w:rPr>
          <w:noProof/>
        </w:rPr>
        <w:t>Άλλες άμεσες ενισχύσεις</w:t>
      </w:r>
      <w:bookmarkEnd w:id="36"/>
    </w:p>
    <w:p>
      <w:pPr>
        <w:spacing w:before="120" w:after="120" w:line="240" w:lineRule="auto"/>
        <w:ind w:left="850"/>
        <w:jc w:val="both"/>
        <w:rPr>
          <w:rFonts w:ascii="Times New Roman" w:eastAsia="Times New Roman" w:hAnsi="Times New Roman"/>
          <w:noProof/>
          <w:sz w:val="24"/>
          <w:szCs w:val="24"/>
        </w:rPr>
      </w:pPr>
      <w:bookmarkStart w:id="37" w:name="_Toc244054027"/>
      <w:bookmarkEnd w:id="25"/>
      <w:r>
        <w:rPr>
          <w:rFonts w:ascii="Times New Roman" w:hAnsi="Times New Roman"/>
          <w:noProof/>
          <w:sz w:val="24"/>
          <w:szCs w:val="24"/>
        </w:rPr>
        <w:t>Οι δηλωθείσες δαπάνες στο πλαίσιο αυτού του άρθρου του προϋπολογισμού συνάδουν με την αναμενόμενη πορεία.</w:t>
      </w:r>
    </w:p>
    <w:p>
      <w:pPr>
        <w:pStyle w:val="Heading1"/>
        <w:rPr>
          <w:noProof/>
        </w:rPr>
      </w:pPr>
      <w:bookmarkStart w:id="38" w:name="_Toc413145210"/>
      <w:bookmarkStart w:id="39" w:name="_Toc14771703"/>
      <w:r>
        <w:rPr>
          <w:noProof/>
        </w:rPr>
        <w:t>Εκτέλεση του λογαριασμού εσόδων ειδικού προορισμού του ΕΓΤΕ</w:t>
      </w:r>
      <w:bookmarkEnd w:id="37"/>
      <w:bookmarkEnd w:id="38"/>
      <w:bookmarkEnd w:id="39"/>
    </w:p>
    <w:p>
      <w:pPr>
        <w:spacing w:before="90" w:after="120" w:line="240" w:lineRule="auto"/>
        <w:ind w:left="851"/>
        <w:jc w:val="both"/>
        <w:rPr>
          <w:rFonts w:ascii="Times New Roman" w:eastAsia="Times New Roman" w:hAnsi="Times New Roman"/>
          <w:noProof/>
          <w:sz w:val="24"/>
          <w:szCs w:val="24"/>
        </w:rPr>
      </w:pPr>
      <w:bookmarkStart w:id="40" w:name="_Toc244054028"/>
      <w:r>
        <w:rPr>
          <w:rFonts w:ascii="Times New Roman" w:hAnsi="Times New Roman"/>
          <w:noProof/>
          <w:sz w:val="24"/>
          <w:szCs w:val="24"/>
        </w:rPr>
        <w:t>Ο πίνακας στο παράρτημα δείχνει ότι στα τέλη Απριλίου 2019 είχαν εισπραχθεί έσοδα ειδικού προορισμού ύψους 283,2 εκατ. EUR, ποσό κατά 4,8 εκατ. EUR ανώτερο του αναμενόμενου κατά την έγκριση του προϋπολογισμού του 2019. Συγκεκριμένα, περιλαμβάνει τα ακόλουθα:</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τα έσοδα από διορθώσεις στο πλαίσιο αποφάσεων λογιστικής εκκαθάρισης και εκκαθάρισης ως προς τη συμμόρφωση ανήλθαν σε 200,2 εκατ. EUR,</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τα έσοδα από παρατυπίες ανήλθαν σε 81,6 εκατ. EUR, και </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ορισμένα από τα εναπομένοντα έσοδα από την εισφορά επί του γάλακτος ανέρχονται σε 1,4 εκατ. EUR.</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 </w:t>
      </w:r>
    </w:p>
    <w:p>
      <w:pPr>
        <w:pStyle w:val="Text1"/>
        <w:rPr>
          <w:noProof/>
        </w:rPr>
      </w:pPr>
      <w:r>
        <w:rPr>
          <w:noProof/>
        </w:rPr>
        <w:t>Μαζί με το ποσό των 448,8 εκατ. EUR εσόδων που μεταφέρθηκαν από το προηγούμενο έτος, ανέρχονται σε έσοδα ειδικού προορισμού συνολικού ύψους 732,0 εκατ. EUR, τα οποία ήταν διαθέσιμα στις 30 Απριλίου 2019. Πρόσθετα ποσά αναμένεται να εισπραχθούν στη διάρκεια του οικονομικού έτους.</w:t>
      </w:r>
    </w:p>
    <w:p>
      <w:pPr>
        <w:pStyle w:val="Heading1"/>
        <w:rPr>
          <w:noProof/>
        </w:rPr>
      </w:pPr>
      <w:bookmarkStart w:id="41" w:name="_Toc244054030"/>
      <w:bookmarkStart w:id="42" w:name="_Toc413145211"/>
      <w:bookmarkStart w:id="43" w:name="_Toc14771704"/>
      <w:bookmarkEnd w:id="40"/>
      <w:r>
        <w:rPr>
          <w:noProof/>
        </w:rPr>
        <w:t>Συμπεράσματα</w:t>
      </w:r>
      <w:bookmarkEnd w:id="41"/>
      <w:bookmarkEnd w:id="42"/>
      <w:bookmarkEnd w:id="43"/>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Η προσωρινή εκτέλεση των πιστώσεων του προϋπολογισμού του ΕΓΤΕ για το 2019, για την περίοδο έως τις 30 Απριλίου 2019, δείχνει ότι οι μηνιαίες επιστροφές στα κράτη μέλη είναι υψηλότερες κατά 533 εκατ. EUR από την υπολογισθείσα πορεία απορρόφησης.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Ποσό 732 εκατ. EUR εσόδων ειδικού προορισμού είναι ήδη διαθέσιμο και αναμένεται η είσπραξη επιπλέον ποσών κατά τη διάρκεια του οικονομικού έτους. </w:t>
      </w:r>
    </w:p>
    <w:p>
      <w:pPr>
        <w:spacing w:before="120" w:after="120" w:line="240" w:lineRule="auto"/>
        <w:ind w:left="850"/>
        <w:jc w:val="both"/>
        <w:rPr>
          <w:noProof/>
        </w:rPr>
      </w:pPr>
      <w:r>
        <w:rPr>
          <w:rFonts w:ascii="Times New Roman" w:hAnsi="Times New Roman"/>
          <w:noProof/>
          <w:sz w:val="24"/>
          <w:szCs w:val="24"/>
        </w:rPr>
        <w:t>Επί του παρόντος, η Επιτροπή αναμένει ότι οι εγκριθείσες πιστώσεις μαζί με το ποσό των εσόδων ειδικού προορισμού που θα είναι διαθέσιμο μέχρι το τέλος του οικονομικού έτους επαρκούν για να καλύψουν όλες τις δαπάνες.</w:t>
      </w:r>
    </w:p>
    <w:sectPr>
      <w:headerReference w:type="even" r:id="rId22"/>
      <w:headerReference w:type="default" r:id="rId23"/>
      <w:footerReference w:type="even" r:id="rId24"/>
      <w:footerReference w:type="default" r:id="rId25"/>
      <w:headerReference w:type="first" r:id="rId26"/>
      <w:footerReference w:type="first" r:id="rId27"/>
      <w:pgSz w:w="11907" w:h="16840"/>
      <w:pgMar w:top="1134" w:right="1418" w:bottom="1134" w:left="1440" w:header="595"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403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5</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ind w:left="851" w:hanging="851"/>
        <w:jc w:val="both"/>
        <w:rPr>
          <w:rFonts w:ascii="Times New Roman" w:hAnsi="Times New Roman"/>
        </w:rPr>
      </w:pPr>
      <w:r>
        <w:rPr>
          <w:rStyle w:val="FootnoteReference"/>
          <w:rFonts w:ascii="Times New Roman" w:hAnsi="Times New Roman"/>
        </w:rPr>
        <w:footnoteRef/>
      </w:r>
      <w:r>
        <w:rPr>
          <w:rFonts w:ascii="Times New Roman" w:hAnsi="Times New Roman"/>
        </w:rPr>
        <w:tab/>
        <w:t>Το άρθρο 12 παράγραφος 4 στοιχείο β) του κανονισμού (ΕΕ, Ευρατόμ) 2018/1046 του Ευρωπαϊκού Κοινοβουλίου και του Συμβουλίου σχετικά με τους δημοσιονομικούς κανόνες που εφαρμόζονται στον γενικό προϋπολογισμό της Ένωσης ορίζει ότι πιστώσεις που αντιστοιχούν σε εσωτερικά έσοδα ειδικού προορισμού μπορούν να μεταφέρονται μόνο στο επόμενο οικονομικό έτος.</w:t>
      </w:r>
      <w:r>
        <w:t xml:space="preserve"> </w:t>
      </w:r>
      <w:r>
        <w:rPr>
          <w:rFonts w:ascii="Times New Roman" w:hAnsi="Times New Roman"/>
        </w:rPr>
        <w:t xml:space="preserve">Ως εκ τούτου, για λόγους χρηστής δημοσιονομικής διαχείρισης, τα εν λόγω έσοδα ειδικού προορισμού χρησιμοποιούνται γενικά πριν από τις εγκριθείσες πιστώσεις του σχετικού άρθρου του προϋπολογισμού.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243"/>
    <w:multiLevelType w:val="hybridMultilevel"/>
    <w:tmpl w:val="F10CF12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nsid w:val="12E871E7"/>
    <w:multiLevelType w:val="hybridMultilevel"/>
    <w:tmpl w:val="FE3E40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51043F95"/>
    <w:multiLevelType w:val="hybridMultilevel"/>
    <w:tmpl w:val="EC6A612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53F47367"/>
    <w:multiLevelType w:val="singleLevel"/>
    <w:tmpl w:val="B4E8C9F0"/>
    <w:name w:val="LegalNumbering"/>
    <w:lvl w:ilvl="0">
      <w:start w:val="1"/>
      <w:numFmt w:val="bullet"/>
      <w:lvlRestart w:val="0"/>
      <w:lvlText w:val="–"/>
      <w:lvlJc w:val="left"/>
      <w:pPr>
        <w:tabs>
          <w:tab w:val="num" w:pos="1417"/>
        </w:tabs>
        <w:ind w:left="1417" w:hanging="567"/>
      </w:pPr>
    </w:lvl>
  </w:abstractNum>
  <w:abstractNum w:abstractNumId="5">
    <w:nsid w:val="55EA2AD9"/>
    <w:multiLevelType w:val="hybridMultilevel"/>
    <w:tmpl w:val="FB28C2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nsid w:val="64A12FA4"/>
    <w:multiLevelType w:val="multilevel"/>
    <w:tmpl w:val="3BE63518"/>
    <w:lvl w:ilvl="0">
      <w:start w:val="1"/>
      <w:numFmt w:val="decimal"/>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4E147BA"/>
    <w:multiLevelType w:val="hybridMultilevel"/>
    <w:tmpl w:val="C4FC6E9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nsid w:val="6C827C2A"/>
    <w:multiLevelType w:val="hybridMultilevel"/>
    <w:tmpl w:val="253E2B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6E6B4B85"/>
    <w:multiLevelType w:val="hybridMultilevel"/>
    <w:tmpl w:val="E67CE6C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nsid w:val="71632DBE"/>
    <w:multiLevelType w:val="hybridMultilevel"/>
    <w:tmpl w:val="253CB54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6"/>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6"/>
  </w:num>
  <w:num w:numId="9">
    <w:abstractNumId w:val="6"/>
  </w:num>
  <w:num w:numId="10">
    <w:abstractNumId w:val="6"/>
  </w:num>
  <w:num w:numId="11">
    <w:abstractNumId w:val="9"/>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146D4C9-82D9-463D-81A5-1DA775ABB1C6"/>
    <w:docVar w:name="LW_COVERPAGE_TYPE" w:val="1"/>
    <w:docVar w:name="LW_CROSSREFERENCE" w:val="&lt;UNUSED&gt;"/>
    <w:docVar w:name="LW_DocType" w:val="NORMAL"/>
    <w:docVar w:name="LW_EMISSION" w:val="29.7.2019"/>
    <w:docVar w:name="LW_EMISSION_ISODATE" w:val="2019-07-29"/>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3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u963?\u967?\u949?\u964?\u953?\u954?\u940? \u956?\u949? \u964?\u953?\u962? \u948?\u945?\u960?\u940?\u957?\u949?\u962? \u964?\u959?\u965? \u917?\u915?\u932?\u917?_x000d__x000d__x000d__x000d__x000d__x000d__x000d__x000d__x000d__x000d__x000d__x000d__x000d__x000d__x000d__x000d__x000d__x000d__x000b__x000d__x000d__x000d__x000d__x000d__x000d__x000d__x000d__x000d__x000d__x000d__x000d__x000d__x000d__x000d__x000d__x000d__x000d__x000b_\u931?\u973?\u963?\u964?\u951?\u956?\u945? \u941?\u947?\u954?\u945?\u953?\u961?\u951?\u962? \u960?\u961?\u959?\u949?\u953?\u948?\u959?\u960?\u959?\u943?\u951?\u963?\u951?\u962? \u945?\u961?\u953?\u952?. 4-6/2019"/>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n-US"/>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en-US"/>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Text2">
    <w:name w:val="Text 2"/>
    <w:basedOn w:val="Normal"/>
    <w:pPr>
      <w:spacing w:before="120" w:after="120" w:line="240" w:lineRule="auto"/>
      <w:ind w:left="850"/>
      <w:jc w:val="both"/>
    </w:pPr>
    <w:rPr>
      <w:rFonts w:ascii="Times New Roman" w:hAnsi="Times New Roman"/>
      <w:sz w:val="24"/>
      <w:szCs w:val="24"/>
      <w:lang w:eastAsia="de-DE"/>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lang w:eastAsia="en-US"/>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 w:type="character" w:customStyle="1" w:styleId="tlid-translation">
    <w:name w:val="tlid-translatio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n-US"/>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en-US"/>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Text2">
    <w:name w:val="Text 2"/>
    <w:basedOn w:val="Normal"/>
    <w:pPr>
      <w:spacing w:before="120" w:after="120" w:line="240" w:lineRule="auto"/>
      <w:ind w:left="850"/>
      <w:jc w:val="both"/>
    </w:pPr>
    <w:rPr>
      <w:rFonts w:ascii="Times New Roman" w:hAnsi="Times New Roman"/>
      <w:sz w:val="24"/>
      <w:szCs w:val="24"/>
      <w:lang w:eastAsia="de-DE"/>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lang w:eastAsia="en-US"/>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 w:type="character" w:customStyle="1" w:styleId="tlid-translation">
    <w:name w:val="tlid-translati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3164">
      <w:bodyDiv w:val="1"/>
      <w:marLeft w:val="0"/>
      <w:marRight w:val="0"/>
      <w:marTop w:val="0"/>
      <w:marBottom w:val="0"/>
      <w:divBdr>
        <w:top w:val="none" w:sz="0" w:space="0" w:color="auto"/>
        <w:left w:val="none" w:sz="0" w:space="0" w:color="auto"/>
        <w:bottom w:val="none" w:sz="0" w:space="0" w:color="auto"/>
        <w:right w:val="none" w:sz="0" w:space="0" w:color="auto"/>
      </w:divBdr>
    </w:div>
    <w:div w:id="1684211282">
      <w:bodyDiv w:val="1"/>
      <w:marLeft w:val="0"/>
      <w:marRight w:val="0"/>
      <w:marTop w:val="0"/>
      <w:marBottom w:val="0"/>
      <w:divBdr>
        <w:top w:val="none" w:sz="0" w:space="0" w:color="auto"/>
        <w:left w:val="none" w:sz="0" w:space="0" w:color="auto"/>
        <w:bottom w:val="none" w:sz="0" w:space="0" w:color="auto"/>
        <w:right w:val="none" w:sz="0" w:space="0" w:color="auto"/>
      </w:divBdr>
    </w:div>
    <w:div w:id="1811054184">
      <w:bodyDiv w:val="1"/>
      <w:marLeft w:val="0"/>
      <w:marRight w:val="0"/>
      <w:marTop w:val="0"/>
      <w:marBottom w:val="0"/>
      <w:divBdr>
        <w:top w:val="none" w:sz="0" w:space="0" w:color="auto"/>
        <w:left w:val="none" w:sz="0" w:space="0" w:color="auto"/>
        <w:bottom w:val="none" w:sz="0" w:space="0" w:color="auto"/>
        <w:right w:val="none" w:sz="0" w:space="0" w:color="auto"/>
      </w:divBdr>
    </w:div>
    <w:div w:id="1870990847">
      <w:bodyDiv w:val="1"/>
      <w:marLeft w:val="0"/>
      <w:marRight w:val="0"/>
      <w:marTop w:val="0"/>
      <w:marBottom w:val="0"/>
      <w:divBdr>
        <w:top w:val="none" w:sz="0" w:space="0" w:color="auto"/>
        <w:left w:val="none" w:sz="0" w:space="0" w:color="auto"/>
        <w:bottom w:val="none" w:sz="0" w:space="0" w:color="auto"/>
        <w:right w:val="none" w:sz="0" w:space="0" w:color="auto"/>
      </w:divBdr>
    </w:div>
    <w:div w:id="2035571687">
      <w:bodyDiv w:val="1"/>
      <w:marLeft w:val="0"/>
      <w:marRight w:val="0"/>
      <w:marTop w:val="0"/>
      <w:marBottom w:val="0"/>
      <w:divBdr>
        <w:top w:val="none" w:sz="0" w:space="0" w:color="auto"/>
        <w:left w:val="none" w:sz="0" w:space="0" w:color="auto"/>
        <w:bottom w:val="none" w:sz="0" w:space="0" w:color="auto"/>
        <w:right w:val="none" w:sz="0" w:space="0" w:color="auto"/>
      </w:divBdr>
    </w:div>
    <w:div w:id="21034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481F-95D8-428D-A53F-A9A06646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1552</Words>
  <Characters>8803</Characters>
  <Application>Microsoft Office Word</Application>
  <DocSecurity>0</DocSecurity>
  <Lines>195</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cp:lastPrinted>2019-06-13T10:56:00Z</cp:lastPrinted>
  <dcterms:created xsi:type="dcterms:W3CDTF">2019-07-02T09:55:00Z</dcterms:created>
  <dcterms:modified xsi:type="dcterms:W3CDTF">2019-07-30T06:02:00Z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Last edited using">
    <vt:lpwstr>LW 6.0.1, Build 20180503</vt:lpwstr>
  </property>
  <property fmtid="{D5CDD505-2E9C-101B-9397-08002B2CF9AE}" pid="8" name="Created using">
    <vt:lpwstr>LW 6.0.1, Build 20180503</vt:lpwstr>
  </property>
</Properties>
</file>