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B095C1C-A072-44B0-BE2B-5FBF7A8531F9" style="width:450.4pt;height:365.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widowControl w:val="0"/>
        <w:spacing w:before="0" w:after="155"/>
        <w:rPr>
          <w:rFonts w:eastAsia="Times New Roman"/>
          <w:noProof/>
          <w:szCs w:val="24"/>
        </w:rPr>
      </w:pPr>
      <w:r>
        <w:rPr>
          <w:noProof/>
        </w:rPr>
        <w:t>Cilj predloga je spremeniti Prilogo VI k Sklepu Sveta 2013/755/EU</w:t>
      </w:r>
      <w:r>
        <w:rPr>
          <w:rStyle w:val="FootnoteReference"/>
          <w:noProof/>
        </w:rPr>
        <w:footnoteReference w:id="1"/>
      </w:r>
      <w:r>
        <w:rPr>
          <w:noProof/>
        </w:rPr>
        <w:t xml:space="preserve"> o pridružitvi čezmorskih držav in ozemelj Evropski uniji. Sprememba je potrebna zaradi uporabe sistema registriranih izvoznikov (REX) za namene potrjevanja porekla.</w:t>
      </w:r>
    </w:p>
    <w:p>
      <w:pPr>
        <w:rPr>
          <w:rFonts w:eastAsia="Times New Roman"/>
          <w:noProof/>
          <w:szCs w:val="24"/>
        </w:rPr>
      </w:pPr>
      <w:r>
        <w:rPr>
          <w:noProof/>
        </w:rPr>
        <w:t>Čezmorske države in ozemlja (v nadaljnjem besedilu: ČDO) so pridruženi Evropski uniji (v nadaljnjem besedilu: EU) od začetka veljavnosti Rimske pogodbe. Teh 25 otokov, ki se nahajajo v regijah Atlantika, Antarktike, Arktike, Karibov, Indijskega oceana in Tihega oceana</w:t>
      </w:r>
      <w:r>
        <w:rPr>
          <w:rStyle w:val="FootnoteReference"/>
          <w:noProof/>
        </w:rPr>
        <w:footnoteReference w:id="2"/>
      </w:r>
      <w:r>
        <w:rPr>
          <w:noProof/>
        </w:rPr>
        <w:t xml:space="preserve">, niso suverene države, ampak so odvisne od štirih držav članic EU, tj. Danske, Francije, Združenega kraljestva in Nizozemske. </w:t>
      </w:r>
    </w:p>
    <w:p>
      <w:pPr>
        <w:pBdr>
          <w:top w:val="nil"/>
          <w:left w:val="nil"/>
          <w:bottom w:val="nil"/>
          <w:right w:val="nil"/>
          <w:between w:val="nil"/>
          <w:bar w:val="nil"/>
        </w:pBdr>
        <w:spacing w:before="0" w:after="240"/>
        <w:rPr>
          <w:rFonts w:eastAsia="Times New Roman"/>
          <w:noProof/>
          <w:szCs w:val="24"/>
        </w:rPr>
      </w:pPr>
      <w:r>
        <w:rPr>
          <w:noProof/>
        </w:rPr>
        <w:t>ČDO imajo na splošno veliko avtonomijo, ki zajema področja, kot so gospodarske zadeve, trg delovne sile, javno zdravje, notranje zadeve in carina. Za obrambo in zunanje zadeve so v glavnem pristojne države članice. ČDO niso del carinskega območja Unije in so zunaj notranjega trga. Zakonodaja Unije se zato ne uporablja. Kot državljani držav članic EU, s katerimi so njihove države in ozemlja ustavno povezani, imajo prebivalci ČDO državljanstvo EU.</w:t>
      </w:r>
    </w:p>
    <w:p>
      <w:pPr>
        <w:widowControl w:val="0"/>
        <w:spacing w:before="0" w:after="155"/>
        <w:rPr>
          <w:rFonts w:eastAsia="Times New Roman"/>
          <w:noProof/>
          <w:szCs w:val="24"/>
        </w:rPr>
      </w:pPr>
      <w:r>
        <w:rPr>
          <w:noProof/>
        </w:rPr>
        <w:t>Na podlagi člena 198 Pogodbe o delovanju Evropske unije (PDEU) je splošni cilj pridružitve spodbujanje gospodarskega in socialnega razvoja ČDO ter vzpostavitev tesnih gospodarskih odnosov med njimi in Unijo kot celoto.</w:t>
      </w:r>
    </w:p>
    <w:p>
      <w:pPr>
        <w:widowControl w:val="0"/>
        <w:spacing w:before="0" w:after="155"/>
        <w:rPr>
          <w:rFonts w:eastAsia="Times New Roman"/>
          <w:noProof/>
          <w:szCs w:val="24"/>
        </w:rPr>
      </w:pPr>
      <w:r>
        <w:rPr>
          <w:noProof/>
        </w:rPr>
        <w:t xml:space="preserve">Sklep Sveta 2013/755/EU z dne 25. novembra 2013 (Sklep o pridružitvi čezmorskih držav in ozemelj), ki je začel veljati 1. januarja 2014, zajema odnose med ČDO (vključno z Grenlandijo), državami članicami, s katerimi so povezani, in Evropsko unijo. V njem so opisani posebni odnosi, ki jih imajo ČDO z Unijo, in poseben pravni okvir, ki se uporablja zanje, in sicer na podlagi treh glavnih stebrov, tj. politike, trgovine in sodelovanja. </w:t>
      </w:r>
    </w:p>
    <w:p>
      <w:pPr>
        <w:widowControl w:val="0"/>
        <w:spacing w:before="0" w:after="155"/>
        <w:rPr>
          <w:rFonts w:eastAsia="Times New Roman"/>
          <w:noProof/>
          <w:szCs w:val="24"/>
        </w:rPr>
      </w:pPr>
      <w:r>
        <w:rPr>
          <w:noProof/>
        </w:rPr>
        <w:t xml:space="preserve">Kar zadeva trgovino z blagom, so izdelki s poreklom iz ČDO v Unijo uvoženi brez dajatev in kvot v skladu s členoma 43 in 44 Sklepa o pridružitvi ČDO. </w:t>
      </w:r>
    </w:p>
    <w:p>
      <w:pPr>
        <w:widowControl w:val="0"/>
        <w:spacing w:before="0" w:after="155"/>
        <w:rPr>
          <w:rFonts w:eastAsia="Times New Roman"/>
          <w:noProof/>
          <w:szCs w:val="24"/>
        </w:rPr>
      </w:pPr>
      <w:r>
        <w:rPr>
          <w:noProof/>
        </w:rPr>
        <w:t xml:space="preserve">Priloga VI k Sklepu o pridružitvi ČDO opredeljuje pojem „izdelki s poreklom“ in načine upravnega sodelovanja med EU in ČDO. Vsebuje določbe, katerih cilj je izvajanje sistema REX za potrjevanje porekla od 1. januarja 2017. </w:t>
      </w:r>
    </w:p>
    <w:p>
      <w:pPr>
        <w:widowControl w:val="0"/>
        <w:spacing w:before="0" w:after="155"/>
        <w:rPr>
          <w:rFonts w:eastAsia="Times New Roman"/>
          <w:noProof/>
          <w:szCs w:val="24"/>
        </w:rPr>
      </w:pPr>
      <w:bookmarkStart w:id="1" w:name="_Toc319512655"/>
      <w:bookmarkStart w:id="2" w:name="_Toc319512656"/>
      <w:bookmarkStart w:id="3" w:name="_Toc319512657"/>
      <w:bookmarkStart w:id="4" w:name="_Toc319512658"/>
      <w:bookmarkStart w:id="5" w:name="_Toc319512659"/>
      <w:bookmarkStart w:id="6" w:name="_Toc319512661"/>
      <w:bookmarkStart w:id="7" w:name="_Toc319512662"/>
      <w:bookmarkStart w:id="8" w:name="_Toc319512665"/>
      <w:bookmarkStart w:id="9" w:name="_Toc319512666"/>
      <w:bookmarkStart w:id="10" w:name="_Toc319512667"/>
      <w:bookmarkStart w:id="11" w:name="_Toc319512668"/>
      <w:bookmarkStart w:id="12" w:name="_Toc319512669"/>
      <w:bookmarkStart w:id="13" w:name="_Toc319512671"/>
      <w:bookmarkEnd w:id="1"/>
      <w:bookmarkEnd w:id="2"/>
      <w:bookmarkEnd w:id="3"/>
      <w:bookmarkEnd w:id="4"/>
      <w:bookmarkEnd w:id="5"/>
      <w:bookmarkEnd w:id="6"/>
      <w:bookmarkEnd w:id="7"/>
      <w:bookmarkEnd w:id="8"/>
      <w:bookmarkEnd w:id="9"/>
      <w:bookmarkEnd w:id="10"/>
      <w:bookmarkEnd w:id="11"/>
      <w:bookmarkEnd w:id="12"/>
      <w:bookmarkEnd w:id="13"/>
      <w:r>
        <w:rPr>
          <w:noProof/>
        </w:rPr>
        <w:t>Člen 58 Priloge VI določa, da Komisija vzpostavi bazo podatkov registriranih izvoznikov. Ta člen se glasi: „Komisija vzpostavi elektronsko bazo podatkov registriranih izvoznikov na podlagi informacij, ki jih predložijo državni organi ČDO in carinski organi držav članic.“</w:t>
      </w:r>
    </w:p>
    <w:p>
      <w:pPr>
        <w:rPr>
          <w:rFonts w:eastAsia="Times New Roman"/>
          <w:i/>
          <w:noProof/>
          <w:szCs w:val="24"/>
        </w:rPr>
      </w:pPr>
      <w:r>
        <w:rPr>
          <w:noProof/>
        </w:rPr>
        <w:t>Člen 63(1) Priloge VI določa odstopanje od izvajanja določb, ki se uporabljajo za sistem REX: „[...] Komisija [lahko] sprejme sklepe, s katerimi dovoli uporabo členov 21 do 35 in členov 54, 55 in 56 te priloge za izvoze iz ene ali več ČDO po 1. januarju 2017.“</w:t>
      </w:r>
    </w:p>
    <w:p>
      <w:pPr>
        <w:rPr>
          <w:noProof/>
        </w:rPr>
      </w:pPr>
      <w:r>
        <w:rPr>
          <w:noProof/>
        </w:rPr>
        <w:t>ČDO s 1. januarjem 2017 niso bila pripravljena na uporabo sistema REX, kot je določeno v Prilogi VI k Sklepu o pridružitvi ČDO. Zato so v skladu s členom 63(2) Priloge VI k Sklepu 2013/755/EU vsi ČDO z dopisi, naslovljenimi na Komisijo, zaprosila za odstopanje za tri leta. Komisija je 29. novembra 2016 sprejela Izvedbeni sklep (EU) 2016/2093</w:t>
      </w:r>
      <w:r>
        <w:rPr>
          <w:rStyle w:val="FootnoteReference"/>
          <w:noProof/>
        </w:rPr>
        <w:footnoteReference w:id="3"/>
      </w:r>
      <w:r>
        <w:rPr>
          <w:noProof/>
        </w:rPr>
        <w:t xml:space="preserve"> o odložitvi datuma za vzpostavitev sistema REX za ČDO na 1. januar 2020. </w:t>
      </w:r>
    </w:p>
    <w:p>
      <w:pPr>
        <w:rPr>
          <w:rFonts w:eastAsia="Times New Roman"/>
          <w:noProof/>
          <w:szCs w:val="24"/>
        </w:rPr>
      </w:pPr>
      <w:r>
        <w:rPr>
          <w:noProof/>
        </w:rPr>
        <w:t xml:space="preserve">To pomeni, da morajo ČDO od 1. januarja 2020 uporabljati sistem REX, kot je določeno v sedanjem sklepu o pridružitvi ČDO. </w:t>
      </w:r>
    </w:p>
    <w:p>
      <w:pPr>
        <w:rPr>
          <w:rFonts w:eastAsia="Times New Roman"/>
          <w:noProof/>
          <w:szCs w:val="24"/>
        </w:rPr>
      </w:pPr>
      <w:r>
        <w:rPr>
          <w:noProof/>
        </w:rPr>
        <w:t>Komisija je 10. marca 2015 z Izvedbeno uredbo (EU) 2015/428</w:t>
      </w:r>
      <w:r>
        <w:rPr>
          <w:rStyle w:val="FootnoteReference"/>
          <w:noProof/>
        </w:rPr>
        <w:footnoteReference w:id="4"/>
      </w:r>
      <w:r>
        <w:rPr>
          <w:noProof/>
        </w:rPr>
        <w:t xml:space="preserve"> spremenila pravila o poreklu v zvezi s sistemom REX splošne sheme preferencialov (GSP), ki so bila vzpostavljena z Uredbo (EGS) št. 2454/93.</w:t>
      </w:r>
    </w:p>
    <w:p>
      <w:pPr>
        <w:rPr>
          <w:noProof/>
        </w:rPr>
      </w:pPr>
      <w:r>
        <w:rPr>
          <w:noProof/>
        </w:rPr>
        <w:t>Komisija je 24. novembra 2015 sprejela Izvedbeno uredbo (EU) 2015/2447</w:t>
      </w:r>
      <w:r>
        <w:rPr>
          <w:rStyle w:val="FootnoteReference"/>
          <w:noProof/>
        </w:rPr>
        <w:footnoteReference w:id="5"/>
      </w:r>
      <w:r>
        <w:rPr>
          <w:noProof/>
        </w:rPr>
        <w:t>, v katero so bila prenesena vsa splošna pravila za izvajanje carinskega zakonika Unije, med drugim določbe o sistemu REX sheme GSP.</w:t>
      </w:r>
    </w:p>
    <w:p>
      <w:pPr>
        <w:rPr>
          <w:rFonts w:eastAsia="Times New Roman"/>
          <w:noProof/>
          <w:szCs w:val="24"/>
        </w:rPr>
      </w:pPr>
      <w:r>
        <w:rPr>
          <w:noProof/>
        </w:rPr>
        <w:t xml:space="preserve">Zato se določbe o „postopkih za sistem registriranih izvoznikov“ iz Priloge VI k Sklepu o pridružitvi ČDO razlikujejo od tistih v pravilih o poreklu GSP. </w:t>
      </w:r>
    </w:p>
    <w:p>
      <w:pPr>
        <w:rPr>
          <w:rFonts w:eastAsia="Times New Roman"/>
          <w:noProof/>
          <w:szCs w:val="24"/>
        </w:rPr>
      </w:pPr>
      <w:r>
        <w:rPr>
          <w:noProof/>
        </w:rPr>
        <w:t>Prilogo VI k Sklepu o pridružitvi ČDO bi bilo zato treba spremeniti, da se zagotovi skladnost z določbami o sistemu REX iz Uredbe (EU) 2015/2447.</w:t>
      </w:r>
    </w:p>
    <w:p>
      <w:pPr>
        <w:rPr>
          <w:rFonts w:eastAsia="Times New Roman"/>
          <w:noProof/>
          <w:szCs w:val="24"/>
        </w:rPr>
      </w:pPr>
      <w:r>
        <w:rPr>
          <w:noProof/>
        </w:rPr>
        <w:t>V okviru pogajanj o naslednjem večletnem finančnem okviru je Komisija 14. junija 2018 predložila predlog za nov sklep o pridružitvi čezmorskih držav in ozemelj (v nadaljnjem besedilu: novi sklep o ČDO). Ta predlog vsebuje posodobljene določbe o sistemu REX, ki so v skladu z novo zakonodajo. Vendar bi moral začeti veljati šele januarja 2021, po koncu posebnega zakonodajnega postopka v skladu s členom 203 PDEU.  Zato bo v novem sklepu o pridružitvi ČDO vprašanje združljivosti s sistemom REX obravnavano šele od tega datuma dalje.</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rFonts w:eastAsia="Arial Unicode MS"/>
          <w:noProof/>
          <w:color w:val="000000"/>
          <w:u w:color="000000"/>
          <w:bdr w:val="nil"/>
        </w:rPr>
      </w:pPr>
      <w:r>
        <w:rPr>
          <w:noProof/>
          <w:color w:val="000000"/>
          <w:u w:color="000000"/>
          <w:bdr w:val="nil"/>
        </w:rPr>
        <w:t>Sedanja pravila in postopki pridružitve EU-ČDO so določeni v Sklepu 2013/755/EU z dne 25. novembra 2013</w:t>
      </w:r>
      <w:r>
        <w:rPr>
          <w:rStyle w:val="FootnoteReference"/>
          <w:noProof/>
        </w:rPr>
        <w:footnoteReference w:id="6"/>
      </w:r>
      <w:r>
        <w:rPr>
          <w:noProof/>
          <w:color w:val="000000"/>
          <w:u w:color="000000"/>
          <w:bdr w:val="nil"/>
        </w:rPr>
        <w:t xml:space="preserve"> o pridružitvi ČDO Evropski uniji, ki zajema tudi Grenlandijo. Dodatne določbe o odnosih z Grenlandijo so določene v Sklepu 2014/137/EU z dne 14. marca 2014</w:t>
      </w:r>
      <w:r>
        <w:rPr>
          <w:rStyle w:val="FootnoteReference"/>
          <w:noProof/>
        </w:rPr>
        <w:footnoteReference w:id="7"/>
      </w:r>
      <w:r>
        <w:rPr>
          <w:noProof/>
          <w:color w:val="000000"/>
          <w:u w:color="000000"/>
          <w:bdr w:val="nil"/>
        </w:rPr>
        <w:t xml:space="preserve"> o odnosih med Evropsko unijo na eni strani ter Grenlandijo in Kraljevino Dansko na drugi strani.</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color w:val="000000"/>
        </w:rPr>
        <w:t>Ta predlog spremembe spreminja tehnične določbe, ki upoštevajo razvoj zakonodaje na tem področju.</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rPr>
          <w:rFonts w:eastAsia="Times New Roman"/>
          <w:noProof/>
          <w:szCs w:val="24"/>
        </w:rPr>
      </w:pPr>
      <w:r>
        <w:rPr>
          <w:noProof/>
        </w:rPr>
        <w:t>Sklep o pridružitvi ČDO temelji na četrtem delu PDEU. Podrobna pravila in postopki pridružitve so določeni v sklepih Sveta na podlagi člena 203 PDEU, v skladu s katerim se ti akti sprejemajo po posebnem zakonodajnem postopku.</w:t>
      </w:r>
    </w:p>
    <w:p>
      <w:pPr>
        <w:rPr>
          <w:rFonts w:eastAsia="Times New Roman"/>
          <w:noProof/>
          <w:szCs w:val="24"/>
        </w:rPr>
      </w:pPr>
      <w:r>
        <w:rPr>
          <w:noProof/>
        </w:rPr>
        <w:t>Členi 198 do 204 PDEU se uporabljajo za Grenlandijo ob upoštevanju posebnih določb iz Protokola št. 34 o posebni ureditvi za Grenlandijo, priloženega k PDEU.</w:t>
      </w:r>
    </w:p>
    <w:p>
      <w:pPr>
        <w:rPr>
          <w:rFonts w:eastAsia="Times New Roman"/>
          <w:noProof/>
          <w:szCs w:val="24"/>
        </w:rPr>
      </w:pPr>
      <w:r>
        <w:rPr>
          <w:noProof/>
        </w:rPr>
        <w:t>Ker so priloge sestavni del Sklepa o pridružitvi ČDO, se za vse spremembe prilog uporabljata ista pravna podlaga in postopek.</w:t>
      </w:r>
    </w:p>
    <w:p>
      <w:pPr>
        <w:rPr>
          <w:rFonts w:eastAsia="Times New Roman"/>
          <w:noProof/>
          <w:sz w:val="6"/>
          <w:szCs w:val="6"/>
        </w:rPr>
      </w:pPr>
    </w:p>
    <w:p>
      <w:pPr>
        <w:pStyle w:val="ManualHeading2"/>
        <w:rPr>
          <w:rFonts w:eastAsia="Arial Unicode MS"/>
          <w:noProof/>
          <w:u w:color="000000"/>
          <w:bdr w:val="nil"/>
        </w:rPr>
      </w:pPr>
      <w:r>
        <w:rPr>
          <w:noProof/>
        </w:rPr>
        <w:t>•</w:t>
      </w:r>
      <w:r>
        <w:rPr>
          <w:noProof/>
        </w:rPr>
        <w:tab/>
        <w:t xml:space="preserve">Subsidiarnost (za neizključno pristojnost) </w:t>
      </w:r>
    </w:p>
    <w:p>
      <w:pPr>
        <w:rPr>
          <w:rFonts w:eastAsia="Times New Roman"/>
          <w:noProof/>
          <w:szCs w:val="24"/>
        </w:rPr>
      </w:pPr>
      <w:r>
        <w:rPr>
          <w:noProof/>
        </w:rPr>
        <w:t xml:space="preserve">Podrobne ureditve določb četrtega dela PDEU je treba opredeliti na ravni Unije, saj namena pridruževanja, tj. spodbujanja gospodarskega in socialnega razvoja ČDO ter vzpostavljanja tesnih ekonomskih odnosov med njimi in Unijo kot celoto, ni mogoče doseči z ukrepi na ravni držav članic. </w:t>
      </w:r>
    </w:p>
    <w:p>
      <w:pPr>
        <w:rPr>
          <w:rFonts w:eastAsia="Times New Roman"/>
          <w:noProof/>
          <w:color w:val="000000"/>
          <w:szCs w:val="24"/>
        </w:rPr>
      </w:pPr>
      <w:r>
        <w:rPr>
          <w:noProof/>
        </w:rPr>
        <w:t xml:space="preserve">Poleg tega države članice ne morejo sprejemati ukrepov v zvezi s trgovinskim režimom ČDO, saj je zgolj EU odgovorna za skupno trgovinsko politiko (naslov II petega dela PDEU). </w:t>
      </w:r>
      <w:r>
        <w:rPr>
          <w:noProof/>
          <w:color w:val="000000"/>
        </w:rPr>
        <w:t>Ta predlog spremembe zagotavlja enotno izvajanje sistema REX.</w:t>
      </w:r>
    </w:p>
    <w:p>
      <w:pPr>
        <w:rPr>
          <w:rFonts w:eastAsia="Arial Unicode MS"/>
          <w:noProof/>
          <w:sz w:val="6"/>
          <w:szCs w:val="6"/>
        </w:rPr>
      </w:pPr>
    </w:p>
    <w:p>
      <w:pPr>
        <w:pStyle w:val="ManualHeading2"/>
        <w:rPr>
          <w:rFonts w:eastAsia="Arial Unicode MS"/>
          <w:noProof/>
          <w:u w:color="000000"/>
          <w:bdr w:val="nil"/>
        </w:rPr>
      </w:pPr>
      <w:r>
        <w:rPr>
          <w:noProof/>
        </w:rPr>
        <w:t>•</w:t>
      </w:r>
      <w:r>
        <w:rPr>
          <w:noProof/>
        </w:rPr>
        <w:tab/>
        <w:t>Sorazmernost</w:t>
      </w:r>
    </w:p>
    <w:p>
      <w:pPr>
        <w:rPr>
          <w:rFonts w:eastAsia="Times New Roman"/>
          <w:noProof/>
          <w:szCs w:val="24"/>
        </w:rPr>
      </w:pPr>
      <w:r>
        <w:rPr>
          <w:noProof/>
        </w:rPr>
        <w:t xml:space="preserve">Predlog je omejen na nadgradnjo pogojev, potrebnih za opredelitev pojma „izdelki s poreklom“, in načinov upravnega sodelovanja med ČDO in Unijo. Zato predvideva nadgradnjo določb o sistemu REX.  </w:t>
      </w:r>
    </w:p>
    <w:p>
      <w:pPr>
        <w:pBdr>
          <w:top w:val="nil"/>
          <w:left w:val="nil"/>
          <w:bottom w:val="nil"/>
          <w:right w:val="nil"/>
          <w:between w:val="nil"/>
          <w:bar w:val="nil"/>
        </w:pBdr>
        <w:spacing w:before="0" w:after="240"/>
        <w:rPr>
          <w:rFonts w:eastAsia="Arial Unicode MS"/>
          <w:noProof/>
        </w:rPr>
      </w:pPr>
      <w:r>
        <w:rPr>
          <w:noProof/>
        </w:rPr>
        <w:t>Obdelava osebnih podatkov je v celoti v skladu s predpisi o varstvu podatkov na ravni Unije in nacionalni ravni.</w:t>
      </w:r>
    </w:p>
    <w:p>
      <w:pPr>
        <w:pStyle w:val="ManualHeading1"/>
        <w:rPr>
          <w:noProof/>
        </w:rPr>
      </w:pPr>
      <w:r>
        <w:rPr>
          <w:noProof/>
        </w:rPr>
        <w:t>3.</w:t>
      </w:r>
      <w:r>
        <w:rPr>
          <w:noProof/>
        </w:rPr>
        <w:tab/>
        <w:t>REZULTATI NAKNADNIH OCEN, POSVETOVANJ Z ZAINTERESIRANIMI STRANMI IN OCEN UČINKA</w:t>
      </w:r>
    </w:p>
    <w:p>
      <w:pPr>
        <w:pBdr>
          <w:top w:val="nil"/>
          <w:left w:val="nil"/>
          <w:bottom w:val="nil"/>
          <w:right w:val="nil"/>
          <w:between w:val="nil"/>
          <w:bar w:val="nil"/>
        </w:pBdr>
        <w:spacing w:before="0" w:after="240"/>
        <w:rPr>
          <w:rFonts w:eastAsia="Arial Unicode MS"/>
          <w:noProof/>
        </w:rPr>
      </w:pPr>
      <w:r>
        <w:rPr>
          <w:noProof/>
        </w:rPr>
        <w:t>Ni relevantno.</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Predlog nima proračunskih posledic. Povezan je izključno s sredstvi, odobrenimi za izvajanje veljavnega sklepa o pridružitvi ČDO.</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rPr>
          <w:rFonts w:eastAsia="Arial Unicode MS"/>
          <w:noProof/>
          <w:u w:color="000000"/>
          <w:bdr w:val="nil"/>
        </w:rPr>
      </w:pPr>
      <w:r>
        <w:rPr>
          <w:noProof/>
        </w:rPr>
        <w:t>Ni relevantno.</w:t>
      </w:r>
    </w:p>
    <w:p>
      <w:pPr>
        <w:rPr>
          <w:rFonts w:eastAsia="Arial Unicode MS"/>
          <w:noProof/>
          <w:sz w:val="12"/>
          <w:szCs w:val="12"/>
          <w:u w:color="000000"/>
          <w:bdr w:val="nil"/>
        </w:rPr>
      </w:pPr>
    </w:p>
    <w:p>
      <w:pPr>
        <w:pStyle w:val="ManualHeading2"/>
        <w:rPr>
          <w:rFonts w:eastAsia="Arial Unicode MS"/>
          <w:noProof/>
          <w:u w:color="000000"/>
          <w:bdr w:val="nil"/>
        </w:rPr>
      </w:pPr>
      <w:r>
        <w:rPr>
          <w:noProof/>
        </w:rPr>
        <w:t>•</w:t>
      </w:r>
      <w:r>
        <w:rPr>
          <w:noProof/>
        </w:rPr>
        <w:tab/>
        <w:t>Natančnejša pojasnitev posameznih določb predloga</w:t>
      </w:r>
    </w:p>
    <w:p>
      <w:pPr>
        <w:keepNext/>
        <w:tabs>
          <w:tab w:val="left" w:pos="0"/>
        </w:tabs>
        <w:outlineLvl w:val="1"/>
        <w:rPr>
          <w:rFonts w:eastAsia="Times New Roman"/>
          <w:noProof/>
          <w:color w:val="000000"/>
          <w:szCs w:val="24"/>
        </w:rPr>
      </w:pPr>
      <w:r>
        <w:rPr>
          <w:noProof/>
        </w:rPr>
        <w:t xml:space="preserve">Ta predlog v Prilogo VI k Sklepu o pridružitvi ČDO vnaša določbe za izvajanje sistema REX, ki je bil vzpostavljen z Uredbo </w:t>
      </w:r>
      <w:r>
        <w:rPr>
          <w:noProof/>
          <w:color w:val="000000"/>
        </w:rPr>
        <w:t>(EU) 2015/2447</w:t>
      </w:r>
      <w:r>
        <w:rPr>
          <w:noProof/>
        </w:rPr>
        <w:t>.</w:t>
      </w:r>
      <w:r>
        <w:rPr>
          <w:noProof/>
          <w:color w:val="000000"/>
        </w:rPr>
        <w:t xml:space="preserve"> Prilogo VI nadomešča v celoti.</w:t>
      </w:r>
    </w:p>
    <w:p>
      <w:pPr>
        <w:pBdr>
          <w:top w:val="nil"/>
          <w:left w:val="nil"/>
          <w:bottom w:val="nil"/>
          <w:right w:val="nil"/>
          <w:between w:val="nil"/>
          <w:bar w:val="nil"/>
        </w:pBdr>
        <w:spacing w:before="0" w:after="240"/>
        <w:rPr>
          <w:rFonts w:eastAsia="Times New Roman"/>
          <w:noProof/>
          <w:color w:val="000000"/>
          <w:szCs w:val="24"/>
        </w:rPr>
      </w:pPr>
      <w:r>
        <w:rPr>
          <w:noProof/>
          <w:color w:val="000000"/>
        </w:rPr>
        <w:t>Glavne spremembe so:</w:t>
      </w:r>
    </w:p>
    <w:p>
      <w:pPr>
        <w:pStyle w:val="ManualNumPar1"/>
        <w:rPr>
          <w:noProof/>
        </w:rPr>
      </w:pPr>
      <w:r>
        <w:t>1.</w:t>
      </w:r>
      <w:r>
        <w:tab/>
      </w:r>
      <w:r>
        <w:rPr>
          <w:noProof/>
        </w:rPr>
        <w:t>V členu 1 je bila opredelitev pojma „sistem REX“ dodana kot nova točka (s). Sklicuje se na člen 80(1) izvedbenega akta carinskega zakonika Unije (v nadaljnjem besedilu: IA CZU). Sklicevanja na IA CZU so navedena v povezani opombi.</w:t>
      </w:r>
    </w:p>
    <w:p>
      <w:pPr>
        <w:pStyle w:val="ManualNumPar1"/>
        <w:rPr>
          <w:noProof/>
        </w:rPr>
      </w:pPr>
      <w:r>
        <w:t>2.</w:t>
      </w:r>
      <w:r>
        <w:tab/>
      </w:r>
      <w:r>
        <w:rPr>
          <w:noProof/>
        </w:rPr>
        <w:t xml:space="preserve">V členu 8(3) se črta izključitev izdelkov iz Dodatka XIII, črta pa se tudi sam Dodatek XIII, saj je izključitev prenehala veljati 1. oktobra 2015. </w:t>
      </w:r>
    </w:p>
    <w:p>
      <w:pPr>
        <w:pStyle w:val="ManualNumPar1"/>
        <w:rPr>
          <w:noProof/>
        </w:rPr>
      </w:pPr>
      <w:r>
        <w:t>3.</w:t>
      </w:r>
      <w:r>
        <w:tab/>
      </w:r>
      <w:r>
        <w:rPr>
          <w:noProof/>
        </w:rPr>
        <w:t>V členu 9 so bila sklicevanja na Uredbo št. 732/2008 nadomeščena s sklicevanji na Uredbo št. 978/2012. Člen 9(3) v opombi navaja sklicevanja na delegirani akt carinskega zakonika Unije (v nadaljnjem besedilu: DA CZU).</w:t>
      </w:r>
    </w:p>
    <w:p>
      <w:pPr>
        <w:pStyle w:val="ManualNumPar1"/>
        <w:rPr>
          <w:noProof/>
        </w:rPr>
      </w:pPr>
      <w:r>
        <w:t>4.</w:t>
      </w:r>
      <w:r>
        <w:tab/>
      </w:r>
      <w:r>
        <w:rPr>
          <w:noProof/>
        </w:rPr>
        <w:t>V člen 10(1)(a) je bil vključen prejšnji odstavek člena 59 v zvezi s preverjanjem porekla, ki vsebuje zahtevo po upravnem sodelovanju v okviru razširjene kumulacije. Ta odstavek ni bil vsebinsko povezan s členom 59.</w:t>
      </w:r>
    </w:p>
    <w:p>
      <w:pPr>
        <w:pStyle w:val="ManualNumPar1"/>
        <w:rPr>
          <w:noProof/>
        </w:rPr>
      </w:pPr>
      <w:r>
        <w:t>5.</w:t>
      </w:r>
      <w:r>
        <w:tab/>
      </w:r>
      <w:r>
        <w:rPr>
          <w:noProof/>
        </w:rPr>
        <w:t xml:space="preserve">Oddelek 2 naslova IV in oddelek 2 naslova V, ki sta se nanašala na stanje pred REX, sta bila črtana in oba „oddelka 3“ sta postala „oddelka 2“. </w:t>
      </w:r>
    </w:p>
    <w:p>
      <w:pPr>
        <w:pStyle w:val="ManualNumPar1"/>
        <w:rPr>
          <w:noProof/>
        </w:rPr>
      </w:pPr>
      <w:r>
        <w:t>6.</w:t>
      </w:r>
      <w:r>
        <w:tab/>
      </w:r>
      <w:r>
        <w:rPr>
          <w:noProof/>
        </w:rPr>
        <w:t>Vrstni red prejšnjih členov 37 in 38 je bil zamenjan (zdaj sta oštevilčena kot člen 23 oziroma člen 22), pri čemer je bil naslov prejšnjega člena 37 „Evidenca registriranih izvoznikov“ spremenjen v „Registracija“.</w:t>
      </w:r>
    </w:p>
    <w:p>
      <w:pPr>
        <w:pStyle w:val="ManualNumPar1"/>
        <w:rPr>
          <w:noProof/>
        </w:rPr>
      </w:pPr>
      <w:r>
        <w:t>7.</w:t>
      </w:r>
      <w:r>
        <w:tab/>
      </w:r>
      <w:r>
        <w:rPr>
          <w:noProof/>
        </w:rPr>
        <w:t>V členu 23(2) (novo številčenje) je bil seznam podatkov, ki jih je treba registrirati, usklajen s seznamom iz člena 40 „Pravice dostopa“, ki je bil posodobljen z nedavnimi spremembami člena 82 IA CZU.</w:t>
      </w:r>
    </w:p>
    <w:p>
      <w:pPr>
        <w:pStyle w:val="ManualNumPar1"/>
        <w:rPr>
          <w:noProof/>
        </w:rPr>
      </w:pPr>
      <w:r>
        <w:t>8.</w:t>
      </w:r>
      <w:r>
        <w:tab/>
      </w:r>
      <w:r>
        <w:rPr>
          <w:noProof/>
        </w:rPr>
        <w:t>Člen 25(3) se sklicuje na novi člen 27 „Izjava dobavitelja“.</w:t>
      </w:r>
    </w:p>
    <w:p>
      <w:pPr>
        <w:pStyle w:val="ManualNumPar1"/>
        <w:rPr>
          <w:noProof/>
        </w:rPr>
      </w:pPr>
      <w:r>
        <w:t>9.</w:t>
      </w:r>
      <w:r>
        <w:tab/>
      </w:r>
      <w:r>
        <w:rPr>
          <w:noProof/>
        </w:rPr>
        <w:t>Člen 26 zdaj zajema tako navedbo o poreklu kot informacije za namene (polne) kumulacije iz prejšnjega člena 32.</w:t>
      </w:r>
    </w:p>
    <w:p>
      <w:pPr>
        <w:pStyle w:val="ManualNumPar1"/>
        <w:rPr>
          <w:noProof/>
        </w:rPr>
      </w:pPr>
      <w:r>
        <w:t>10.</w:t>
      </w:r>
      <w:r>
        <w:tab/>
      </w:r>
      <w:r>
        <w:rPr>
          <w:noProof/>
        </w:rPr>
        <w:t>Novi člen 27 odraža določbe v zvezi z izjavo dobavitelja iz prejšnjega člena 32, vendar je omejen na izjavo dobavitelja za izdelke brez porekla z namenom uporabe polne kumulacije iz členov 2(2), 7(2) in 8(2). Prejšnji Dodatek VII o izjavi dobavitelja za izdelke s poreklom je bil črtan.</w:t>
      </w:r>
    </w:p>
    <w:p>
      <w:pPr>
        <w:pStyle w:val="ManualNumPar1"/>
        <w:rPr>
          <w:noProof/>
        </w:rPr>
      </w:pPr>
      <w:r>
        <w:t>11.</w:t>
      </w:r>
      <w:r>
        <w:tab/>
      </w:r>
      <w:r>
        <w:rPr>
          <w:noProof/>
        </w:rPr>
        <w:t>V členu 27(2) se doda možnost dolgoročne izjave dobavitelja s sklicevanjem na obdobje veljavnosti v opombi (7) v Dodatku V.</w:t>
      </w:r>
    </w:p>
    <w:p>
      <w:pPr>
        <w:pStyle w:val="ManualNumPar1"/>
        <w:rPr>
          <w:noProof/>
        </w:rPr>
      </w:pPr>
      <w:r>
        <w:t>12.</w:t>
      </w:r>
      <w:r>
        <w:tab/>
      </w:r>
      <w:r>
        <w:rPr>
          <w:noProof/>
        </w:rPr>
        <w:t>V členu 40 je bil seznam informacij, ki jih je treba objaviti, posodobljen z nedavnimi spremembami člena 82 IA CZU.</w:t>
      </w:r>
    </w:p>
    <w:p>
      <w:pPr>
        <w:pStyle w:val="ManualNumPar1"/>
        <w:rPr>
          <w:noProof/>
        </w:rPr>
      </w:pPr>
      <w:r>
        <w:t>13.</w:t>
      </w:r>
      <w:r>
        <w:tab/>
      </w:r>
      <w:r>
        <w:rPr>
          <w:noProof/>
        </w:rPr>
        <w:t>V členu 41 in v opombah k Dodatku VI so sklicevanja na Direktivo 95/46/ES nadomestila sklicevanja na novo Uredbo (EU) 2016/679 (Splošna uredba o varstvu podatkov).</w:t>
      </w:r>
    </w:p>
    <w:p>
      <w:pPr>
        <w:pStyle w:val="ManualNumPar1"/>
        <w:rPr>
          <w:noProof/>
        </w:rPr>
      </w:pPr>
      <w:r>
        <w:t>14.</w:t>
      </w:r>
      <w:r>
        <w:tab/>
      </w:r>
      <w:r>
        <w:rPr>
          <w:noProof/>
        </w:rPr>
        <w:t>Novi člen 44 je namenjen preverjanju izjav dobavitelja in vključuje elemente iz prejšnjega člena 55.</w:t>
      </w:r>
    </w:p>
    <w:p>
      <w:pPr>
        <w:pStyle w:val="ManualNumPar1"/>
        <w:rPr>
          <w:noProof/>
        </w:rPr>
      </w:pPr>
      <w:r>
        <w:t>15.</w:t>
      </w:r>
      <w:r>
        <w:tab/>
      </w:r>
      <w:r>
        <w:rPr>
          <w:noProof/>
        </w:rPr>
        <w:t>V členu 45(2) se navaja sklicevanje na člen 68 IA CZU, ki vključuje obrazec za registracijo izvoznikov v Uniji, prejšnji Dodatek XI A pa se črta.</w:t>
      </w:r>
    </w:p>
    <w:p>
      <w:pPr>
        <w:pStyle w:val="ManualNumPar1"/>
        <w:rPr>
          <w:noProof/>
        </w:rPr>
      </w:pPr>
      <w:r>
        <w:t>16.</w:t>
      </w:r>
      <w:r>
        <w:tab/>
      </w:r>
      <w:r>
        <w:rPr>
          <w:noProof/>
        </w:rPr>
        <w:t>Dodatki III do VII, XI A in XIII so bili črtani. Dodatki VIII do XI ter XII so bili preurejeni in preštevilčeni glede na besedilo in po potrebi usklajeni s spremembami besedila.</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2019/0162 (CNS)</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spremembi Sklepa Sveta 2013/755/EU z dne 25. novembra 2013 o pridružitvi čezmorskih držav in ozemelj Evropski uniji (Sklep o pridružitvi čezmorskih držav in ozemelj)</w:t>
      </w:r>
    </w:p>
    <w:p>
      <w:pPr>
        <w:pStyle w:val="Institutionquiagit"/>
        <w:rPr>
          <w:noProof/>
        </w:rPr>
      </w:pPr>
      <w:r>
        <w:rPr>
          <w:noProof/>
        </w:rPr>
        <w:t>SVET EVROPSKE UNIJE JE –</w:t>
      </w:r>
    </w:p>
    <w:p>
      <w:pPr>
        <w:rPr>
          <w:noProof/>
        </w:rPr>
      </w:pPr>
      <w:r>
        <w:rPr>
          <w:noProof/>
        </w:rPr>
        <w:t>ob upoštevanju Pogodbe o delovanju Evropske unije in zlasti člena 203 Pogodbe,</w:t>
      </w:r>
    </w:p>
    <w:p>
      <w:pPr>
        <w:rPr>
          <w:noProof/>
        </w:rPr>
      </w:pPr>
      <w:r>
        <w:rPr>
          <w:noProof/>
        </w:rPr>
        <w:t>ob upoštevanju predloga Evropske komisije,</w:t>
      </w:r>
    </w:p>
    <w:p>
      <w:pPr>
        <w:rPr>
          <w:noProof/>
        </w:rPr>
      </w:pPr>
      <w:r>
        <w:rPr>
          <w:noProof/>
        </w:rPr>
        <w:t xml:space="preserve">po posredovanju osnutka zakonodajnega akta nacionalnim parlamentom, </w:t>
      </w:r>
    </w:p>
    <w:p>
      <w:pPr>
        <w:rPr>
          <w:noProof/>
        </w:rPr>
      </w:pPr>
      <w:r>
        <w:rPr>
          <w:noProof/>
        </w:rPr>
        <w:t>ob upoštevanju mnenja Evropskega parlamenta,</w:t>
      </w:r>
    </w:p>
    <w:p>
      <w:pPr>
        <w:rPr>
          <w:noProof/>
        </w:rPr>
      </w:pPr>
      <w:r>
        <w:rPr>
          <w:noProof/>
        </w:rPr>
        <w:t>v skladu s posebnim zakonodajnim postopkom,</w:t>
      </w:r>
    </w:p>
    <w:p>
      <w:pPr>
        <w:rPr>
          <w:noProof/>
        </w:rPr>
      </w:pPr>
      <w:r>
        <w:rPr>
          <w:noProof/>
        </w:rPr>
        <w:t>ob upoštevanju naslednjega:</w:t>
      </w:r>
    </w:p>
    <w:p>
      <w:pPr>
        <w:pStyle w:val="ManualConsidrant"/>
        <w:rPr>
          <w:noProof/>
        </w:rPr>
      </w:pPr>
      <w:r>
        <w:t>(1)</w:t>
      </w:r>
      <w:r>
        <w:tab/>
      </w:r>
      <w:r>
        <w:rPr>
          <w:noProof/>
        </w:rPr>
        <w:t>Priloga VI k Sklepu Sveta 2013/755/EU</w:t>
      </w:r>
      <w:r>
        <w:rPr>
          <w:rStyle w:val="FootnoteReference"/>
          <w:noProof/>
          <w:color w:val="000000"/>
        </w:rPr>
        <w:footnoteReference w:id="8"/>
      </w:r>
      <w:r>
        <w:rPr>
          <w:noProof/>
        </w:rPr>
        <w:t xml:space="preserve"> (Sklep o pridružitvi čezmorskih držav in ozemelj) opredeljuje pojem „izdelki s poreklom“ in načine upravnega sodelovanja med Unijo ter čezmorskimi državami in ozemlji (v nadaljnjem besedilu: ČDO). Vsebuje določbe za začetek uporabe sistema registriranih izvoznikov (REX) v ČDO za namene potrjevanja porekla.</w:t>
      </w:r>
    </w:p>
    <w:p>
      <w:pPr>
        <w:pStyle w:val="ManualConsidrant"/>
        <w:rPr>
          <w:noProof/>
        </w:rPr>
      </w:pPr>
      <w:r>
        <w:t>(2)</w:t>
      </w:r>
      <w:r>
        <w:tab/>
      </w:r>
      <w:r>
        <w:rPr>
          <w:noProof/>
        </w:rPr>
        <w:t>Člen 58 Priloge VI k</w:t>
      </w:r>
      <w:r>
        <w:rPr>
          <w:noProof/>
          <w:color w:val="000000"/>
        </w:rPr>
        <w:t xml:space="preserve"> Sklepu 2013/755/EU</w:t>
      </w:r>
      <w:r>
        <w:rPr>
          <w:noProof/>
        </w:rPr>
        <w:t xml:space="preserve"> določa vzpostavitev baze podatkov registriranih izvoznikov, člen 63 navedene priloge pa omogoča odstopanje od sistema REX.</w:t>
      </w:r>
      <w:r>
        <w:rPr>
          <w:i/>
          <w:noProof/>
        </w:rPr>
        <w:t xml:space="preserve"> </w:t>
      </w:r>
    </w:p>
    <w:p>
      <w:pPr>
        <w:pStyle w:val="ManualConsidrant"/>
        <w:rPr>
          <w:noProof/>
        </w:rPr>
      </w:pPr>
      <w:r>
        <w:t>(3)</w:t>
      </w:r>
      <w:r>
        <w:tab/>
      </w:r>
      <w:r>
        <w:rPr>
          <w:noProof/>
        </w:rPr>
        <w:t>Vsi ČDO so v skladu s členom 63(2) Priloge VI k Sklepu 2013/755/EU zaprosili za triletno odstopanje od uporabe sistema REX.  Zato je Komisija datum, ko naj bi ČDO začeli uporabljati sistem REX, z Izvedbenim sklepom Komisije (EU) 2016/2093</w:t>
      </w:r>
      <w:r>
        <w:rPr>
          <w:rStyle w:val="FootnoteReference"/>
          <w:noProof/>
        </w:rPr>
        <w:footnoteReference w:id="9"/>
      </w:r>
      <w:r>
        <w:rPr>
          <w:noProof/>
        </w:rPr>
        <w:t xml:space="preserve"> prestavila na 1. januar 2020.</w:t>
      </w:r>
    </w:p>
    <w:p>
      <w:pPr>
        <w:pStyle w:val="ManualConsidrant"/>
        <w:rPr>
          <w:noProof/>
        </w:rPr>
      </w:pPr>
      <w:r>
        <w:t>(4)</w:t>
      </w:r>
      <w:r>
        <w:tab/>
      </w:r>
      <w:r>
        <w:rPr>
          <w:noProof/>
        </w:rPr>
        <w:t>Uredba (EU) št. 952/2013 Evropskega parlamenta in Sveta</w:t>
      </w:r>
      <w:r>
        <w:rPr>
          <w:rStyle w:val="FootnoteReference"/>
          <w:noProof/>
        </w:rPr>
        <w:footnoteReference w:id="10"/>
      </w:r>
      <w:r>
        <w:rPr>
          <w:noProof/>
        </w:rPr>
        <w:t>, ki določa carinski zakonik Unije, je razveljavila Uredbo Sveta (EGS) št. 2913/92</w:t>
      </w:r>
      <w:r>
        <w:rPr>
          <w:rStyle w:val="FootnoteReference"/>
          <w:noProof/>
        </w:rPr>
        <w:footnoteReference w:id="11"/>
      </w:r>
      <w:r>
        <w:rPr>
          <w:noProof/>
        </w:rPr>
        <w:t>.</w:t>
      </w:r>
    </w:p>
    <w:p>
      <w:pPr>
        <w:pStyle w:val="ManualConsidrant"/>
        <w:rPr>
          <w:noProof/>
        </w:rPr>
      </w:pPr>
      <w:r>
        <w:t>(5)</w:t>
      </w:r>
      <w:r>
        <w:tab/>
      </w:r>
      <w:r>
        <w:rPr>
          <w:noProof/>
        </w:rPr>
        <w:t>Določbe v pravilih o poreklu splošne sheme preferencialov (GSP), ki se nanašajo na sistem REX, vzpostavljene z Uredbo (EGS) št. 2454/93</w:t>
      </w:r>
      <w:r>
        <w:rPr>
          <w:rStyle w:val="FootnoteReference"/>
          <w:noProof/>
        </w:rPr>
        <w:footnoteReference w:id="12"/>
      </w:r>
      <w:r>
        <w:rPr>
          <w:noProof/>
        </w:rPr>
        <w:t xml:space="preserve"> o določbah za izvajanje Uredbe Sveta (EGS) št. 2913/92, so bile spremenjene z Izvedbeno uredbo Komisije (EU) 2015/428</w:t>
      </w:r>
      <w:r>
        <w:rPr>
          <w:rStyle w:val="FootnoteReference"/>
          <w:noProof/>
        </w:rPr>
        <w:footnoteReference w:id="13"/>
      </w:r>
      <w:r>
        <w:rPr>
          <w:noProof/>
        </w:rPr>
        <w:t>.</w:t>
      </w:r>
    </w:p>
    <w:p>
      <w:pPr>
        <w:pStyle w:val="ManualConsidrant"/>
        <w:rPr>
          <w:noProof/>
        </w:rPr>
      </w:pPr>
      <w:r>
        <w:t>(6)</w:t>
      </w:r>
      <w:r>
        <w:tab/>
      </w:r>
      <w:r>
        <w:rPr>
          <w:noProof/>
        </w:rPr>
        <w:t>Uredba (EU) 2016/481</w:t>
      </w:r>
      <w:r>
        <w:rPr>
          <w:rStyle w:val="FootnoteReference"/>
          <w:noProof/>
        </w:rPr>
        <w:footnoteReference w:id="14"/>
      </w:r>
      <w:r>
        <w:rPr>
          <w:noProof/>
        </w:rPr>
        <w:t xml:space="preserve"> je nato razveljavila Uredbo (EGS) št. 2454/93. </w:t>
      </w:r>
    </w:p>
    <w:p>
      <w:pPr>
        <w:pStyle w:val="ManualConsidrant"/>
        <w:rPr>
          <w:noProof/>
          <w:szCs w:val="24"/>
        </w:rPr>
      </w:pPr>
      <w:r>
        <w:t>(7)</w:t>
      </w:r>
      <w:r>
        <w:tab/>
      </w:r>
      <w:r>
        <w:rPr>
          <w:noProof/>
        </w:rPr>
        <w:t>Zato je Izvedbena uredba Komisije (EU) 2015/2447</w:t>
      </w:r>
      <w:r>
        <w:rPr>
          <w:rStyle w:val="FootnoteReference"/>
          <w:noProof/>
        </w:rPr>
        <w:footnoteReference w:id="15"/>
      </w:r>
      <w:r>
        <w:rPr>
          <w:noProof/>
        </w:rPr>
        <w:t>, ki določa vsa splošna pravila za izvajanje Uredbe (EU) št. 952/2013, v splošno shemo preferencialov (GSP) vključila spremenjene določbe o sistemu REX iz Uredbe (EU) 2015/428.</w:t>
      </w:r>
    </w:p>
    <w:p>
      <w:pPr>
        <w:pStyle w:val="ManualConsidrant"/>
        <w:rPr>
          <w:noProof/>
        </w:rPr>
      </w:pPr>
      <w:r>
        <w:t>(8)</w:t>
      </w:r>
      <w:r>
        <w:tab/>
      </w:r>
      <w:r>
        <w:rPr>
          <w:noProof/>
        </w:rPr>
        <w:t>Večina splošnih pravil za izvajanje carinskega zakonika Unije se nanaša na sistem REX, zato je treba ustrezno spremeniti Prilogo VI k Sklepu 2</w:t>
      </w:r>
      <w:r>
        <w:rPr>
          <w:noProof/>
          <w:color w:val="000000"/>
        </w:rPr>
        <w:t>013/755/EU</w:t>
      </w:r>
      <w:r>
        <w:rPr>
          <w:noProof/>
        </w:rPr>
        <w:t>.</w:t>
      </w:r>
      <w:r>
        <w:rPr>
          <w:noProof/>
          <w:color w:val="000000"/>
        </w:rPr>
        <w:t xml:space="preserve"> Navedeno prilogo bi bilo zato treba spremeniti, da se njene določbe o sistemu REX uskladijo z določbami o sistemu REX iz Uredbe (EU) 2015/2447 – </w:t>
      </w:r>
    </w:p>
    <w:p>
      <w:pPr>
        <w:pStyle w:val="Formuledadoption"/>
        <w:rPr>
          <w:noProof/>
        </w:rPr>
      </w:pPr>
      <w:r>
        <w:rPr>
          <w:noProof/>
        </w:rPr>
        <w:t xml:space="preserve">SPREJEL NASLEDNJI SKLEP: </w:t>
      </w:r>
    </w:p>
    <w:p>
      <w:pPr>
        <w:pStyle w:val="Titrearticle"/>
        <w:rPr>
          <w:b/>
          <w:i w:val="0"/>
          <w:noProof/>
        </w:rPr>
      </w:pPr>
      <w:r>
        <w:rPr>
          <w:noProof/>
        </w:rPr>
        <w:t>Člen 1</w:t>
      </w:r>
      <w:r>
        <w:rPr>
          <w:noProof/>
        </w:rPr>
        <w:br/>
      </w:r>
      <w:r>
        <w:rPr>
          <w:b/>
          <w:i w:val="0"/>
          <w:noProof/>
        </w:rPr>
        <w:t>Sprememba Sklepa 2013/755/EU</w:t>
      </w:r>
    </w:p>
    <w:p>
      <w:pPr>
        <w:rPr>
          <w:noProof/>
        </w:rPr>
      </w:pPr>
      <w:r>
        <w:rPr>
          <w:noProof/>
          <w:color w:val="000000"/>
        </w:rPr>
        <w:t>Priloga VI k Sklepu</w:t>
      </w:r>
      <w:r>
        <w:rPr>
          <w:noProof/>
        </w:rPr>
        <w:t xml:space="preserve"> 2013/755/EU </w:t>
      </w:r>
      <w:r>
        <w:rPr>
          <w:noProof/>
          <w:color w:val="000000"/>
        </w:rPr>
        <w:t>se nadomesti z besedilom iz Priloge k temu sklepu.</w:t>
      </w:r>
    </w:p>
    <w:p>
      <w:pPr>
        <w:pStyle w:val="Titrearticle"/>
        <w:keepNext w:val="0"/>
        <w:rPr>
          <w:b/>
          <w:i w:val="0"/>
          <w:noProof/>
        </w:rPr>
      </w:pPr>
      <w:r>
        <w:rPr>
          <w:noProof/>
        </w:rPr>
        <w:t>Člen 2</w:t>
      </w:r>
      <w:r>
        <w:rPr>
          <w:noProof/>
        </w:rPr>
        <w:br/>
      </w:r>
      <w:r>
        <w:rPr>
          <w:b/>
          <w:i w:val="0"/>
          <w:noProof/>
        </w:rPr>
        <w:t>Začetek veljavnosti</w:t>
      </w:r>
    </w:p>
    <w:p>
      <w:pPr>
        <w:keepLines/>
        <w:rPr>
          <w:noProof/>
        </w:rPr>
      </w:pPr>
      <w:r>
        <w:rPr>
          <w:noProof/>
        </w:rPr>
        <w:t xml:space="preserve">Ta sklep začne veljati dvajseti dan po objavi v </w:t>
      </w:r>
      <w:r>
        <w:rPr>
          <w:i/>
          <w:noProof/>
        </w:rPr>
        <w:t>Uradnem listu Evropske unije</w:t>
      </w:r>
      <w:r>
        <w:rPr>
          <w:noProof/>
        </w:rPr>
        <w:t>.</w:t>
      </w:r>
    </w:p>
    <w:p>
      <w:pPr>
        <w:keepNext/>
        <w:keepLines/>
        <w:rPr>
          <w:noProof/>
        </w:rPr>
      </w:pPr>
      <w:r>
        <w:rPr>
          <w:noProof/>
        </w:rPr>
        <w:t>Uporablja se od 1. januarja 2020.</w:t>
      </w:r>
    </w:p>
    <w:p>
      <w:pPr>
        <w:keepNext/>
        <w:keepLines/>
        <w:rPr>
          <w:noProof/>
        </w:rPr>
      </w:pP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Sklep 2013/755/EU z dne 25. novembra 2013 o pridružitvi čezmorskih držav in ozemelj Evropski uniji (Sklep o pridružitvi čezmorskih držav in ozemelj) (UL L 344, 19.12.2013, str. 1).</w:t>
      </w:r>
    </w:p>
  </w:footnote>
  <w:footnote w:id="2">
    <w:p>
      <w:pPr>
        <w:pStyle w:val="FootnoteText"/>
        <w:rPr>
          <w:lang w:val="pl-PL"/>
        </w:rPr>
      </w:pPr>
      <w:r>
        <w:rPr>
          <w:rStyle w:val="FootnoteReference"/>
        </w:rPr>
        <w:footnoteRef/>
      </w:r>
      <w:r>
        <w:rPr>
          <w:lang w:val="pl-PL"/>
        </w:rPr>
        <w:tab/>
        <w:t xml:space="preserve">Glej Prilogo II k PDEU. </w:t>
      </w:r>
    </w:p>
  </w:footnote>
  <w:footnote w:id="3">
    <w:p>
      <w:pPr>
        <w:pStyle w:val="FootnoteText"/>
        <w:rPr>
          <w:lang w:val="pl-PL"/>
        </w:rPr>
      </w:pPr>
      <w:r>
        <w:rPr>
          <w:rStyle w:val="FootnoteReference"/>
        </w:rPr>
        <w:footnoteRef/>
      </w:r>
      <w:r>
        <w:rPr>
          <w:lang w:val="pl-PL"/>
        </w:rPr>
        <w:tab/>
        <w:t>Izvedbeni sklep Komisije (EU) 2016/2093 z dne 29. novembra 2016 o odstopanju v zvezi z datumom začetka uporabe sistema registriranih izvoznikov za izvoz iz čezmorskih držav in ozemelj, C/2016/7606 (UL L 324, 30.11.2016 str. 18).</w:t>
      </w:r>
    </w:p>
  </w:footnote>
  <w:footnote w:id="4">
    <w:p>
      <w:pPr>
        <w:pStyle w:val="FootnoteText"/>
        <w:rPr>
          <w:lang w:val="pl-PL"/>
        </w:rPr>
      </w:pPr>
      <w:r>
        <w:rPr>
          <w:rStyle w:val="FootnoteReference"/>
        </w:rPr>
        <w:footnoteRef/>
      </w:r>
      <w:r>
        <w:rPr>
          <w:lang w:val="pl-PL"/>
        </w:rPr>
        <w:tab/>
        <w:t>Izvedbena uredba Komisije (EU) 2015/428 z dne 10. marca 2015 o spremembi Uredbe (EGS) št. 2454/93 in Uredbe (EU) št. 1063/2010 glede pravil o poreklu v zvezi s shemo splošnih tarifnih preferencialov in preferencialnimi tarifnimi ukrepi za nekatere države ali ozemlja (UL L 70, 14.3.2015, str. 12).</w:t>
      </w:r>
    </w:p>
  </w:footnote>
  <w:footnote w:id="5">
    <w:p>
      <w:pPr>
        <w:pStyle w:val="FootnoteText"/>
        <w:rPr>
          <w:lang w:val="pl-PL"/>
        </w:rPr>
      </w:pPr>
      <w:r>
        <w:rPr>
          <w:rStyle w:val="FootnoteReference"/>
        </w:rPr>
        <w:footnoteRef/>
      </w:r>
      <w:r>
        <w:rPr>
          <w:lang w:val="pl-PL"/>
        </w:rPr>
        <w:tab/>
        <w:t>Izvedbena uredba Komisije (EU) 2015/2447 z dne 24. novembra 2015 o določitvi podrobnih pravil za izvajanje nekaterih določb Uredbe (EU) št. 952/2013 Evropskega parlamenta in Sveta o carinskem zakoniku Unije (UL L 343, 29.12.2015, str. 558).</w:t>
      </w:r>
    </w:p>
  </w:footnote>
  <w:footnote w:id="6">
    <w:p>
      <w:pPr>
        <w:pStyle w:val="FootnoteText"/>
        <w:rPr>
          <w:lang w:val="pl-PL"/>
        </w:rPr>
      </w:pPr>
      <w:r>
        <w:rPr>
          <w:rStyle w:val="FootnoteReference"/>
        </w:rPr>
        <w:footnoteRef/>
      </w:r>
      <w:r>
        <w:rPr>
          <w:lang w:val="pl-PL"/>
        </w:rPr>
        <w:tab/>
      </w:r>
      <w:r>
        <w:rPr>
          <w:color w:val="000000"/>
          <w:u w:color="000000"/>
          <w:bdr w:val="nil"/>
          <w:lang w:val="pl-PL"/>
        </w:rPr>
        <w:t>UL L 344, 19.12.2013, str. 1.</w:t>
      </w:r>
    </w:p>
  </w:footnote>
  <w:footnote w:id="7">
    <w:p>
      <w:pPr>
        <w:pStyle w:val="FootnoteText"/>
        <w:rPr>
          <w:lang w:val="pl-PL"/>
        </w:rPr>
      </w:pPr>
      <w:r>
        <w:rPr>
          <w:rStyle w:val="FootnoteReference"/>
        </w:rPr>
        <w:footnoteRef/>
      </w:r>
      <w:r>
        <w:rPr>
          <w:lang w:val="pl-PL"/>
        </w:rPr>
        <w:tab/>
      </w:r>
      <w:r>
        <w:rPr>
          <w:color w:val="000000"/>
          <w:u w:color="000000"/>
          <w:bdr w:val="nil"/>
          <w:lang w:val="pl-PL"/>
        </w:rPr>
        <w:t>UL L 76, 15.3.2014, str. 1.</w:t>
      </w:r>
    </w:p>
  </w:footnote>
  <w:footnote w:id="8">
    <w:p>
      <w:pPr>
        <w:pStyle w:val="FootnoteText"/>
        <w:rPr>
          <w:lang w:val="pl-PL"/>
        </w:rPr>
      </w:pPr>
      <w:r>
        <w:rPr>
          <w:rStyle w:val="FootnoteReference"/>
        </w:rPr>
        <w:footnoteRef/>
      </w:r>
      <w:r>
        <w:rPr>
          <w:lang w:val="pl-PL"/>
        </w:rPr>
        <w:tab/>
        <w:t>Sklep Sveta 2013/755/EU z dne 25. novembra 2013 o pridružitvi čezmorskih držav in ozemelj Evropski uniji (UL L 344, 19.12.2013, str. 1).</w:t>
      </w:r>
    </w:p>
  </w:footnote>
  <w:footnote w:id="9">
    <w:p>
      <w:pPr>
        <w:pStyle w:val="FootnoteText"/>
        <w:rPr>
          <w:lang w:val="mt-MT"/>
        </w:rPr>
      </w:pPr>
      <w:r>
        <w:rPr>
          <w:rStyle w:val="FootnoteReference"/>
        </w:rPr>
        <w:footnoteRef/>
      </w:r>
      <w:r>
        <w:rPr>
          <w:lang w:val="pl-PL"/>
        </w:rPr>
        <w:tab/>
        <w:t>Izvedbeni sklep Komisije (EU) 2016/2093 z dne 29. novembra 2016 o odstopanju v zvezi z datumom začetka uporabe sistema registriranih izvoznikov za izvoz iz čezmorskih držav in ozemelj (UL L 324, 30.11.2016, str. 18).</w:t>
      </w:r>
    </w:p>
  </w:footnote>
  <w:footnote w:id="10">
    <w:p>
      <w:pPr>
        <w:pStyle w:val="FootnoteText"/>
        <w:rPr>
          <w:lang w:val="mt-MT"/>
        </w:rPr>
      </w:pPr>
      <w:r>
        <w:rPr>
          <w:rStyle w:val="FootnoteReference"/>
        </w:rPr>
        <w:footnoteRef/>
      </w:r>
      <w:r>
        <w:rPr>
          <w:lang w:val="mt-MT"/>
        </w:rPr>
        <w:tab/>
        <w:t>Uredba (EU) št. 952/2013 Evropskega parlamenta in Sveta z dne 9. oktobra 2013 o carinskem zakoniku Unije (UL L 269, 10.10.2013, str. 1).</w:t>
      </w:r>
    </w:p>
  </w:footnote>
  <w:footnote w:id="11">
    <w:p>
      <w:pPr>
        <w:pStyle w:val="FootnoteText"/>
        <w:rPr>
          <w:lang w:val="mt-MT"/>
        </w:rPr>
      </w:pPr>
      <w:r>
        <w:rPr>
          <w:rStyle w:val="FootnoteReference"/>
        </w:rPr>
        <w:footnoteRef/>
      </w:r>
      <w:r>
        <w:rPr>
          <w:lang w:val="mt-MT"/>
        </w:rPr>
        <w:tab/>
        <w:t>Uredba Sveta (EGS) št. 2913/92 z dne 12. oktobra 1992 o carinskem zakoniku Skupnosti (UL L 302, 19.10.1992, str. 1).</w:t>
      </w:r>
    </w:p>
  </w:footnote>
  <w:footnote w:id="12">
    <w:p>
      <w:pPr>
        <w:pStyle w:val="FootnoteText"/>
        <w:rPr>
          <w:lang w:val="mt-MT"/>
        </w:rPr>
      </w:pPr>
      <w:r>
        <w:rPr>
          <w:rStyle w:val="FootnoteReference"/>
        </w:rPr>
        <w:footnoteRef/>
      </w:r>
      <w:r>
        <w:rPr>
          <w:lang w:val="mt-MT"/>
        </w:rPr>
        <w:tab/>
        <w:t>Uredba Komisije (EGS) št. 2454/93 z dne 2. julija 1993 o določbah za izvajanje Uredbe Sveta (EGS) št. 2913/92 o carinskem zakoniku Skupnosti (UL L 253, 11.10.1993, str. 1).</w:t>
      </w:r>
    </w:p>
  </w:footnote>
  <w:footnote w:id="13">
    <w:p>
      <w:pPr>
        <w:pStyle w:val="FootnoteText"/>
        <w:rPr>
          <w:lang w:val="mt-MT"/>
        </w:rPr>
      </w:pPr>
      <w:r>
        <w:rPr>
          <w:rStyle w:val="FootnoteReference"/>
        </w:rPr>
        <w:footnoteRef/>
      </w:r>
      <w:r>
        <w:rPr>
          <w:lang w:val="mt-MT"/>
        </w:rPr>
        <w:tab/>
        <w:t>Izvedbena uredba Komisije (EU) 2015/428 z dne 10. marca 2015 o spremembi Uredbe (EGS) št. 2454/93 in Uredbe (EU) št. 1063/2010 glede pravil o poreklu v zvezi s shemo splošnih tarifnih preferencialov in preferencialnimi tarifnimi ukrepi za nekatere države ali ozemlja (UL L 70, 14.3.2015, str. 12).</w:t>
      </w:r>
    </w:p>
  </w:footnote>
  <w:footnote w:id="14">
    <w:p>
      <w:pPr>
        <w:pStyle w:val="FootnoteText"/>
        <w:rPr>
          <w:lang w:val="mt-MT"/>
        </w:rPr>
      </w:pPr>
      <w:r>
        <w:rPr>
          <w:rStyle w:val="FootnoteReference"/>
        </w:rPr>
        <w:footnoteRef/>
      </w:r>
      <w:r>
        <w:rPr>
          <w:lang w:val="mt-MT"/>
        </w:rPr>
        <w:tab/>
        <w:t>Izvedbena uredba Komisije (EU) 2016/481 z dne 1. aprila 2016 o razveljavitvi Uredbe Komisije (EGS) št. 2454/93 o določbah za izvajanje Uredbe Sveta (EGS) št. 2913/92 o carinskem zakoniku Skupnosti (UL L 87, 2.4.2016, str. 24).</w:t>
      </w:r>
    </w:p>
  </w:footnote>
  <w:footnote w:id="15">
    <w:p>
      <w:pPr>
        <w:pStyle w:val="FootnoteText"/>
        <w:rPr>
          <w:lang w:val="mt-MT"/>
        </w:rPr>
      </w:pPr>
      <w:r>
        <w:rPr>
          <w:rStyle w:val="FootnoteReference"/>
        </w:rPr>
        <w:footnoteRef/>
      </w:r>
      <w:r>
        <w:rPr>
          <w:lang w:val="mt-MT"/>
        </w:rPr>
        <w:tab/>
        <w:t>Izvedbena uredba Komisije (EU) 2015/2447 z dne 24. novembra 2015 o določitvi podrobnih pravil za izvajanje nekaterih določb Uredbe (EU) št. 952/2013 Evropskega parlamenta in Sveta o carinskem zakoniku Unije (UL L 343, 29.12.2015, str. 558).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A0A2D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8C6DC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9202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DD2C83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A62F1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0E6CE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E2296C"/>
    <w:lvl w:ilvl="0">
      <w:start w:val="1"/>
      <w:numFmt w:val="decimal"/>
      <w:pStyle w:val="ListNumber"/>
      <w:lvlText w:val="%1."/>
      <w:lvlJc w:val="left"/>
      <w:pPr>
        <w:tabs>
          <w:tab w:val="num" w:pos="360"/>
        </w:tabs>
        <w:ind w:left="360" w:hanging="360"/>
      </w:pPr>
    </w:lvl>
  </w:abstractNum>
  <w:abstractNum w:abstractNumId="7">
    <w:nsid w:val="FFFFFF89"/>
    <w:multiLevelType w:val="singleLevel"/>
    <w:tmpl w:val="BC0208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26 08:54: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B095C1C-A072-44B0-BE2B-5FBF7A8531F9"/>
    <w:docVar w:name="LW_COVERPAGE_TYPE" w:val="1"/>
    <w:docVar w:name="LW_CROSSREFERENCE" w:val="&lt;UNUSED&gt;"/>
    <w:docVar w:name="LW_DocType" w:val="COM"/>
    <w:docVar w:name="LW_EMISSION" w:val="2.8.2019"/>
    <w:docVar w:name="LW_EMISSION_ISODATE" w:val="2019-08-02"/>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NS"/>
    <w:docVar w:name="LW_REF.II.NEW.CP_NUMBER" w:val="0162"/>
    <w:docVar w:name="LW_REF.II.NEW.CP_YEAR" w:val="2019"/>
    <w:docVar w:name="LW_REF.INST.NEW" w:val="COM"/>
    <w:docVar w:name="LW_REF.INST.NEW_ADOPTED" w:val="final"/>
    <w:docVar w:name="LW_REF.INST.NEW_TEXT" w:val="(2019) 3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premembi Sklepa Sveta 2013/755/EU z dne 25. novembra 2013 o pridru\u382?itvi \u269?ezmorskih dr\u382?av in ozemelj Evropski uniji (Sklep o pridru\u382?itvi \u269?ezmorskih dr\u382?av in ozemelj)"/>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CM1">
    <w:name w:val="CM1"/>
    <w:basedOn w:val="Normal"/>
    <w:uiPriority w:val="99"/>
    <w:pPr>
      <w:autoSpaceDE w:val="0"/>
      <w:autoSpaceDN w:val="0"/>
      <w:spacing w:before="0" w:after="0"/>
      <w:jc w:val="left"/>
    </w:pPr>
    <w:rPr>
      <w:rFonts w:ascii="EUAlbertina" w:hAnsi="EUAlbertina"/>
      <w:szCs w:val="24"/>
    </w:rPr>
  </w:style>
  <w:style w:type="paragraph" w:customStyle="1" w:styleId="Footnote">
    <w:name w:val="Footnote"/>
    <w:basedOn w:val="Normal"/>
    <w:rPr>
      <w:rFonts w:eastAsia="Times New Roman"/>
      <w:noProof/>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CM1">
    <w:name w:val="CM1"/>
    <w:basedOn w:val="Normal"/>
    <w:uiPriority w:val="99"/>
    <w:pPr>
      <w:autoSpaceDE w:val="0"/>
      <w:autoSpaceDN w:val="0"/>
      <w:spacing w:before="0" w:after="0"/>
      <w:jc w:val="left"/>
    </w:pPr>
    <w:rPr>
      <w:rFonts w:ascii="EUAlbertina" w:hAnsi="EUAlbertina"/>
      <w:szCs w:val="24"/>
    </w:rPr>
  </w:style>
  <w:style w:type="paragraph" w:customStyle="1" w:styleId="Footnote">
    <w:name w:val="Footnote"/>
    <w:basedOn w:val="Normal"/>
    <w:rPr>
      <w:rFonts w:eastAsia="Times New Roman"/>
      <w:noProof/>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7757">
      <w:bodyDiv w:val="1"/>
      <w:marLeft w:val="0"/>
      <w:marRight w:val="0"/>
      <w:marTop w:val="0"/>
      <w:marBottom w:val="0"/>
      <w:divBdr>
        <w:top w:val="none" w:sz="0" w:space="0" w:color="auto"/>
        <w:left w:val="none" w:sz="0" w:space="0" w:color="auto"/>
        <w:bottom w:val="none" w:sz="0" w:space="0" w:color="auto"/>
        <w:right w:val="none" w:sz="0" w:space="0" w:color="auto"/>
      </w:divBdr>
    </w:div>
    <w:div w:id="9207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33BCC20-95FF-4C25-86E2-D752F27D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1953</Words>
  <Characters>10571</Characters>
  <Application>Microsoft Office Word</Application>
  <DocSecurity>0</DocSecurity>
  <Lines>203</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2019-05-16T12:10:00Z</cp:lastPrinted>
  <dcterms:created xsi:type="dcterms:W3CDTF">2019-06-24T19:42:00Z</dcterms:created>
  <dcterms:modified xsi:type="dcterms:W3CDTF">2019-07-26T06:54:00Z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