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FA582A-53E9-43E8-BDB8-E7E26ECC10CF" style="width:450.4pt;height:351.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widowControl w:val="0"/>
        <w:spacing w:before="0" w:after="155"/>
        <w:rPr>
          <w:rFonts w:eastAsia="Times New Roman"/>
          <w:noProof/>
          <w:szCs w:val="24"/>
        </w:rPr>
      </w:pPr>
      <w:r>
        <w:rPr>
          <w:noProof/>
        </w:rPr>
        <w:t>Syftet med förslaget är att ändra bilaga VI till rådets beslut 2013/755/EU</w:t>
      </w:r>
      <w:r>
        <w:rPr>
          <w:rStyle w:val="FootnoteReference"/>
          <w:noProof/>
        </w:rPr>
        <w:footnoteReference w:id="1"/>
      </w:r>
      <w:r>
        <w:rPr>
          <w:noProof/>
        </w:rPr>
        <w:t xml:space="preserve"> om associering av de utomeuropeiska länderna och territorierna med Europeiska unionen. Ändringen krävs för att systemet med registrerade exportörer (REX-systemet) ska kunna tillämpas för styrkande av ursprung.</w:t>
      </w:r>
    </w:p>
    <w:p>
      <w:pPr>
        <w:rPr>
          <w:rFonts w:eastAsia="Times New Roman"/>
          <w:noProof/>
          <w:szCs w:val="24"/>
        </w:rPr>
      </w:pPr>
      <w:r>
        <w:rPr>
          <w:noProof/>
        </w:rPr>
        <w:t>De utomeuropeiska länderna och territorierna (ULT) har varit associerade med Europeiska unionen (EU) sedan Romfördragets ikraftträdande. Dessa 25 öar i Atlanten, Antarktis, Arktis, Västindien, Indiska oceanen och Stillahavsområdet</w:t>
      </w:r>
      <w:r>
        <w:rPr>
          <w:rStyle w:val="FootnoteReference"/>
          <w:noProof/>
        </w:rPr>
        <w:footnoteReference w:id="2"/>
      </w:r>
      <w:r>
        <w:rPr>
          <w:noProof/>
        </w:rPr>
        <w:t xml:space="preserve"> är inte suveräna stater utan beroende av någon av de fyra EU-medlemsstaterna Danmark, Frankrike, Förenade kungariket eller Nederländerna. </w:t>
      </w:r>
    </w:p>
    <w:p>
      <w:pPr>
        <w:pBdr>
          <w:top w:val="nil"/>
          <w:left w:val="nil"/>
          <w:bottom w:val="nil"/>
          <w:right w:val="nil"/>
          <w:between w:val="nil"/>
          <w:bar w:val="nil"/>
        </w:pBdr>
        <w:spacing w:before="0" w:after="240"/>
        <w:rPr>
          <w:rFonts w:eastAsia="Times New Roman"/>
          <w:noProof/>
          <w:szCs w:val="24"/>
        </w:rPr>
      </w:pPr>
      <w:r>
        <w:rPr>
          <w:noProof/>
        </w:rPr>
        <w:t>ULT har generellt sett ett ganska omfattande självstyre vilket sträcker sig över områden såsom ekonomi, arbetsmarknad, folkhälsa, inrikes frågor och tullar. Försvars- och utrikespolitiken sköts dock huvudsakligen av berörd medlemsstat. ULT ingår inte i unionens tullområde och står utanför den inre marknaden. Unionens lagstiftning är därför inte tillämplig. I sin egenskap av medborgare i den medlemsstat i Europeiska unionen som deras ULT har konstitutionella band till är ULT-invånare även medborgare i EU.</w:t>
      </w:r>
    </w:p>
    <w:p>
      <w:pPr>
        <w:widowControl w:val="0"/>
        <w:spacing w:before="0" w:after="155"/>
        <w:rPr>
          <w:rFonts w:eastAsia="Times New Roman"/>
          <w:noProof/>
          <w:szCs w:val="24"/>
        </w:rPr>
      </w:pPr>
      <w:r>
        <w:rPr>
          <w:noProof/>
        </w:rPr>
        <w:t>Enligt artikel 198 i fördraget om Europeiska unionens funktionssätt (EUF-fördraget) syftar associeringen till att främja ULT:s ekonomiska och sociala utveckling och upprätta nära ekonomiska förbindelser mellan dem och unionen som helhet.</w:t>
      </w:r>
    </w:p>
    <w:p>
      <w:pPr>
        <w:widowControl w:val="0"/>
        <w:spacing w:before="0" w:after="155"/>
        <w:rPr>
          <w:rFonts w:eastAsia="Times New Roman"/>
          <w:noProof/>
          <w:szCs w:val="24"/>
        </w:rPr>
      </w:pPr>
      <w:r>
        <w:rPr>
          <w:noProof/>
        </w:rPr>
        <w:t xml:space="preserve">Rådets beslut 2013/755/EU av den 25 november 2013 – beslutet om associering av de utomeuropeiska länderna och territorierna (ULT-beslutet) – trädde i kraft den 1 januari 2014 och täcker förbindelserna mellan ULT (inbegripet Grönland), de medlemsstater som de är knutna till och Europeiska unionen. Där beskrivs de särskilda förbindelser som ULT har med unionen och det särskilda regelverk som är tillämpligt på dem inom de tre centrala områdena politik, handel och samarbete. </w:t>
      </w:r>
    </w:p>
    <w:p>
      <w:pPr>
        <w:widowControl w:val="0"/>
        <w:spacing w:before="0" w:after="155"/>
        <w:rPr>
          <w:rFonts w:eastAsia="Times New Roman"/>
          <w:noProof/>
          <w:szCs w:val="24"/>
        </w:rPr>
      </w:pPr>
      <w:r>
        <w:rPr>
          <w:noProof/>
        </w:rPr>
        <w:t xml:space="preserve">När det gäller varuhandel omfattas produkter med ursprung i ULT av tull- och kvotfri import till unionen i enlighet med artiklarna 43 och 44 i ULT-beslutet. </w:t>
      </w:r>
    </w:p>
    <w:p>
      <w:pPr>
        <w:widowControl w:val="0"/>
        <w:spacing w:before="0" w:after="155"/>
        <w:rPr>
          <w:rFonts w:eastAsia="Times New Roman"/>
          <w:noProof/>
          <w:szCs w:val="24"/>
        </w:rPr>
      </w:pPr>
      <w:r>
        <w:rPr>
          <w:noProof/>
        </w:rPr>
        <w:t xml:space="preserve">I bilaga VI till ULT-beslutet definieras ”ursprungsprodukter” och metoderna för administrativt samarbete mellan EU och ULT. Där finns bestämmelser som syftar till att genomföra REX-systemet för styrkande av ursprung från och med den 1 januari 2017. </w:t>
      </w:r>
    </w:p>
    <w:p>
      <w:pPr>
        <w:widowControl w:val="0"/>
        <w:spacing w:before="0" w:after="155"/>
        <w:rPr>
          <w:rFonts w:eastAsia="Times New Roman"/>
          <w:noProof/>
          <w:szCs w:val="24"/>
        </w:rPr>
      </w:pPr>
      <w:bookmarkStart w:id="1" w:name="_Toc319512655"/>
      <w:bookmarkStart w:id="2" w:name="_Toc319512656"/>
      <w:bookmarkStart w:id="3" w:name="_Toc319512657"/>
      <w:bookmarkStart w:id="4" w:name="_Toc319512658"/>
      <w:bookmarkStart w:id="5" w:name="_Toc319512659"/>
      <w:bookmarkStart w:id="6" w:name="_Toc319512661"/>
      <w:bookmarkStart w:id="7" w:name="_Toc319512662"/>
      <w:bookmarkStart w:id="8" w:name="_Toc319512665"/>
      <w:bookmarkStart w:id="9" w:name="_Toc319512666"/>
      <w:bookmarkStart w:id="10" w:name="_Toc319512667"/>
      <w:bookmarkStart w:id="11" w:name="_Toc319512668"/>
      <w:bookmarkStart w:id="12" w:name="_Toc319512669"/>
      <w:bookmarkStart w:id="13" w:name="_Toc319512671"/>
      <w:bookmarkEnd w:id="1"/>
      <w:bookmarkEnd w:id="2"/>
      <w:bookmarkEnd w:id="3"/>
      <w:bookmarkEnd w:id="4"/>
      <w:bookmarkEnd w:id="5"/>
      <w:bookmarkEnd w:id="6"/>
      <w:bookmarkEnd w:id="7"/>
      <w:bookmarkEnd w:id="8"/>
      <w:bookmarkEnd w:id="9"/>
      <w:bookmarkEnd w:id="10"/>
      <w:bookmarkEnd w:id="11"/>
      <w:bookmarkEnd w:id="12"/>
      <w:bookmarkEnd w:id="13"/>
      <w:r>
        <w:rPr>
          <w:noProof/>
        </w:rPr>
        <w:t>I artikel 58 i bilaga VI anges att kommissionen ska upprätta en databas över registrerade exportörer. Den har följande lydelse: ”På grundval av uppgifterna från ULT:s statliga myndigheter och medlemsstaternas tullmyndigheter ska kommissionen upprätta en elektronisk databas över registrerade exportörer.”</w:t>
      </w:r>
    </w:p>
    <w:p>
      <w:pPr>
        <w:rPr>
          <w:rFonts w:eastAsia="Times New Roman"/>
          <w:i/>
          <w:noProof/>
          <w:szCs w:val="24"/>
        </w:rPr>
      </w:pPr>
      <w:r>
        <w:rPr>
          <w:noProof/>
        </w:rPr>
        <w:t>I artikel 63.1 i bilaga VI föreskrivs ett undantag från tillämpningen av de bestämmelser som gäller för REX-systemet: ”Genom undantag från systemet med registrerade exportörer får kommissionen anta beslut om att tillåta att artiklarna 21–35 och 54, 55 och 56 i denna bilaga tillämpas på export från ett eller flera ULT efter den 1 januari 2017.”</w:t>
      </w:r>
    </w:p>
    <w:p>
      <w:pPr>
        <w:rPr>
          <w:noProof/>
        </w:rPr>
      </w:pPr>
      <w:r>
        <w:rPr>
          <w:noProof/>
        </w:rPr>
        <w:t>De utomeuropeiska länderna och territorierna var inte redo att från och med den 1 januari 2017 tillämpa REX-systemet i enlighet med bilaga VI till ULT-beslutet. Således begärde samtliga ULT i enlighet med artikel 63.2 i bilaga VI till beslut 2013/755/EU, genom skrivelser till kommissionen, ett undantag på tre år. Den 29 november 2016 antog kommissionen genomförandebeslut (EU) 2016/2093</w:t>
      </w:r>
      <w:r>
        <w:rPr>
          <w:rStyle w:val="FootnoteReference"/>
          <w:noProof/>
        </w:rPr>
        <w:footnoteReference w:id="3"/>
      </w:r>
      <w:r>
        <w:rPr>
          <w:noProof/>
        </w:rPr>
        <w:t xml:space="preserve"> om att senarelägga datumet för införande av REX-systemet för ULT till den 1 januari 2020. </w:t>
      </w:r>
    </w:p>
    <w:p>
      <w:pPr>
        <w:rPr>
          <w:rFonts w:eastAsia="Times New Roman"/>
          <w:noProof/>
          <w:szCs w:val="24"/>
        </w:rPr>
      </w:pPr>
      <w:r>
        <w:rPr>
          <w:noProof/>
        </w:rPr>
        <w:t xml:space="preserve">Detta innebär att ULT från och med den 1 januari 2020 måste tillämpa REX-systemet i enlighet med det nuvarande ULT-beslutet. </w:t>
      </w:r>
    </w:p>
    <w:p>
      <w:pPr>
        <w:rPr>
          <w:rFonts w:eastAsia="Times New Roman"/>
          <w:noProof/>
          <w:szCs w:val="24"/>
        </w:rPr>
      </w:pPr>
      <w:r>
        <w:rPr>
          <w:noProof/>
        </w:rPr>
        <w:t>Den 10 mars 2015 ändrade kommissionen genom genomförandeförordning (EU) 2015/428</w:t>
      </w:r>
      <w:r>
        <w:rPr>
          <w:rStyle w:val="FootnoteReference"/>
          <w:noProof/>
        </w:rPr>
        <w:footnoteReference w:id="4"/>
      </w:r>
      <w:r>
        <w:rPr>
          <w:noProof/>
        </w:rPr>
        <w:t xml:space="preserve"> de ursprungsregler som gäller för REX-systemet inom det allmänna preferenssystem (GSP) som inrättades genom förordning (EEG) nr 2454/93.</w:t>
      </w:r>
    </w:p>
    <w:p>
      <w:pPr>
        <w:rPr>
          <w:noProof/>
        </w:rPr>
      </w:pPr>
      <w:r>
        <w:rPr>
          <w:noProof/>
        </w:rPr>
        <w:t>Den 24 november 2015 antog kommissionen genomförandeförordning (EU) 2015/2447</w:t>
      </w:r>
      <w:r>
        <w:rPr>
          <w:rStyle w:val="FootnoteReference"/>
          <w:noProof/>
        </w:rPr>
        <w:footnoteReference w:id="5"/>
      </w:r>
      <w:r>
        <w:rPr>
          <w:noProof/>
        </w:rPr>
        <w:t>, till vilken alla allmänna bestämmelser för genomförande av unionens tullkodex, bland annat bestämmelserna om REX-systemet i det allmänna preferenssystemet, har överförts.</w:t>
      </w:r>
    </w:p>
    <w:p>
      <w:pPr>
        <w:rPr>
          <w:rFonts w:eastAsia="Times New Roman"/>
          <w:noProof/>
          <w:szCs w:val="24"/>
        </w:rPr>
      </w:pPr>
      <w:r>
        <w:rPr>
          <w:noProof/>
        </w:rPr>
        <w:t xml:space="preserve">Bestämmelserna i bilaga VI till ULT-beslutet om förfarandena för systemet med registrerade exportörer skiljer sig följaktligen från bestämmelserna i det allmänna preferenssystemets ursprungsregler. </w:t>
      </w:r>
    </w:p>
    <w:p>
      <w:pPr>
        <w:rPr>
          <w:rFonts w:eastAsia="Times New Roman"/>
          <w:noProof/>
          <w:szCs w:val="24"/>
        </w:rPr>
      </w:pPr>
      <w:r>
        <w:rPr>
          <w:noProof/>
        </w:rPr>
        <w:t>Bilaga VI till ULT-beslutet bör därför ändras för att uppnå överensstämmelse med bestämmelserna om REX-systemet i förordning (EU) 2015/2447.</w:t>
      </w:r>
    </w:p>
    <w:p>
      <w:pPr>
        <w:rPr>
          <w:rFonts w:eastAsia="Times New Roman"/>
          <w:noProof/>
          <w:szCs w:val="24"/>
        </w:rPr>
      </w:pPr>
      <w:r>
        <w:rPr>
          <w:noProof/>
        </w:rPr>
        <w:t>I samband med förhandlingarna om nästa fleråriga budgetram lade kommissionen den 14 juni 2018 fram ett förslag till ett nytt beslut om associering av de utomeuropeiska länderna och territorierna (nytt ULT-beslut). Det förslaget innehåller uppdaterade bestämmelser om REX-systemet som är förenliga med den nya lagstiftningen. Det bör dock träda i kraft först i januari 2021, efter det att det särskilda lagstiftningsförfarandet har slutförts i enlighet med artikel 203 i EUF-fördraget. Således kommer det nya ULT-beslutet att åtgärda frågan om förenlighet med REX-systemet först från och med den tidpunkten.</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color w:val="000000"/>
          <w:u w:color="000000"/>
          <w:bdr w:val="nil"/>
        </w:rPr>
      </w:pPr>
      <w:r>
        <w:rPr>
          <w:noProof/>
          <w:color w:val="000000"/>
          <w:u w:color="000000"/>
          <w:bdr w:val="nil"/>
        </w:rPr>
        <w:t>De gällande reglerna och bestämmelserna för associeringen mellan ULT och EU fastställs i beslut 2013/755/EU av den 25 november 2013</w:t>
      </w:r>
      <w:r>
        <w:rPr>
          <w:rStyle w:val="FootnoteReference"/>
          <w:noProof/>
        </w:rPr>
        <w:footnoteReference w:id="6"/>
      </w:r>
      <w:r>
        <w:rPr>
          <w:noProof/>
          <w:color w:val="000000"/>
          <w:u w:color="000000"/>
          <w:bdr w:val="nil"/>
        </w:rPr>
        <w:t xml:space="preserve"> om associering av de utomeuropeiska länderna och territorierna med Europeiska unionen, vilket också omfattar Grönland. Ytterligare bestämmelser om förbindelserna med Grönland anges i beslut 2014/137/EU av den 14 mars 2014</w:t>
      </w:r>
      <w:r>
        <w:rPr>
          <w:rStyle w:val="FootnoteReference"/>
          <w:noProof/>
        </w:rPr>
        <w:footnoteReference w:id="7"/>
      </w:r>
      <w:r>
        <w:rPr>
          <w:noProof/>
          <w:color w:val="000000"/>
          <w:u w:color="000000"/>
          <w:bdr w:val="nil"/>
        </w:rPr>
        <w:t xml:space="preserve"> om förbindelserna mellan Europeiska unionen, å ena sidan, och Grönland och Konungariket Danmark, å andra sidan.</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color w:val="000000"/>
        </w:rPr>
        <w:t>Detta förslag ändrar de tekniska bestämmelser som beaktar lagstiftningens utveckling på detta område.</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rFonts w:eastAsia="Times New Roman"/>
          <w:noProof/>
          <w:szCs w:val="24"/>
        </w:rPr>
      </w:pPr>
      <w:r>
        <w:rPr>
          <w:noProof/>
        </w:rPr>
        <w:t>ULT-beslutet grundar sig på fjärde delen i EUF-fördraget. De närmare bestämmelserna och förfarandet för associering fastställs i rådsbeslut som grundar sig på artikel 203 i EUF-fördraget, enligt vilken sådana akter ska antas i enlighet med ett särskilt lagstiftningsförfarande.</w:t>
      </w:r>
    </w:p>
    <w:p>
      <w:pPr>
        <w:rPr>
          <w:rFonts w:eastAsia="Times New Roman"/>
          <w:noProof/>
          <w:szCs w:val="24"/>
        </w:rPr>
      </w:pPr>
      <w:r>
        <w:rPr>
          <w:noProof/>
        </w:rPr>
        <w:t>Artiklarna 198–204 i EUF-fördraget är tillämpliga på Grönland, om inte annat följer av de särskilda bestämmelser som anges i protokoll nr 34 om en särskild ordning för Grönland som fogats till EUF-fördraget.</w:t>
      </w:r>
    </w:p>
    <w:p>
      <w:pPr>
        <w:rPr>
          <w:rFonts w:eastAsia="Times New Roman"/>
          <w:noProof/>
          <w:szCs w:val="24"/>
        </w:rPr>
      </w:pPr>
      <w:r>
        <w:rPr>
          <w:noProof/>
        </w:rPr>
        <w:t>Eftersom bilagorna utgör en integrerad del av ULT-beslutet, gäller samma rättsliga grund och förfarande för alla ändringar av bilagorna.</w:t>
      </w:r>
    </w:p>
    <w:p>
      <w:pPr>
        <w:rPr>
          <w:rFonts w:eastAsia="Times New Roman"/>
          <w:noProof/>
          <w:sz w:val="6"/>
          <w:szCs w:val="6"/>
        </w:rPr>
      </w:pPr>
    </w:p>
    <w:p>
      <w:pPr>
        <w:pStyle w:val="ManualHeading2"/>
        <w:rPr>
          <w:rFonts w:eastAsia="Arial Unicode MS"/>
          <w:noProof/>
          <w:u w:color="000000"/>
          <w:bdr w:val="nil"/>
        </w:rPr>
      </w:pPr>
      <w:r>
        <w:rPr>
          <w:noProof/>
        </w:rPr>
        <w:t>•</w:t>
      </w:r>
      <w:r>
        <w:rPr>
          <w:noProof/>
        </w:rPr>
        <w:tab/>
        <w:t xml:space="preserve">Subsidiaritetsprincipen (för icke-exklusiv befogenhet) </w:t>
      </w:r>
    </w:p>
    <w:p>
      <w:pPr>
        <w:rPr>
          <w:rFonts w:eastAsia="Times New Roman"/>
          <w:noProof/>
          <w:szCs w:val="24"/>
        </w:rPr>
      </w:pPr>
      <w:r>
        <w:rPr>
          <w:noProof/>
        </w:rPr>
        <w:t xml:space="preserve">De närmare detaljerna när det gäller bestämmelserna i fjärde delen i EUF-fördraget måste fastställas på unionsnivå, eftersom den ekonomiska och sociala utveckling och de nära ekonomiska band mellan ULT och unionen i dess helhet som är syftet med associeringen inte kan uppnås genom åtgärder på medlemsstatsnivå. </w:t>
      </w:r>
    </w:p>
    <w:p>
      <w:pPr>
        <w:rPr>
          <w:rFonts w:eastAsia="Times New Roman"/>
          <w:noProof/>
          <w:color w:val="000000"/>
          <w:szCs w:val="24"/>
        </w:rPr>
      </w:pPr>
      <w:r>
        <w:rPr>
          <w:noProof/>
        </w:rPr>
        <w:t xml:space="preserve">Dessutom kan medlemsstaterna inte vidta åtgärder med avseende på ULT-handelsordningen, eftersom EU ensamt ansvarar för den gemensamma handelspolitiken (avdelning II i femte delen i EUF-fördraget). </w:t>
      </w:r>
      <w:r>
        <w:rPr>
          <w:noProof/>
          <w:color w:val="000000"/>
        </w:rPr>
        <w:t>Denna ändring säkerställer att REX-systemet genomförs på ett enhetligt sätt.</w:t>
      </w:r>
    </w:p>
    <w:p>
      <w:pPr>
        <w:rPr>
          <w:rFonts w:eastAsia="Arial Unicode MS"/>
          <w:noProof/>
          <w:sz w:val="6"/>
          <w:szCs w:val="6"/>
        </w:rPr>
      </w:pPr>
    </w:p>
    <w:p>
      <w:pPr>
        <w:pStyle w:val="ManualHeading2"/>
        <w:rPr>
          <w:rFonts w:eastAsia="Arial Unicode MS"/>
          <w:noProof/>
          <w:u w:color="000000"/>
          <w:bdr w:val="nil"/>
        </w:rPr>
      </w:pPr>
      <w:r>
        <w:rPr>
          <w:noProof/>
        </w:rPr>
        <w:t>•</w:t>
      </w:r>
      <w:r>
        <w:rPr>
          <w:noProof/>
        </w:rPr>
        <w:tab/>
        <w:t>Proportionalitetsprincipen</w:t>
      </w:r>
    </w:p>
    <w:p>
      <w:pPr>
        <w:rPr>
          <w:rFonts w:eastAsia="Times New Roman"/>
          <w:noProof/>
          <w:szCs w:val="24"/>
        </w:rPr>
      </w:pPr>
      <w:r>
        <w:rPr>
          <w:noProof/>
        </w:rPr>
        <w:t xml:space="preserve">Förslaget är begränsat till att uppgradera villkoren för definitionen av ”ursprungsprodukter” och metoderna för administrativt samarbete mellan ULT och unionen. Därför föreskrivs en uppgradering av bestämmelserna om REX-systemet. </w:t>
      </w:r>
    </w:p>
    <w:p>
      <w:pPr>
        <w:pBdr>
          <w:top w:val="nil"/>
          <w:left w:val="nil"/>
          <w:bottom w:val="nil"/>
          <w:right w:val="nil"/>
          <w:between w:val="nil"/>
          <w:bar w:val="nil"/>
        </w:pBdr>
        <w:spacing w:before="0" w:after="240"/>
        <w:rPr>
          <w:rFonts w:eastAsia="Arial Unicode MS"/>
          <w:noProof/>
        </w:rPr>
      </w:pPr>
      <w:r>
        <w:rPr>
          <w:noProof/>
        </w:rPr>
        <w:t>Behandlingen av personuppgifter är helt förenlig med unionens och medlemsstaternas dataskyddsregler.</w:t>
      </w:r>
    </w:p>
    <w:p>
      <w:pPr>
        <w:pStyle w:val="ManualHeading1"/>
        <w:rPr>
          <w:noProof/>
        </w:rPr>
      </w:pPr>
      <w:r>
        <w:rPr>
          <w:noProof/>
        </w:rPr>
        <w:t>3.</w:t>
      </w:r>
      <w:r>
        <w:rPr>
          <w:noProof/>
        </w:rPr>
        <w:tab/>
        <w:t>RESULTAT AV EFTERHANDSUTVÄRDERINGAR, SAMRÅD MED BERÖRDA PARTER OCH KONSEKVENSBEDÖMNINGAR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påverkar inte unionens budget. Det har bara kopplingar till de godkända anslagen för att genomföra det gällande ULT-beslutet.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rPr>
          <w:rFonts w:eastAsia="Arial Unicode MS"/>
          <w:noProof/>
          <w:u w:color="000000"/>
          <w:bdr w:val="nil"/>
        </w:rPr>
      </w:pPr>
      <w:r>
        <w:rPr>
          <w:noProof/>
        </w:rPr>
        <w:t>Ej tillämpligt.</w:t>
      </w:r>
    </w:p>
    <w:p>
      <w:pPr>
        <w:rPr>
          <w:rFonts w:eastAsia="Arial Unicode MS"/>
          <w:noProof/>
          <w:sz w:val="12"/>
          <w:szCs w:val="12"/>
          <w:u w:color="000000"/>
          <w:bdr w:val="nil"/>
        </w:rPr>
      </w:pPr>
    </w:p>
    <w:p>
      <w:pPr>
        <w:pStyle w:val="ManualHeading2"/>
        <w:rPr>
          <w:rFonts w:eastAsia="Arial Unicode MS"/>
          <w:noProof/>
          <w:u w:color="000000"/>
          <w:bdr w:val="nil"/>
        </w:rPr>
      </w:pPr>
      <w:r>
        <w:rPr>
          <w:noProof/>
        </w:rPr>
        <w:t>•</w:t>
      </w:r>
      <w:r>
        <w:rPr>
          <w:noProof/>
        </w:rPr>
        <w:tab/>
        <w:t>Ingående redogörelse för de specifika bestämmelserna i förslaget</w:t>
      </w:r>
    </w:p>
    <w:p>
      <w:pPr>
        <w:keepNext/>
        <w:tabs>
          <w:tab w:val="left" w:pos="0"/>
        </w:tabs>
        <w:outlineLvl w:val="1"/>
        <w:rPr>
          <w:rFonts w:eastAsia="Times New Roman"/>
          <w:noProof/>
          <w:color w:val="000000"/>
          <w:szCs w:val="24"/>
        </w:rPr>
      </w:pPr>
      <w:r>
        <w:rPr>
          <w:noProof/>
        </w:rPr>
        <w:t>Genom förslaget införlivas i bilaga VI till ULT-beslutet de bestämmelser för att genomföra REX-systemet som anges i förordning (EU) 2015/2447.</w:t>
      </w:r>
      <w:r>
        <w:rPr>
          <w:noProof/>
          <w:color w:val="000000"/>
        </w:rPr>
        <w:t xml:space="preserve"> Bilaga VI ersätts i dess helhet.</w:t>
      </w:r>
    </w:p>
    <w:p>
      <w:pPr>
        <w:pBdr>
          <w:top w:val="nil"/>
          <w:left w:val="nil"/>
          <w:bottom w:val="nil"/>
          <w:right w:val="nil"/>
          <w:between w:val="nil"/>
          <w:bar w:val="nil"/>
        </w:pBdr>
        <w:spacing w:before="0" w:after="240"/>
        <w:rPr>
          <w:rFonts w:eastAsia="Times New Roman"/>
          <w:noProof/>
          <w:color w:val="000000"/>
          <w:szCs w:val="24"/>
        </w:rPr>
      </w:pPr>
      <w:r>
        <w:rPr>
          <w:noProof/>
          <w:color w:val="000000"/>
        </w:rPr>
        <w:t>De viktigaste förändringarna är följande:</w:t>
      </w:r>
    </w:p>
    <w:p>
      <w:pPr>
        <w:pStyle w:val="ManualNumPar1"/>
        <w:rPr>
          <w:noProof/>
        </w:rPr>
      </w:pPr>
      <w:r>
        <w:t>1.</w:t>
      </w:r>
      <w:r>
        <w:tab/>
      </w:r>
      <w:r>
        <w:rPr>
          <w:noProof/>
        </w:rPr>
        <w:t>I artikel 1 har definitionen av ”REX-systemet” lagts till som ett nytt led s. Det hänvisas till artikel 80.1 i genomförandeförordningen för unionens tullkodex. Hänvisningarna till genomförandeförordningen för unionens tullkodex ingår i fotnoten.</w:t>
      </w:r>
    </w:p>
    <w:p>
      <w:pPr>
        <w:pStyle w:val="ManualNumPar1"/>
        <w:rPr>
          <w:noProof/>
        </w:rPr>
      </w:pPr>
      <w:r>
        <w:t>2.</w:t>
      </w:r>
      <w:r>
        <w:tab/>
      </w:r>
      <w:r>
        <w:rPr>
          <w:noProof/>
        </w:rPr>
        <w:t xml:space="preserve">I artikel 8.3 stryks uteslutandet av produkter enligt tillägg XIII liksom hela tillägg XIII, eftersom uteslutandet upphörde att gälla den 1 oktober 2015. </w:t>
      </w:r>
    </w:p>
    <w:p>
      <w:pPr>
        <w:pStyle w:val="ManualNumPar1"/>
        <w:rPr>
          <w:noProof/>
        </w:rPr>
      </w:pPr>
      <w:r>
        <w:t>3.</w:t>
      </w:r>
      <w:r>
        <w:tab/>
      </w:r>
      <w:r>
        <w:rPr>
          <w:noProof/>
        </w:rPr>
        <w:t>I artikel 9 har tidigare hänvisningar till förordning (EG) nr 732/2008 ersatts med hänvisningar till förordning (EU) nr 978/2012. I en fotnot till artikel 9.3 hänvisas det till den delegerade akten till unionens tullkodex.</w:t>
      </w:r>
    </w:p>
    <w:p>
      <w:pPr>
        <w:pStyle w:val="ManualNumPar1"/>
        <w:rPr>
          <w:noProof/>
        </w:rPr>
      </w:pPr>
      <w:r>
        <w:t>4.</w:t>
      </w:r>
      <w:r>
        <w:tab/>
      </w:r>
      <w:r>
        <w:rPr>
          <w:noProof/>
        </w:rPr>
        <w:t>I artikel 10.1 a införs det före detta stycke i artikel 59 om kontroll av ursprung som innehåller kravet på administrativt samarbete inom ramen för utvidgad kumulation. Detta stycke hade liten relevans i artikel 59.</w:t>
      </w:r>
    </w:p>
    <w:p>
      <w:pPr>
        <w:pStyle w:val="ManualNumPar1"/>
        <w:rPr>
          <w:noProof/>
        </w:rPr>
      </w:pPr>
      <w:r>
        <w:t>5.</w:t>
      </w:r>
      <w:r>
        <w:tab/>
      </w:r>
      <w:r>
        <w:rPr>
          <w:noProof/>
        </w:rPr>
        <w:t xml:space="preserve">Avsnitt 2 i avdelning IV och avsnitt 2 i avdelning V, som båda gällde en situation före REX-systemet, har strukits och båda ”Avsnitt 3” har blivit ”Avsnitt 2”. </w:t>
      </w:r>
    </w:p>
    <w:p>
      <w:pPr>
        <w:pStyle w:val="ManualNumPar1"/>
        <w:rPr>
          <w:noProof/>
        </w:rPr>
      </w:pPr>
      <w:r>
        <w:t>6.</w:t>
      </w:r>
      <w:r>
        <w:tab/>
      </w:r>
      <w:r>
        <w:rPr>
          <w:noProof/>
        </w:rPr>
        <w:t>Ordningen mellan artiklarna 37 och 38 har lagts om (nu artiklarna 23 och 22) och den tidigare artikel 37 om ”Register över registrerade exportörer” har döpts om till ”Registrering”.</w:t>
      </w:r>
    </w:p>
    <w:p>
      <w:pPr>
        <w:pStyle w:val="ManualNumPar1"/>
        <w:rPr>
          <w:noProof/>
        </w:rPr>
      </w:pPr>
      <w:r>
        <w:t>7.</w:t>
      </w:r>
      <w:r>
        <w:tab/>
      </w:r>
      <w:r>
        <w:rPr>
          <w:noProof/>
        </w:rPr>
        <w:t>I artikel 23.2 (ny numrering) har förteckningen över uppgifter som ska registreras anpassats till förteckningen i artikel 40 om ”rätt till tillgång”, vilken uppdateras med anledning av de ändringar som nyligen gjorts av artikel 82 i genomförandeförordningen för unionens tullkodex.</w:t>
      </w:r>
    </w:p>
    <w:p>
      <w:pPr>
        <w:pStyle w:val="ManualNumPar1"/>
        <w:rPr>
          <w:noProof/>
        </w:rPr>
      </w:pPr>
      <w:r>
        <w:t>8.</w:t>
      </w:r>
      <w:r>
        <w:tab/>
      </w:r>
      <w:r>
        <w:rPr>
          <w:noProof/>
        </w:rPr>
        <w:t>I artikel 25.3 hänvisas det till den nya artikel 27 om leverantörsdeklarationer.</w:t>
      </w:r>
    </w:p>
    <w:p>
      <w:pPr>
        <w:pStyle w:val="ManualNumPar1"/>
        <w:rPr>
          <w:noProof/>
        </w:rPr>
      </w:pPr>
      <w:r>
        <w:t>9.</w:t>
      </w:r>
      <w:r>
        <w:tab/>
      </w:r>
      <w:r>
        <w:rPr>
          <w:noProof/>
        </w:rPr>
        <w:t>Artikel 26 omfattar nu både ursprungsförsäkringar och de uppgifter för (fullständig) kumulation som tidigare angavs i artikel 32.</w:t>
      </w:r>
    </w:p>
    <w:p>
      <w:pPr>
        <w:pStyle w:val="ManualNumPar1"/>
        <w:rPr>
          <w:noProof/>
        </w:rPr>
      </w:pPr>
      <w:r>
        <w:t>10.</w:t>
      </w:r>
      <w:r>
        <w:tab/>
      </w:r>
      <w:r>
        <w:rPr>
          <w:noProof/>
        </w:rPr>
        <w:t>Den nya artikel 27 innehåller bestämmelserna om leverantörsdeklarationer i den tidigare artikel 32, men begränsat till leverantörsdeklarationer för icke-ursprungsprodukter i syfte att få tillämpa fullständig kumulation enligt artiklarna 2.2, 7.2 och 8.2. Det tidigare tillägg VII om leverantörsdeklarationer för ursprungsprodukter har strukits.</w:t>
      </w:r>
    </w:p>
    <w:p>
      <w:pPr>
        <w:pStyle w:val="ManualNumPar1"/>
        <w:rPr>
          <w:noProof/>
        </w:rPr>
      </w:pPr>
      <w:r>
        <w:t>11.</w:t>
      </w:r>
      <w:r>
        <w:tab/>
      </w:r>
      <w:r>
        <w:rPr>
          <w:noProof/>
        </w:rPr>
        <w:t>I artikel 27.2 har möjligheten till en leverantörsdeklaration för längre tid lagts till, med hänvisning till uppgiften om giltighetsperiod i fotnot 7 till tillägg V.</w:t>
      </w:r>
    </w:p>
    <w:p>
      <w:pPr>
        <w:pStyle w:val="ManualNumPar1"/>
        <w:rPr>
          <w:noProof/>
        </w:rPr>
      </w:pPr>
      <w:r>
        <w:t>12.</w:t>
      </w:r>
      <w:r>
        <w:tab/>
      </w:r>
      <w:r>
        <w:rPr>
          <w:noProof/>
        </w:rPr>
        <w:t>I artikel 40 har förteckningen över information som ska offentliggöras uppdaterats med anledning av de ändringar som nyligen gjorts av artikel 82 i genomförandeförordningen för unionens tullkodex.</w:t>
      </w:r>
    </w:p>
    <w:p>
      <w:pPr>
        <w:pStyle w:val="ManualNumPar1"/>
        <w:rPr>
          <w:noProof/>
        </w:rPr>
      </w:pPr>
      <w:r>
        <w:t>13.</w:t>
      </w:r>
      <w:r>
        <w:tab/>
      </w:r>
      <w:r>
        <w:rPr>
          <w:noProof/>
        </w:rPr>
        <w:t>I artikel 41 och i anmärkningarna till tillägg VI har hänvisningar till direktiv 95/46/EG ersatts med hänvisningar till den nya förordning (EU) 2016/679 (den allmänna dataskyddsförordningen).</w:t>
      </w:r>
    </w:p>
    <w:p>
      <w:pPr>
        <w:pStyle w:val="ManualNumPar1"/>
        <w:rPr>
          <w:noProof/>
        </w:rPr>
      </w:pPr>
      <w:r>
        <w:t>14.</w:t>
      </w:r>
      <w:r>
        <w:tab/>
      </w:r>
      <w:r>
        <w:rPr>
          <w:noProof/>
        </w:rPr>
        <w:t>En ny artikel 44 behandlar kontroll av leverantörsdeklarationer och innehåller de regler som ingick i den tidigare artikel 55.</w:t>
      </w:r>
    </w:p>
    <w:p>
      <w:pPr>
        <w:pStyle w:val="ManualNumPar1"/>
        <w:rPr>
          <w:noProof/>
        </w:rPr>
      </w:pPr>
      <w:r>
        <w:t>15.</w:t>
      </w:r>
      <w:r>
        <w:tab/>
      </w:r>
      <w:r>
        <w:rPr>
          <w:noProof/>
        </w:rPr>
        <w:t>I artikel 45.2 hänvisas det till artikel 68 i genomförandeförordningen för unionens tullkodex, som anger regler om registrering av exportörer i unionen, och tidigare tillägg XI A stryks.</w:t>
      </w:r>
    </w:p>
    <w:p>
      <w:pPr>
        <w:pStyle w:val="ManualNumPar1"/>
        <w:rPr>
          <w:noProof/>
        </w:rPr>
      </w:pPr>
      <w:r>
        <w:t>16.</w:t>
      </w:r>
      <w:r>
        <w:tab/>
      </w:r>
      <w:r>
        <w:rPr>
          <w:noProof/>
        </w:rPr>
        <w:t>Tilläggen III–VII, XI A och XIII utgår. Tilläggen VIII–XI och XII har omorganiserats och omnumrerats i den ordning de tas upp i texten och vid behov anpassats till ändringarna av texten.</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2019/0162 (CNS)</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ändring av rådets beslut 2013/755/EU av den 25 november 2013 om associering av de utomeuropeiska länderna och territorierna med Europeiska unionen (ULT-beslutet)</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203,</w:t>
      </w:r>
    </w:p>
    <w:p>
      <w:pPr>
        <w:rPr>
          <w:noProof/>
        </w:rPr>
      </w:pPr>
      <w:r>
        <w:rPr>
          <w:noProof/>
        </w:rPr>
        <w:t>med beaktande av Europeiska kommissionens förslag,</w:t>
      </w:r>
    </w:p>
    <w:p>
      <w:pPr>
        <w:rPr>
          <w:noProof/>
        </w:rPr>
      </w:pPr>
      <w:r>
        <w:rPr>
          <w:noProof/>
        </w:rPr>
        <w:t xml:space="preserve">efter översändande av utkastet till lagstiftningsakt till de nationella parlamenten, </w:t>
      </w:r>
    </w:p>
    <w:p>
      <w:pPr>
        <w:rPr>
          <w:noProof/>
        </w:rPr>
      </w:pPr>
      <w:r>
        <w:rPr>
          <w:noProof/>
        </w:rPr>
        <w:t>med beaktande av Europaparlamentets yttrande,</w:t>
      </w:r>
    </w:p>
    <w:p>
      <w:pPr>
        <w:rPr>
          <w:noProof/>
        </w:rPr>
      </w:pPr>
      <w:r>
        <w:rPr>
          <w:noProof/>
        </w:rPr>
        <w:t>i enlighet med ett särskilt lagstiftningsförfarande, och</w:t>
      </w:r>
    </w:p>
    <w:p>
      <w:pPr>
        <w:rPr>
          <w:noProof/>
        </w:rPr>
      </w:pPr>
      <w:r>
        <w:rPr>
          <w:noProof/>
        </w:rPr>
        <w:t>av följande skäl:</w:t>
      </w:r>
    </w:p>
    <w:p>
      <w:pPr>
        <w:pStyle w:val="ManualConsidrant"/>
        <w:rPr>
          <w:noProof/>
        </w:rPr>
      </w:pPr>
      <w:r>
        <w:t>(1)</w:t>
      </w:r>
      <w:r>
        <w:tab/>
      </w:r>
      <w:r>
        <w:rPr>
          <w:noProof/>
        </w:rPr>
        <w:t>I bilaga VI till rådets beslut 2013/755/EU</w:t>
      </w:r>
      <w:r>
        <w:rPr>
          <w:rStyle w:val="FootnoteReference"/>
          <w:noProof/>
          <w:color w:val="000000"/>
        </w:rPr>
        <w:footnoteReference w:id="8"/>
      </w:r>
      <w:r>
        <w:rPr>
          <w:noProof/>
        </w:rPr>
        <w:t xml:space="preserve"> (ULT-beslutet) definieras begreppet ”ursprungsprodukter” och metoder för administrativt samarbete mellan unionen och de utomeuropeiska länderna och territorierna (nedan kallade </w:t>
      </w:r>
      <w:r>
        <w:rPr>
          <w:i/>
          <w:noProof/>
        </w:rPr>
        <w:t>ULT</w:t>
      </w:r>
      <w:r>
        <w:rPr>
          <w:noProof/>
        </w:rPr>
        <w:t>). Där anges bestämmelser om införande av systemet med registrerade exportörer (REX-systemet) avseende ULT, för att aktörer ska kunna styrka produkters ursprung.</w:t>
      </w:r>
    </w:p>
    <w:p>
      <w:pPr>
        <w:pStyle w:val="ManualConsidrant"/>
        <w:rPr>
          <w:noProof/>
        </w:rPr>
      </w:pPr>
      <w:r>
        <w:t>(2)</w:t>
      </w:r>
      <w:r>
        <w:tab/>
      </w:r>
      <w:r>
        <w:rPr>
          <w:noProof/>
        </w:rPr>
        <w:t>I artikel 58 i bilaga VI till beslut 2013/755/EU anges bestämmelser om upprättande av en databas över registrerade exportörer, och enligt artikel 63 i samma bilaga kan undantag medges från REX-systemet.</w:t>
      </w:r>
      <w:r>
        <w:rPr>
          <w:i/>
          <w:noProof/>
        </w:rPr>
        <w:t xml:space="preserve"> </w:t>
      </w:r>
    </w:p>
    <w:p>
      <w:pPr>
        <w:pStyle w:val="ManualConsidrant"/>
        <w:rPr>
          <w:noProof/>
        </w:rPr>
      </w:pPr>
      <w:r>
        <w:t>(3)</w:t>
      </w:r>
      <w:r>
        <w:tab/>
      </w:r>
      <w:r>
        <w:rPr>
          <w:noProof/>
        </w:rPr>
        <w:t>Samtliga ULT har i enlighet med artikel 63.2 i bilaga VI till beslut 2013/755/EU ansökt om ett treårigt undantag från REX-systemet.</w:t>
      </w:r>
      <w:r>
        <w:rPr>
          <w:noProof/>
          <w:color w:val="000000"/>
        </w:rPr>
        <w:t xml:space="preserve"> </w:t>
      </w:r>
      <w:r>
        <w:rPr>
          <w:noProof/>
        </w:rPr>
        <w:t>Genom sitt genomförandebeslut (EU) 2016/2093</w:t>
      </w:r>
      <w:r>
        <w:rPr>
          <w:rStyle w:val="FootnoteReference"/>
          <w:noProof/>
        </w:rPr>
        <w:footnoteReference w:id="9"/>
      </w:r>
      <w:r>
        <w:rPr>
          <w:noProof/>
        </w:rPr>
        <w:t xml:space="preserve"> senarelade följaktligen kommissionen datumet för ULT:s tillämpning av REX-systemet till den 1 januari 2020.</w:t>
      </w:r>
    </w:p>
    <w:p>
      <w:pPr>
        <w:pStyle w:val="ManualConsidrant"/>
        <w:rPr>
          <w:noProof/>
        </w:rPr>
      </w:pPr>
      <w:r>
        <w:t>(4)</w:t>
      </w:r>
      <w:r>
        <w:tab/>
      </w:r>
      <w:r>
        <w:rPr>
          <w:noProof/>
        </w:rPr>
        <w:t>Genom Europaparlamentets och rådets förordning (EU) nr 952/2013</w:t>
      </w:r>
      <w:r>
        <w:rPr>
          <w:rStyle w:val="FootnoteReference"/>
          <w:noProof/>
        </w:rPr>
        <w:footnoteReference w:id="10"/>
      </w:r>
      <w:r>
        <w:rPr>
          <w:noProof/>
        </w:rPr>
        <w:t xml:space="preserve"> om fastställande av en tullkodex för unionen upphävdes rådets förordning (EEG) nr 2913/92</w:t>
      </w:r>
      <w:r>
        <w:rPr>
          <w:rStyle w:val="FootnoteReference"/>
          <w:noProof/>
        </w:rPr>
        <w:footnoteReference w:id="11"/>
      </w:r>
      <w:r>
        <w:rPr>
          <w:noProof/>
        </w:rPr>
        <w:t>.</w:t>
      </w:r>
    </w:p>
    <w:p>
      <w:pPr>
        <w:pStyle w:val="ManualConsidrant"/>
        <w:rPr>
          <w:noProof/>
        </w:rPr>
      </w:pPr>
      <w:r>
        <w:t>(5)</w:t>
      </w:r>
      <w:r>
        <w:tab/>
      </w:r>
      <w:r>
        <w:rPr>
          <w:noProof/>
        </w:rPr>
        <w:t>De ursprungsregler inom ramen för det allmänna preferenssystemet som gäller för REX-systemet och som inrättades genom förordning (EEG) nr 2454/93</w:t>
      </w:r>
      <w:r>
        <w:rPr>
          <w:rStyle w:val="FootnoteReference"/>
          <w:noProof/>
        </w:rPr>
        <w:footnoteReference w:id="12"/>
      </w:r>
      <w:r>
        <w:rPr>
          <w:noProof/>
        </w:rPr>
        <w:t xml:space="preserve"> om tillämpningsföreskrifter för rådets förordning (EEG) nr 2913/92 ändrades genom kommissionens genomförandeförordning (EU) 2015/428</w:t>
      </w:r>
      <w:r>
        <w:rPr>
          <w:rStyle w:val="FootnoteReference"/>
          <w:noProof/>
        </w:rPr>
        <w:footnoteReference w:id="13"/>
      </w:r>
      <w:r>
        <w:rPr>
          <w:noProof/>
        </w:rPr>
        <w:t>.</w:t>
      </w:r>
    </w:p>
    <w:p>
      <w:pPr>
        <w:pStyle w:val="ManualConsidrant"/>
        <w:rPr>
          <w:noProof/>
        </w:rPr>
      </w:pPr>
      <w:r>
        <w:t>(6)</w:t>
      </w:r>
      <w:r>
        <w:tab/>
      </w:r>
      <w:r>
        <w:rPr>
          <w:noProof/>
        </w:rPr>
        <w:t>Genom förordning (EU) 2016/481</w:t>
      </w:r>
      <w:r>
        <w:rPr>
          <w:rStyle w:val="FootnoteReference"/>
          <w:noProof/>
        </w:rPr>
        <w:footnoteReference w:id="14"/>
      </w:r>
      <w:r>
        <w:rPr>
          <w:noProof/>
        </w:rPr>
        <w:t xml:space="preserve"> upphävdes därefter förordning (EEG) nr 2454/93. </w:t>
      </w:r>
    </w:p>
    <w:p>
      <w:pPr>
        <w:pStyle w:val="ManualConsidrant"/>
        <w:rPr>
          <w:noProof/>
          <w:szCs w:val="24"/>
        </w:rPr>
      </w:pPr>
      <w:r>
        <w:t>(7)</w:t>
      </w:r>
      <w:r>
        <w:tab/>
      </w:r>
      <w:r>
        <w:rPr>
          <w:noProof/>
        </w:rPr>
        <w:t>Kommissionens genomförandeförordning (EU) 2015/2447</w:t>
      </w:r>
      <w:r>
        <w:rPr>
          <w:rStyle w:val="FootnoteReference"/>
          <w:noProof/>
        </w:rPr>
        <w:footnoteReference w:id="15"/>
      </w:r>
      <w:r>
        <w:rPr>
          <w:noProof/>
        </w:rPr>
        <w:t>, som innehåller alla allmänna bestämmelser för genomförande av förordning (EU) nr 952/2013, införlivade således de ändrade bestämmelser i REX-systemet som genom förordning (EU) 2015/428 anges för det allmänna preferenssystemet.</w:t>
      </w:r>
    </w:p>
    <w:p>
      <w:pPr>
        <w:pStyle w:val="ManualConsidrant"/>
        <w:rPr>
          <w:noProof/>
        </w:rPr>
      </w:pPr>
      <w:r>
        <w:t>(8)</w:t>
      </w:r>
      <w:r>
        <w:tab/>
      </w:r>
      <w:r>
        <w:rPr>
          <w:noProof/>
        </w:rPr>
        <w:t>Eftersom de flesta av de allmänna reglerna för genomförande av unionens tullkodex rör REX-systemet är det nödvändigt att göra tillämpliga ändringar av bilaga VI till beslut 2013/755/EU.</w:t>
      </w:r>
      <w:r>
        <w:rPr>
          <w:noProof/>
          <w:color w:val="000000"/>
        </w:rPr>
        <w:t xml:space="preserve"> Den bilagan bör därför ändras i syfte att anpassa dess bestämmelser om REX-systemet till de bestämmelser för REX-systemet som anges i förordning (EU) 2015/2447. </w:t>
      </w:r>
    </w:p>
    <w:p>
      <w:pPr>
        <w:pStyle w:val="Formuledadoption"/>
        <w:rPr>
          <w:noProof/>
        </w:rPr>
      </w:pPr>
      <w:r>
        <w:rPr>
          <w:noProof/>
        </w:rPr>
        <w:t xml:space="preserve">HÄRIGENOM FÖRESKRIVS FÖLJANDE. </w:t>
      </w:r>
    </w:p>
    <w:p>
      <w:pPr>
        <w:pStyle w:val="Titrearticle"/>
        <w:rPr>
          <w:b/>
          <w:i w:val="0"/>
          <w:noProof/>
        </w:rPr>
      </w:pPr>
      <w:r>
        <w:rPr>
          <w:noProof/>
        </w:rPr>
        <w:t>Artikel 1</w:t>
      </w:r>
      <w:r>
        <w:rPr>
          <w:noProof/>
        </w:rPr>
        <w:br/>
      </w:r>
      <w:r>
        <w:rPr>
          <w:b/>
          <w:i w:val="0"/>
          <w:noProof/>
        </w:rPr>
        <w:t>Ändring av beslut 2013/755/EU</w:t>
      </w:r>
    </w:p>
    <w:p>
      <w:pPr>
        <w:rPr>
          <w:noProof/>
        </w:rPr>
      </w:pPr>
      <w:r>
        <w:rPr>
          <w:noProof/>
        </w:rPr>
        <w:t>Bilaga VI till beslut 2013/755/EU ska ersättas med texten i bilagan till det här beslutet.</w:t>
      </w:r>
    </w:p>
    <w:p>
      <w:pPr>
        <w:pStyle w:val="Titrearticle"/>
        <w:keepNext w:val="0"/>
        <w:rPr>
          <w:b/>
          <w:i w:val="0"/>
          <w:noProof/>
        </w:rPr>
      </w:pPr>
      <w:r>
        <w:rPr>
          <w:noProof/>
        </w:rPr>
        <w:t>Artikel 2</w:t>
      </w:r>
      <w:r>
        <w:rPr>
          <w:noProof/>
        </w:rPr>
        <w:br/>
      </w:r>
      <w:r>
        <w:rPr>
          <w:b/>
          <w:i w:val="0"/>
          <w:noProof/>
        </w:rPr>
        <w:t>Ikraftträdande</w:t>
      </w:r>
    </w:p>
    <w:p>
      <w:pPr>
        <w:keepLines/>
        <w:rPr>
          <w:noProof/>
        </w:rPr>
      </w:pPr>
      <w:r>
        <w:rPr>
          <w:noProof/>
        </w:rPr>
        <w:t xml:space="preserve">Detta beslut träder i kraft den tjugonde dagen efter det att det har offentliggjorts i </w:t>
      </w:r>
      <w:r>
        <w:rPr>
          <w:i/>
          <w:noProof/>
        </w:rPr>
        <w:t>Europeiska unionens officiella tidning</w:t>
      </w:r>
      <w:r>
        <w:rPr>
          <w:noProof/>
        </w:rPr>
        <w:t>.</w:t>
      </w:r>
    </w:p>
    <w:p>
      <w:pPr>
        <w:keepNext/>
        <w:keepLines/>
        <w:rPr>
          <w:noProof/>
        </w:rPr>
      </w:pPr>
      <w:r>
        <w:rPr>
          <w:noProof/>
        </w:rPr>
        <w:t>Det ska tillämpas från och med den 1 januari 2020.</w:t>
      </w:r>
    </w:p>
    <w:p>
      <w:pPr>
        <w:keepNext/>
        <w:keepLines/>
        <w:rPr>
          <w:noProof/>
        </w:rPr>
      </w:pP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2013/755/EU av den 25 november 2013 om associering av de utomeuropeiska länderna och territorierna med Europeiska unionen (ULT-beslutet), EUT L 344, 19.12.2013, s. 1.</w:t>
      </w:r>
    </w:p>
  </w:footnote>
  <w:footnote w:id="2">
    <w:p>
      <w:pPr>
        <w:pStyle w:val="FootnoteText"/>
      </w:pPr>
      <w:r>
        <w:rPr>
          <w:rStyle w:val="FootnoteReference"/>
        </w:rPr>
        <w:footnoteRef/>
      </w:r>
      <w:r>
        <w:tab/>
        <w:t xml:space="preserve">Se bilaga II till EUF-fördraget. </w:t>
      </w:r>
    </w:p>
  </w:footnote>
  <w:footnote w:id="3">
    <w:p>
      <w:pPr>
        <w:pStyle w:val="FootnoteText"/>
      </w:pPr>
      <w:r>
        <w:rPr>
          <w:rStyle w:val="FootnoteReference"/>
        </w:rPr>
        <w:footnoteRef/>
      </w:r>
      <w:r>
        <w:tab/>
        <w:t>Kommissionens genomförandebeslut (EU) 2016/2093 av den 29 november 2016 om ett undantag vad gäller dagen för tillämpning av systemet med registrerade exportörer på export från de utomeuropeiska länderna och territorierna, C/2016/7606, EUT L 324, 30.11.2016, s. 18.</w:t>
      </w:r>
    </w:p>
  </w:footnote>
  <w:footnote w:id="4">
    <w:p>
      <w:pPr>
        <w:pStyle w:val="FootnoteText"/>
      </w:pPr>
      <w:r>
        <w:rPr>
          <w:rStyle w:val="FootnoteReference"/>
        </w:rPr>
        <w:footnoteRef/>
      </w:r>
      <w:r>
        <w:tab/>
        <w:t>Kommissionens genomförandeförordning (EU) 2015/428 av den 10 mars 2015 om ändring av förordning (EEG) nr 2454/93 och förordning (EU) nr 1063/2010 vad gäller de ursprungsregler som gäller för det allmänna preferenssystemet och bestämmelserna om förmånlig tullbehandling för vissa länder eller territorier, EUT L 70, 14.3.2015, s. 12.</w:t>
      </w:r>
    </w:p>
  </w:footnote>
  <w:footnote w:id="5">
    <w:p>
      <w:pPr>
        <w:pStyle w:val="FootnoteText"/>
      </w:pPr>
      <w:r>
        <w:rPr>
          <w:rStyle w:val="FootnoteReference"/>
        </w:rPr>
        <w:footnoteRef/>
      </w:r>
      <w:r>
        <w:tab/>
        <w:t>Kommissionens genomförandeförordning (EU) 2015/2447 av den 24 november 2015 om närmare regler för genomförande av vissa bestämmelser i Europaparlamentets och rådets förordning (EU) nr 952/2013 om fastställande av en tullkodex för unionen, EUT L 343, 29.12.2015, s. 558.</w:t>
      </w:r>
    </w:p>
  </w:footnote>
  <w:footnote w:id="6">
    <w:p>
      <w:pPr>
        <w:pStyle w:val="FootnoteText"/>
        <w:rPr>
          <w:lang w:val="fr-FR"/>
        </w:rPr>
      </w:pPr>
      <w:r>
        <w:rPr>
          <w:rStyle w:val="FootnoteReference"/>
        </w:rPr>
        <w:footnoteRef/>
      </w:r>
      <w:r>
        <w:rPr>
          <w:lang w:val="fr-FR"/>
        </w:rPr>
        <w:tab/>
      </w:r>
      <w:r>
        <w:rPr>
          <w:color w:val="000000"/>
          <w:u w:color="000000"/>
          <w:bdr w:val="nil"/>
          <w:lang w:val="fr-FR"/>
        </w:rPr>
        <w:t>EUT L 344, 19.12.2013, s. 1.</w:t>
      </w:r>
    </w:p>
  </w:footnote>
  <w:footnote w:id="7">
    <w:p>
      <w:pPr>
        <w:pStyle w:val="FootnoteText"/>
        <w:rPr>
          <w:lang w:val="fr-FR"/>
        </w:rPr>
      </w:pPr>
      <w:r>
        <w:rPr>
          <w:rStyle w:val="FootnoteReference"/>
        </w:rPr>
        <w:footnoteRef/>
      </w:r>
      <w:r>
        <w:rPr>
          <w:lang w:val="fr-FR"/>
        </w:rPr>
        <w:tab/>
      </w:r>
      <w:r>
        <w:rPr>
          <w:color w:val="000000"/>
          <w:u w:color="000000"/>
          <w:bdr w:val="nil"/>
          <w:lang w:val="fr-FR"/>
        </w:rPr>
        <w:t>EUT L 76, 15.3.2014, s. 1.</w:t>
      </w:r>
    </w:p>
  </w:footnote>
  <w:footnote w:id="8">
    <w:p>
      <w:pPr>
        <w:pStyle w:val="FootnoteText"/>
      </w:pPr>
      <w:r>
        <w:rPr>
          <w:rStyle w:val="FootnoteReference"/>
        </w:rPr>
        <w:footnoteRef/>
      </w:r>
      <w:r>
        <w:tab/>
        <w:t>Rådets beslut 2013/755/EU av den 25 november 2013 om associering av de utomeuropeiska länderna och territorierna med Europeiska unionen (ULT-beslutet), EUT L 344, 19.12.2013, s. 1.</w:t>
      </w:r>
    </w:p>
  </w:footnote>
  <w:footnote w:id="9">
    <w:p>
      <w:pPr>
        <w:pStyle w:val="FootnoteText"/>
        <w:rPr>
          <w:lang w:val="mt-MT"/>
        </w:rPr>
      </w:pPr>
      <w:r>
        <w:rPr>
          <w:rStyle w:val="FootnoteReference"/>
        </w:rPr>
        <w:footnoteRef/>
      </w:r>
      <w:r>
        <w:tab/>
        <w:t>Kommissionens genomförandebeslut (EU) 2016/2093 av den 29 november 2016 om ett undantag vad gäller dagen för tillämpning av systemet med registrerade exportörer på export från de utomeuropeiska länderna och territorierna, EUT L 324, 30.11.2016, s. 18.</w:t>
      </w:r>
    </w:p>
  </w:footnote>
  <w:footnote w:id="10">
    <w:p>
      <w:pPr>
        <w:pStyle w:val="FootnoteText"/>
      </w:pPr>
      <w:r>
        <w:rPr>
          <w:rStyle w:val="FootnoteReference"/>
        </w:rPr>
        <w:footnoteRef/>
      </w:r>
      <w:r>
        <w:tab/>
        <w:t>Europaparlamentets och rådets förordning (EU) nr 952/2013 av den 9 oktober 2013 om fastställande av en tullkodex för unionen, EUT L 269, 10.10.2013, s. 1.</w:t>
      </w:r>
    </w:p>
  </w:footnote>
  <w:footnote w:id="11">
    <w:p>
      <w:pPr>
        <w:pStyle w:val="FootnoteText"/>
      </w:pPr>
      <w:r>
        <w:rPr>
          <w:rStyle w:val="FootnoteReference"/>
        </w:rPr>
        <w:footnoteRef/>
      </w:r>
      <w:r>
        <w:tab/>
        <w:t>Rådets förordning (EEG) nr 2913/92 av den 12 oktober 1992 om inrättandet av en tullkodex för gemenskapen, EGT L 302, 19.10.1992, s. 1.</w:t>
      </w:r>
    </w:p>
  </w:footnote>
  <w:footnote w:id="12">
    <w:p>
      <w:pPr>
        <w:pStyle w:val="FootnoteText"/>
        <w:rPr>
          <w:lang w:val="mt-MT"/>
        </w:rPr>
      </w:pPr>
      <w:r>
        <w:rPr>
          <w:rStyle w:val="FootnoteReference"/>
        </w:rPr>
        <w:footnoteRef/>
      </w:r>
      <w:r>
        <w:tab/>
        <w:t>Kommissionens förordning (EEG) nr 2454/93 av den 2 juli 1993 om tillämpningsföreskrifter för rådets förordning (EEG) nr 2913/92 om inrättandet av en tullkodex för gemenskapen, EGT L 253, 11.10.1993, s. 1.</w:t>
      </w:r>
    </w:p>
  </w:footnote>
  <w:footnote w:id="13">
    <w:p>
      <w:pPr>
        <w:pStyle w:val="FootnoteText"/>
      </w:pPr>
      <w:r>
        <w:rPr>
          <w:rStyle w:val="FootnoteReference"/>
        </w:rPr>
        <w:footnoteRef/>
      </w:r>
      <w:r>
        <w:tab/>
        <w:t>Kommissionens genomförandeförordning (EU) 2015/428 av den 10 mars 2015 om ändring av förordning (EEG) nr 2454/93 och förordning (EU) nr 1063/2010 vad gäller de ursprungsregler som gäller för det allmänna preferenssystemet och bestämmelserna om förmånlig tullbehandling för vissa länder eller territorier, EUT L 70, 14.3.2015, s. 12.</w:t>
      </w:r>
    </w:p>
  </w:footnote>
  <w:footnote w:id="14">
    <w:p>
      <w:pPr>
        <w:pStyle w:val="FootnoteText"/>
        <w:rPr>
          <w:lang w:val="mt-MT"/>
        </w:rPr>
      </w:pPr>
      <w:r>
        <w:rPr>
          <w:rStyle w:val="FootnoteReference"/>
        </w:rPr>
        <w:footnoteRef/>
      </w:r>
      <w:r>
        <w:tab/>
        <w:t>Kommissionens genomförandeförordning (EU) 2016/481 av den 1 april 2016 om upphävande av kommissionens förordning (EEG) nr 2454/93 om tillämpningsföreskrifter för rådets förordning (EEG) nr 2913/92 om inrättandet av en tullkodex för gemenskapen, EUT L 87, 2.4.2016, s. 24.</w:t>
      </w:r>
    </w:p>
  </w:footnote>
  <w:footnote w:id="15">
    <w:p>
      <w:pPr>
        <w:pStyle w:val="FootnoteText"/>
      </w:pPr>
      <w:r>
        <w:rPr>
          <w:rStyle w:val="FootnoteReference"/>
        </w:rPr>
        <w:footnoteRef/>
      </w:r>
      <w:r>
        <w:tab/>
        <w:t>Kommissionens genomförandeförordning (EU) 2015/2447 av den 24 november 2015 om närmare regler för genomförande av vissa bestämmelser i Europaparlamentets och rådets förordning (EU) nr 952/2013 om fastställande av en tullkodex för unionen, EUT L 343, 29.12.2015, s. 558.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A0A2D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C6DC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9202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2C83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A62F1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0E6CE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229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C0208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6 08:52: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4FA582A-53E9-43E8-BDB8-E7E26ECC10CF"/>
    <w:docVar w:name="LW_COVERPAGE_TYPE" w:val="1"/>
    <w:docVar w:name="LW_CROSSREFERENCE" w:val="&lt;UNUSED&gt;"/>
    <w:docVar w:name="LW_DocType" w:val="COM"/>
    <w:docVar w:name="LW_EMISSION" w:val="2.8.2019"/>
    <w:docVar w:name="LW_EMISSION_ISODATE" w:val="2019-08-02"/>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NS"/>
    <w:docVar w:name="LW_REF.II.NEW.CP_NUMBER" w:val="0162"/>
    <w:docVar w:name="LW_REF.II.NEW.CP_YEAR" w:val="2019"/>
    <w:docVar w:name="LW_REF.INST.NEW" w:val="COM"/>
    <w:docVar w:name="LW_REF.INST.NEW_ADOPTED" w:val="final"/>
    <w:docVar w:name="LW_REF.INST.NEW_TEXT" w:val="(2019)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rådets beslut 2013/755/EU av den 25 november 2013 om associering av de utomeuropeiska länderna och territorierna med Europeiska unionen (ULT-beslutet)"/>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CM1">
    <w:name w:val="CM1"/>
    <w:basedOn w:val="Normal"/>
    <w:uiPriority w:val="99"/>
    <w:pPr>
      <w:autoSpaceDE w:val="0"/>
      <w:autoSpaceDN w:val="0"/>
      <w:spacing w:before="0" w:after="0"/>
      <w:jc w:val="left"/>
    </w:pPr>
    <w:rPr>
      <w:rFonts w:ascii="EUAlbertina" w:hAnsi="EUAlbertina"/>
      <w:szCs w:val="24"/>
    </w:rPr>
  </w:style>
  <w:style w:type="paragraph" w:customStyle="1" w:styleId="Footnote">
    <w:name w:val="Footnote"/>
    <w:basedOn w:val="Normal"/>
    <w:rPr>
      <w:rFonts w:eastAsia="Times New Roman"/>
      <w:noProof/>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CM1">
    <w:name w:val="CM1"/>
    <w:basedOn w:val="Normal"/>
    <w:uiPriority w:val="99"/>
    <w:pPr>
      <w:autoSpaceDE w:val="0"/>
      <w:autoSpaceDN w:val="0"/>
      <w:spacing w:before="0" w:after="0"/>
      <w:jc w:val="left"/>
    </w:pPr>
    <w:rPr>
      <w:rFonts w:ascii="EUAlbertina" w:hAnsi="EUAlbertina"/>
      <w:szCs w:val="24"/>
    </w:rPr>
  </w:style>
  <w:style w:type="paragraph" w:customStyle="1" w:styleId="Footnote">
    <w:name w:val="Footnote"/>
    <w:basedOn w:val="Normal"/>
    <w:rPr>
      <w:rFonts w:eastAsia="Times New Roman"/>
      <w:noProof/>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7757">
      <w:bodyDiv w:val="1"/>
      <w:marLeft w:val="0"/>
      <w:marRight w:val="0"/>
      <w:marTop w:val="0"/>
      <w:marBottom w:val="0"/>
      <w:divBdr>
        <w:top w:val="none" w:sz="0" w:space="0" w:color="auto"/>
        <w:left w:val="none" w:sz="0" w:space="0" w:color="auto"/>
        <w:bottom w:val="none" w:sz="0" w:space="0" w:color="auto"/>
        <w:right w:val="none" w:sz="0" w:space="0" w:color="auto"/>
      </w:divBdr>
    </w:div>
    <w:div w:id="9207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64A125-F4AC-4C69-BDA6-CABC89CE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2002</Words>
  <Characters>12315</Characters>
  <Application>Microsoft Office Word</Application>
  <DocSecurity>0</DocSecurity>
  <Lines>223</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2019-06-21T12:11:00Z</cp:lastPrinted>
  <dcterms:created xsi:type="dcterms:W3CDTF">2019-06-25T07:38:00Z</dcterms:created>
  <dcterms:modified xsi:type="dcterms:W3CDTF">2019-07-26T06:52:00Z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