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08D27FD3-A634-4B17-AD71-CFC1D149F6B6" style="width:450.4pt;height:365.3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Sect"/>
          </w:footnotePr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OBRAZLOŽENJE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KONTEKST PRIJEDLOGA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Razlozi i ciljevi prijedloga</w:t>
      </w:r>
    </w:p>
    <w:p>
      <w:pPr>
        <w:widowControl w:val="0"/>
        <w:spacing w:before="0" w:after="155"/>
        <w:rPr>
          <w:rFonts w:eastAsia="Times New Roman"/>
          <w:noProof/>
          <w:szCs w:val="24"/>
        </w:rPr>
      </w:pPr>
      <w:r>
        <w:rPr>
          <w:noProof/>
        </w:rPr>
        <w:t>Cilj je prijedloga izmijeniti Prilog VI. Odluci Vijeća 2013/755/EU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o pridruživanju prekomorskih zemalja i područja (PZP-ovi) Europskoj uniji. Izmjena je potrebna radi primjene sustava registriranih izvoznika (REX) za certificiranje podrijetla.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Prekomorske zemlje i područja (PZP-ovi) pridruženi su Europskoj uniji (EU) od stupanja na snagu Ugovora iz Rima. Tih 25 otoka koji se nalaze u atlantskoj, antarktičkoj, arktičkoj, karipskoj i pacifičkoj regiji te regiji Indijskog oceana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nisu suverene zemlje nego ovise o četirima državama članicama Unije – Danskoj, Francuskoj, Ujedinjenoj Kraljevini i Nizozemskoj.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>Općenito, PZP-ovi imaju autonomiju širokog raspona koja obuhvaća područja kao što su gospodarstvo, tržište rada, javno zdravlje, unutarnji poslovi i carine. Obrana i vanjski poslovi većinom ostaju u nadležnosti država članica. PZP-ovi nisu dio carinskog područja Unije i izvan su unutarnjeg tržišta pa se u njima ne primjenjuje zakonodavstvo Unije. Kao državljani država članica EU-a s kojima su njihove zemlje i područja ustavno povezani, stanovnici PZP-ova imaju državljanstvo EU-a.</w:t>
      </w:r>
    </w:p>
    <w:p>
      <w:pPr>
        <w:widowControl w:val="0"/>
        <w:spacing w:before="0" w:after="155"/>
        <w:rPr>
          <w:rFonts w:eastAsia="Times New Roman"/>
          <w:noProof/>
          <w:szCs w:val="24"/>
        </w:rPr>
      </w:pPr>
      <w:r>
        <w:rPr>
          <w:noProof/>
        </w:rPr>
        <w:t>Na temelju članka 198. Ugovora o funkcioniranju Europske unije (UFEU), opći je cilj pridruživanja promicanje gospodarskog i društvenog razvoja PZP-ova i uspostava bliskih gospodarskih odnosa između njih i Unije u cjelini.</w:t>
      </w:r>
    </w:p>
    <w:p>
      <w:pPr>
        <w:widowControl w:val="0"/>
        <w:spacing w:before="0" w:after="155"/>
        <w:rPr>
          <w:rFonts w:eastAsia="Times New Roman"/>
          <w:noProof/>
          <w:szCs w:val="24"/>
        </w:rPr>
      </w:pPr>
      <w:r>
        <w:rPr>
          <w:noProof/>
        </w:rPr>
        <w:t xml:space="preserve">Odluka Vijeća EU/2013/755 (Odluka o prekomorskom pridruživanju) od 25. studenoga 2013., koja je stupila na snagu 1. siječnja 2014., obuhvaća odnose između PZP-ova (uključujući Grenland), država članica s kojima su oni povezani i Europske unije. U njoj je opisan poseban odnos koji PZP-ovi imaju s Unijom te poseban zakonodavni okvir koji se na njih primjenjuje, a koji se temelji na tri glavna stupa: politici, trgovini i suradnji. </w:t>
      </w:r>
    </w:p>
    <w:p>
      <w:pPr>
        <w:widowControl w:val="0"/>
        <w:spacing w:before="0" w:after="155"/>
        <w:rPr>
          <w:rFonts w:eastAsia="Times New Roman"/>
          <w:noProof/>
          <w:szCs w:val="24"/>
        </w:rPr>
      </w:pPr>
      <w:r>
        <w:rPr>
          <w:noProof/>
        </w:rPr>
        <w:t xml:space="preserve">Kada je riječ o trgovini robom, na proizvode podrijetlom iz PZP-ova primjenjuju se pogodnosti bescarinskog i beskvotnog uvoza u Uniju u skladu s člancima 43. i 44. Odluke o prekomorskom pridruživanju. </w:t>
      </w:r>
    </w:p>
    <w:p>
      <w:pPr>
        <w:widowControl w:val="0"/>
        <w:spacing w:before="0" w:after="155"/>
        <w:rPr>
          <w:rFonts w:eastAsia="Times New Roman"/>
          <w:noProof/>
          <w:szCs w:val="24"/>
        </w:rPr>
      </w:pPr>
      <w:r>
        <w:rPr>
          <w:noProof/>
        </w:rPr>
        <w:t xml:space="preserve">U Prilogu VI. Odluci o prekomorskom pridruživanju definirani su „proizvodi s podrijetlom” i načini administrativne suradnje između EU-a i PZP-ova. Prilog sadržava odredbe čiji je cilj provedba sustava REX za certificiranje podrijetla od 1. siječnja 2017. </w:t>
      </w:r>
    </w:p>
    <w:p>
      <w:pPr>
        <w:widowControl w:val="0"/>
        <w:spacing w:before="0" w:after="155"/>
        <w:rPr>
          <w:rFonts w:eastAsia="Times New Roman"/>
          <w:noProof/>
          <w:szCs w:val="24"/>
        </w:rPr>
      </w:pPr>
      <w:bookmarkStart w:id="1" w:name="_Toc319512655"/>
      <w:bookmarkStart w:id="2" w:name="_Toc319512656"/>
      <w:bookmarkStart w:id="3" w:name="_Toc319512657"/>
      <w:bookmarkStart w:id="4" w:name="_Toc319512658"/>
      <w:bookmarkStart w:id="5" w:name="_Toc319512659"/>
      <w:bookmarkStart w:id="6" w:name="_Toc319512661"/>
      <w:bookmarkStart w:id="7" w:name="_Toc319512662"/>
      <w:bookmarkStart w:id="8" w:name="_Toc319512665"/>
      <w:bookmarkStart w:id="9" w:name="_Toc319512666"/>
      <w:bookmarkStart w:id="10" w:name="_Toc319512667"/>
      <w:bookmarkStart w:id="11" w:name="_Toc319512668"/>
      <w:bookmarkStart w:id="12" w:name="_Toc319512669"/>
      <w:bookmarkStart w:id="13" w:name="_Toc31951267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noProof/>
        </w:rPr>
        <w:t>U članku 58. Priloga VI. predviđeno je da će Komisija uspostaviti bazu podataka registriranih izvoznika. U tom članku navedeno je sljedeće: „Komisija uspostavlja elektronsku bazu podataka registriranih izvoznika na osnovi podataka dobivenih od vladinih tijela PZP-ova i carinskih tijela država članica.”</w:t>
      </w:r>
    </w:p>
    <w:p>
      <w:pPr>
        <w:rPr>
          <w:rFonts w:eastAsia="Times New Roman"/>
          <w:i/>
          <w:noProof/>
          <w:szCs w:val="24"/>
        </w:rPr>
      </w:pPr>
      <w:r>
        <w:rPr>
          <w:noProof/>
        </w:rPr>
        <w:t>Člankom 63. stavkom 1. Priloga VI. predviđeno je odstupanje od primjene odredaba koje se primjenjuju na sustav REX: „Komisija može donijeti odluke koje omogućuju primjenu članaka od 21. do 35. i članaka 54., 55. i 56. ovog Priloga na izvoz iz jedne ili nekoliko PZP-ova nakon 1. siječnja 2017.”</w:t>
      </w:r>
    </w:p>
    <w:p>
      <w:pPr>
        <w:rPr>
          <w:noProof/>
        </w:rPr>
      </w:pPr>
      <w:r>
        <w:rPr>
          <w:noProof/>
        </w:rPr>
        <w:lastRenderedPageBreak/>
        <w:t>PZP-ovi nisu bili spremni za primjenu sustava REX od 1. siječnja 2017., kako je predviđeno Prilogom VI. Odluci o prekomorskom pridruživanju. Stoga su dopisima upućenima Komisiji u skladu s člankom 63. stavkom 2. Priloga VI. Odluci 2013/755/EU svi PZP-ovi zatražili trogodišnje odstupanje. Komisija je 29. studenoga 2016. donijela Provedbenu odluku (EU) 2016/2093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, kojom je datum uspostave sustava REX za PZP-ove odgođen za 1. siječnja 2020. 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 xml:space="preserve">To znači da od 1. siječnja 2020. PZP-ovi moraju primjenjivati sustav REX kako je predviđeno u važećoj Odluci o prekomorskom pridruživanju. 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Komisija je 10. ožujka 2015. Provedbenom uredbom (EU) 2015/428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izmijenila pravila o podrijetlu koja se odnose na sustav REX u okviru općeg sustava povlastica (OSP), koji je uspostavljen Uredbom (EEZ) br. 2454/93.</w:t>
      </w:r>
    </w:p>
    <w:p>
      <w:pPr>
        <w:rPr>
          <w:noProof/>
        </w:rPr>
      </w:pPr>
      <w:r>
        <w:rPr>
          <w:noProof/>
        </w:rPr>
        <w:t>Komisija je 24. studenoga 2015. donijela Provedbenu uredbu (EU) 2015/2447</w:t>
      </w:r>
      <w:r>
        <w:rPr>
          <w:rStyle w:val="FootnoteReference"/>
          <w:noProof/>
        </w:rPr>
        <w:footnoteReference w:id="5"/>
      </w:r>
      <w:r>
        <w:rPr>
          <w:noProof/>
        </w:rPr>
        <w:t>, kojom su prenesena sva opća pravila za provedbu Carinskog zakonika Unije, među kojima su i odredbe o sustavu REX u okviru OSP-a.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 xml:space="preserve">Zbog toga se odredbe iz Priloga VI. Odluci o prekomorskom pridruživanju naslovljene „Postupci za sustav registriranih izvoznika” razlikuju od onih u pravilima o podrijetlu u okviru OSP-a. 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Stoga bi Prilog VI. Odluci o prekomorskom pridruživanju trebalo izmijeniti kako bi se osigurala usklađenost s odredbama o sustavu REX utvrđenima u Uredbi (EU) 2015/2447.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U kontekstu pregovora o sljedećem višegodišnjem financijskom okviru Komisija je 14. lipnja 2018. iznijela prijedlog nove odluke o prekomorskom pridruživanju. Taj prijedlog uključuje ažurirane odredbe o sustavu REX, koje su u skladu s novim zakonodavstvom. Međutim, trebao bi stupiti na snagu tek u siječnju 2021., nakon dovršetka posebnog zakonodavnog postupka u skladu s člankom 203. UFEU-a. Stoga će se novom odlukom o prekomorskom pridruživanju pitanje usklađenosti sa sustavom REX riješiti tek od tog datuma.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Dosljednost s postojećim odredbama politike u određenom području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Aktualna pravila i postupci pridruživanja PZP-ova EU-u utvrđeni su u Odluci 2013/755/EU od 25. studenoga 2013.</w:t>
      </w:r>
      <w:r>
        <w:rPr>
          <w:rStyle w:val="FootnoteReference"/>
          <w:noProof/>
        </w:rPr>
        <w:footnoteReference w:id="6"/>
      </w:r>
      <w:r>
        <w:rPr>
          <w:noProof/>
          <w:color w:val="000000"/>
          <w:u w:color="000000"/>
          <w:bdr w:val="nil"/>
        </w:rPr>
        <w:t xml:space="preserve"> o pridruživanju prekomorskih zemalja i područja Europskoj uniji, koja obuhvaća i Grenland. Dodatne odredbe o odnosima s Grenlandom utvrđene su u Odluci 2014/137/EU od 14. ožujka 2014.</w:t>
      </w:r>
      <w:r>
        <w:rPr>
          <w:rStyle w:val="FootnoteReference"/>
          <w:noProof/>
        </w:rPr>
        <w:footnoteReference w:id="7"/>
      </w:r>
      <w:r>
        <w:rPr>
          <w:noProof/>
          <w:color w:val="000000"/>
          <w:u w:color="000000"/>
          <w:bdr w:val="nil"/>
        </w:rPr>
        <w:t xml:space="preserve"> o odnosima između Europske unije, s jedne strane, te Grenlanda i Kraljevine Danske, s druge strane.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Dosljednost u odnosu na druge politike Unije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  <w:color w:val="000000"/>
        </w:rPr>
        <w:t>Ovom se izmjenom mijenjaju tehničke odredbe kojima se uzima u obzir razvoj zakonodavstva u tom području.</w:t>
      </w:r>
    </w:p>
    <w:p>
      <w:pPr>
        <w:pStyle w:val="ManualHeading1"/>
        <w:rPr>
          <w:noProof/>
        </w:rPr>
      </w:pPr>
      <w:r>
        <w:rPr>
          <w:noProof/>
        </w:rPr>
        <w:lastRenderedPageBreak/>
        <w:t>2.</w:t>
      </w:r>
      <w:r>
        <w:rPr>
          <w:noProof/>
        </w:rPr>
        <w:tab/>
        <w:t>PRAVNA OSNOVA, SUPSIDIJARNOST I PROPORCIONALNOST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Pravna osnova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Odluka o prekomorskom pridruživanju temelji se na dijelu četvrtom UFEU-a. Detaljna pravila i postupci pridruživanja utvrđeni su u odlukama Vijeća na temelju članka 203. UFEU-a, prema kojemu se takvi akti donose posebnim zakonodavnim postupkom.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Na Grenland se primjenjuju članci od 198. do 204. UFEU-a, podložno posebnim odredbama utvrđenima u Protokolu br. 34 o posebnim aranžmanima za Grenland, koji je priložen UFEU-u.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Budući da su prilozi sastavni dio Odluke o prekomorskom pridruživanju, svaka je izmjena prilogâ podložna istoj pravnoj osnovi i primjenjivom postupku.</w:t>
      </w:r>
    </w:p>
    <w:p>
      <w:pPr>
        <w:rPr>
          <w:rFonts w:eastAsia="Times New Roman"/>
          <w:noProof/>
          <w:sz w:val="6"/>
          <w:szCs w:val="6"/>
        </w:rPr>
      </w:pP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Supsidijarnost (za neisključivu nadležnost) 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 xml:space="preserve">Detaljni aranžmani odredaba u dijelu četvrtom UFEU-a moraju se odrediti na razini Unije jer se svrha pridruživanja (socijalni i gospodarski razvoj i bliske gospodarske veze između PZP-ova i Unije u cjelini) ne može postići djelovanjem na razini država članica. </w:t>
      </w:r>
    </w:p>
    <w:p>
      <w:pPr>
        <w:rPr>
          <w:rFonts w:eastAsia="Times New Roman"/>
          <w:noProof/>
          <w:color w:val="000000"/>
          <w:szCs w:val="24"/>
        </w:rPr>
      </w:pPr>
      <w:r>
        <w:rPr>
          <w:noProof/>
        </w:rPr>
        <w:t xml:space="preserve">Nadalje, države članice ne mogu djelovati u pogledu trgovinskog režima PZP-ova jer je EU sam odgovoran za zajedničku trgovinsku politiku (dio peti, glava II. UFEU-a). </w:t>
      </w:r>
      <w:r>
        <w:rPr>
          <w:noProof/>
          <w:color w:val="000000"/>
        </w:rPr>
        <w:t>Ovom se izmjenom osigurava ujednačena provedba sustava REX.</w:t>
      </w:r>
    </w:p>
    <w:p>
      <w:pPr>
        <w:rPr>
          <w:rFonts w:eastAsia="Arial Unicode MS"/>
          <w:noProof/>
          <w:sz w:val="6"/>
          <w:szCs w:val="6"/>
        </w:rPr>
      </w:pP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Proporcionalnost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 xml:space="preserve">Prijedlog je ograničen na modernizaciju uvjeta potrebnih za definiranje „proizvoda s podrijetlom” i načina administrativne suradnje između PZP-ova i Unije. Stoga se njime osigurava modernizacija odredaba o sustavu REX. 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Obrada osobnih podataka potpuno je u skladu s pravilima Unije i nacionalnim pravilima o zaštiti podataka.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REZULTATI </w:t>
      </w:r>
      <w:r>
        <w:rPr>
          <w:i/>
          <w:noProof/>
        </w:rPr>
        <w:t>EX POST</w:t>
      </w:r>
      <w:r>
        <w:rPr>
          <w:noProof/>
        </w:rPr>
        <w:t xml:space="preserve"> EVALUACIJA, SAVJETOVANJA S DIONICIMA I PROCJENE UČINAKA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Nije primjenjivo.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UTJECAJ NA PRORAČUN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Prijedlog nema utjecaja na proračun. Strogo je povezan s odobrenim sredstvima za provedbu važeće Odluke o prekomorskom pridruživanju.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OSTALI DIJELOVI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Planovi provedbe i mehanizmi praćenja, evaluacije i izvješćivanja</w:t>
      </w:r>
    </w:p>
    <w:p>
      <w:pPr>
        <w:rPr>
          <w:rFonts w:eastAsia="Arial Unicode MS"/>
          <w:noProof/>
          <w:u w:color="000000"/>
          <w:bdr w:val="nil"/>
        </w:rPr>
      </w:pPr>
      <w:r>
        <w:rPr>
          <w:noProof/>
        </w:rPr>
        <w:t>Nije primjenjivo.</w:t>
      </w:r>
    </w:p>
    <w:p>
      <w:pPr>
        <w:rPr>
          <w:rFonts w:eastAsia="Arial Unicode MS"/>
          <w:noProof/>
          <w:sz w:val="12"/>
          <w:szCs w:val="12"/>
          <w:u w:color="000000"/>
          <w:bdr w:val="nil"/>
        </w:rPr>
      </w:pP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Detaljno obrazloženje posebnih odredbi prijedloga</w:t>
      </w:r>
    </w:p>
    <w:p>
      <w:pPr>
        <w:keepNext/>
        <w:tabs>
          <w:tab w:val="left" w:pos="0"/>
        </w:tabs>
        <w:outlineLvl w:val="1"/>
        <w:rPr>
          <w:rFonts w:eastAsia="Times New Roman"/>
          <w:noProof/>
          <w:color w:val="000000"/>
          <w:szCs w:val="24"/>
        </w:rPr>
      </w:pPr>
      <w:r>
        <w:rPr>
          <w:noProof/>
        </w:rPr>
        <w:t>Ovim se prijedlogom u Prilog VI. Odluci o prekomorskom pridruživanju uvrštavaju odredbe za provedbu sustava REX, koji je uspostavljen Uredbom (EU) 2015/2447.</w:t>
      </w:r>
      <w:r>
        <w:rPr>
          <w:noProof/>
          <w:color w:val="000000"/>
        </w:rPr>
        <w:t xml:space="preserve"> Njime se u cijelosti zamjenjuje Prilog VI.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Times New Roman"/>
          <w:noProof/>
          <w:color w:val="000000"/>
          <w:szCs w:val="24"/>
        </w:rPr>
      </w:pPr>
      <w:r>
        <w:rPr>
          <w:noProof/>
          <w:color w:val="000000"/>
        </w:rPr>
        <w:t>Glavne su izmjene sljedeće:</w:t>
      </w:r>
    </w:p>
    <w:p>
      <w:pPr>
        <w:pStyle w:val="ManualNumPar1"/>
        <w:rPr>
          <w:noProof/>
        </w:rPr>
      </w:pPr>
      <w:r>
        <w:lastRenderedPageBreak/>
        <w:t>1.</w:t>
      </w:r>
      <w:r>
        <w:tab/>
      </w:r>
      <w:r>
        <w:rPr>
          <w:noProof/>
        </w:rPr>
        <w:t>U članku 1. kao nova točka (s) dodana je definicija „sustava REX”. Ona sadržava upućivanje na članak 80. stavak 1. Carinskog zakonika Unije – provedbeni akt (UCC-IA). Upućivanja na UCC-IA-u navedena su u povezanoj bilješci;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U članku 8. stavku 3. briše se isključenje proizvodâ iz Dodatka XIII., kao i sâm Dodatak XIII., s obzirom na to da se isključenje prestalo primjenjivati 1. listopada 2015.; 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U članku 9. prethodna upućivanja na Uredbu 732/2008 zamijenjena su upućivanjima na Uredbu 978/2012. U članku 9. stavku 3. u bilješci navode se upućivanja na Carinski zakonik Unije – Delegirani akt (UCC-DA);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U članak 10. stavak 1. točku (a) uvršten je prijašnji stavak članka 59. koji se odnosi na nadzor podrijetla i sadržava zahtjev za administrativnu suradnju u okviru proširene kumulacije. Taj je stavak u članku 59. bio od zanemarive važnosti;</w:t>
      </w:r>
    </w:p>
    <w:p>
      <w:pPr>
        <w:pStyle w:val="ManualNumPar1"/>
        <w:rPr>
          <w:noProof/>
        </w:rPr>
      </w:pPr>
      <w:r>
        <w:t>5.</w:t>
      </w:r>
      <w:r>
        <w:tab/>
      </w:r>
      <w:r>
        <w:rPr>
          <w:noProof/>
        </w:rPr>
        <w:t xml:space="preserve">Odjeljak 2. glave IV. i odjeljak 2. glave V., koji su se odnosili na stanje prije REX-a, izbrisani su te je svaki „odjeljak 3.” postao „odjeljak 2.”; </w:t>
      </w:r>
    </w:p>
    <w:p>
      <w:pPr>
        <w:pStyle w:val="ManualNumPar1"/>
        <w:rPr>
          <w:noProof/>
        </w:rPr>
      </w:pPr>
      <w:r>
        <w:t>6.</w:t>
      </w:r>
      <w:r>
        <w:tab/>
      </w:r>
      <w:r>
        <w:rPr>
          <w:noProof/>
        </w:rPr>
        <w:t>Zamijenjen je redoslijed prethodnih članaka 37. i 38. (sada numerirani kao članci 23. i 22.), a prijašnji članak 37. naslovljen „Evidencija registriranih izvoznika” preimenovan je u „Registracija”;</w:t>
      </w:r>
    </w:p>
    <w:p>
      <w:pPr>
        <w:pStyle w:val="ManualNumPar1"/>
        <w:rPr>
          <w:noProof/>
        </w:rPr>
      </w:pPr>
      <w:r>
        <w:t>7.</w:t>
      </w:r>
      <w:r>
        <w:tab/>
      </w:r>
      <w:r>
        <w:rPr>
          <w:noProof/>
        </w:rPr>
        <w:t>U članku 23. stavku 2. (novo numeriranje) popis podataka koje treba registrirati usklađen je s popisom iz članka 40. o „pravima pristupa”, koji je ažuriran nedavnim izmjenama članka 82. UCC-IA-e;</w:t>
      </w:r>
    </w:p>
    <w:p>
      <w:pPr>
        <w:pStyle w:val="ManualNumPar1"/>
        <w:rPr>
          <w:noProof/>
        </w:rPr>
      </w:pPr>
      <w:r>
        <w:t>8.</w:t>
      </w:r>
      <w:r>
        <w:tab/>
      </w:r>
      <w:r>
        <w:rPr>
          <w:noProof/>
        </w:rPr>
        <w:t>U članku 25. stavku 3. upućuje se na novi članak 27. o „izjavi dobavljača”;</w:t>
      </w:r>
    </w:p>
    <w:p>
      <w:pPr>
        <w:pStyle w:val="ManualNumPar1"/>
        <w:rPr>
          <w:noProof/>
        </w:rPr>
      </w:pPr>
      <w:r>
        <w:t>9.</w:t>
      </w:r>
      <w:r>
        <w:tab/>
      </w:r>
      <w:r>
        <w:rPr>
          <w:noProof/>
        </w:rPr>
        <w:t>Članak 26. sada uključuje i izjavu o podrijetlu i podatke u svrhu (pune) kumulacije, sadržane u prijašnjem članku 32.;</w:t>
      </w:r>
    </w:p>
    <w:p>
      <w:pPr>
        <w:pStyle w:val="ManualNumPar1"/>
        <w:rPr>
          <w:noProof/>
        </w:rPr>
      </w:pPr>
      <w:r>
        <w:t>10.</w:t>
      </w:r>
      <w:r>
        <w:tab/>
      </w:r>
      <w:r>
        <w:rPr>
          <w:noProof/>
        </w:rPr>
        <w:t>Novi članak 27. odražava odredbe koje se odnose na izjavu dobavljača iz prijašnjeg članka 32., ali je ograničen na izjavu dobavljača o proizvodima bez podrijetla u cilju primjene pune kumulacije predviđene u članku 2. stavku 2., članku 7. stavku 2. i članku 8. stavku 2. Izbrisan je prijašnji Dodatak VII. o izjavi dobavljača za proizvode s podrijetlom;</w:t>
      </w:r>
    </w:p>
    <w:p>
      <w:pPr>
        <w:pStyle w:val="ManualNumPar1"/>
        <w:rPr>
          <w:noProof/>
        </w:rPr>
      </w:pPr>
      <w:r>
        <w:t>11.</w:t>
      </w:r>
      <w:r>
        <w:tab/>
      </w:r>
      <w:r>
        <w:rPr>
          <w:noProof/>
        </w:rPr>
        <w:t>U članku 27. stavku 2. dodana je mogućnost dugoročne izjave dobavljača, uz upućivanje na naznaku razdoblja valjanosti u bilješci (7) u Dodatku V.;</w:t>
      </w:r>
    </w:p>
    <w:p>
      <w:pPr>
        <w:pStyle w:val="ManualNumPar1"/>
        <w:rPr>
          <w:noProof/>
        </w:rPr>
      </w:pPr>
      <w:r>
        <w:t>12.</w:t>
      </w:r>
      <w:r>
        <w:tab/>
      </w:r>
      <w:r>
        <w:rPr>
          <w:noProof/>
        </w:rPr>
        <w:t>U članku 40. popis podataka koje treba objaviti ažuriran je nedavnim izmjenama članka 82. UCC-IA-e;</w:t>
      </w:r>
    </w:p>
    <w:p>
      <w:pPr>
        <w:pStyle w:val="ManualNumPar1"/>
        <w:rPr>
          <w:noProof/>
        </w:rPr>
      </w:pPr>
      <w:r>
        <w:t>13.</w:t>
      </w:r>
      <w:r>
        <w:tab/>
      </w:r>
      <w:r>
        <w:rPr>
          <w:noProof/>
        </w:rPr>
        <w:t>U članku 41. i u napomenama uz Dodatak VI. upućivanja na Direktivu 95/46/EZ zamijenjena su upućivanjima na novu Uredbu (EU) 2016/679 (GDPR);</w:t>
      </w:r>
    </w:p>
    <w:p>
      <w:pPr>
        <w:pStyle w:val="ManualNumPar1"/>
        <w:rPr>
          <w:noProof/>
        </w:rPr>
      </w:pPr>
      <w:r>
        <w:t>14.</w:t>
      </w:r>
      <w:r>
        <w:tab/>
      </w:r>
      <w:r>
        <w:rPr>
          <w:noProof/>
        </w:rPr>
        <w:t>Novi članak 44. odnosi se na provjeru izjava dobavljačâ i uključuje elemente iz prijašnjeg članka 55.;</w:t>
      </w:r>
    </w:p>
    <w:p>
      <w:pPr>
        <w:pStyle w:val="ManualNumPar1"/>
        <w:rPr>
          <w:noProof/>
        </w:rPr>
      </w:pPr>
      <w:r>
        <w:t>15.</w:t>
      </w:r>
      <w:r>
        <w:tab/>
      </w:r>
      <w:r>
        <w:rPr>
          <w:noProof/>
        </w:rPr>
        <w:t>U članku 45. stavku 2. upućuje se na članak 68. UCC-IA-e, koji uključuje obrazac za registraciju izvoznika u Uniji, a prijašnji Dodatak XI. A briše se;</w:t>
      </w:r>
    </w:p>
    <w:p>
      <w:pPr>
        <w:pStyle w:val="ManualNumPar1"/>
        <w:rPr>
          <w:noProof/>
        </w:rPr>
      </w:pPr>
      <w:r>
        <w:t>16.</w:t>
      </w:r>
      <w:r>
        <w:tab/>
      </w:r>
      <w:r>
        <w:rPr>
          <w:noProof/>
        </w:rPr>
        <w:t>Izbrisani su dodaci od III. do VII., Dodatak XI. A i Dodatak XIII. Dodaci od VIII. do XI. i Dodatak XII. preuređeni su i ponovno numerirani prema njihovu izgledu u tekstu te su prema potrebi usklađeni s izmjenama teksta.</w:t>
      </w:r>
    </w:p>
    <w:p>
      <w:pPr>
        <w:rPr>
          <w:noProof/>
        </w:rPr>
        <w:sectPr>
          <w:footerReference w:type="default" r:id="rId16"/>
          <w:footerReference w:type="first" r:id="rId17"/>
          <w:footnotePr>
            <w:numRestart w:val="eachSect"/>
          </w:footnotePr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2019/0162 (CNS)</w:t>
      </w:r>
    </w:p>
    <w:p>
      <w:pPr>
        <w:pStyle w:val="Statut"/>
        <w:rPr>
          <w:noProof/>
        </w:rPr>
      </w:pPr>
      <w:r>
        <w:rPr>
          <w:noProof/>
        </w:rPr>
        <w:t>Prijedlog</w:t>
      </w:r>
    </w:p>
    <w:p>
      <w:pPr>
        <w:pStyle w:val="Typedudocument"/>
        <w:rPr>
          <w:noProof/>
        </w:rPr>
      </w:pPr>
      <w:r>
        <w:rPr>
          <w:noProof/>
        </w:rPr>
        <w:t>ODLUKE VIJEĆA</w:t>
      </w:r>
    </w:p>
    <w:p>
      <w:pPr>
        <w:pStyle w:val="Titreobjet"/>
        <w:rPr>
          <w:noProof/>
        </w:rPr>
      </w:pPr>
      <w:r>
        <w:rPr>
          <w:noProof/>
        </w:rPr>
        <w:t>o izmjeni Odluke Vijeća 2013/755/EU od 25. studenoga 2013. o pridruživanju prekomorskih zemalja i područja Europskoj uniji („Odluka o prekomorskom pridruživanju”)</w:t>
      </w:r>
    </w:p>
    <w:p>
      <w:pPr>
        <w:pStyle w:val="Institutionquiagit"/>
        <w:rPr>
          <w:noProof/>
        </w:rPr>
      </w:pPr>
      <w:r>
        <w:rPr>
          <w:noProof/>
        </w:rPr>
        <w:t>VIJEĆE EUROPSKE UNIJE,</w:t>
      </w:r>
    </w:p>
    <w:p>
      <w:pPr>
        <w:rPr>
          <w:noProof/>
        </w:rPr>
      </w:pPr>
      <w:r>
        <w:rPr>
          <w:noProof/>
        </w:rPr>
        <w:t>uzimajući u obzir Ugovor o funkcioniranju Europske unije, a posebno njegov članak 203.,</w:t>
      </w:r>
    </w:p>
    <w:p>
      <w:pPr>
        <w:rPr>
          <w:noProof/>
        </w:rPr>
      </w:pPr>
      <w:r>
        <w:rPr>
          <w:noProof/>
        </w:rPr>
        <w:t>uzimajući u obzir prijedlog Europske komisije,</w:t>
      </w:r>
    </w:p>
    <w:p>
      <w:pPr>
        <w:rPr>
          <w:noProof/>
        </w:rPr>
      </w:pPr>
      <w:r>
        <w:rPr>
          <w:noProof/>
        </w:rPr>
        <w:t xml:space="preserve">nakon prosljeđivanja nacrta zakonodavnog akta nacionalnim parlamentima, </w:t>
      </w:r>
    </w:p>
    <w:p>
      <w:pPr>
        <w:rPr>
          <w:noProof/>
        </w:rPr>
      </w:pPr>
      <w:r>
        <w:rPr>
          <w:noProof/>
        </w:rPr>
        <w:t>uzimajući u obzir mišljenje Europskog parlamenta,</w:t>
      </w:r>
    </w:p>
    <w:p>
      <w:pPr>
        <w:rPr>
          <w:noProof/>
        </w:rPr>
      </w:pPr>
      <w:r>
        <w:rPr>
          <w:noProof/>
        </w:rPr>
        <w:t>u skladu s posebnim zakonodavnim postupkom,</w:t>
      </w:r>
    </w:p>
    <w:p>
      <w:pPr>
        <w:rPr>
          <w:noProof/>
        </w:rPr>
      </w:pPr>
      <w:r>
        <w:rPr>
          <w:noProof/>
        </w:rPr>
        <w:t>budući da: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U Prilogu VI. Odluci Vijeća 2013/755/EU</w:t>
      </w:r>
      <w:r>
        <w:rPr>
          <w:rStyle w:val="FootnoteReference"/>
          <w:noProof/>
          <w:color w:val="000000"/>
        </w:rPr>
        <w:footnoteReference w:id="8"/>
      </w:r>
      <w:r>
        <w:rPr>
          <w:noProof/>
        </w:rPr>
        <w:t xml:space="preserve"> („Odluka o prekomorskom pridruživanju”) definiran je pojam „proizvodi s podrijetlom” i načini administrativne suradnje između Unije i prekomorskih zemalja i područja („PZP-ovi”). Njime su utvrđene odredbe za uvođenje sustava registriranih izvoznika (REX) u PZP-ove u svrhu certificiranja podrijetla.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Člankom 58. Priloga VI. Odluci 2013/755/EU predviđeno je uspostavljanje baze podataka registriranih izvoznika, a člankom 63. tog priloga dopušteno je odstupanje od sustava REX.</w:t>
      </w:r>
      <w:r>
        <w:rPr>
          <w:i/>
          <w:noProof/>
        </w:rPr>
        <w:t xml:space="preserve"> 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U skladu s člankom 63. stavkom 2. Priloga VI. Odluci 2013/755/EU svi PZP-ovi zatražili su trogodišnje odstupanje od primjene sustava REX.</w:t>
      </w:r>
      <w:r>
        <w:rPr>
          <w:noProof/>
          <w:color w:val="000000"/>
        </w:rPr>
        <w:t xml:space="preserve"> </w:t>
      </w:r>
      <w:r>
        <w:rPr>
          <w:noProof/>
        </w:rPr>
        <w:t>Slijedom toga, Komisija je Provedbenom odlukom Komisije (EU) 2016/2093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 datum primjene sustava REX u PZP-ovima odgodila do 1. siječnja 2020.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Uredbom (EU) br. 952/2013 Europskog parlamenta i Vijeća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 o Carinskom zakoniku Unije stavljena je izvan snage Uredba Vijeća (EEZ) br. 2913/92</w:t>
      </w:r>
      <w:r>
        <w:rPr>
          <w:rStyle w:val="FootnoteReference"/>
          <w:noProof/>
        </w:rPr>
        <w:footnoteReference w:id="11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Odredbe pravila o podrijetlu u okviru općeg sustava povlastica („OSP”) koje se odnose na sustav REX, određene Uredbom (EEZ) br. 2454/93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, kojom su utvrđene </w:t>
      </w:r>
      <w:r>
        <w:rPr>
          <w:noProof/>
        </w:rPr>
        <w:lastRenderedPageBreak/>
        <w:t>odredbe za provedbu Uredbe Vijeća (EEZ) br. 2913/92, izmijenjene su Provedbenom uredbom Komisije (EU) 2015/428</w:t>
      </w:r>
      <w:r>
        <w:rPr>
          <w:rStyle w:val="FootnoteReference"/>
          <w:noProof/>
        </w:rPr>
        <w:footnoteReference w:id="13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Uredbom (EU) 2016/481</w:t>
      </w:r>
      <w:r>
        <w:rPr>
          <w:rStyle w:val="FootnoteReference"/>
          <w:noProof/>
        </w:rPr>
        <w:footnoteReference w:id="14"/>
      </w:r>
      <w:r>
        <w:rPr>
          <w:noProof/>
        </w:rPr>
        <w:t xml:space="preserve"> naknadno je stavljena izvan snage Uredba (EEZ) br. 2454/93. </w:t>
      </w:r>
    </w:p>
    <w:p>
      <w:pPr>
        <w:pStyle w:val="ManualConsidrant"/>
        <w:rPr>
          <w:noProof/>
          <w:szCs w:val="24"/>
        </w:rPr>
      </w:pPr>
      <w:r>
        <w:t>(7)</w:t>
      </w:r>
      <w:r>
        <w:tab/>
      </w:r>
      <w:r>
        <w:rPr>
          <w:noProof/>
        </w:rPr>
        <w:t>Stoga su Provedbenom uredbom Komisije (EU) 2015/2447</w:t>
      </w:r>
      <w:r>
        <w:rPr>
          <w:rStyle w:val="FootnoteReference"/>
          <w:noProof/>
        </w:rPr>
        <w:footnoteReference w:id="15"/>
      </w:r>
      <w:r>
        <w:rPr>
          <w:noProof/>
        </w:rPr>
        <w:t>, kojom su utvrđena sva opća pravila za provedbu Uredbe (EU) br. 952/2013, u opći sustav povlastica („OSP”) uvrštene izmijenjene odredbe sustava REX utvrđene Uredbom (EU) 2015/428.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Budući da se većina općih pravila za provedbu Carinskog zakonika Unije odnosi na sustav REX, potrebno je na odgovarajući način izmijeniti Prilog VI. Odluci 2013/755/EU.</w:t>
      </w:r>
      <w:r>
        <w:rPr>
          <w:noProof/>
          <w:color w:val="000000"/>
        </w:rPr>
        <w:t xml:space="preserve"> Taj bi prilog stoga trebalo izmijeniti kako bi se njegove odredbe o sustavu REX uskladile s odredbama o sustavu REX utvrđenima Uredbom (EU) 2015/2447, </w:t>
      </w:r>
    </w:p>
    <w:p>
      <w:pPr>
        <w:pStyle w:val="Formuledadoption"/>
        <w:rPr>
          <w:noProof/>
        </w:rPr>
      </w:pPr>
      <w:r>
        <w:rPr>
          <w:noProof/>
        </w:rPr>
        <w:t xml:space="preserve">DONIJELO JE OVU ODLUKU: </w:t>
      </w:r>
    </w:p>
    <w:p>
      <w:pPr>
        <w:pStyle w:val="Titrearticle"/>
        <w:rPr>
          <w:b/>
          <w:i w:val="0"/>
          <w:noProof/>
        </w:rPr>
      </w:pPr>
      <w:r>
        <w:rPr>
          <w:noProof/>
        </w:rPr>
        <w:t>Članak 1.</w:t>
      </w:r>
      <w:r>
        <w:rPr>
          <w:noProof/>
        </w:rPr>
        <w:br/>
      </w:r>
      <w:r>
        <w:rPr>
          <w:b/>
          <w:i w:val="0"/>
          <w:noProof/>
        </w:rPr>
        <w:t>Izmjena Odluke 2013/755/EU</w:t>
      </w:r>
    </w:p>
    <w:p>
      <w:pPr>
        <w:rPr>
          <w:noProof/>
        </w:rPr>
      </w:pPr>
      <w:r>
        <w:rPr>
          <w:noProof/>
        </w:rPr>
        <w:t>Prilog VI. Odluci 2013/755/EU zamjenjuje se tekstom iz Priloga ovoj Odluci.</w:t>
      </w:r>
    </w:p>
    <w:p>
      <w:pPr>
        <w:pStyle w:val="Titrearticle"/>
        <w:keepNext w:val="0"/>
        <w:rPr>
          <w:b/>
          <w:i w:val="0"/>
          <w:noProof/>
        </w:rPr>
      </w:pPr>
      <w:r>
        <w:rPr>
          <w:noProof/>
        </w:rPr>
        <w:t>Članak 2.</w:t>
      </w:r>
      <w:r>
        <w:rPr>
          <w:noProof/>
        </w:rPr>
        <w:br/>
      </w:r>
      <w:r>
        <w:rPr>
          <w:b/>
          <w:i w:val="0"/>
          <w:noProof/>
        </w:rPr>
        <w:t>Stupanje na snagu</w:t>
      </w:r>
    </w:p>
    <w:p>
      <w:pPr>
        <w:keepLines/>
        <w:rPr>
          <w:noProof/>
        </w:rPr>
      </w:pPr>
      <w:r>
        <w:rPr>
          <w:noProof/>
        </w:rPr>
        <w:t xml:space="preserve">Ova Odluka stupa na snagu dvadesetog dana od dana objave u </w:t>
      </w:r>
      <w:r>
        <w:rPr>
          <w:i/>
          <w:noProof/>
        </w:rPr>
        <w:t>Službenom listu Europske unije</w:t>
      </w:r>
      <w:r>
        <w:rPr>
          <w:noProof/>
        </w:rPr>
        <w:t>.</w:t>
      </w:r>
    </w:p>
    <w:p>
      <w:pPr>
        <w:keepNext/>
        <w:keepLines/>
        <w:rPr>
          <w:noProof/>
        </w:rPr>
      </w:pPr>
      <w:r>
        <w:rPr>
          <w:noProof/>
        </w:rPr>
        <w:t>Primjenjuje se od 1. siječnja 2020.</w:t>
      </w:r>
    </w:p>
    <w:p>
      <w:pPr>
        <w:keepNext/>
        <w:keepLines/>
        <w:rPr>
          <w:noProof/>
        </w:rPr>
      </w:pPr>
    </w:p>
    <w:p>
      <w:pPr>
        <w:pStyle w:val="Fait"/>
        <w:rPr>
          <w:noProof/>
        </w:rPr>
      </w:pPr>
      <w:r>
        <w:t>Sastavljeno u Bruxellesu,</w:t>
      </w:r>
    </w:p>
    <w:p>
      <w:pPr>
        <w:pStyle w:val="Institutionquisigne"/>
        <w:rPr>
          <w:noProof/>
        </w:rPr>
      </w:pPr>
      <w:r>
        <w:rPr>
          <w:noProof/>
        </w:rPr>
        <w:tab/>
        <w:t>Za Vijeće</w:t>
      </w:r>
    </w:p>
    <w:p>
      <w:pPr>
        <w:pStyle w:val="Personnequisigne"/>
        <w:rPr>
          <w:noProof/>
        </w:rPr>
      </w:pPr>
      <w:r>
        <w:rPr>
          <w:noProof/>
        </w:rPr>
        <w:tab/>
        <w:t>Predsjednik</w:t>
      </w:r>
    </w:p>
    <w:sectPr>
      <w:footnotePr>
        <w:numRestart w:val="eachSect"/>
      </w:footnote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Odluka (EU) 2013/755 od 25. studenoga 2013. o pridruživanju prekomorskih zemalja i područja Europskoj uniji („Odluka o prekomorskom pridruživanju”), SL L 344, str. 1., 19.12.2013.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 xml:space="preserve">Vidjeti Prilog II. UFEU-u. 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Provedbena odluka Komisije (EU) 2016/2093 оd 29. studenoga 2016. o odstupanju u pogledu datuma primjene sustava registriranih izvoznika na izvoz iz prekomorskih zemalja i područja, C/2016/7606, SL L 324, 30.11.2016., str. 18.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Provedbena uredba Komisije (EU) 2015/428 оd 10. ožujka 2015. o izmjeni Uredbe (EEZ) br. 2454/93 i Uredbe (EU) br. 1063/2010 u pogledu pravila o podrijetlu povezanih sa sustavom općih carinskih povlastica i povlaštenim tarifnim mjerama za određene zemlje ili područja (SL L 70, 14.3.2015., str. 12.).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Provedbena uredba Komisije (EU) 2015/2447 оd 24. studenoga 2015. o utvrđivanju detaljnih pravila za provedbu određenih odredbi Uredbe (EU) br. 952/2013 Europskog parlamenta i Vijeća o Carinskom zakoniku Unije (SL L 343, 29.12.2015., str. 558.).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color w:val="000000"/>
          <w:u w:color="000000"/>
          <w:bdr w:val="nil"/>
        </w:rPr>
        <w:t>SL L 344, 19.12.2013., str. 1.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color w:val="000000"/>
          <w:u w:color="000000"/>
          <w:bdr w:val="nil"/>
        </w:rPr>
        <w:t>SL L 76, 15.3.2014., str. 1.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Odluka Vijeća 2013/755/EU od 25. studenoga 2013. o pridruživanju prekomorskih zemalja i područja Europskoj uniji (SL L 344, 19.12.2013., str. 1.).</w:t>
      </w:r>
    </w:p>
  </w:footnote>
  <w:footnote w:id="9">
    <w:p>
      <w:pPr>
        <w:pStyle w:val="FootnoteText"/>
        <w:rPr>
          <w:lang w:val="mt-MT"/>
        </w:rPr>
      </w:pPr>
      <w:r>
        <w:rPr>
          <w:rStyle w:val="FootnoteReference"/>
        </w:rPr>
        <w:footnoteRef/>
      </w:r>
      <w:r>
        <w:tab/>
        <w:t>Provedbena odluka Komisije (EU) 2016/2093 оd 29. studenoga 2016. o odstupanju u pogledu datuma primjene sustava registriranih izvoznika na izvoz iz prekomorskih zemalja i područja (SL L 324, 30.11.2016., str. 18.).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Uredba (EU) br. 952/2013 Europskog parlamenta i Vijeća od 9. listopada 2013. o Carinskom zakoniku Unije (SL L 269, 10.10.2013., str. 1.).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Uredba Vijeća (EEZ) br. 2913/92 od 12. listopada 1992. o Carinskom zakoniku Zajednice (SL L 302, 19.10.1992., str. 1.).</w:t>
      </w:r>
    </w:p>
  </w:footnote>
  <w:footnote w:id="12">
    <w:p>
      <w:pPr>
        <w:pStyle w:val="FootnoteText"/>
        <w:rPr>
          <w:lang w:val="mt-MT"/>
        </w:rPr>
      </w:pPr>
      <w:r>
        <w:rPr>
          <w:rStyle w:val="FootnoteReference"/>
        </w:rPr>
        <w:footnoteRef/>
      </w:r>
      <w:r>
        <w:tab/>
        <w:t>Uredba Komisije (EEZ) br. 2454/93 od 2. srpnja 1993. o utvrđivanju odredaba za provedbu Uredbe Vijeća (EEZ) br. 2913/92 o Carinskom zakoniku Zajednice (SL L 253, 11.10.1993., str. 1.).</w:t>
      </w:r>
    </w:p>
  </w:footnote>
  <w:footnote w:id="13">
    <w:p>
      <w:pPr>
        <w:pStyle w:val="FootnoteText"/>
      </w:pPr>
      <w:r>
        <w:rPr>
          <w:rStyle w:val="FootnoteReference"/>
        </w:rPr>
        <w:footnoteRef/>
      </w:r>
      <w:r>
        <w:tab/>
        <w:t>Provedbena uredba Komisije (EU) 2015/428 оd 10. ožujka 2015. o izmjeni Uredbe (EEZ) br. 2454/93 i Uredbe (EU) br. 1063/2010 u pogledu pravila o podrijetlu povezanih sa sustavom općih carinskih povlastica i povlaštenim tarifnim mjerama za određene zemlje ili područja (SL L 70, 14.3.2015., str. 12.).</w:t>
      </w:r>
    </w:p>
  </w:footnote>
  <w:footnote w:id="14">
    <w:p>
      <w:pPr>
        <w:pStyle w:val="FootnoteText"/>
        <w:rPr>
          <w:lang w:val="mt-MT"/>
        </w:rPr>
      </w:pPr>
      <w:r>
        <w:rPr>
          <w:rStyle w:val="FootnoteReference"/>
        </w:rPr>
        <w:footnoteRef/>
      </w:r>
      <w:r>
        <w:tab/>
        <w:t>Provedbena uredba Komisije (EU) 2016/481 od 1. travnja 2016. o stavljanju izvan snage Uredbe Komisije (EEZ) br. 2454/93 o utvrđivanju odredaba za provedbu Uredbe Vijeća (EEZ) br. 2913/92 o Carinskom zakoniku Zajednice (SL L 87, 2.4.2016., str. 24.).</w:t>
      </w:r>
    </w:p>
  </w:footnote>
  <w:footnote w:id="15">
    <w:p>
      <w:pPr>
        <w:pStyle w:val="FootnoteText"/>
      </w:pPr>
      <w:r>
        <w:rPr>
          <w:rStyle w:val="FootnoteReference"/>
        </w:rPr>
        <w:footnoteRef/>
      </w:r>
      <w:r>
        <w:tab/>
        <w:t>Provedbena uredba Komisije (EU) 2015/2447 оd 24. studenoga 2015. o utvrđivanju detaljnih pravila za provedbu određenih odredbi Uredbe (EU) br. 952/2013 Europskog parlamenta i Vijeća o Carinskom zakoniku Unije (SL L 343, 29.12.2015., str. 558.).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A0A2DC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8C6DC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C9202D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D2C83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4A62F17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0E6CE9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4E22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C0208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ctiveWritingStyle w:appName="MSWord" w:lang="nl-B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BE" w:vendorID="64" w:dllVersion="131078" w:nlCheck="1" w:checkStyle="0"/>
  <w:attachedTemplate r:id="rId1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7-26 08:54:2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5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08D27FD3-A634-4B17-AD71-CFC1D149F6B6"/>
    <w:docVar w:name="LW_COVERPAGE_TYPE" w:val="1"/>
    <w:docVar w:name="LW_CROSSREFERENCE" w:val="&lt;UNUSED&gt;"/>
    <w:docVar w:name="LW_DocType" w:val="COM"/>
    <w:docVar w:name="LW_EMISSION" w:val="2.8.2019."/>
    <w:docVar w:name="LW_EMISSION_ISODATE" w:val="2019-08-02"/>
    <w:docVar w:name="LW_EMISSION_LOCATION" w:val="BRX"/>
    <w:docVar w:name="LW_EMISSION_PREFIX" w:val="Bruxelles, 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&lt;UNUSED&gt;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PART_NBR" w:val="1"/>
    <w:docVar w:name="LW_PART_NBR_TOTAL" w:val="1"/>
    <w:docVar w:name="LW_REF.II.NEW.CP" w:val="CNS"/>
    <w:docVar w:name="LW_REF.II.NEW.CP_NUMBER" w:val="0162"/>
    <w:docVar w:name="LW_REF.II.NEW.CP_YEAR" w:val="2019"/>
    <w:docVar w:name="LW_REF.INST.NEW" w:val="COM"/>
    <w:docVar w:name="LW_REF.INST.NEW_ADOPTED" w:val="final"/>
    <w:docVar w:name="LW_REF.INST.NEW_TEXT" w:val="(2019) 35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ijedlog"/>
    <w:docVar w:name="LW_SUPERTITRE" w:val="&lt;UNUSED&gt;"/>
    <w:docVar w:name="LW_TITRE.OBJ.CP" w:val="o izmjeni Odluke Vije\u263?a 2013/755/EU od 25. studenoga 2013. o pridru\u382?ivanju prekomorskih zemalja i podru\u269?ja Europskoj uniji (\u8222?Odluka o prekomorskom pridru\u382?ivanju\u8221?)"/>
    <w:docVar w:name="LW_TYPE.DOC.CP" w:val="ODLUKE VIJE\u262?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r-HR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M1">
    <w:name w:val="CM1"/>
    <w:basedOn w:val="Normal"/>
    <w:uiPriority w:val="99"/>
    <w:pPr>
      <w:autoSpaceDE w:val="0"/>
      <w:autoSpaceDN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Footnote">
    <w:name w:val="Footnote"/>
    <w:basedOn w:val="Normal"/>
    <w:rPr>
      <w:rFonts w:eastAsia="Times New Roman"/>
      <w:noProof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r-HR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M1">
    <w:name w:val="CM1"/>
    <w:basedOn w:val="Normal"/>
    <w:uiPriority w:val="99"/>
    <w:pPr>
      <w:autoSpaceDE w:val="0"/>
      <w:autoSpaceDN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Footnote">
    <w:name w:val="Footnote"/>
    <w:basedOn w:val="Normal"/>
    <w:rPr>
      <w:rFonts w:eastAsia="Times New Roman"/>
      <w:noProof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34E8B8C-0587-4180-8591-E660F491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7</Pages>
  <Words>1946</Words>
  <Characters>11211</Characters>
  <Application>Microsoft Office Word</Application>
  <DocSecurity>0</DocSecurity>
  <Lines>211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18</cp:revision>
  <cp:lastPrinted>2019-05-16T12:10:00Z</cp:lastPrinted>
  <dcterms:created xsi:type="dcterms:W3CDTF">2019-06-24T14:54:00Z</dcterms:created>
  <dcterms:modified xsi:type="dcterms:W3CDTF">2019-07-26T06:54:00Z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