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3F4FBEF-7E89-4594-9B62-B74DE02D0A44" style="width:450.75pt;height:393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PERUSTELUT</w:t>
      </w:r>
    </w:p>
    <w:p>
      <w:pPr>
        <w:pStyle w:val="ManualHeading1"/>
        <w:rPr>
          <w:rFonts w:eastAsia="Arial Unicode MS"/>
          <w:noProof/>
        </w:rPr>
      </w:pPr>
      <w:r>
        <w:t>1.</w:t>
      </w:r>
      <w:r>
        <w:tab/>
      </w:r>
      <w:r>
        <w:rPr>
          <w:noProof/>
        </w:rPr>
        <w:t>Ehdotuksen kohde</w:t>
      </w:r>
    </w:p>
    <w:p>
      <w:pPr>
        <w:rPr>
          <w:noProof/>
        </w:rPr>
      </w:pPr>
      <w:r>
        <w:rPr>
          <w:noProof/>
        </w:rPr>
        <w:t>Tämä on ehdotus päätökseksi Euroopan yhteisöjen ja niiden jäsenvaltioiden sekä Marokon kuningaskunnan välisestä assosioinnista tehdyllä Euro–Välimeri-sopimuksella (’sopimus’ tai ’Euro–Välimeri-sopimus’) perustetussa assosiaationeuvostossa Euroopan unionin puolesta otettavan kannan vahvistamisesta, silloin kun tämän elimen on määrä antaa suositus pitkälle edistyneen maan aseman täytäntöönpanoa koskevan EU–Marokko-toimintasuunnitelman (2013–2018) voimassaolon jatkamisesta kahdella vuodella (2019 ja 2020).</w:t>
      </w:r>
    </w:p>
    <w:p>
      <w:pPr>
        <w:pStyle w:val="ManualHeading1"/>
        <w:rPr>
          <w:noProof/>
        </w:rPr>
      </w:pPr>
      <w:r>
        <w:t>2.</w:t>
      </w:r>
      <w:r>
        <w:tab/>
      </w:r>
      <w:r>
        <w:rPr>
          <w:noProof/>
        </w:rPr>
        <w:t>Ehdotuksen tausta</w:t>
      </w:r>
    </w:p>
    <w:p>
      <w:pPr>
        <w:pStyle w:val="ManualHeading2"/>
        <w:rPr>
          <w:noProof/>
        </w:rPr>
      </w:pPr>
      <w:r>
        <w:t>2.1.</w:t>
      </w:r>
      <w:r>
        <w:tab/>
      </w:r>
      <w:r>
        <w:rPr>
          <w:noProof/>
        </w:rPr>
        <w:t>Euro–Välimeri-sopimus</w:t>
      </w:r>
    </w:p>
    <w:p>
      <w:pPr>
        <w:rPr>
          <w:noProof/>
        </w:rPr>
      </w:pPr>
      <w:r>
        <w:rPr>
          <w:noProof/>
        </w:rPr>
        <w:t xml:space="preserve">Euro–Välimeri-sopimuksella on tarkoitus </w:t>
      </w:r>
    </w:p>
    <w:p>
      <w:pPr>
        <w:pStyle w:val="Bullet0"/>
        <w:numPr>
          <w:ilvl w:val="0"/>
          <w:numId w:val="8"/>
        </w:numPr>
        <w:ind w:hanging="283"/>
        <w:rPr>
          <w:noProof/>
        </w:rPr>
      </w:pPr>
      <w:r>
        <w:rPr>
          <w:noProof/>
        </w:rPr>
        <w:t>luoda asianmukaiset puitteet sopimuspuolten väliselle poliittiselle vuoropuhelulle sellaisten suhteiden vahvistamiseksi kaikilla aloilla, joiden ne katsovat kuuluvan tällaiseen vuoropuheluun;</w:t>
      </w:r>
    </w:p>
    <w:p>
      <w:pPr>
        <w:pStyle w:val="Bullet0"/>
        <w:ind w:hanging="283"/>
        <w:rPr>
          <w:noProof/>
        </w:rPr>
      </w:pPr>
      <w:r>
        <w:rPr>
          <w:noProof/>
        </w:rPr>
        <w:t>vahvistaa tavaroiden, palvelujen ja pääomien kaupan asteittaisen vapauttamisen edellytykset;</w:t>
      </w:r>
    </w:p>
    <w:p>
      <w:pPr>
        <w:pStyle w:val="Bullet0"/>
        <w:ind w:hanging="283"/>
        <w:rPr>
          <w:noProof/>
        </w:rPr>
      </w:pPr>
      <w:r>
        <w:rPr>
          <w:noProof/>
        </w:rPr>
        <w:t xml:space="preserve">edistää Maghreb-maiden yhdentymistä suosimalla Marokon ja alueen maiden välistä kauppaa ja yhteistyötä; </w:t>
      </w:r>
    </w:p>
    <w:p>
      <w:pPr>
        <w:pStyle w:val="Bullet0"/>
        <w:ind w:hanging="283"/>
        <w:rPr>
          <w:noProof/>
        </w:rPr>
      </w:pPr>
      <w:r>
        <w:rPr>
          <w:noProof/>
        </w:rPr>
        <w:t xml:space="preserve">kehittää kaupankäyntiä ja varmistaa tasapainoisten taloudellisten ja yhteiskunnallisten suhteiden nopea kehitys osapuolten välillä vuoropuhelun ja yhteistyön avulla, erityisesti Marokon ja Marokon kansan kehityksen ja vaurauden edistämiseksi; </w:t>
      </w:r>
    </w:p>
    <w:p>
      <w:pPr>
        <w:pStyle w:val="Bullet0"/>
        <w:ind w:hanging="283"/>
        <w:rPr>
          <w:noProof/>
        </w:rPr>
      </w:pPr>
      <w:r>
        <w:rPr>
          <w:noProof/>
        </w:rPr>
        <w:t>edistää taloudellista, sosiaalista, kulttuurista, rahoituksellista, tieteellistä tutkimusta ja innovointia koskevaa yhteistyötä.</w:t>
      </w:r>
    </w:p>
    <w:p>
      <w:pPr>
        <w:rPr>
          <w:rFonts w:eastAsia="Arial Unicode MS"/>
          <w:noProof/>
        </w:rPr>
      </w:pPr>
      <w:r>
        <w:rPr>
          <w:noProof/>
        </w:rPr>
        <w:t>Sopimus tuli voimaan 1. maaliskuuta 2000.</w:t>
      </w:r>
    </w:p>
    <w:p>
      <w:pPr>
        <w:pStyle w:val="ManualHeading2"/>
        <w:rPr>
          <w:noProof/>
        </w:rPr>
      </w:pPr>
      <w:r>
        <w:t>2.2.</w:t>
      </w:r>
      <w:r>
        <w:tab/>
      </w:r>
      <w:r>
        <w:rPr>
          <w:noProof/>
        </w:rPr>
        <w:t xml:space="preserve"> Assosiaationeuvosto</w:t>
      </w:r>
    </w:p>
    <w:p>
      <w:pPr>
        <w:rPr>
          <w:noProof/>
        </w:rPr>
      </w:pPr>
      <w:r>
        <w:rPr>
          <w:noProof/>
        </w:rPr>
        <w:t xml:space="preserve">Euro–Välimeri-sopimuksella perustettu assosiaationeuvosto muodostuu Euroopan unionin neuvoston, Euroopan komission sekä Marokon kuningaskunnan hallituksen jäsenistä. Assosiaationeuvosto käyttää päätösvaltaa sopimuksessa vahvistettujen tavoitteiden saavuttamiseksi. Se voi myös antaa aiheellisia suosituksia. Assosiaationeuvosto tekee päätökset ja antaa suositukset sopimuspuolten yhteisellä sopimuksella. </w:t>
      </w:r>
    </w:p>
    <w:p>
      <w:pPr>
        <w:pStyle w:val="ManualHeading2"/>
        <w:rPr>
          <w:noProof/>
        </w:rPr>
      </w:pPr>
      <w:r>
        <w:t>2.3.</w:t>
      </w:r>
      <w:r>
        <w:tab/>
      </w:r>
      <w:r>
        <w:rPr>
          <w:noProof/>
        </w:rPr>
        <w:t>Assosiaationeuvoston suunniteltu säädös</w:t>
      </w:r>
    </w:p>
    <w:p>
      <w:pPr>
        <w:rPr>
          <w:rFonts w:eastAsia="Arial Unicode MS"/>
          <w:noProof/>
        </w:rPr>
      </w:pPr>
      <w:r>
        <w:rPr>
          <w:noProof/>
        </w:rPr>
        <w:t>Assosiaationeuvoston on hyväksyttävä kirjeenvaihdolla suositus pitkälle edistyneen maan aseman täytäntöönpanoa koskevan EU–Marokko-toimintasuunnitelman (2013–2018) voimassaolon jatkamisesta (’suunniteltu säädös’).</w:t>
      </w:r>
    </w:p>
    <w:p>
      <w:pPr>
        <w:rPr>
          <w:noProof/>
        </w:rPr>
      </w:pPr>
      <w:r>
        <w:rPr>
          <w:noProof/>
        </w:rPr>
        <w:t>Suunnitellun säädöksen tavoitteena on pidentää pitkälle edistyneen maan aseman täytäntöönpanoa koskevan EU–Marokko-toimintasuunnitelman (2013–2018) voimassaoloa kahdella vuodella (2019 ja 2020). Voimassaoloa jatkamalla voidaan varmistaa Marokon pitkälle edistyneen maan aseman täytäntöönpanon jatkuvuus.</w:t>
      </w:r>
    </w:p>
    <w:p>
      <w:pPr>
        <w:pStyle w:val="ManualHeading1"/>
        <w:rPr>
          <w:rFonts w:eastAsia="Arial Unicode MS"/>
          <w:noProof/>
        </w:rPr>
      </w:pPr>
      <w:r>
        <w:t>3.</w:t>
      </w:r>
      <w:r>
        <w:tab/>
      </w:r>
      <w:r>
        <w:rPr>
          <w:noProof/>
        </w:rPr>
        <w:t>Unionin puolesta otettava kanta</w:t>
      </w:r>
    </w:p>
    <w:p>
      <w:pPr>
        <w:rPr>
          <w:noProof/>
        </w:rPr>
      </w:pPr>
      <w:r>
        <w:rPr>
          <w:noProof/>
        </w:rPr>
        <w:t>Euro–Välimeri-sopimuksella perustetussa assosiaationeuvostossa esitettävä Euroopan unionin kanta suosituksen antamiseen pitkälle edistyneen maan aseman täytäntöönpanoa koskevan EU–Marokko-toimintasuunnitelman (2013–2018) voimassaolon jatkamisesta kahdella vuodella (2019 ja 2020) perustuu tähän päätökseen liitetyn toimintasuunnitelman tekstiin.</w:t>
      </w:r>
    </w:p>
    <w:p>
      <w:pPr>
        <w:rPr>
          <w:noProof/>
        </w:rPr>
      </w:pPr>
      <w:r>
        <w:rPr>
          <w:noProof/>
        </w:rPr>
        <w:t xml:space="preserve">Kumpikin sopimuspuoli on vahvistanut useaan otteeseen Euroopan unionin ja Marokon suhteiden monipuolisuuden ja elinvoimaisuuden sekä täyden sitoutumisensa näiden suhteiden jatkuvaan kehittämiseen kaikilla yhteistä etua koskevilla aloilla. </w:t>
      </w:r>
    </w:p>
    <w:p>
      <w:pPr>
        <w:rPr>
          <w:noProof/>
        </w:rPr>
      </w:pPr>
      <w:r>
        <w:rPr>
          <w:noProof/>
        </w:rPr>
        <w:t xml:space="preserve">Nykyisessä poliittisessa tilanteessa vuosia 2013–2018 koskevan toimintasuunnitelman voimassaolon pidentäminen muodostaa EU:n ja Marokon yhteistyön perustan vuosina 2019 ja 2020. Sen ansiosta voidaan aloittaa neuvottelut EU:n ja Marokon suhteiden periaatteiden ja uusien ensisijaisten alojen määrittämiseksi tuleville vuosille. </w:t>
      </w:r>
    </w:p>
    <w:p>
      <w:pPr>
        <w:rPr>
          <w:noProof/>
        </w:rPr>
      </w:pPr>
      <w:r>
        <w:rPr>
          <w:noProof/>
        </w:rPr>
        <w:t>Toimintasuunnitelman voimassaolon pidentäminen on näin ollen Euroopan unionin edun mukaista.</w:t>
      </w:r>
    </w:p>
    <w:p>
      <w:pPr>
        <w:pStyle w:val="ManualHeading1"/>
        <w:rPr>
          <w:noProof/>
        </w:rPr>
      </w:pPr>
      <w:r>
        <w:t>4.</w:t>
      </w:r>
      <w:r>
        <w:tab/>
      </w:r>
      <w:r>
        <w:rPr>
          <w:noProof/>
        </w:rPr>
        <w:t>Oikeusperusta</w:t>
      </w:r>
    </w:p>
    <w:p>
      <w:pPr>
        <w:pStyle w:val="ManualHeading2"/>
        <w:rPr>
          <w:noProof/>
        </w:rPr>
      </w:pPr>
      <w:r>
        <w:t>4.1.</w:t>
      </w:r>
      <w:r>
        <w:tab/>
      </w:r>
      <w:r>
        <w:rPr>
          <w:noProof/>
        </w:rPr>
        <w:t>Menettelyllinen oikeusperusta</w:t>
      </w:r>
    </w:p>
    <w:p>
      <w:pPr>
        <w:pStyle w:val="ManualHeading3"/>
        <w:rPr>
          <w:noProof/>
        </w:rPr>
      </w:pPr>
      <w:r>
        <w:t>4.1.1.</w:t>
      </w:r>
      <w:r>
        <w:tab/>
      </w:r>
      <w:r>
        <w:rPr>
          <w:noProof/>
        </w:rPr>
        <w:t>Periaatteet</w:t>
      </w:r>
    </w:p>
    <w:p>
      <w:pPr>
        <w:rPr>
          <w:noProof/>
        </w:rPr>
      </w:pPr>
      <w:r>
        <w:rPr>
          <w:noProof/>
        </w:rPr>
        <w:t>Euroopan unionin toiminnasta tehdyn sopimuksen, jäljempänä ’SEUT-sopimus’, 218 artiklan 9 kohdassa määrätään päätöksistä ”</w:t>
      </w:r>
      <w:r>
        <w:rPr>
          <w:i/>
          <w:noProof/>
        </w:rPr>
        <w:t>sopimuksella perustetussa elimessä unionin puolesta esitettävien kantojen vahvistamisesta, silloin kun tämän elimen on annettava säädöksiä, joilla on oikeusvaikutuksia, lukuun ottamatta säädöksiä, joilla täydennetään tai muutetaan sopimuksen institutionaalisia rakenteita</w:t>
      </w:r>
      <w:r>
        <w:rPr>
          <w:noProof/>
        </w:rPr>
        <w:t>”.</w:t>
      </w:r>
    </w:p>
    <w:p>
      <w:pPr>
        <w:rPr>
          <w:noProof/>
        </w:rPr>
      </w:pPr>
      <w:r>
        <w:rPr>
          <w:noProof/>
        </w:rPr>
        <w:t>Ilmaisu ”</w:t>
      </w:r>
      <w:r>
        <w:rPr>
          <w:i/>
          <w:noProof/>
        </w:rPr>
        <w:t>säädökset, joilla on oikeusvaikutuksia</w:t>
      </w:r>
      <w:r>
        <w:rPr>
          <w:noProof/>
        </w:rPr>
        <w:t>” kattaa myös säädökset, joilla on oikeusvaikutuksia kyseiseen elimeen sovellettavan kansainvälisen oikeuden nojalla. Se kattaa myös välineet, joilla ei ole sitovaa vaikutusta kansainvälisen oikeuden nojalla, mutta jotka ”</w:t>
      </w:r>
      <w:r>
        <w:rPr>
          <w:i/>
          <w:noProof/>
        </w:rPr>
        <w:t>voivat vaikuttaa ratkaisevasti unionin lainsäätäjän antaman säännöstön sisältöön</w:t>
      </w:r>
      <w:r>
        <w:rPr>
          <w:noProof/>
        </w:rPr>
        <w:t>”</w:t>
      </w:r>
      <w:r>
        <w:rPr>
          <w:rStyle w:val="FootnoteReference"/>
          <w:noProof/>
        </w:rPr>
        <w:footnoteReference w:id="1"/>
      </w:r>
      <w:r>
        <w:rPr>
          <w:noProof/>
        </w:rPr>
        <w:t>.</w:t>
      </w:r>
    </w:p>
    <w:p>
      <w:pPr>
        <w:pStyle w:val="ManualHeading3"/>
        <w:rPr>
          <w:noProof/>
        </w:rPr>
      </w:pPr>
      <w:r>
        <w:t>4.1.2.</w:t>
      </w:r>
      <w:r>
        <w:tab/>
      </w:r>
      <w:r>
        <w:rPr>
          <w:noProof/>
        </w:rPr>
        <w:t>Soveltaminen käsillä olevassa asiassa</w:t>
      </w:r>
    </w:p>
    <w:p>
      <w:pPr>
        <w:rPr>
          <w:noProof/>
        </w:rPr>
      </w:pPr>
      <w:r>
        <w:rPr>
          <w:noProof/>
        </w:rPr>
        <w:t>Assosiaationeuvosto on sopimuksella, tässä tapauksessa Euro–Välimeri-sopimuksella, perustettu elin.</w:t>
      </w:r>
    </w:p>
    <w:p>
      <w:pPr>
        <w:rPr>
          <w:noProof/>
        </w:rPr>
      </w:pPr>
      <w:r>
        <w:rPr>
          <w:noProof/>
        </w:rPr>
        <w:t xml:space="preserve">Säädös, joka assosiaationeuvoston on määrä hyväksyä, on säädös, jolla on oikeusvaikutuksia. </w:t>
      </w:r>
    </w:p>
    <w:p>
      <w:pPr>
        <w:rPr>
          <w:noProof/>
        </w:rPr>
      </w:pPr>
      <w:r>
        <w:rPr>
          <w:noProof/>
        </w:rPr>
        <w:t>Suunnitellulla säädöksellä on oikeusvaikutuksia, koska pitkälle edistyneen maan aseman täytäntöönpanoa koskevan EU–Marokko-toimintasuunnitelman (2013–2018) voimassaoloa pidennetään kahdella vuodella eli vuoden 2020 loppuun asti.</w:t>
      </w:r>
    </w:p>
    <w:p>
      <w:pPr>
        <w:rPr>
          <w:noProof/>
        </w:rPr>
      </w:pPr>
      <w:r>
        <w:rPr>
          <w:noProof/>
        </w:rPr>
        <w:t>Suunnitellulla säädöksellä ei täydennetä eikä muuteta sopimuksen institutionaalisia rakenteita.</w:t>
      </w:r>
    </w:p>
    <w:p>
      <w:pPr>
        <w:rPr>
          <w:noProof/>
        </w:rPr>
      </w:pPr>
      <w:r>
        <w:rPr>
          <w:noProof/>
        </w:rPr>
        <w:t>Tämän vuoksi ehdotetun päätöksen menettelyllinen oikeusperusta on SEUT-sopimuksen 218 artiklan 9 kohta.</w:t>
      </w:r>
    </w:p>
    <w:p>
      <w:pPr>
        <w:pStyle w:val="ManualHeading2"/>
        <w:rPr>
          <w:noProof/>
        </w:rPr>
      </w:pPr>
      <w:r>
        <w:t>4.2.</w:t>
      </w:r>
      <w:r>
        <w:tab/>
      </w:r>
      <w:r>
        <w:rPr>
          <w:noProof/>
        </w:rPr>
        <w:t>Aineellinen oikeusperusta</w:t>
      </w:r>
    </w:p>
    <w:p>
      <w:pPr>
        <w:pStyle w:val="ManualHeading3"/>
        <w:rPr>
          <w:noProof/>
        </w:rPr>
      </w:pPr>
      <w:r>
        <w:t>4.2.1.</w:t>
      </w:r>
      <w:r>
        <w:tab/>
      </w:r>
      <w:r>
        <w:rPr>
          <w:noProof/>
        </w:rPr>
        <w:t>Periaatteet</w:t>
      </w:r>
    </w:p>
    <w:p>
      <w:pPr>
        <w:rPr>
          <w:noProof/>
        </w:rPr>
      </w:pPr>
      <w:r>
        <w:rPr>
          <w:noProof/>
        </w:rPr>
        <w:t>SEUT-sopimuksen 218 artiklan 9 kohdan nojalla annettavan päätöksen aineellinen oikeusperusta määräytyy ensisijaisesti sen suunnitellun säädöksen tavoitteen ja sisällön perusteella, jota unionin puolesta otettava kanta koskee. Jos suunnitellulla säädöksellä on kaksi tavoitetta tai siihen sisältyy kaksi osatekijää ja jos näistä tavoitteista tai osatekijöistä toinen on mahdollista määritellä pääasialliseksi tavoitteeksi tai osatekijäksi, johon nähden toinen tavoite tai osatekijä on liitännäinen, SEUT-sopimuksen 218 artiklan 9 kohdan nojalla hyväksyttävällä päätöksellä on oltava vain yksi aineellinen oikeusperusta, eli se, jota pääasiallinen tai ensisijainen tavoite tai osatekijä edellyttää.</w:t>
      </w:r>
    </w:p>
    <w:p>
      <w:pPr>
        <w:pStyle w:val="ManualHeading3"/>
        <w:rPr>
          <w:noProof/>
        </w:rPr>
      </w:pPr>
      <w:r>
        <w:t>4.2.2.</w:t>
      </w:r>
      <w:r>
        <w:tab/>
      </w:r>
      <w:r>
        <w:rPr>
          <w:noProof/>
        </w:rPr>
        <w:t>Soveltaminen käsillä olevassa asiassa</w:t>
      </w:r>
    </w:p>
    <w:p>
      <w:pPr>
        <w:rPr>
          <w:noProof/>
        </w:rPr>
      </w:pPr>
      <w:r>
        <w:rPr>
          <w:noProof/>
        </w:rPr>
        <w:t>Suunnitellun säädöksen tavoite ja sisältö koskevat lähinnä assosiaatiota kolmannen maan kanssa.</w:t>
      </w:r>
    </w:p>
    <w:p>
      <w:pPr>
        <w:rPr>
          <w:i/>
          <w:noProof/>
        </w:rPr>
      </w:pPr>
      <w:r>
        <w:rPr>
          <w:noProof/>
        </w:rPr>
        <w:t>Tämän vuoksi ehdotetun päätöksen aineellinen oikeusperusta on SEUT-sopimuksen 217 artikla.</w:t>
      </w:r>
    </w:p>
    <w:p>
      <w:pPr>
        <w:pStyle w:val="ManualHeading2"/>
        <w:rPr>
          <w:noProof/>
        </w:rPr>
      </w:pPr>
      <w:r>
        <w:t>4.3.</w:t>
      </w:r>
      <w:r>
        <w:tab/>
      </w:r>
      <w:r>
        <w:rPr>
          <w:noProof/>
        </w:rPr>
        <w:t>Päätelmät</w:t>
      </w:r>
    </w:p>
    <w:p>
      <w:pPr>
        <w:rPr>
          <w:noProof/>
        </w:rPr>
      </w:pPr>
      <w:r>
        <w:rPr>
          <w:noProof/>
        </w:rPr>
        <w:t>Ehdotetun päätöksen oikeusperusta on SEUT-sopimuksen 217 artikla yhdessä sen 218 artiklan 9 kohdan kanssa.</w:t>
      </w:r>
    </w:p>
    <w:p>
      <w:pPr>
        <w:pStyle w:val="ManualHeading1"/>
        <w:rPr>
          <w:noProof/>
        </w:rPr>
      </w:pPr>
      <w:r>
        <w:t>5.</w:t>
      </w:r>
      <w:r>
        <w:tab/>
      </w:r>
      <w:r>
        <w:rPr>
          <w:noProof/>
        </w:rPr>
        <w:t>Suunnitellun säädöksen julkaiseminen</w:t>
      </w:r>
    </w:p>
    <w:p>
      <w:pPr>
        <w:rPr>
          <w:noProof/>
        </w:rPr>
      </w:pPr>
      <w:r>
        <w:rPr>
          <w:noProof/>
        </w:rPr>
        <w:t xml:space="preserve">Koska assosiaatiokomitean säädöksellä muutetaan toimintasuunnitelman soveltamisen kestoa, on aiheellista julkaista säädös </w:t>
      </w:r>
      <w:r>
        <w:rPr>
          <w:i/>
          <w:noProof/>
        </w:rPr>
        <w:t>Euroopan unionin virallisessa lehdessä</w:t>
      </w:r>
      <w:r>
        <w:rPr>
          <w:noProof/>
        </w:rPr>
        <w:t xml:space="preserve"> sen jälkeen kun se on hyväksytty.</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2019/0166 (NLE)</w:t>
      </w:r>
    </w:p>
    <w:p>
      <w:pPr>
        <w:pStyle w:val="Statut"/>
        <w:rPr>
          <w:noProof/>
        </w:rPr>
      </w:pPr>
      <w:r>
        <w:rPr>
          <w:noProof/>
        </w:rPr>
        <w:t>Ehdotus</w:t>
      </w:r>
    </w:p>
    <w:p>
      <w:pPr>
        <w:pStyle w:val="Typedudocument"/>
        <w:rPr>
          <w:noProof/>
        </w:rPr>
      </w:pPr>
      <w:r>
        <w:rPr>
          <w:noProof/>
        </w:rPr>
        <w:t>NEUVOSTON PÄÄTÖS</w:t>
      </w:r>
    </w:p>
    <w:p>
      <w:pPr>
        <w:pStyle w:val="Titreobjet"/>
        <w:rPr>
          <w:noProof/>
        </w:rPr>
      </w:pPr>
      <w:r>
        <w:rPr>
          <w:noProof/>
        </w:rPr>
        <w:t>Euroopan yhteisöjen ja niiden jäsenvaltioiden sekä Marokon kuningaskunnan välisestä assosioinnista tehdyllä Euro–Välimeri-sopimuksella perustetussa assosiaationeuvostossa Euroopan unionin puolesta otettavasta kannasta suosituksen antamiseen pitkälle edistyneen maan aseman täytäntöönpanoa koskevan EU–Marokko-toimintasuunnitelman (2013–2018) voimassaolon jatkamisesta</w:t>
      </w:r>
    </w:p>
    <w:p>
      <w:pPr>
        <w:pStyle w:val="Institutionquiagit"/>
        <w:rPr>
          <w:noProof/>
        </w:rPr>
      </w:pPr>
      <w:r>
        <w:rPr>
          <w:noProof/>
        </w:rPr>
        <w:t>EUROOPAN UNIONIN NEUVOSTO, joka</w:t>
      </w:r>
    </w:p>
    <w:p>
      <w:pPr>
        <w:rPr>
          <w:noProof/>
        </w:rPr>
      </w:pPr>
      <w:r>
        <w:rPr>
          <w:noProof/>
        </w:rPr>
        <w:t>ottaa huomioon Euroopan unionin toiminnasta tehdyn sopimuksen ja erityisesti sen 217 artiklan yhdessä sen 218 artiklan 9 kohdan kanssa,</w:t>
      </w:r>
    </w:p>
    <w:p>
      <w:pPr>
        <w:rPr>
          <w:noProof/>
        </w:rPr>
      </w:pPr>
      <w:r>
        <w:rPr>
          <w:noProof/>
        </w:rPr>
        <w:t>ottaa huomioon Euroopan komission ehdotuksen,</w:t>
      </w:r>
    </w:p>
    <w:p>
      <w:pPr>
        <w:rPr>
          <w:noProof/>
        </w:rPr>
      </w:pPr>
      <w:r>
        <w:rPr>
          <w:noProof/>
        </w:rPr>
        <w:t>sekä katsoo seuraavaa:</w:t>
      </w:r>
    </w:p>
    <w:p>
      <w:pPr>
        <w:pStyle w:val="ManualConsidrant"/>
        <w:rPr>
          <w:noProof/>
        </w:rPr>
      </w:pPr>
      <w:r>
        <w:t>(1)</w:t>
      </w:r>
      <w:r>
        <w:tab/>
      </w:r>
      <w:r>
        <w:rPr>
          <w:noProof/>
        </w:rPr>
        <w:t>Euroopan yhteisöjen ja niiden jäsenvaltioiden sekä Marokon kuningaskunnan välistä assosiointia koskeva Euro–Välimeri-sopimus, jäljempänä ’sopimus’, tuli voimaan 1 päivänä maaliskuuta 2000.</w:t>
      </w:r>
    </w:p>
    <w:p>
      <w:pPr>
        <w:pStyle w:val="ManualConsidrant"/>
        <w:rPr>
          <w:noProof/>
        </w:rPr>
      </w:pPr>
      <w:r>
        <w:t>(2)</w:t>
      </w:r>
      <w:r>
        <w:tab/>
      </w:r>
      <w:r>
        <w:rPr>
          <w:noProof/>
        </w:rPr>
        <w:t>Assosiaationeuvostolla on valtuudet antaa suosituksia sopimuksen 80 artiklan mukaisesti.</w:t>
      </w:r>
    </w:p>
    <w:p>
      <w:pPr>
        <w:pStyle w:val="ManualConsidrant"/>
        <w:rPr>
          <w:noProof/>
        </w:rPr>
      </w:pPr>
      <w:r>
        <w:t>(3)</w:t>
      </w:r>
      <w:r>
        <w:tab/>
      </w:r>
      <w:r>
        <w:rPr>
          <w:noProof/>
        </w:rPr>
        <w:t xml:space="preserve">Assosiaationeuvoston on hyväksyttävä kirjeenvaihdolla suositus pitkälle edistyneen maan aseman täytäntöönpanoa koskevan EU–Marokko-toimintasuunnitelman (2013–2018) voimassaolon pidentämisestä. </w:t>
      </w:r>
    </w:p>
    <w:p>
      <w:pPr>
        <w:pStyle w:val="ManualConsidrant"/>
        <w:rPr>
          <w:noProof/>
        </w:rPr>
      </w:pPr>
      <w:r>
        <w:t>(4)</w:t>
      </w:r>
      <w:r>
        <w:tab/>
      </w:r>
      <w:r>
        <w:rPr>
          <w:noProof/>
        </w:rPr>
        <w:t>Koska päätös sitoo unionia, on aiheellista vahvistaa assosiaationeuvostossa unionin puolesta otettava kanta.</w:t>
      </w:r>
    </w:p>
    <w:p>
      <w:pPr>
        <w:pStyle w:val="ManualConsidrant"/>
        <w:rPr>
          <w:noProof/>
        </w:rPr>
      </w:pPr>
      <w:r>
        <w:t>(5)</w:t>
      </w:r>
      <w:r>
        <w:tab/>
      </w:r>
      <w:r>
        <w:rPr>
          <w:noProof/>
        </w:rPr>
        <w:t>Vuosia 2013–2018 koskevan toimintasuunnitelman voimassaolon pidentäminen muodostaa EU:n ja Marokon yhteistyön perustan vuosina 2019 ja 2020 ja mahdollistaa EU:n ja Marokon suhteiden uusien ensisijaisten alojen määrittämisen tuleville vuosille,</w:t>
      </w:r>
    </w:p>
    <w:p>
      <w:pPr>
        <w:pStyle w:val="Formuledadoption"/>
        <w:rPr>
          <w:noProof/>
        </w:rPr>
      </w:pPr>
      <w:r>
        <w:rPr>
          <w:noProof/>
        </w:rPr>
        <w:t>ON HYVÄKSYNYT TÄMÄN PÄÄTÖKSEN:</w:t>
      </w:r>
    </w:p>
    <w:p>
      <w:pPr>
        <w:pStyle w:val="Titrearticle"/>
        <w:rPr>
          <w:noProof/>
        </w:rPr>
      </w:pPr>
      <w:r>
        <w:rPr>
          <w:noProof/>
        </w:rPr>
        <w:t>1 artikla</w:t>
      </w:r>
    </w:p>
    <w:p>
      <w:pPr>
        <w:rPr>
          <w:noProof/>
        </w:rPr>
      </w:pPr>
      <w:r>
        <w:rPr>
          <w:noProof/>
        </w:rPr>
        <w:t>Euroopan yhteisöjen ja niiden jäsenvaltioiden sekä Marokon kuningaskunnan välisestä assosioinnista tehdyllä Euro–Välimeri-sopimuksella perustetussa assosiaationeuvostossa Euroopan unionin puolesta otettava kanta suosituksen antamiseen pitkälle edistyneen maan aseman täytäntöönpanoa koskevan EU–Marokko-toimintasuunnitelman (2013–2018) voimassaolon jatkamisesta kahdella vuodella (2019 ja 2020) perustuu tämän päätöksen liitteenä olevaan tekstiin.</w:t>
      </w:r>
    </w:p>
    <w:p>
      <w:pPr>
        <w:pStyle w:val="Titrearticle"/>
        <w:rPr>
          <w:noProof/>
        </w:rPr>
      </w:pPr>
      <w:r>
        <w:rPr>
          <w:noProof/>
        </w:rPr>
        <w:t>2 artikla</w:t>
      </w:r>
    </w:p>
    <w:p>
      <w:pPr>
        <w:rPr>
          <w:noProof/>
        </w:rPr>
      </w:pPr>
      <w:r>
        <w:rPr>
          <w:noProof/>
        </w:rPr>
        <w:t>Tämä päätös on osoitettu komissiolle ja unionin ulkoasioiden ja turvallisuuspolitiikan korkealle edustajalle.</w:t>
      </w:r>
    </w:p>
    <w:p>
      <w:pPr>
        <w:pStyle w:val="Fait"/>
        <w:rPr>
          <w:noProof/>
        </w:rPr>
      </w:pPr>
      <w:r>
        <w:t>Tehty Brysselissä</w:t>
      </w:r>
    </w:p>
    <w:p>
      <w:pPr>
        <w:pStyle w:val="Institutionquisigne"/>
        <w:rPr>
          <w:noProof/>
        </w:rPr>
      </w:pPr>
      <w:r>
        <w:rPr>
          <w:noProof/>
        </w:rPr>
        <w:tab/>
        <w:t>Neuvoston puolesta</w:t>
      </w:r>
    </w:p>
    <w:p>
      <w:pPr>
        <w:pStyle w:val="Personnequisigne"/>
        <w:rPr>
          <w:noProof/>
        </w:rPr>
      </w:pPr>
      <w:r>
        <w:rPr>
          <w:noProof/>
        </w:rPr>
        <w:tab/>
        <w:t>Puheenjohtaja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FI</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 xml:space="preserve">Unionin tuomioistuimen tuomio 7.10.2014, Saksa v. neuvosto, C-399/12, ECLI:EU:C:2014:2258, 61–64 kohta.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6A44F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788652A"/>
    <w:lvl w:ilvl="0">
      <w:start w:val="1"/>
      <w:numFmt w:val="decimal"/>
      <w:pStyle w:val="ListNumber3"/>
      <w:lvlText w:val="%1."/>
      <w:lvlJc w:val="left"/>
      <w:pPr>
        <w:tabs>
          <w:tab w:val="num" w:pos="926"/>
        </w:tabs>
        <w:ind w:left="926" w:hanging="360"/>
      </w:pPr>
    </w:lvl>
  </w:abstractNum>
  <w:abstractNum w:abstractNumId="2">
    <w:nsid w:val="FFFFFF7F"/>
    <w:multiLevelType w:val="singleLevel"/>
    <w:tmpl w:val="E08E40B4"/>
    <w:lvl w:ilvl="0">
      <w:start w:val="1"/>
      <w:numFmt w:val="decimal"/>
      <w:pStyle w:val="ListNumber2"/>
      <w:lvlText w:val="%1."/>
      <w:lvlJc w:val="left"/>
      <w:pPr>
        <w:tabs>
          <w:tab w:val="num" w:pos="643"/>
        </w:tabs>
        <w:ind w:left="643" w:hanging="360"/>
      </w:pPr>
    </w:lvl>
  </w:abstractNum>
  <w:abstractNum w:abstractNumId="3">
    <w:nsid w:val="FFFFFF81"/>
    <w:multiLevelType w:val="singleLevel"/>
    <w:tmpl w:val="53C8775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EB0A60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12CB4D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2EA55B4"/>
    <w:lvl w:ilvl="0">
      <w:start w:val="1"/>
      <w:numFmt w:val="decimal"/>
      <w:pStyle w:val="ListNumber"/>
      <w:lvlText w:val="%1."/>
      <w:lvlJc w:val="left"/>
      <w:pPr>
        <w:tabs>
          <w:tab w:val="num" w:pos="360"/>
        </w:tabs>
        <w:ind w:left="360" w:hanging="360"/>
      </w:pPr>
    </w:lvl>
  </w:abstractNum>
  <w:abstractNum w:abstractNumId="7">
    <w:nsid w:val="FFFFFF89"/>
    <w:multiLevelType w:val="singleLevel"/>
    <w:tmpl w:val="39F4A93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lvlOverride w:ilvl="0">
      <w:startOverride w:val="1"/>
    </w:lvlOverride>
  </w:num>
  <w:num w:numId="9">
    <w:abstractNumId w:val="2"/>
  </w:num>
  <w:num w:numId="10">
    <w:abstractNumId w:val="1"/>
  </w:num>
  <w:num w:numId="11">
    <w:abstractNumId w:val="0"/>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30 11:31:07"/>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93F4FBEF-7E89-4594-9B62-B74DE02D0A44"/>
    <w:docVar w:name="LW_COVERPAGE_TYPE" w:val="1"/>
    <w:docVar w:name="LW_CROSSREFERENCE" w:val="&lt;UNUSED&gt;"/>
    <w:docVar w:name="LW_DocType" w:val="COM"/>
    <w:docVar w:name="LW_EMISSION" w:val="6.8.2019"/>
    <w:docVar w:name="LW_EMISSION_ISODATE" w:val="2019-08-06"/>
    <w:docVar w:name="LW_EMISSION_LOCATION" w:val="BRX"/>
    <w:docVar w:name="LW_EMISSION_PREFIX" w:val="Bryssel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166"/>
    <w:docVar w:name="LW_REF.II.NEW.CP_YEAR" w:val="2019"/>
    <w:docVar w:name="LW_REF.INST.NEW" w:val="COM"/>
    <w:docVar w:name="LW_REF.INST.NEW_ADOPTED" w:val="final"/>
    <w:docVar w:name="LW_REF.INST.NEW_TEXT" w:val="(2019) 36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Ehdotus"/>
    <w:docVar w:name="LW_SUPERTITRE" w:val="&lt;UNUSED&gt;"/>
    <w:docVar w:name="LW_TITRE.OBJ.CP" w:val="Euroopan yhteisöjen ja niiden jäsenvaltioiden sekä Marokon kuningaskunnan välisestä assosioinnista tehdyllä Euro\u8211?Välimeri-sopimuksella perustetussa assosiaationeuvostossa Euroopan unionin puolesta otettavasta kannasta suosituksen antamiseen pitkälle edistyneen maan aseman täytäntöönpanoa koskevan EU\u8211?Marokko-toimintasuunnitelman (2013\u8211?2018) voimassaolon jatkamisesta"/>
    <w:docVar w:name="LW_TYPE.DOC.CP" w:val="NEUVOSTON PÄÄTÖ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semiHidden/>
    <w:unhideWhenUsed/>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i-F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i-F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i-F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B08AA-AF70-43DE-B039-D51F31CC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Pages>
  <Words>898</Words>
  <Characters>7553</Characters>
  <Application>Microsoft Office Word</Application>
  <DocSecurity>0</DocSecurity>
  <Lines>142</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2019-07-12T14:30:00Z</dcterms:created>
  <dcterms:modified xsi:type="dcterms:W3CDTF">2019-07-30T09:31:00Z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