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9D5AE8F-59BC-4DDB-85E0-0766235EB073" style="width:450.5pt;height:347.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1"/>
          <w:cols w:space="720"/>
          <w:docGrid w:linePitch="326"/>
        </w:sectPr>
      </w:pPr>
    </w:p>
    <w:p>
      <w:pPr>
        <w:pStyle w:val="TOCHeading"/>
        <w:rPr>
          <w:noProof/>
        </w:rPr>
      </w:pPr>
      <w:bookmarkStart w:id="1" w:name="_GoBack"/>
      <w:bookmarkEnd w:id="1"/>
      <w:r>
        <w:rPr>
          <w:noProof/>
        </w:rPr>
        <w:lastRenderedPageBreak/>
        <w:t>INDHOLDSFORTEGNELSE</w:t>
      </w:r>
    </w:p>
    <w:bookmarkStart w:id="2" w:name="_Toc322938549"/>
    <w:p>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"1-1" \h \z \u </w:instrText>
      </w:r>
      <w:r>
        <w:rPr>
          <w:noProof/>
        </w:rPr>
        <w:fldChar w:fldCharType="separate"/>
      </w:r>
      <w:hyperlink w:anchor="_Toc14780196"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BUDGETPROCEDURE</w:t>
        </w:r>
        <w:r>
          <w:rPr>
            <w:noProof/>
            <w:webHidden/>
          </w:rPr>
          <w:tab/>
        </w:r>
        <w:r>
          <w:rPr>
            <w:noProof/>
            <w:webHidden/>
          </w:rPr>
          <w:fldChar w:fldCharType="begin"/>
        </w:r>
        <w:r>
          <w:rPr>
            <w:noProof/>
            <w:webHidden/>
          </w:rPr>
          <w:instrText xml:space="preserve"> PAGEREF _Toc14780196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780197"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noProof/>
          </w:rPr>
          <w:t>LIKVIDITET OG FORVALTNING AF BEVILLINGERNE</w:t>
        </w:r>
        <w:r>
          <w:rPr>
            <w:noProof/>
            <w:webHidden/>
          </w:rPr>
          <w:tab/>
        </w:r>
        <w:r>
          <w:rPr>
            <w:noProof/>
            <w:webHidden/>
          </w:rPr>
          <w:fldChar w:fldCharType="begin"/>
        </w:r>
        <w:r>
          <w:rPr>
            <w:noProof/>
            <w:webHidden/>
          </w:rPr>
          <w:instrText xml:space="preserve"> PAGEREF _Toc14780197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780198"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GENNEMFØRELSE AF EGFL-BUDGETTET FOR 2018</w:t>
        </w:r>
        <w:r>
          <w:rPr>
            <w:noProof/>
            <w:webHidden/>
          </w:rPr>
          <w:tab/>
        </w:r>
        <w:r>
          <w:rPr>
            <w:noProof/>
            <w:webHidden/>
          </w:rPr>
          <w:fldChar w:fldCharType="begin"/>
        </w:r>
        <w:r>
          <w:rPr>
            <w:noProof/>
            <w:webHidden/>
          </w:rPr>
          <w:instrText xml:space="preserve"> PAGEREF _Toc14780198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14780199"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FORBRUG AF FORMÅLSBESTEMTE INDTÆGTER TIL EGFL</w:t>
        </w:r>
        <w:r>
          <w:rPr>
            <w:noProof/>
            <w:webHidden/>
          </w:rPr>
          <w:tab/>
        </w:r>
        <w:r>
          <w:rPr>
            <w:noProof/>
            <w:webHidden/>
          </w:rPr>
          <w:fldChar w:fldCharType="begin"/>
        </w:r>
        <w:r>
          <w:rPr>
            <w:noProof/>
            <w:webHidden/>
          </w:rPr>
          <w:instrText xml:space="preserve"> PAGEREF _Toc14780199 \h </w:instrText>
        </w:r>
        <w:r>
          <w:rPr>
            <w:noProof/>
            <w:webHidden/>
          </w:rPr>
        </w:r>
        <w:r>
          <w:rPr>
            <w:noProof/>
            <w:webHidden/>
          </w:rPr>
          <w:fldChar w:fldCharType="separate"/>
        </w:r>
        <w:r>
          <w:rPr>
            <w:noProof/>
            <w:webHidden/>
          </w:rPr>
          <w:t>10</w:t>
        </w:r>
        <w:r>
          <w:rPr>
            <w:noProof/>
            <w:webHidden/>
          </w:rPr>
          <w:fldChar w:fldCharType="end"/>
        </w:r>
      </w:hyperlink>
    </w:p>
    <w:p>
      <w:pPr>
        <w:pStyle w:val="TOC1"/>
        <w:rPr>
          <w:rFonts w:asciiTheme="minorHAnsi" w:eastAsiaTheme="minorEastAsia" w:hAnsiTheme="minorHAnsi" w:cstheme="minorBidi"/>
          <w:noProof/>
          <w:sz w:val="22"/>
          <w:szCs w:val="22"/>
        </w:rPr>
      </w:pPr>
      <w:r>
        <w:rPr>
          <w:noProof/>
        </w:rPr>
        <w:fldChar w:fldCharType="end"/>
      </w:r>
    </w:p>
    <w:p>
      <w:pPr>
        <w:pStyle w:val="TOC1"/>
        <w:rPr>
          <w:noProof/>
        </w:rPr>
      </w:pPr>
      <w:r>
        <w:rPr>
          <w:noProof/>
        </w:rPr>
        <w:t>Bilag (se vedlagte dokument):</w:t>
      </w:r>
    </w:p>
    <w:tbl>
      <w:tblPr>
        <w:tblW w:w="0" w:type="auto"/>
        <w:tblInd w:w="108" w:type="dxa"/>
        <w:tblLook w:val="01E0" w:firstRow="1" w:lastRow="1" w:firstColumn="1" w:lastColumn="1" w:noHBand="0" w:noVBand="0"/>
      </w:tblPr>
      <w:tblGrid>
        <w:gridCol w:w="1080"/>
        <w:gridCol w:w="8099"/>
      </w:tblGrid>
      <w:tr>
        <w:tc>
          <w:tcPr>
            <w:tcW w:w="1080" w:type="dxa"/>
          </w:tcPr>
          <w:p>
            <w:pPr>
              <w:spacing w:after="0"/>
              <w:ind w:left="-108"/>
              <w:rPr>
                <w:smallCaps/>
                <w:noProof/>
                <w:sz w:val="20"/>
              </w:rPr>
            </w:pPr>
            <w:r>
              <w:rPr>
                <w:smallCaps/>
                <w:noProof/>
                <w:sz w:val="20"/>
              </w:rPr>
              <w:t>Bilag 1</w:t>
            </w:r>
          </w:p>
          <w:p>
            <w:pPr>
              <w:spacing w:before="60" w:after="0"/>
              <w:ind w:left="-108"/>
              <w:rPr>
                <w:smallCaps/>
                <w:noProof/>
                <w:sz w:val="20"/>
              </w:rPr>
            </w:pPr>
            <w:r>
              <w:rPr>
                <w:smallCaps/>
                <w:noProof/>
                <w:sz w:val="20"/>
              </w:rPr>
              <w:t>Bilag 2</w:t>
            </w:r>
          </w:p>
          <w:p>
            <w:pPr>
              <w:spacing w:before="60" w:after="0"/>
              <w:ind w:left="-108"/>
              <w:rPr>
                <w:smallCaps/>
                <w:noProof/>
                <w:sz w:val="20"/>
              </w:rPr>
            </w:pPr>
            <w:r>
              <w:rPr>
                <w:smallCaps/>
                <w:noProof/>
                <w:sz w:val="20"/>
              </w:rPr>
              <w:t>Bilag 3-I</w:t>
            </w:r>
          </w:p>
          <w:p>
            <w:pPr>
              <w:spacing w:before="60" w:after="0"/>
              <w:ind w:left="-108"/>
              <w:rPr>
                <w:smallCaps/>
                <w:noProof/>
                <w:sz w:val="20"/>
              </w:rPr>
            </w:pPr>
            <w:r>
              <w:rPr>
                <w:smallCaps/>
                <w:noProof/>
                <w:sz w:val="20"/>
              </w:rPr>
              <w:t>Bilag 3-II</w:t>
            </w:r>
          </w:p>
          <w:p>
            <w:pPr>
              <w:spacing w:before="60" w:after="0"/>
              <w:ind w:left="-108"/>
              <w:rPr>
                <w:smallCaps/>
                <w:noProof/>
                <w:sz w:val="20"/>
              </w:rPr>
            </w:pPr>
            <w:r>
              <w:rPr>
                <w:smallCaps/>
                <w:noProof/>
                <w:sz w:val="20"/>
              </w:rPr>
              <w:t>Bilag 4</w:t>
            </w:r>
          </w:p>
          <w:p>
            <w:pPr>
              <w:spacing w:before="60" w:after="0"/>
              <w:rPr>
                <w:noProof/>
              </w:rPr>
            </w:pPr>
          </w:p>
        </w:tc>
        <w:tc>
          <w:tcPr>
            <w:tcW w:w="8099" w:type="dxa"/>
          </w:tcPr>
          <w:p>
            <w:pPr>
              <w:spacing w:after="0"/>
              <w:ind w:left="-227" w:firstLine="108"/>
              <w:rPr>
                <w:smallCaps/>
                <w:noProof/>
                <w:sz w:val="20"/>
              </w:rPr>
            </w:pPr>
            <w:r>
              <w:rPr>
                <w:smallCaps/>
                <w:noProof/>
                <w:sz w:val="20"/>
              </w:rPr>
              <w:t>Budgetprocedure for EGFL-bevillinger 2018</w:t>
            </w:r>
          </w:p>
          <w:p>
            <w:pPr>
              <w:spacing w:before="60" w:after="0"/>
              <w:ind w:left="-227" w:firstLine="108"/>
              <w:rPr>
                <w:smallCaps/>
                <w:noProof/>
                <w:sz w:val="20"/>
              </w:rPr>
            </w:pPr>
            <w:r>
              <w:rPr>
                <w:smallCaps/>
                <w:noProof/>
                <w:sz w:val="20"/>
              </w:rPr>
              <w:t>Analyse af EGFL-budgetgennemførelsen – Regnskabsåret 2018</w:t>
            </w:r>
          </w:p>
          <w:p>
            <w:pPr>
              <w:spacing w:before="60" w:after="0"/>
              <w:ind w:left="-227" w:firstLine="108"/>
              <w:rPr>
                <w:smallCaps/>
                <w:noProof/>
                <w:sz w:val="20"/>
              </w:rPr>
            </w:pPr>
            <w:r>
              <w:rPr>
                <w:smallCaps/>
                <w:noProof/>
                <w:sz w:val="20"/>
              </w:rPr>
              <w:t xml:space="preserve">Analyse af EGFL-budgetgennemførelsen – Regnskabsåret 2018. Formålsbestemte indtægter. C4 </w:t>
            </w:r>
          </w:p>
          <w:p>
            <w:pPr>
              <w:spacing w:before="60" w:after="0"/>
              <w:ind w:left="-227" w:firstLine="108"/>
              <w:rPr>
                <w:smallCaps/>
                <w:noProof/>
                <w:sz w:val="20"/>
              </w:rPr>
            </w:pPr>
            <w:r>
              <w:rPr>
                <w:smallCaps/>
                <w:noProof/>
                <w:sz w:val="20"/>
              </w:rPr>
              <w:t>Analyse af EGFL-budgetgennemførelsen – Regnskabsåret 2018. Formålsbestemte indtægter. C5</w:t>
            </w:r>
          </w:p>
          <w:p>
            <w:pPr>
              <w:spacing w:before="60" w:after="0"/>
              <w:ind w:left="-227" w:firstLine="108"/>
              <w:rPr>
                <w:smallCaps/>
                <w:noProof/>
                <w:sz w:val="20"/>
              </w:rPr>
            </w:pPr>
            <w:r>
              <w:rPr>
                <w:smallCaps/>
                <w:noProof/>
                <w:sz w:val="20"/>
              </w:rPr>
              <w:t>EGFL-budgetgennemførelse pr. artikel og pr. medlemsstat – Regnskabsåret 2018</w:t>
            </w:r>
          </w:p>
        </w:tc>
      </w:tr>
      <w:tr>
        <w:tc>
          <w:tcPr>
            <w:tcW w:w="9179" w:type="dxa"/>
            <w:gridSpan w:val="2"/>
          </w:tcPr>
          <w:p>
            <w:pPr>
              <w:ind w:left="-108"/>
              <w:rPr>
                <w:i/>
                <w:noProof/>
              </w:rPr>
            </w:pPr>
            <w:r>
              <w:rPr>
                <w:i/>
                <w:noProof/>
                <w:u w:val="single"/>
              </w:rPr>
              <w:t>Bemærk</w:t>
            </w:r>
            <w:r>
              <w:rPr>
                <w:i/>
                <w:noProof/>
              </w:rPr>
              <w:t>: Denne beretning ledsages af Kommissionens arbejdsdokument. Arbejdsdokumentets fulde tekst (på engelsk) og tabellerne i bilaget (på engelsk) findes også på GD AGRI's websted (</w:t>
            </w:r>
            <w:hyperlink r:id="rId16">
              <w:r>
                <w:rPr>
                  <w:rStyle w:val="Hyperlink"/>
                  <w:i/>
                  <w:noProof/>
                </w:rPr>
                <w:t>http://ec.europa.eu/agriculture/cap-funding/financial-reports/eagf/index_en.htm</w:t>
              </w:r>
            </w:hyperlink>
            <w:r>
              <w:rPr>
                <w:i/>
                <w:noProof/>
              </w:rPr>
              <w:t>).</w:t>
            </w:r>
          </w:p>
        </w:tc>
      </w:tr>
    </w:tbl>
    <w:p>
      <w:pPr>
        <w:rPr>
          <w:b/>
          <w:noProof/>
          <w:color w:val="FF0000"/>
        </w:rPr>
        <w:sectPr>
          <w:headerReference w:type="even" r:id="rId17"/>
          <w:headerReference w:type="default" r:id="rId18"/>
          <w:footerReference w:type="even" r:id="rId19"/>
          <w:footerReference w:type="default" r:id="rId20"/>
          <w:headerReference w:type="first" r:id="rId21"/>
          <w:footerReference w:type="first" r:id="rId22"/>
          <w:pgSz w:w="11906" w:h="16838" w:code="9"/>
          <w:pgMar w:top="1106" w:right="1389" w:bottom="1077" w:left="1389" w:header="240" w:footer="120" w:gutter="0"/>
          <w:pgNumType w:start="1"/>
          <w:cols w:space="720"/>
          <w:docGrid w:linePitch="326"/>
        </w:sectPr>
      </w:pPr>
      <w:r>
        <w:rPr>
          <w:b/>
          <w:smallCaps/>
          <w:noProof/>
          <w:color w:val="FF0000"/>
          <w:sz w:val="20"/>
        </w:rPr>
        <w:t xml:space="preserve"> </w:t>
      </w:r>
    </w:p>
    <w:p>
      <w:pPr>
        <w:pStyle w:val="ManualHeading1"/>
        <w:rPr>
          <w:noProof/>
          <w:vertAlign w:val="superscript"/>
        </w:rPr>
      </w:pPr>
      <w:bookmarkStart w:id="3" w:name="_Toc322938550"/>
      <w:bookmarkStart w:id="4" w:name="_Toc358122330"/>
      <w:bookmarkStart w:id="5" w:name="_Toc12970336"/>
      <w:bookmarkStart w:id="6" w:name="_Toc14780196"/>
      <w:bookmarkEnd w:id="2"/>
      <w:r>
        <w:t>1.</w:t>
      </w:r>
      <w:r>
        <w:tab/>
      </w:r>
      <w:r>
        <w:rPr>
          <w:noProof/>
        </w:rPr>
        <w:t>BUDGETPROCEDURE</w:t>
      </w:r>
      <w:bookmarkEnd w:id="3"/>
      <w:r>
        <w:rPr>
          <w:rStyle w:val="FootnoteReference"/>
          <w:noProof/>
        </w:rPr>
        <w:footnoteReference w:id="1"/>
      </w:r>
      <w:bookmarkEnd w:id="4"/>
      <w:bookmarkEnd w:id="5"/>
      <w:bookmarkEnd w:id="6"/>
    </w:p>
    <w:p>
      <w:pPr>
        <w:pStyle w:val="ManualHeading2"/>
        <w:rPr>
          <w:noProof/>
        </w:rPr>
      </w:pPr>
      <w:bookmarkStart w:id="7" w:name="_Toc322938552"/>
      <w:bookmarkStart w:id="8" w:name="_Toc358122331"/>
      <w:r>
        <w:t>1.1.</w:t>
      </w:r>
      <w:r>
        <w:tab/>
      </w:r>
      <w:r>
        <w:rPr>
          <w:noProof/>
        </w:rPr>
        <w:t>Budgetforslag for 2018 og ændringsskrivelse nr. 1/2018</w:t>
      </w:r>
    </w:p>
    <w:bookmarkEnd w:id="7"/>
    <w:bookmarkEnd w:id="8"/>
    <w:p>
      <w:pPr>
        <w:pStyle w:val="Text1"/>
        <w:rPr>
          <w:noProof/>
        </w:rPr>
      </w:pPr>
      <w:r>
        <w:rPr>
          <w:noProof/>
        </w:rPr>
        <w:t>Budgetforslaget for 2018 blev offentliggjort af Kommissionen og forelagt budgetmyndigheden den 29. juni 2017. De foreslåede forpligtelsesbevillinger til EGFL beløb sig i alt til 43 518,3 mio. EUR.</w:t>
      </w:r>
    </w:p>
    <w:p>
      <w:pPr>
        <w:pStyle w:val="Text1"/>
        <w:rPr>
          <w:noProof/>
        </w:rPr>
      </w:pPr>
      <w:r>
        <w:rPr>
          <w:noProof/>
        </w:rPr>
        <w:t xml:space="preserve">Rådet offentliggjorde sin holdning til budgetforslaget for 2018 den 4. september 2017 og reducerede derved forpligtelsesbevillingerne til EGFL med 269,4 mio. EUR. Europa-Parlamentet vedtog sin holdning den 25. oktober 2017 og øgede derved forpligtelsesbevillingerne til EGFL med 56,9 mio. EUR i forhold til budgetforslaget. </w:t>
      </w:r>
    </w:p>
    <w:p>
      <w:pPr>
        <w:pStyle w:val="Text1"/>
        <w:rPr>
          <w:noProof/>
        </w:rPr>
      </w:pPr>
      <w:r>
        <w:rPr>
          <w:noProof/>
        </w:rPr>
        <w:t>Den 16. oktober 2017 offentliggjorde Kommissionen ændringsskrivelse nr. 1 til budgetforslaget for 2018 med henblik på at øge behovet for forpligtelser med 188,1 mio. EUR i forhold til budgetforslaget. Disse yderligere behov blev dog mere end opvejet af stigningen på 242 mio. EUR i de formålsbestemte indtægter, som forventes at være til rådighed i 2018. Som følge heraf kan de forpligtelsesbevillinger, der anmodes om til EGFL i ændringsskrivelsen, reduceres med 53,9 mio. EUR i forhold til budgetforslaget.</w:t>
      </w:r>
    </w:p>
    <w:p>
      <w:pPr>
        <w:pStyle w:val="ManualHeading2"/>
        <w:rPr>
          <w:noProof/>
        </w:rPr>
      </w:pPr>
      <w:r>
        <w:t>1.2.</w:t>
      </w:r>
      <w:r>
        <w:tab/>
      </w:r>
      <w:r>
        <w:rPr>
          <w:noProof/>
        </w:rPr>
        <w:t>Vedtagelse af budgettet for 2018</w:t>
      </w:r>
    </w:p>
    <w:p>
      <w:pPr>
        <w:pStyle w:val="Text1"/>
        <w:rPr>
          <w:noProof/>
        </w:rPr>
      </w:pPr>
      <w:bookmarkStart w:id="9" w:name="_Toc322938555"/>
      <w:bookmarkStart w:id="10" w:name="_Toc322938556"/>
      <w:bookmarkStart w:id="11" w:name="_Toc358122334"/>
      <w:r>
        <w:rPr>
          <w:noProof/>
        </w:rPr>
        <w:t xml:space="preserve">Forligsudvalget, der består af medlemmer af Europa-Parlamentet og Rådet, nåede den 27. november 2017 til enighed om et fælles udkast. Endelig erklærede Europa-Parlamentet den 30. november 2017 budgettet for 2018 for vedtaget. De samlede forpligtelsesbevillinger på EGFL-budgettet beløb sig til 43 234,5 mio. EUR, og dets betalingsbevillinger beløb sig til </w:t>
      </w:r>
      <w:r>
        <w:rPr>
          <w:noProof/>
        </w:rPr>
        <w:br/>
        <w:t>43 188,7 mio. EUR.</w:t>
      </w:r>
    </w:p>
    <w:p>
      <w:pPr>
        <w:pStyle w:val="Text1"/>
        <w:rPr>
          <w:noProof/>
        </w:rPr>
      </w:pPr>
      <w:r>
        <w:rPr>
          <w:noProof/>
        </w:rPr>
        <w:t>Forskellen mellem forpligtelses- og betalingsbevillingerne beror på, at der anvendes opdelte bevillinger for visse foranstaltninger, som gennemføres direkte af Kommissionen. Disse foranstaltninger vedrører hovedsageligt salgsfremmende foranstaltninger for landbrugsprodukter, politisk strategi og koordineringsforanstaltninger i landbruget.</w:t>
      </w:r>
    </w:p>
    <w:p>
      <w:pPr>
        <w:pStyle w:val="Text1"/>
        <w:rPr>
          <w:noProof/>
        </w:rPr>
      </w:pPr>
      <w:r>
        <w:rPr>
          <w:noProof/>
        </w:rPr>
        <w:t xml:space="preserve">Specifikt var der af de vedtagne EGFL-forpligtelsesbevillinger for politikområde 05 (Landbrug og udvikling af landdistrikter) på i alt 43 234,5 mio. EUR  </w:t>
      </w:r>
      <w:r>
        <w:rPr>
          <w:noProof/>
        </w:rPr>
        <w:br/>
        <w:t xml:space="preserve">afsat 2 358,1 mio. EUR til interventioner på landbrugsmarkederne under kapitel 05 02, mens der var afsat 40 668,7 mio. EUR til direkte betalinger under kapitel 05 03, 160,23 mio. EUR til revision af landbrugsudgifter under kapitel 05 07 og 36,4 mio. EUR til politisk strategi og koordination under kapitel 05 08. </w:t>
      </w:r>
    </w:p>
    <w:p>
      <w:pPr>
        <w:pStyle w:val="Text1"/>
        <w:rPr>
          <w:noProof/>
        </w:rPr>
      </w:pPr>
      <w:r>
        <w:rPr>
          <w:noProof/>
        </w:rPr>
        <w:t>Nærmere oplysninger herom findes i bilag 1.</w:t>
      </w:r>
    </w:p>
    <w:p>
      <w:pPr>
        <w:pStyle w:val="Text1"/>
        <w:rPr>
          <w:noProof/>
        </w:rPr>
      </w:pPr>
      <w:r>
        <w:rPr>
          <w:noProof/>
        </w:rPr>
        <w:t xml:space="preserve">Efterfølgende blev EGFL-bevillingerne til artikel 05 01 04 (udgifter til støttefunktioner) og 05 08 09 (operationel teknisk bistand) i løbet af regnskabsåret 2018 reduceret med henholdsvis 0,4 mio. EUR og 1,0 mio. EUR ved ændringsbudget </w:t>
      </w:r>
      <w:r>
        <w:rPr>
          <w:noProof/>
        </w:rPr>
        <w:br/>
        <w:t>nr. 6.</w:t>
      </w:r>
    </w:p>
    <w:bookmarkEnd w:id="9"/>
    <w:p>
      <w:pPr>
        <w:pStyle w:val="ManualHeading2"/>
        <w:rPr>
          <w:noProof/>
        </w:rPr>
      </w:pPr>
      <w:r>
        <w:t>1.3.</w:t>
      </w:r>
      <w:r>
        <w:tab/>
      </w:r>
      <w:r>
        <w:rPr>
          <w:noProof/>
        </w:rPr>
        <w:t>Formålsbestemte indtægter til EGFL</w:t>
      </w:r>
      <w:r>
        <w:rPr>
          <w:rStyle w:val="FootnoteReference"/>
          <w:noProof/>
        </w:rPr>
        <w:footnoteReference w:id="2"/>
      </w:r>
      <w:bookmarkEnd w:id="10"/>
      <w:bookmarkEnd w:id="11"/>
    </w:p>
    <w:p>
      <w:pPr>
        <w:pStyle w:val="Text1"/>
        <w:rPr>
          <w:noProof/>
        </w:rPr>
      </w:pPr>
      <w:bookmarkStart w:id="12" w:name="_Toc322938558"/>
      <w:bookmarkStart w:id="13" w:name="_Toc358122336"/>
      <w:r>
        <w:rPr>
          <w:noProof/>
        </w:rPr>
        <w:t>Det fremgår af artikel 43 i forordning (EF) nr. 1306/2013 om finansiering af den fælles landbrugspolitik</w:t>
      </w:r>
      <w:r>
        <w:rPr>
          <w:noProof/>
          <w:vertAlign w:val="superscript"/>
        </w:rPr>
        <w:footnoteReference w:id="3"/>
      </w:r>
      <w:r>
        <w:rPr>
          <w:noProof/>
        </w:rPr>
        <w:t xml:space="preserve">, at indtægter fra finansielle korrektioner </w:t>
      </w:r>
      <w:bookmarkStart w:id="14" w:name="_Toc322938559"/>
      <w:bookmarkStart w:id="15" w:name="_Toc358122337"/>
      <w:bookmarkEnd w:id="12"/>
      <w:bookmarkEnd w:id="13"/>
      <w:r>
        <w:rPr>
          <w:noProof/>
        </w:rPr>
        <w:t>i henhold til afgørelserne om regnskabsafslutning og efterprøvende regnskabsafslutning, indtægter fra uregelmæssigheder og indtægter fra mælkeafgiften betragtes som formålsbestemte indtægter, der skal anvendes til finansiering af EGFL-udgifter. Ifølge disse regler kan formålsbestemte indtægter anvendes til at finansiere alle former for EGFL-udgifter. I tilfælde af, at en del af disse indtægter ikke anvendes, fremføres denne del automatisk til det følgende regnskabsår.</w:t>
      </w:r>
    </w:p>
    <w:p>
      <w:pPr>
        <w:pStyle w:val="Text1"/>
        <w:rPr>
          <w:noProof/>
        </w:rPr>
      </w:pPr>
      <w:r>
        <w:rPr>
          <w:noProof/>
        </w:rPr>
        <w:t>Ved opstillingen af budgettet for 2018 blev der foretaget et skøn over indtægterne for både det beløb, der kunne forventes opkrævet i løbet af regnskabsåret 2018, og for det beløb, som kunne forventes fremført fra regnskabsåret 2017 til regnskabsåret 2018. Dette skøn androg 1 475,9 mio. EUR og blev taget i betragtning, da budgetmyndigheden vedtog budgettet for 2018. Herunder:</w:t>
      </w:r>
    </w:p>
    <w:p>
      <w:pPr>
        <w:pStyle w:val="Tiret1"/>
        <w:rPr>
          <w:noProof/>
        </w:rPr>
      </w:pPr>
      <w:r>
        <w:rPr>
          <w:noProof/>
        </w:rPr>
        <w:t>Indtægterne fra korrektioner i forbindelse med regnskabsafslutning og fra uregelmæssigheder blev anslået til henholdsvis 733,9 mio. EUR og 132 mio. EUR, hvorimod indtægterne fra mælkeafgiften ikke blev anslået. De samlede formålsbestemte indtægter, der forventedes opkrævet i løbet af regnskabsåret 2018, blev anslået til 865,9 mio. EUR.</w:t>
      </w:r>
    </w:p>
    <w:p>
      <w:pPr>
        <w:pStyle w:val="Tiret1"/>
        <w:rPr>
          <w:noProof/>
        </w:rPr>
      </w:pPr>
      <w:r>
        <w:rPr>
          <w:noProof/>
        </w:rPr>
        <w:t>De formålsbestemte indtægter, der forventedes fremført fra regnskabsåret 2017 til 2018, blev anslået til 610 mio. EUR.</w:t>
      </w:r>
    </w:p>
    <w:p>
      <w:pPr>
        <w:pStyle w:val="Text1"/>
        <w:rPr>
          <w:noProof/>
        </w:rPr>
      </w:pPr>
      <w:r>
        <w:rPr>
          <w:noProof/>
        </w:rPr>
        <w:t xml:space="preserve">I budgettet for 2018 blev disse oprindeligt anslåede indtægter på 1 475,9 mio. EUR tildelt to ordninger, nemlig: </w:t>
      </w:r>
    </w:p>
    <w:p>
      <w:pPr>
        <w:pStyle w:val="Tiret1"/>
        <w:rPr>
          <w:noProof/>
        </w:rPr>
      </w:pPr>
      <w:r>
        <w:rPr>
          <w:noProof/>
        </w:rPr>
        <w:t xml:space="preserve">400 mio. EUR til driftsfondene for producentorganisationer i sektoren for frugt og grøntsager, </w:t>
      </w:r>
    </w:p>
    <w:p>
      <w:pPr>
        <w:pStyle w:val="Tiret1"/>
        <w:rPr>
          <w:noProof/>
        </w:rPr>
      </w:pPr>
      <w:r>
        <w:rPr>
          <w:noProof/>
        </w:rPr>
        <w:t xml:space="preserve">1 075,9 mio. EUR til grundbetalingsordningen (direkte betalinger). </w:t>
      </w:r>
    </w:p>
    <w:p>
      <w:pPr>
        <w:pStyle w:val="Tiret1"/>
        <w:numPr>
          <w:ilvl w:val="0"/>
          <w:numId w:val="0"/>
        </w:numPr>
        <w:ind w:left="850"/>
        <w:rPr>
          <w:noProof/>
        </w:rPr>
      </w:pPr>
      <w:r>
        <w:rPr>
          <w:noProof/>
        </w:rPr>
        <w:t>For disse ordninger svarer summen af budgetmyndighedens vedtagne bevillinger og de formålsbestemte indtægter til et samlet skøn over disponible bevillinger på</w:t>
      </w:r>
    </w:p>
    <w:p>
      <w:pPr>
        <w:pStyle w:val="Tiret1"/>
        <w:rPr>
          <w:noProof/>
        </w:rPr>
      </w:pPr>
      <w:r>
        <w:rPr>
          <w:noProof/>
        </w:rPr>
        <w:t xml:space="preserve">872 mio. EUR til driftsfondene for producentorganisationer i sektoren for frugt og grøntsager, </w:t>
      </w:r>
    </w:p>
    <w:p>
      <w:pPr>
        <w:pStyle w:val="Tiret1"/>
        <w:rPr>
          <w:noProof/>
        </w:rPr>
      </w:pPr>
      <w:r>
        <w:rPr>
          <w:noProof/>
        </w:rPr>
        <w:t>17 402 mio. EUR til grundbetalingsordningen (direkte betalinger).</w:t>
      </w:r>
    </w:p>
    <w:p>
      <w:pPr>
        <w:spacing w:after="0" w:line="240" w:lineRule="auto"/>
        <w:rPr>
          <w:rFonts w:ascii="Times New Roman" w:eastAsia="Times New Roman" w:hAnsi="Times New Roman"/>
          <w:b/>
          <w:bCs/>
          <w:smallCaps/>
          <w:noProof/>
          <w:sz w:val="24"/>
          <w:szCs w:val="32"/>
        </w:rPr>
      </w:pPr>
      <w:r>
        <w:rPr>
          <w:noProof/>
        </w:rPr>
        <w:br w:type="page"/>
      </w:r>
    </w:p>
    <w:p>
      <w:pPr>
        <w:pStyle w:val="ManualHeading1"/>
        <w:rPr>
          <w:noProof/>
        </w:rPr>
      </w:pPr>
      <w:bookmarkStart w:id="16" w:name="_Toc12970337"/>
      <w:bookmarkStart w:id="17" w:name="_Toc14780197"/>
      <w:r>
        <w:t>2.</w:t>
      </w:r>
      <w:r>
        <w:tab/>
      </w:r>
      <w:r>
        <w:rPr>
          <w:noProof/>
        </w:rPr>
        <w:t>LIKVIDITET OG FORVALTNING AF BEVILLINGERNE</w:t>
      </w:r>
      <w:bookmarkEnd w:id="14"/>
      <w:bookmarkEnd w:id="15"/>
      <w:bookmarkEnd w:id="16"/>
      <w:bookmarkEnd w:id="17"/>
      <w:r>
        <w:rPr>
          <w:noProof/>
        </w:rPr>
        <w:t xml:space="preserve"> </w:t>
      </w:r>
    </w:p>
    <w:p>
      <w:pPr>
        <w:pStyle w:val="ManualHeading2"/>
        <w:rPr>
          <w:noProof/>
        </w:rPr>
      </w:pPr>
      <w:bookmarkStart w:id="18" w:name="_Toc322938560"/>
      <w:bookmarkStart w:id="19" w:name="_Toc358122338"/>
      <w:r>
        <w:t>2.1.</w:t>
      </w:r>
      <w:r>
        <w:tab/>
      </w:r>
      <w:r>
        <w:rPr>
          <w:noProof/>
        </w:rPr>
        <w:t>Forvaltning af bevillinger</w:t>
      </w:r>
      <w:bookmarkEnd w:id="18"/>
      <w:bookmarkEnd w:id="19"/>
      <w:r>
        <w:rPr>
          <w:noProof/>
        </w:rPr>
        <w:t xml:space="preserve"> </w:t>
      </w:r>
    </w:p>
    <w:p>
      <w:pPr>
        <w:pStyle w:val="ManualHeading3"/>
        <w:rPr>
          <w:noProof/>
        </w:rPr>
      </w:pPr>
      <w:bookmarkStart w:id="20" w:name="_Toc358122339"/>
      <w:bookmarkStart w:id="21" w:name="_Toc322938562"/>
      <w:r>
        <w:t>2.1.1.</w:t>
      </w:r>
      <w:r>
        <w:tab/>
      </w:r>
      <w:r>
        <w:rPr>
          <w:noProof/>
        </w:rPr>
        <w:t>Disponible bevillinger i regnskabsåret 2018</w:t>
      </w:r>
      <w:bookmarkEnd w:id="20"/>
      <w:r>
        <w:rPr>
          <w:noProof/>
        </w:rPr>
        <w:t xml:space="preserve"> </w:t>
      </w:r>
      <w:bookmarkStart w:id="22" w:name="_Toc322938564"/>
      <w:bookmarkStart w:id="23" w:name="_Toc358122340"/>
      <w:bookmarkEnd w:id="21"/>
    </w:p>
    <w:tbl>
      <w:tblPr>
        <w:tblW w:w="8940" w:type="dxa"/>
        <w:tblInd w:w="648" w:type="dxa"/>
        <w:tblLayout w:type="fixed"/>
        <w:tblLook w:val="01E0" w:firstRow="1" w:lastRow="1" w:firstColumn="1" w:lastColumn="1" w:noHBand="0" w:noVBand="0"/>
      </w:tblPr>
      <w:tblGrid>
        <w:gridCol w:w="2220"/>
        <w:gridCol w:w="1800"/>
        <w:gridCol w:w="1676"/>
        <w:gridCol w:w="1684"/>
        <w:gridCol w:w="1097"/>
        <w:gridCol w:w="463"/>
      </w:tblGrid>
      <w:tr>
        <w:trPr>
          <w:gridAfter w:val="1"/>
          <w:wAfter w:w="463" w:type="dxa"/>
        </w:trPr>
        <w:tc>
          <w:tcPr>
            <w:tcW w:w="8477" w:type="dxa"/>
            <w:gridSpan w:val="5"/>
            <w:shd w:val="clear" w:color="auto" w:fill="auto"/>
          </w:tcPr>
          <w:p>
            <w:pPr>
              <w:keepNext/>
              <w:keepLines/>
              <w:spacing w:after="0" w:line="240" w:lineRule="auto"/>
              <w:jc w:val="right"/>
              <w:rPr>
                <w:rFonts w:ascii="Times New Roman" w:eastAsia="MS PGothic" w:hAnsi="Times New Roman"/>
                <w:i/>
                <w:noProof/>
                <w:sz w:val="20"/>
                <w:szCs w:val="24"/>
              </w:rPr>
            </w:pPr>
            <w:r>
              <w:rPr>
                <w:rFonts w:ascii="Times New Roman" w:hAnsi="Times New Roman"/>
                <w:i/>
                <w:noProof/>
                <w:sz w:val="20"/>
              </w:rPr>
              <w:t>I EUR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220" w:type="dxa"/>
            <w:tcBorders>
              <w:top w:val="double" w:sz="4" w:space="0" w:color="auto"/>
              <w:left w:val="double" w:sz="4" w:space="0" w:color="auto"/>
              <w:bottom w:val="single" w:sz="6" w:space="0" w:color="auto"/>
              <w:right w:val="dotted" w:sz="4" w:space="0" w:color="auto"/>
            </w:tcBorders>
            <w:shd w:val="clear" w:color="auto" w:fill="99CC00"/>
            <w:noWrap/>
            <w:vAlign w:val="center"/>
          </w:tcPr>
          <w:p>
            <w:pPr>
              <w:spacing w:after="0" w:line="240" w:lineRule="auto"/>
              <w:jc w:val="center"/>
              <w:rPr>
                <w:rFonts w:ascii="Times New Roman" w:eastAsia="Times New Roman" w:hAnsi="Times New Roman"/>
                <w:b/>
                <w:bCs/>
                <w:noProof/>
                <w:sz w:val="18"/>
                <w:szCs w:val="18"/>
              </w:rPr>
            </w:pPr>
            <w:r>
              <w:rPr>
                <w:rFonts w:ascii="Times New Roman" w:hAnsi="Times New Roman"/>
                <w:b/>
                <w:noProof/>
                <w:sz w:val="18"/>
              </w:rPr>
              <w:t>Budgettets udgiftsside (1)</w:t>
            </w:r>
          </w:p>
        </w:tc>
        <w:tc>
          <w:tcPr>
            <w:tcW w:w="1800" w:type="dxa"/>
            <w:tcBorders>
              <w:top w:val="double" w:sz="4" w:space="0" w:color="auto"/>
              <w:left w:val="dotted" w:sz="4" w:space="0" w:color="auto"/>
              <w:bottom w:val="single" w:sz="6" w:space="0" w:color="auto"/>
              <w:right w:val="dotted" w:sz="4" w:space="0" w:color="auto"/>
            </w:tcBorders>
            <w:shd w:val="clear" w:color="auto" w:fill="99CC00"/>
            <w:vAlign w:val="center"/>
          </w:tcPr>
          <w:p>
            <w:pPr>
              <w:spacing w:after="0" w:line="240" w:lineRule="auto"/>
              <w:jc w:val="center"/>
              <w:rPr>
                <w:rFonts w:ascii="Times New Roman" w:eastAsia="Times New Roman" w:hAnsi="Times New Roman"/>
                <w:noProof/>
                <w:sz w:val="18"/>
                <w:szCs w:val="18"/>
              </w:rPr>
            </w:pPr>
            <w:r>
              <w:rPr>
                <w:rFonts w:ascii="Times New Roman" w:hAnsi="Times New Roman"/>
                <w:noProof/>
                <w:sz w:val="18"/>
              </w:rPr>
              <w:t>Forpligtelsesbevillinger</w:t>
            </w:r>
          </w:p>
        </w:tc>
        <w:tc>
          <w:tcPr>
            <w:tcW w:w="1676" w:type="dxa"/>
            <w:tcBorders>
              <w:top w:val="double" w:sz="4" w:space="0" w:color="auto"/>
              <w:left w:val="dotted" w:sz="4" w:space="0" w:color="auto"/>
              <w:bottom w:val="single" w:sz="6" w:space="0" w:color="auto"/>
            </w:tcBorders>
            <w:shd w:val="clear" w:color="auto" w:fill="99CC00"/>
            <w:vAlign w:val="center"/>
          </w:tcPr>
          <w:p>
            <w:pPr>
              <w:spacing w:after="0" w:line="240" w:lineRule="auto"/>
              <w:jc w:val="center"/>
              <w:rPr>
                <w:rFonts w:ascii="Times New Roman" w:eastAsia="Times New Roman" w:hAnsi="Times New Roman"/>
                <w:noProof/>
                <w:sz w:val="18"/>
                <w:szCs w:val="18"/>
              </w:rPr>
            </w:pPr>
            <w:r>
              <w:rPr>
                <w:rFonts w:ascii="Times New Roman" w:hAnsi="Times New Roman"/>
                <w:noProof/>
                <w:sz w:val="18"/>
              </w:rPr>
              <w:t>Betalingsbevillinger</w:t>
            </w:r>
          </w:p>
        </w:tc>
        <w:tc>
          <w:tcPr>
            <w:tcW w:w="1684" w:type="dxa"/>
            <w:tcBorders>
              <w:top w:val="double" w:sz="4" w:space="0" w:color="auto"/>
              <w:right w:val="dotted" w:sz="4" w:space="0" w:color="auto"/>
            </w:tcBorders>
            <w:shd w:val="clear" w:color="auto" w:fill="99CC00"/>
            <w:noWrap/>
            <w:vAlign w:val="center"/>
          </w:tcPr>
          <w:p>
            <w:pPr>
              <w:spacing w:after="0" w:line="240" w:lineRule="auto"/>
              <w:jc w:val="center"/>
              <w:rPr>
                <w:rFonts w:ascii="Times New Roman" w:eastAsia="Times New Roman" w:hAnsi="Times New Roman"/>
                <w:b/>
                <w:bCs/>
                <w:noProof/>
                <w:sz w:val="18"/>
                <w:szCs w:val="18"/>
              </w:rPr>
            </w:pPr>
            <w:r>
              <w:rPr>
                <w:rFonts w:ascii="Times New Roman" w:hAnsi="Times New Roman"/>
                <w:b/>
                <w:noProof/>
                <w:sz w:val="18"/>
              </w:rPr>
              <w:t>Budgettets indtægtsside (formålsbestemte indtægter) (2)</w:t>
            </w:r>
          </w:p>
        </w:tc>
        <w:tc>
          <w:tcPr>
            <w:tcW w:w="1560" w:type="dxa"/>
            <w:gridSpan w:val="2"/>
            <w:tcBorders>
              <w:top w:val="double" w:sz="4" w:space="0" w:color="auto"/>
              <w:left w:val="dotted" w:sz="4" w:space="0" w:color="auto"/>
              <w:right w:val="double" w:sz="4" w:space="0" w:color="auto"/>
            </w:tcBorders>
            <w:shd w:val="clear" w:color="auto" w:fill="99CC00"/>
            <w:noWrap/>
            <w:vAlign w:val="center"/>
          </w:tcPr>
          <w:p>
            <w:pPr>
              <w:spacing w:before="240" w:after="0" w:line="240" w:lineRule="auto"/>
              <w:jc w:val="center"/>
              <w:rPr>
                <w:rFonts w:ascii="Times New Roman" w:eastAsia="Times New Roman" w:hAnsi="Times New Roman"/>
                <w:noProof/>
                <w:sz w:val="18"/>
                <w:szCs w:val="18"/>
              </w:rPr>
            </w:pPr>
            <w:r>
              <w:rPr>
                <w:rFonts w:ascii="Times New Roman" w:hAnsi="Times New Roman"/>
                <w:noProof/>
                <w:sz w:val="18"/>
              </w:rPr>
              <w:t>Overslag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20" w:type="dxa"/>
            <w:tcBorders>
              <w:top w:val="single" w:sz="6" w:space="0" w:color="auto"/>
              <w:left w:val="double" w:sz="4" w:space="0" w:color="auto"/>
              <w:bottom w:val="single" w:sz="6"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1. Oprindelige bevillinger til EGFL, heraf</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43 234 516 899,00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43 188 677 466,00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1. Afgørelser om regnskabsafslutning</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noProof/>
                <w:sz w:val="18"/>
                <w:szCs w:val="18"/>
              </w:rPr>
            </w:pPr>
            <w:r>
              <w:rPr>
                <w:noProof/>
                <w:sz w:val="18"/>
              </w:rPr>
              <w:t>733 900 000,00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20" w:type="dxa"/>
            <w:tcBorders>
              <w:top w:val="single" w:sz="6" w:space="0" w:color="auto"/>
              <w:left w:val="double" w:sz="4" w:space="0" w:color="auto"/>
              <w:bottom w:val="single" w:sz="6"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1a. Bevillinger til delt forvaltning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43 089 300 000,00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43 089 300 000,00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2. Uregelmæssigheder</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132 000 000,00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1b. Bevillinger til direkte forvaltning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145 216 899,00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99 377 466,00</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3. Tillægsafgift for mælkeproducenter</w:t>
            </w:r>
          </w:p>
        </w:tc>
        <w:tc>
          <w:tcPr>
            <w:tcW w:w="1560" w:type="dxa"/>
            <w:gridSpan w:val="2"/>
            <w:tcBorders>
              <w:left w:val="dotted" w:sz="4" w:space="0" w:color="auto"/>
              <w:right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 -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vAlign w:val="center"/>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2. Ændringsbudget </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-1 400 000,00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 xml:space="preserve">-1 400 000,00 </w:t>
            </w:r>
          </w:p>
        </w:tc>
        <w:tc>
          <w:tcPr>
            <w:tcW w:w="1684" w:type="dxa"/>
            <w:tcBorders>
              <w:right w:val="dotted" w:sz="4" w:space="0" w:color="auto"/>
            </w:tcBorders>
            <w:shd w:val="clear" w:color="auto" w:fill="auto"/>
            <w:noWrap/>
            <w:vAlign w:val="center"/>
          </w:tcPr>
          <w:p>
            <w:pPr>
              <w:spacing w:before="60" w:after="60" w:line="240" w:lineRule="auto"/>
              <w:rPr>
                <w:rFonts w:ascii="Times New Roman" w:eastAsia="Times New Roman" w:hAnsi="Times New Roman"/>
                <w:noProof/>
                <w:sz w:val="18"/>
                <w:szCs w:val="18"/>
              </w:rPr>
            </w:pPr>
            <w:r>
              <w:rPr>
                <w:rFonts w:ascii="Times New Roman" w:hAnsi="Times New Roman"/>
                <w:b/>
                <w:noProof/>
                <w:sz w:val="18"/>
              </w:rPr>
              <w:t>Samlet overslag over formålsbestemte indtægter</w:t>
            </w: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noProof/>
                <w:sz w:val="18"/>
                <w:szCs w:val="18"/>
              </w:rPr>
            </w:pPr>
            <w:r>
              <w:rPr>
                <w:b/>
                <w:noProof/>
                <w:sz w:val="18"/>
              </w:rPr>
              <w:t>865 900 000,00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3. Årets overførsler til/fra EGFL</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-7 525 000,00</w:t>
            </w:r>
          </w:p>
        </w:tc>
        <w:tc>
          <w:tcPr>
            <w:tcW w:w="1684" w:type="dxa"/>
            <w:tcBorders>
              <w:right w:val="dotted" w:sz="4" w:space="0" w:color="auto"/>
            </w:tcBorders>
            <w:shd w:val="clear" w:color="auto" w:fill="auto"/>
            <w:vAlign w:val="center"/>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220" w:type="dxa"/>
            <w:tcBorders>
              <w:top w:val="single" w:sz="6" w:space="0" w:color="auto"/>
              <w:left w:val="double" w:sz="4" w:space="0" w:color="auto"/>
              <w:bottom w:val="single" w:sz="6" w:space="0" w:color="auto"/>
              <w:right w:val="dotted" w:sz="4" w:space="0" w:color="auto"/>
            </w:tcBorders>
            <w:shd w:val="clear" w:color="auto" w:fill="auto"/>
          </w:tcPr>
          <w:p>
            <w:pPr>
              <w:spacing w:before="60" w:after="60" w:line="240" w:lineRule="auto"/>
              <w:rPr>
                <w:rFonts w:ascii="Times New Roman" w:eastAsia="Times New Roman" w:hAnsi="Times New Roman"/>
                <w:noProof/>
                <w:sz w:val="18"/>
                <w:szCs w:val="18"/>
              </w:rPr>
            </w:pPr>
            <w:r>
              <w:rPr>
                <w:rFonts w:ascii="Times New Roman" w:hAnsi="Times New Roman"/>
                <w:noProof/>
                <w:sz w:val="18"/>
              </w:rPr>
              <w:t>4. Endelige bevillinger til EGFL, heraf</w:t>
            </w:r>
          </w:p>
        </w:tc>
        <w:tc>
          <w:tcPr>
            <w:tcW w:w="1800" w:type="dxa"/>
            <w:tcBorders>
              <w:top w:val="single" w:sz="6" w:space="0" w:color="auto"/>
              <w:left w:val="dotted" w:sz="4" w:space="0" w:color="auto"/>
              <w:bottom w:val="single" w:sz="6"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b/>
                <w:noProof/>
                <w:sz w:val="18"/>
                <w:szCs w:val="18"/>
              </w:rPr>
            </w:pPr>
            <w:r>
              <w:rPr>
                <w:rFonts w:ascii="Times New Roman" w:hAnsi="Times New Roman"/>
                <w:b/>
                <w:noProof/>
                <w:sz w:val="18"/>
              </w:rPr>
              <w:t>43 233 116 899,00</w:t>
            </w:r>
          </w:p>
        </w:tc>
        <w:tc>
          <w:tcPr>
            <w:tcW w:w="1676" w:type="dxa"/>
            <w:tcBorders>
              <w:top w:val="single" w:sz="6" w:space="0" w:color="auto"/>
              <w:left w:val="dotted" w:sz="4" w:space="0" w:color="auto"/>
              <w:bottom w:val="single" w:sz="6" w:space="0" w:color="auto"/>
            </w:tcBorders>
            <w:shd w:val="clear" w:color="auto" w:fill="auto"/>
            <w:noWrap/>
            <w:vAlign w:val="center"/>
          </w:tcPr>
          <w:p>
            <w:pPr>
              <w:spacing w:after="0" w:line="240" w:lineRule="auto"/>
              <w:jc w:val="right"/>
              <w:rPr>
                <w:rFonts w:ascii="Times New Roman" w:eastAsia="Times New Roman" w:hAnsi="Times New Roman"/>
                <w:b/>
                <w:noProof/>
                <w:sz w:val="18"/>
                <w:szCs w:val="18"/>
              </w:rPr>
            </w:pPr>
            <w:r>
              <w:rPr>
                <w:rFonts w:ascii="Times New Roman" w:hAnsi="Times New Roman"/>
                <w:b/>
                <w:noProof/>
                <w:sz w:val="18"/>
              </w:rPr>
              <w:t>43 179 752 466,00</w:t>
            </w:r>
          </w:p>
        </w:tc>
        <w:tc>
          <w:tcPr>
            <w:tcW w:w="1684" w:type="dxa"/>
            <w:tcBorders>
              <w:right w:val="dotted" w:sz="4" w:space="0" w:color="auto"/>
            </w:tcBorders>
            <w:shd w:val="clear" w:color="auto" w:fill="auto"/>
            <w:noWrap/>
            <w:vAlign w:val="center"/>
          </w:tcPr>
          <w:p>
            <w:pPr>
              <w:spacing w:before="60" w:after="60" w:line="240" w:lineRule="auto"/>
              <w:jc w:val="center"/>
              <w:rPr>
                <w:rFonts w:ascii="Times New Roman" w:eastAsia="Times New Roman" w:hAnsi="Times New Roman"/>
                <w:b/>
                <w:noProof/>
                <w:sz w:val="18"/>
                <w:szCs w:val="18"/>
              </w:rPr>
            </w:pPr>
          </w:p>
        </w:tc>
        <w:tc>
          <w:tcPr>
            <w:tcW w:w="1560" w:type="dxa"/>
            <w:gridSpan w:val="2"/>
            <w:tcBorders>
              <w:left w:val="dotted" w:sz="4" w:space="0" w:color="auto"/>
              <w:right w:val="double" w:sz="4" w:space="0" w:color="auto"/>
            </w:tcBorders>
            <w:shd w:val="clear" w:color="auto" w:fill="auto"/>
            <w:noWrap/>
            <w:vAlign w:val="center"/>
          </w:tcPr>
          <w:p>
            <w:pPr>
              <w:spacing w:before="60" w:after="60" w:line="240" w:lineRule="auto"/>
              <w:jc w:val="right"/>
              <w:rPr>
                <w:rFonts w:ascii="Times New Roman" w:eastAsia="Times New Roman" w:hAnsi="Times New Roman"/>
                <w:b/>
                <w:bCs/>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220" w:type="dxa"/>
            <w:tcBorders>
              <w:left w:val="double" w:sz="4" w:space="0" w:color="auto"/>
              <w:bottom w:val="sing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 xml:space="preserve">4a. Bevillinger til delt forvaltning </w:t>
            </w:r>
          </w:p>
        </w:tc>
        <w:tc>
          <w:tcPr>
            <w:tcW w:w="1800" w:type="dxa"/>
            <w:tcBorders>
              <w:left w:val="dotted" w:sz="4" w:space="0" w:color="auto"/>
              <w:bottom w:val="single" w:sz="4"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43 089 150 000,00</w:t>
            </w:r>
          </w:p>
        </w:tc>
        <w:tc>
          <w:tcPr>
            <w:tcW w:w="1676" w:type="dxa"/>
            <w:tcBorders>
              <w:left w:val="dotted" w:sz="4" w:space="0" w:color="auto"/>
              <w:bottom w:val="sing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43 089 150 000,00</w:t>
            </w:r>
          </w:p>
        </w:tc>
        <w:tc>
          <w:tcPr>
            <w:tcW w:w="1684" w:type="dxa"/>
            <w:tcBorders>
              <w:bottom w:val="sing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bottom w:val="single" w:sz="4" w:space="0" w:color="auto"/>
              <w:right w:val="double" w:sz="4" w:space="0" w:color="auto"/>
            </w:tcBorders>
            <w:shd w:val="clear" w:color="auto" w:fill="auto"/>
            <w:noWrap/>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220" w:type="dxa"/>
            <w:tcBorders>
              <w:left w:val="double" w:sz="4" w:space="0" w:color="auto"/>
              <w:bottom w:val="doub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r>
              <w:rPr>
                <w:rFonts w:ascii="Times New Roman" w:hAnsi="Times New Roman"/>
                <w:noProof/>
                <w:sz w:val="18"/>
              </w:rPr>
              <w:t>4b. Bevillinger til direkte forvaltning</w:t>
            </w:r>
          </w:p>
        </w:tc>
        <w:tc>
          <w:tcPr>
            <w:tcW w:w="1800" w:type="dxa"/>
            <w:tcBorders>
              <w:left w:val="dotted" w:sz="4" w:space="0" w:color="auto"/>
              <w:bottom w:val="double" w:sz="4" w:space="0" w:color="auto"/>
              <w:right w:val="dotted"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143 966 899,00</w:t>
            </w:r>
          </w:p>
        </w:tc>
        <w:tc>
          <w:tcPr>
            <w:tcW w:w="1676" w:type="dxa"/>
            <w:tcBorders>
              <w:left w:val="dotted" w:sz="4" w:space="0" w:color="auto"/>
              <w:bottom w:val="double" w:sz="4" w:space="0" w:color="auto"/>
            </w:tcBorders>
            <w:shd w:val="clear" w:color="auto" w:fill="auto"/>
            <w:noWrap/>
            <w:vAlign w:val="center"/>
          </w:tcPr>
          <w:p>
            <w:pPr>
              <w:spacing w:after="0" w:line="240" w:lineRule="auto"/>
              <w:jc w:val="right"/>
              <w:rPr>
                <w:rFonts w:ascii="Times New Roman" w:eastAsia="Times New Roman" w:hAnsi="Times New Roman"/>
                <w:noProof/>
                <w:sz w:val="18"/>
                <w:szCs w:val="18"/>
              </w:rPr>
            </w:pPr>
            <w:r>
              <w:rPr>
                <w:rFonts w:ascii="Times New Roman" w:hAnsi="Times New Roman"/>
                <w:noProof/>
                <w:sz w:val="18"/>
              </w:rPr>
              <w:t>90 602 466,00</w:t>
            </w:r>
          </w:p>
        </w:tc>
        <w:tc>
          <w:tcPr>
            <w:tcW w:w="1684" w:type="dxa"/>
            <w:tcBorders>
              <w:bottom w:val="double" w:sz="4" w:space="0" w:color="auto"/>
              <w:right w:val="dotted" w:sz="4" w:space="0" w:color="auto"/>
            </w:tcBorders>
            <w:shd w:val="clear" w:color="auto" w:fill="auto"/>
            <w:noWrap/>
          </w:tcPr>
          <w:p>
            <w:pPr>
              <w:spacing w:before="60" w:after="60" w:line="240" w:lineRule="auto"/>
              <w:rPr>
                <w:rFonts w:ascii="Times New Roman" w:eastAsia="Times New Roman" w:hAnsi="Times New Roman"/>
                <w:noProof/>
                <w:sz w:val="18"/>
                <w:szCs w:val="18"/>
              </w:rPr>
            </w:pPr>
          </w:p>
        </w:tc>
        <w:tc>
          <w:tcPr>
            <w:tcW w:w="1560" w:type="dxa"/>
            <w:gridSpan w:val="2"/>
            <w:tcBorders>
              <w:left w:val="dotted" w:sz="4" w:space="0" w:color="auto"/>
              <w:bottom w:val="double" w:sz="4" w:space="0" w:color="auto"/>
              <w:right w:val="double" w:sz="4" w:space="0" w:color="auto"/>
            </w:tcBorders>
            <w:shd w:val="clear" w:color="auto" w:fill="auto"/>
            <w:noWrap/>
          </w:tcPr>
          <w:p>
            <w:pPr>
              <w:spacing w:before="60" w:after="60" w:line="240" w:lineRule="auto"/>
              <w:jc w:val="right"/>
              <w:rPr>
                <w:rFonts w:ascii="Times New Roman" w:eastAsia="Times New Roman" w:hAnsi="Times New Roman"/>
                <w:noProof/>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7"/>
        </w:trPr>
        <w:tc>
          <w:tcPr>
            <w:tcW w:w="8940" w:type="dxa"/>
            <w:gridSpan w:val="6"/>
            <w:tcBorders>
              <w:top w:val="double" w:sz="4" w:space="0" w:color="auto"/>
              <w:left w:val="nil"/>
              <w:bottom w:val="nil"/>
              <w:right w:val="nil"/>
            </w:tcBorders>
            <w:shd w:val="clear" w:color="auto" w:fill="auto"/>
          </w:tcPr>
          <w:p>
            <w:pPr>
              <w:tabs>
                <w:tab w:val="left" w:pos="372"/>
              </w:tabs>
              <w:spacing w:after="0" w:line="240" w:lineRule="auto"/>
              <w:ind w:left="372" w:hanging="372"/>
              <w:jc w:val="both"/>
              <w:rPr>
                <w:rFonts w:ascii="Times New Roman" w:eastAsia="Times New Roman" w:hAnsi="Times New Roman"/>
                <w:noProof/>
                <w:sz w:val="18"/>
                <w:szCs w:val="18"/>
              </w:rPr>
            </w:pPr>
            <w:r>
              <w:rPr>
                <w:rFonts w:ascii="Times New Roman" w:hAnsi="Times New Roman"/>
                <w:noProof/>
                <w:sz w:val="18"/>
              </w:rPr>
              <w:t>(1)</w:t>
            </w:r>
            <w:r>
              <w:rPr>
                <w:noProof/>
              </w:rPr>
              <w:tab/>
            </w:r>
            <w:r>
              <w:rPr>
                <w:rFonts w:ascii="Times New Roman" w:hAnsi="Times New Roman"/>
                <w:noProof/>
                <w:sz w:val="18"/>
              </w:rPr>
              <w:t>Bevillinger opført på budgettet for 2018 efter fradrag af de forventede formålsbestemte indtægter, der vil blive opkrævet i 2018, og de indtægter, der fremføres fra 2017 til 2018, jf. artikel 3 i forordning (EU, Euratom) 2018/1046.</w:t>
            </w:r>
          </w:p>
          <w:p>
            <w:pPr>
              <w:tabs>
                <w:tab w:val="left" w:pos="372"/>
              </w:tabs>
              <w:spacing w:after="0" w:line="240" w:lineRule="auto"/>
              <w:ind w:left="372" w:hanging="372"/>
              <w:jc w:val="both"/>
              <w:rPr>
                <w:rFonts w:ascii="Times New Roman" w:eastAsia="Times New Roman" w:hAnsi="Times New Roman"/>
                <w:noProof/>
                <w:sz w:val="18"/>
                <w:szCs w:val="18"/>
              </w:rPr>
            </w:pPr>
            <w:r>
              <w:rPr>
                <w:rFonts w:ascii="Times New Roman" w:hAnsi="Times New Roman"/>
                <w:noProof/>
                <w:sz w:val="18"/>
              </w:rPr>
              <w:t>(2)</w:t>
            </w:r>
            <w:r>
              <w:rPr>
                <w:noProof/>
              </w:rPr>
              <w:tab/>
            </w:r>
            <w:r>
              <w:rPr>
                <w:rFonts w:ascii="Times New Roman" w:hAnsi="Times New Roman"/>
                <w:noProof/>
                <w:sz w:val="18"/>
              </w:rPr>
              <w:t>Formålsbestemte indtægter Formålsbestemte indtægter, der skal opkræves. Der er ikke opført noget indtægtsbeløb på indtægtsposten (p.m.), men overslaget er anført i budgetanmærkningerne.</w:t>
            </w:r>
          </w:p>
        </w:tc>
      </w:tr>
    </w:tbl>
    <w:p>
      <w:pPr>
        <w:pStyle w:val="ManualHeading3"/>
        <w:rPr>
          <w:noProof/>
        </w:rPr>
      </w:pPr>
      <w:r>
        <w:t>2.1.2.</w:t>
      </w:r>
      <w:r>
        <w:tab/>
      </w:r>
      <w:r>
        <w:rPr>
          <w:noProof/>
        </w:rPr>
        <w:t>Gennemførelse af disponible bevillinger i regnskabsår 2018</w:t>
      </w:r>
      <w:bookmarkStart w:id="24" w:name="_Toc322938569"/>
      <w:bookmarkStart w:id="25" w:name="_Toc358122341"/>
      <w:bookmarkEnd w:id="22"/>
      <w:bookmarkEnd w:id="23"/>
    </w:p>
    <w:tbl>
      <w:tblPr>
        <w:tblW w:w="7920" w:type="dxa"/>
        <w:tblInd w:w="948" w:type="dxa"/>
        <w:tblLayout w:type="fixed"/>
        <w:tblLook w:val="01E0" w:firstRow="1" w:lastRow="1" w:firstColumn="1" w:lastColumn="1" w:noHBand="0" w:noVBand="0"/>
      </w:tblPr>
      <w:tblGrid>
        <w:gridCol w:w="1680"/>
        <w:gridCol w:w="840"/>
        <w:gridCol w:w="2310"/>
        <w:gridCol w:w="426"/>
        <w:gridCol w:w="1824"/>
        <w:gridCol w:w="302"/>
        <w:gridCol w:w="538"/>
      </w:tblGrid>
      <w:tr>
        <w:tc>
          <w:tcPr>
            <w:tcW w:w="1680" w:type="dxa"/>
          </w:tcPr>
          <w:p>
            <w:pPr>
              <w:keepNext/>
              <w:keepLines/>
              <w:spacing w:after="0" w:line="240" w:lineRule="auto"/>
              <w:jc w:val="right"/>
              <w:rPr>
                <w:rFonts w:ascii="Times New Roman" w:eastAsia="Times New Roman" w:hAnsi="Times New Roman"/>
                <w:i/>
                <w:noProof/>
                <w:sz w:val="20"/>
                <w:szCs w:val="24"/>
              </w:rPr>
            </w:pPr>
          </w:p>
        </w:tc>
        <w:tc>
          <w:tcPr>
            <w:tcW w:w="5400" w:type="dxa"/>
            <w:gridSpan w:val="4"/>
            <w:shd w:val="clear" w:color="auto" w:fill="auto"/>
          </w:tcPr>
          <w:p>
            <w:pPr>
              <w:keepNext/>
              <w:keepLines/>
              <w:spacing w:after="0" w:line="240" w:lineRule="auto"/>
              <w:jc w:val="right"/>
              <w:rPr>
                <w:rFonts w:ascii="Times New Roman" w:eastAsia="Times New Roman" w:hAnsi="Times New Roman"/>
                <w:i/>
                <w:noProof/>
                <w:sz w:val="20"/>
                <w:szCs w:val="24"/>
              </w:rPr>
            </w:pPr>
          </w:p>
        </w:tc>
        <w:tc>
          <w:tcPr>
            <w:tcW w:w="840" w:type="dxa"/>
            <w:gridSpan w:val="2"/>
          </w:tcPr>
          <w:p>
            <w:pPr>
              <w:keepNext/>
              <w:keepLines/>
              <w:spacing w:after="0" w:line="240" w:lineRule="auto"/>
              <w:jc w:val="right"/>
              <w:rPr>
                <w:rFonts w:ascii="Times New Roman" w:eastAsia="Times New Roman" w:hAnsi="Times New Roman"/>
                <w:i/>
                <w:noProof/>
                <w:sz w:val="20"/>
                <w:szCs w:val="24"/>
              </w:rPr>
            </w:pPr>
            <w:r>
              <w:rPr>
                <w:rFonts w:ascii="Times New Roman" w:hAnsi="Times New Roman"/>
                <w:i/>
                <w:noProof/>
                <w:sz w:val="20"/>
              </w:rPr>
              <w:t>I EUR</w:t>
            </w:r>
          </w:p>
        </w:tc>
      </w:tr>
      <w:tr>
        <w:tblPrEx>
          <w:tblLook w:val="0000" w:firstRow="0" w:lastRow="0" w:firstColumn="0" w:lastColumn="0" w:noHBand="0" w:noVBand="0"/>
        </w:tblPrEx>
        <w:trPr>
          <w:trHeight w:val="525"/>
        </w:trPr>
        <w:tc>
          <w:tcPr>
            <w:tcW w:w="2520" w:type="dxa"/>
            <w:gridSpan w:val="2"/>
            <w:tcBorders>
              <w:top w:val="double" w:sz="4" w:space="0" w:color="auto"/>
              <w:left w:val="double" w:sz="4" w:space="0" w:color="auto"/>
              <w:bottom w:val="single" w:sz="4" w:space="0" w:color="auto"/>
              <w:right w:val="single" w:sz="4" w:space="0" w:color="auto"/>
            </w:tcBorders>
            <w:shd w:val="clear" w:color="auto" w:fill="99CC00"/>
            <w:noWrap/>
          </w:tcPr>
          <w:p>
            <w:pPr>
              <w:spacing w:before="240" w:after="60" w:line="240" w:lineRule="auto"/>
              <w:jc w:val="center"/>
              <w:rPr>
                <w:rFonts w:ascii="Times New Roman" w:eastAsia="Times New Roman" w:hAnsi="Times New Roman"/>
                <w:b/>
                <w:bCs/>
                <w:noProof/>
                <w:sz w:val="24"/>
                <w:szCs w:val="24"/>
              </w:rPr>
            </w:pPr>
          </w:p>
        </w:tc>
        <w:tc>
          <w:tcPr>
            <w:tcW w:w="2736" w:type="dxa"/>
            <w:gridSpan w:val="2"/>
            <w:tcBorders>
              <w:top w:val="double" w:sz="4" w:space="0" w:color="auto"/>
              <w:left w:val="single" w:sz="4" w:space="0" w:color="auto"/>
              <w:bottom w:val="single" w:sz="4" w:space="0" w:color="auto"/>
              <w:right w:val="single" w:sz="4" w:space="0" w:color="auto"/>
            </w:tcBorders>
            <w:shd w:val="clear" w:color="auto" w:fill="99CC00"/>
            <w:vAlign w:val="center"/>
          </w:tcPr>
          <w:p>
            <w:pPr>
              <w:spacing w:after="0" w:line="240" w:lineRule="auto"/>
              <w:jc w:val="center"/>
              <w:rPr>
                <w:rFonts w:ascii="Times New Roman" w:eastAsia="Times New Roman" w:hAnsi="Times New Roman"/>
                <w:b/>
                <w:noProof/>
                <w:sz w:val="18"/>
                <w:szCs w:val="18"/>
              </w:rPr>
            </w:pPr>
            <w:r>
              <w:rPr>
                <w:rFonts w:ascii="Times New Roman" w:hAnsi="Times New Roman"/>
                <w:b/>
                <w:noProof/>
                <w:sz w:val="18"/>
              </w:rPr>
              <w:t>Gennemførelse af forpligtelsesbevillinger</w:t>
            </w:r>
          </w:p>
        </w:tc>
        <w:tc>
          <w:tcPr>
            <w:tcW w:w="2664" w:type="dxa"/>
            <w:gridSpan w:val="3"/>
            <w:tcBorders>
              <w:top w:val="double" w:sz="4" w:space="0" w:color="auto"/>
              <w:left w:val="single" w:sz="4" w:space="0" w:color="auto"/>
              <w:bottom w:val="single" w:sz="4" w:space="0" w:color="auto"/>
              <w:right w:val="double" w:sz="4" w:space="0" w:color="auto"/>
            </w:tcBorders>
            <w:shd w:val="clear" w:color="auto" w:fill="99CC00"/>
            <w:vAlign w:val="center"/>
          </w:tcPr>
          <w:p>
            <w:pPr>
              <w:spacing w:after="0" w:line="240" w:lineRule="auto"/>
              <w:jc w:val="center"/>
              <w:rPr>
                <w:rFonts w:ascii="Times New Roman" w:eastAsia="Times New Roman" w:hAnsi="Times New Roman"/>
                <w:b/>
                <w:noProof/>
                <w:sz w:val="18"/>
                <w:szCs w:val="18"/>
              </w:rPr>
            </w:pPr>
            <w:r>
              <w:rPr>
                <w:rFonts w:ascii="Times New Roman" w:hAnsi="Times New Roman"/>
                <w:b/>
                <w:noProof/>
                <w:sz w:val="18"/>
              </w:rPr>
              <w:t>Gennemførelse af betalingsbevillinger</w:t>
            </w:r>
          </w:p>
        </w:tc>
      </w:tr>
      <w:tr>
        <w:tblPrEx>
          <w:tblLook w:val="0000" w:firstRow="0" w:lastRow="0" w:firstColumn="0" w:lastColumn="0" w:noHBand="0" w:noVBand="0"/>
        </w:tblPrEx>
        <w:trPr>
          <w:trHeight w:val="540"/>
        </w:trPr>
        <w:tc>
          <w:tcPr>
            <w:tcW w:w="2520" w:type="dxa"/>
            <w:gridSpan w:val="2"/>
            <w:tcBorders>
              <w:top w:val="single" w:sz="4" w:space="0" w:color="auto"/>
              <w:left w:val="double" w:sz="6" w:space="0" w:color="auto"/>
              <w:bottom w:val="nil"/>
              <w:right w:val="nil"/>
            </w:tcBorders>
            <w:shd w:val="clear" w:color="auto" w:fill="auto"/>
          </w:tcPr>
          <w:p>
            <w:pPr>
              <w:spacing w:before="300" w:after="60" w:line="240" w:lineRule="auto"/>
              <w:rPr>
                <w:rFonts w:ascii="Times New Roman" w:eastAsia="Times New Roman" w:hAnsi="Times New Roman"/>
                <w:noProof/>
                <w:sz w:val="20"/>
                <w:szCs w:val="20"/>
              </w:rPr>
            </w:pPr>
            <w:r>
              <w:rPr>
                <w:rFonts w:ascii="Times New Roman" w:hAnsi="Times New Roman"/>
                <w:noProof/>
                <w:sz w:val="20"/>
              </w:rPr>
              <w:t>Delt forvaltning (1)</w:t>
            </w:r>
          </w:p>
        </w:tc>
        <w:tc>
          <w:tcPr>
            <w:tcW w:w="2310" w:type="dxa"/>
            <w:tcBorders>
              <w:top w:val="single" w:sz="4" w:space="0" w:color="auto"/>
              <w:left w:val="single" w:sz="4" w:space="0" w:color="auto"/>
            </w:tcBorders>
            <w:shd w:val="clear" w:color="auto" w:fill="auto"/>
            <w:noWrap/>
          </w:tcPr>
          <w:p>
            <w:pPr>
              <w:tabs>
                <w:tab w:val="left" w:pos="502"/>
              </w:tabs>
              <w:spacing w:before="300" w:after="60"/>
              <w:jc w:val="right"/>
              <w:rPr>
                <w:rFonts w:ascii="Times New Roman" w:hAnsi="Times New Roman"/>
                <w:noProof/>
                <w:sz w:val="18"/>
                <w:szCs w:val="18"/>
              </w:rPr>
            </w:pPr>
            <w:r>
              <w:rPr>
                <w:rFonts w:ascii="Times New Roman" w:hAnsi="Times New Roman"/>
                <w:noProof/>
                <w:sz w:val="18"/>
              </w:rPr>
              <w:t>44 223 038 392,88</w:t>
            </w:r>
          </w:p>
        </w:tc>
        <w:tc>
          <w:tcPr>
            <w:tcW w:w="426" w:type="dxa"/>
            <w:tcBorders>
              <w:top w:val="single" w:sz="4" w:space="0" w:color="auto"/>
              <w:right w:val="single" w:sz="4" w:space="0" w:color="auto"/>
            </w:tcBorders>
          </w:tcPr>
          <w:p>
            <w:pPr>
              <w:spacing w:before="300" w:after="60"/>
              <w:jc w:val="right"/>
              <w:rPr>
                <w:rFonts w:ascii="Times New Roman" w:hAnsi="Times New Roman"/>
                <w:noProof/>
                <w:color w:val="FF0000"/>
                <w:sz w:val="18"/>
                <w:szCs w:val="18"/>
              </w:rPr>
            </w:pPr>
          </w:p>
        </w:tc>
        <w:tc>
          <w:tcPr>
            <w:tcW w:w="2126" w:type="dxa"/>
            <w:gridSpan w:val="2"/>
            <w:tcBorders>
              <w:top w:val="single" w:sz="4" w:space="0" w:color="auto"/>
              <w:left w:val="single" w:sz="4" w:space="0" w:color="auto"/>
            </w:tcBorders>
            <w:shd w:val="clear" w:color="auto" w:fill="auto"/>
            <w:noWrap/>
          </w:tcPr>
          <w:p>
            <w:pPr>
              <w:spacing w:before="300" w:after="60"/>
              <w:jc w:val="right"/>
              <w:rPr>
                <w:rFonts w:ascii="Times New Roman" w:hAnsi="Times New Roman"/>
                <w:noProof/>
                <w:sz w:val="18"/>
                <w:szCs w:val="18"/>
              </w:rPr>
            </w:pPr>
            <w:r>
              <w:rPr>
                <w:rFonts w:ascii="Times New Roman" w:hAnsi="Times New Roman"/>
                <w:noProof/>
                <w:sz w:val="18"/>
              </w:rPr>
              <w:t>44 223 038 392,88</w:t>
            </w:r>
          </w:p>
        </w:tc>
        <w:tc>
          <w:tcPr>
            <w:tcW w:w="538" w:type="dxa"/>
            <w:tcBorders>
              <w:top w:val="single" w:sz="4" w:space="0" w:color="auto"/>
              <w:right w:val="double" w:sz="6" w:space="0" w:color="auto"/>
            </w:tcBorders>
          </w:tcPr>
          <w:p>
            <w:pPr>
              <w:spacing w:before="300" w:after="60"/>
              <w:jc w:val="right"/>
              <w:rPr>
                <w:noProof/>
                <w:color w:val="FF0000"/>
                <w:sz w:val="18"/>
                <w:szCs w:val="18"/>
              </w:rPr>
            </w:pPr>
          </w:p>
        </w:tc>
      </w:tr>
      <w:tr>
        <w:tblPrEx>
          <w:tblLook w:val="0000" w:firstRow="0" w:lastRow="0" w:firstColumn="0" w:lastColumn="0" w:noHBand="0" w:noVBand="0"/>
        </w:tblPrEx>
        <w:trPr>
          <w:trHeight w:val="495"/>
        </w:trPr>
        <w:tc>
          <w:tcPr>
            <w:tcW w:w="2520" w:type="dxa"/>
            <w:gridSpan w:val="2"/>
            <w:tcBorders>
              <w:top w:val="nil"/>
              <w:left w:val="double" w:sz="6" w:space="0" w:color="auto"/>
              <w:bottom w:val="nil"/>
              <w:right w:val="nil"/>
            </w:tcBorders>
            <w:shd w:val="clear" w:color="auto" w:fill="auto"/>
          </w:tcPr>
          <w:p>
            <w:pPr>
              <w:spacing w:after="0" w:line="240" w:lineRule="auto"/>
              <w:rPr>
                <w:rFonts w:ascii="Times New Roman" w:eastAsia="Times New Roman" w:hAnsi="Times New Roman"/>
                <w:noProof/>
                <w:sz w:val="20"/>
                <w:szCs w:val="20"/>
              </w:rPr>
            </w:pPr>
            <w:r>
              <w:rPr>
                <w:rFonts w:ascii="Times New Roman" w:hAnsi="Times New Roman"/>
                <w:noProof/>
                <w:sz w:val="20"/>
              </w:rPr>
              <w:t>Udgifter under direkte forvaltning</w:t>
            </w:r>
          </w:p>
        </w:tc>
        <w:tc>
          <w:tcPr>
            <w:tcW w:w="2310" w:type="dxa"/>
            <w:tcBorders>
              <w:left w:val="single" w:sz="4" w:space="0" w:color="auto"/>
            </w:tcBorders>
            <w:shd w:val="clear" w:color="auto" w:fill="auto"/>
            <w:noWrap/>
          </w:tcPr>
          <w:p>
            <w:pPr>
              <w:jc w:val="right"/>
              <w:rPr>
                <w:rFonts w:ascii="Times New Roman" w:hAnsi="Times New Roman"/>
                <w:noProof/>
                <w:sz w:val="18"/>
                <w:szCs w:val="18"/>
              </w:rPr>
            </w:pPr>
            <w:r>
              <w:rPr>
                <w:rFonts w:ascii="Times New Roman" w:hAnsi="Times New Roman"/>
                <w:noProof/>
                <w:sz w:val="18"/>
              </w:rPr>
              <w:t>141 443 524,13</w:t>
            </w:r>
          </w:p>
        </w:tc>
        <w:tc>
          <w:tcPr>
            <w:tcW w:w="426" w:type="dxa"/>
            <w:tcBorders>
              <w:right w:val="single" w:sz="4" w:space="0" w:color="auto"/>
            </w:tcBorders>
          </w:tcPr>
          <w:p>
            <w:pPr>
              <w:jc w:val="right"/>
              <w:rPr>
                <w:rFonts w:ascii="Times New Roman" w:hAnsi="Times New Roman"/>
                <w:noProof/>
                <w:color w:val="FF0000"/>
                <w:sz w:val="18"/>
                <w:szCs w:val="18"/>
              </w:rPr>
            </w:pPr>
          </w:p>
        </w:tc>
        <w:tc>
          <w:tcPr>
            <w:tcW w:w="2126" w:type="dxa"/>
            <w:gridSpan w:val="2"/>
            <w:tcBorders>
              <w:left w:val="single" w:sz="4" w:space="0" w:color="auto"/>
            </w:tcBorders>
            <w:shd w:val="clear" w:color="auto" w:fill="auto"/>
            <w:noWrap/>
          </w:tcPr>
          <w:p>
            <w:pPr>
              <w:jc w:val="right"/>
              <w:rPr>
                <w:rFonts w:ascii="Times New Roman" w:hAnsi="Times New Roman"/>
                <w:noProof/>
                <w:sz w:val="18"/>
                <w:szCs w:val="18"/>
              </w:rPr>
            </w:pPr>
            <w:r>
              <w:rPr>
                <w:rFonts w:ascii="Times New Roman" w:hAnsi="Times New Roman"/>
                <w:noProof/>
                <w:sz w:val="18"/>
              </w:rPr>
              <w:t xml:space="preserve">71 180 250,83 </w:t>
            </w:r>
          </w:p>
        </w:tc>
        <w:tc>
          <w:tcPr>
            <w:tcW w:w="538" w:type="dxa"/>
            <w:tcBorders>
              <w:right w:val="double" w:sz="6" w:space="0" w:color="auto"/>
            </w:tcBorders>
          </w:tcPr>
          <w:p>
            <w:pPr>
              <w:jc w:val="right"/>
              <w:rPr>
                <w:noProof/>
                <w:color w:val="FF0000"/>
                <w:sz w:val="18"/>
                <w:szCs w:val="18"/>
              </w:rPr>
            </w:pPr>
          </w:p>
        </w:tc>
      </w:tr>
      <w:tr>
        <w:tblPrEx>
          <w:tblLook w:val="0000" w:firstRow="0" w:lastRow="0" w:firstColumn="0" w:lastColumn="0" w:noHBand="0" w:noVBand="0"/>
        </w:tblPrEx>
        <w:trPr>
          <w:trHeight w:val="360"/>
        </w:trPr>
        <w:tc>
          <w:tcPr>
            <w:tcW w:w="2520" w:type="dxa"/>
            <w:gridSpan w:val="2"/>
            <w:tcBorders>
              <w:top w:val="nil"/>
              <w:left w:val="double" w:sz="6" w:space="0" w:color="auto"/>
              <w:bottom w:val="double" w:sz="6" w:space="0" w:color="auto"/>
              <w:right w:val="nil"/>
            </w:tcBorders>
            <w:shd w:val="clear" w:color="auto" w:fill="auto"/>
            <w:noWrap/>
          </w:tcPr>
          <w:p>
            <w:pPr>
              <w:spacing w:after="0" w:line="240" w:lineRule="auto"/>
              <w:rPr>
                <w:rFonts w:ascii="Times New Roman" w:eastAsia="Times New Roman" w:hAnsi="Times New Roman"/>
                <w:i/>
                <w:noProof/>
                <w:sz w:val="20"/>
                <w:szCs w:val="20"/>
              </w:rPr>
            </w:pPr>
            <w:r>
              <w:rPr>
                <w:rFonts w:ascii="Times New Roman" w:hAnsi="Times New Roman"/>
                <w:b/>
                <w:noProof/>
                <w:sz w:val="20"/>
              </w:rPr>
              <w:t>I alt</w:t>
            </w:r>
          </w:p>
          <w:p>
            <w:pPr>
              <w:spacing w:after="0" w:line="240" w:lineRule="auto"/>
              <w:rPr>
                <w:rFonts w:ascii="Arial Narrow" w:eastAsia="Times New Roman" w:hAnsi="Arial Narrow"/>
                <w:b/>
                <w:noProof/>
                <w:sz w:val="20"/>
                <w:szCs w:val="20"/>
              </w:rPr>
            </w:pPr>
          </w:p>
        </w:tc>
        <w:tc>
          <w:tcPr>
            <w:tcW w:w="2310" w:type="dxa"/>
            <w:tcBorders>
              <w:left w:val="single" w:sz="4" w:space="0" w:color="auto"/>
              <w:bottom w:val="double" w:sz="6" w:space="0" w:color="auto"/>
            </w:tcBorders>
            <w:shd w:val="clear" w:color="auto" w:fill="auto"/>
            <w:noWrap/>
          </w:tcPr>
          <w:p>
            <w:pPr>
              <w:tabs>
                <w:tab w:val="center" w:pos="1712"/>
              </w:tabs>
              <w:ind w:left="54" w:right="48" w:firstLine="337"/>
              <w:jc w:val="right"/>
              <w:rPr>
                <w:rFonts w:ascii="Times New Roman" w:hAnsi="Times New Roman"/>
                <w:b/>
                <w:noProof/>
                <w:sz w:val="18"/>
                <w:szCs w:val="18"/>
              </w:rPr>
            </w:pPr>
            <w:r>
              <w:rPr>
                <w:rFonts w:ascii="Times New Roman" w:hAnsi="Times New Roman"/>
                <w:b/>
                <w:noProof/>
                <w:sz w:val="18"/>
              </w:rPr>
              <w:t>44 364 481 917,01</w:t>
            </w:r>
          </w:p>
        </w:tc>
        <w:tc>
          <w:tcPr>
            <w:tcW w:w="426" w:type="dxa"/>
            <w:tcBorders>
              <w:bottom w:val="double" w:sz="6" w:space="0" w:color="auto"/>
              <w:right w:val="single" w:sz="4" w:space="0" w:color="auto"/>
            </w:tcBorders>
          </w:tcPr>
          <w:p>
            <w:pPr>
              <w:jc w:val="right"/>
              <w:rPr>
                <w:rFonts w:ascii="Times New Roman" w:hAnsi="Times New Roman"/>
                <w:b/>
                <w:noProof/>
                <w:sz w:val="18"/>
                <w:szCs w:val="18"/>
              </w:rPr>
            </w:pPr>
          </w:p>
        </w:tc>
        <w:tc>
          <w:tcPr>
            <w:tcW w:w="2126" w:type="dxa"/>
            <w:gridSpan w:val="2"/>
            <w:tcBorders>
              <w:left w:val="single" w:sz="4" w:space="0" w:color="auto"/>
              <w:bottom w:val="double" w:sz="6" w:space="0" w:color="auto"/>
            </w:tcBorders>
            <w:shd w:val="clear" w:color="auto" w:fill="auto"/>
            <w:noWrap/>
          </w:tcPr>
          <w:p>
            <w:pPr>
              <w:jc w:val="right"/>
              <w:rPr>
                <w:rFonts w:ascii="Times New Roman" w:hAnsi="Times New Roman"/>
                <w:b/>
                <w:noProof/>
                <w:sz w:val="18"/>
                <w:szCs w:val="18"/>
              </w:rPr>
            </w:pPr>
            <w:r>
              <w:rPr>
                <w:rFonts w:ascii="Times New Roman" w:hAnsi="Times New Roman"/>
                <w:b/>
                <w:noProof/>
                <w:sz w:val="18"/>
              </w:rPr>
              <w:t xml:space="preserve">44 294 218 643,71 </w:t>
            </w:r>
          </w:p>
        </w:tc>
        <w:tc>
          <w:tcPr>
            <w:tcW w:w="538" w:type="dxa"/>
            <w:tcBorders>
              <w:bottom w:val="double" w:sz="6" w:space="0" w:color="auto"/>
              <w:right w:val="double" w:sz="6" w:space="0" w:color="auto"/>
            </w:tcBorders>
          </w:tcPr>
          <w:p>
            <w:pPr>
              <w:jc w:val="right"/>
              <w:rPr>
                <w:b/>
                <w:noProof/>
                <w:color w:val="FF0000"/>
                <w:sz w:val="18"/>
                <w:szCs w:val="18"/>
              </w:rPr>
            </w:pPr>
          </w:p>
        </w:tc>
      </w:tr>
    </w:tbl>
    <w:p>
      <w:pPr>
        <w:spacing w:after="0" w:line="240" w:lineRule="auto"/>
        <w:ind w:left="720" w:hanging="11"/>
        <w:jc w:val="both"/>
        <w:rPr>
          <w:rFonts w:ascii="Times New Roman" w:eastAsia="Times New Roman" w:hAnsi="Times New Roman"/>
          <w:noProof/>
          <w:sz w:val="18"/>
          <w:szCs w:val="18"/>
        </w:rPr>
      </w:pPr>
      <w:r>
        <w:rPr>
          <w:rFonts w:ascii="Times New Roman" w:hAnsi="Times New Roman"/>
          <w:noProof/>
          <w:sz w:val="18"/>
        </w:rPr>
        <w:t xml:space="preserve"> (1) Forpligtede beløb. Forpligtelser og betalinger minus formålsbestemte indtægter på 997 361 033,56 EUR (se punkt 4 og bilag 6) vedrørende delt forvaltning: 43 225 677 359,32 EUR.</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 xml:space="preserve">For regnskabsåret 2018 beløb de reelt udnyttede forpligtelsesbevillinger sig til 44 364 481 917,01 EUR, mens de reelt udnyttede betalingsbevillinger beløb sig til 44 294 218 643,71 EUR.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Som følge af suspenderede beløb til Polen var det udbetalte beløb (43 225 151 242,49 EUR) under delt forvaltning mindre end 43 225 677 359,32 EUR.</w:t>
      </w:r>
    </w:p>
    <w:p>
      <w:pPr>
        <w:pStyle w:val="ManualHeading3"/>
        <w:rPr>
          <w:bCs/>
          <w:iCs/>
          <w:noProof/>
        </w:rPr>
      </w:pPr>
      <w:r>
        <w:t>2.1.3.</w:t>
      </w:r>
      <w:r>
        <w:tab/>
      </w:r>
      <w:r>
        <w:rPr>
          <w:noProof/>
        </w:rPr>
        <w:t>Budgetgennemførelse for vedtagne bevillinger – Udgifter under direkte forvaltning foretaget af Kommissionen</w:t>
      </w:r>
      <w:bookmarkEnd w:id="24"/>
      <w:bookmarkEnd w:id="25"/>
      <w:r>
        <w:rPr>
          <w:noProof/>
        </w:rPr>
        <w:t xml:space="preserve"> </w:t>
      </w:r>
    </w:p>
    <w:tbl>
      <w:tblPr>
        <w:tblW w:w="8227" w:type="dxa"/>
        <w:tblInd w:w="948" w:type="dxa"/>
        <w:tblLayout w:type="fixed"/>
        <w:tblLook w:val="0000" w:firstRow="0" w:lastRow="0" w:firstColumn="0" w:lastColumn="0" w:noHBand="0" w:noVBand="0"/>
      </w:tblPr>
      <w:tblGrid>
        <w:gridCol w:w="2605"/>
        <w:gridCol w:w="1783"/>
        <w:gridCol w:w="172"/>
        <w:gridCol w:w="1611"/>
        <w:gridCol w:w="309"/>
        <w:gridCol w:w="1747"/>
      </w:tblGrid>
      <w:tr>
        <w:trPr>
          <w:trHeight w:val="246"/>
        </w:trPr>
        <w:tc>
          <w:tcPr>
            <w:tcW w:w="8227" w:type="dxa"/>
            <w:gridSpan w:val="6"/>
            <w:tcBorders>
              <w:bottom w:val="double" w:sz="4" w:space="0" w:color="auto"/>
            </w:tcBorders>
            <w:shd w:val="clear" w:color="auto" w:fill="auto"/>
            <w:noWrap/>
            <w:vAlign w:val="center"/>
          </w:tcPr>
          <w:p>
            <w:pPr>
              <w:keepNext/>
              <w:keepLines/>
              <w:spacing w:after="0" w:line="240" w:lineRule="auto"/>
              <w:jc w:val="right"/>
              <w:rPr>
                <w:rFonts w:ascii="Times New Roman" w:eastAsia="Times New Roman" w:hAnsi="Times New Roman"/>
                <w:i/>
                <w:noProof/>
                <w:sz w:val="20"/>
                <w:szCs w:val="24"/>
              </w:rPr>
            </w:pPr>
            <w:bookmarkStart w:id="26" w:name="_Toc322938571"/>
            <w:bookmarkStart w:id="27" w:name="_Toc358122342"/>
            <w:r>
              <w:rPr>
                <w:rFonts w:ascii="Times New Roman" w:hAnsi="Times New Roman"/>
                <w:i/>
                <w:noProof/>
                <w:sz w:val="20"/>
              </w:rPr>
              <w:t>I EUR</w:t>
            </w:r>
          </w:p>
        </w:tc>
      </w:tr>
      <w:tr>
        <w:trPr>
          <w:trHeight w:val="465"/>
        </w:trPr>
        <w:tc>
          <w:tcPr>
            <w:tcW w:w="2605" w:type="dxa"/>
            <w:tcBorders>
              <w:top w:val="double" w:sz="4" w:space="0" w:color="auto"/>
              <w:left w:val="double" w:sz="4" w:space="0" w:color="auto"/>
              <w:bottom w:val="single" w:sz="4" w:space="0" w:color="auto"/>
            </w:tcBorders>
            <w:shd w:val="clear" w:color="auto" w:fill="99CC00"/>
            <w:noWrap/>
            <w:vAlign w:val="center"/>
          </w:tcPr>
          <w:p>
            <w:pPr>
              <w:spacing w:after="0" w:line="240" w:lineRule="auto"/>
              <w:jc w:val="center"/>
              <w:rPr>
                <w:rFonts w:ascii="Times New Roman" w:eastAsia="Times New Roman" w:hAnsi="Times New Roman"/>
                <w:noProof/>
                <w:sz w:val="20"/>
                <w:szCs w:val="20"/>
              </w:rPr>
            </w:pPr>
            <w:r>
              <w:rPr>
                <w:rFonts w:ascii="Times New Roman" w:hAnsi="Times New Roman"/>
                <w:b/>
                <w:noProof/>
                <w:sz w:val="20"/>
              </w:rPr>
              <w:t>Udgifter under direkte forvaltning</w:t>
            </w:r>
          </w:p>
        </w:tc>
        <w:tc>
          <w:tcPr>
            <w:tcW w:w="1955" w:type="dxa"/>
            <w:gridSpan w:val="2"/>
            <w:tcBorders>
              <w:top w:val="double" w:sz="4" w:space="0" w:color="auto"/>
              <w:bottom w:val="single" w:sz="4" w:space="0" w:color="auto"/>
            </w:tcBorders>
            <w:shd w:val="clear" w:color="auto" w:fill="99CC00"/>
            <w:noWrap/>
            <w:vAlign w:val="center"/>
          </w:tcPr>
          <w:p>
            <w:pPr>
              <w:spacing w:after="160" w:line="240" w:lineRule="auto"/>
              <w:jc w:val="center"/>
              <w:rPr>
                <w:rFonts w:ascii="Times New Roman" w:eastAsia="Times New Roman" w:hAnsi="Times New Roman"/>
                <w:bCs/>
                <w:noProof/>
                <w:sz w:val="18"/>
                <w:szCs w:val="18"/>
              </w:rPr>
            </w:pPr>
            <w:r>
              <w:rPr>
                <w:rFonts w:ascii="Times New Roman" w:hAnsi="Times New Roman"/>
                <w:noProof/>
                <w:sz w:val="18"/>
              </w:rPr>
              <w:t>Forpligtelsesbevillinger</w:t>
            </w:r>
          </w:p>
        </w:tc>
        <w:tc>
          <w:tcPr>
            <w:tcW w:w="1920" w:type="dxa"/>
            <w:gridSpan w:val="2"/>
            <w:tcBorders>
              <w:top w:val="double" w:sz="4" w:space="0" w:color="auto"/>
              <w:bottom w:val="single" w:sz="4" w:space="0" w:color="auto"/>
            </w:tcBorders>
            <w:shd w:val="clear" w:color="auto" w:fill="99CC00"/>
            <w:noWrap/>
            <w:vAlign w:val="center"/>
          </w:tcPr>
          <w:p>
            <w:pPr>
              <w:spacing w:after="160" w:line="240" w:lineRule="auto"/>
              <w:jc w:val="center"/>
              <w:rPr>
                <w:rFonts w:ascii="Times New Roman" w:eastAsia="Times New Roman" w:hAnsi="Times New Roman"/>
                <w:bCs/>
                <w:noProof/>
                <w:sz w:val="18"/>
                <w:szCs w:val="18"/>
              </w:rPr>
            </w:pPr>
            <w:r>
              <w:rPr>
                <w:rFonts w:ascii="Times New Roman" w:hAnsi="Times New Roman"/>
                <w:noProof/>
                <w:sz w:val="18"/>
              </w:rPr>
              <w:t>Betalingsbevillinger</w:t>
            </w:r>
          </w:p>
        </w:tc>
        <w:tc>
          <w:tcPr>
            <w:tcW w:w="1747" w:type="dxa"/>
            <w:tcBorders>
              <w:top w:val="double" w:sz="4" w:space="0" w:color="auto"/>
              <w:bottom w:val="single" w:sz="4" w:space="0" w:color="auto"/>
              <w:right w:val="double" w:sz="4" w:space="0" w:color="auto"/>
            </w:tcBorders>
            <w:shd w:val="clear" w:color="auto" w:fill="99CC00"/>
            <w:vAlign w:val="center"/>
          </w:tcPr>
          <w:p>
            <w:pPr>
              <w:spacing w:before="240" w:after="0" w:line="240" w:lineRule="auto"/>
              <w:jc w:val="center"/>
              <w:rPr>
                <w:rFonts w:ascii="Times New Roman" w:eastAsia="Times New Roman" w:hAnsi="Times New Roman"/>
                <w:bCs/>
                <w:noProof/>
                <w:sz w:val="18"/>
                <w:szCs w:val="18"/>
              </w:rPr>
            </w:pPr>
            <w:r>
              <w:rPr>
                <w:rFonts w:ascii="Times New Roman" w:hAnsi="Times New Roman"/>
                <w:noProof/>
                <w:sz w:val="18"/>
              </w:rPr>
              <w:t>Fremførsler til 2019 (2)</w:t>
            </w:r>
          </w:p>
        </w:tc>
      </w:tr>
      <w:tr>
        <w:trPr>
          <w:trHeight w:val="263"/>
        </w:trPr>
        <w:tc>
          <w:tcPr>
            <w:tcW w:w="2605" w:type="dxa"/>
            <w:tcBorders>
              <w:top w:val="single" w:sz="4" w:space="0" w:color="auto"/>
              <w:left w:val="double" w:sz="4" w:space="0" w:color="auto"/>
            </w:tcBorders>
            <w:shd w:val="clear" w:color="auto" w:fill="auto"/>
            <w:noWrap/>
            <w:vAlign w:val="bottom"/>
          </w:tcPr>
          <w:p>
            <w:pPr>
              <w:spacing w:before="60" w:after="60" w:line="240" w:lineRule="auto"/>
              <w:rPr>
                <w:rFonts w:ascii="Times New Roman" w:eastAsia="Times New Roman" w:hAnsi="Times New Roman"/>
                <w:noProof/>
                <w:sz w:val="18"/>
                <w:szCs w:val="18"/>
              </w:rPr>
            </w:pPr>
            <w:r>
              <w:rPr>
                <w:rFonts w:ascii="Times New Roman" w:hAnsi="Times New Roman"/>
                <w:noProof/>
                <w:sz w:val="18"/>
              </w:rPr>
              <w:t>Bevillinger (C1) (1)</w:t>
            </w:r>
          </w:p>
        </w:tc>
        <w:tc>
          <w:tcPr>
            <w:tcW w:w="1783" w:type="dxa"/>
            <w:tcBorders>
              <w:top w:val="sing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143 966 899,00 </w:t>
            </w:r>
          </w:p>
        </w:tc>
        <w:tc>
          <w:tcPr>
            <w:tcW w:w="1783" w:type="dxa"/>
            <w:gridSpan w:val="2"/>
            <w:tcBorders>
              <w:top w:val="sing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90 602 466,00 </w:t>
            </w:r>
          </w:p>
        </w:tc>
        <w:tc>
          <w:tcPr>
            <w:tcW w:w="2056" w:type="dxa"/>
            <w:gridSpan w:val="2"/>
            <w:tcBorders>
              <w:top w:val="single" w:sz="4" w:space="0" w:color="auto"/>
              <w:right w:val="double" w:sz="4" w:space="0" w:color="auto"/>
            </w:tcBorders>
            <w:shd w:val="clear" w:color="auto" w:fill="auto"/>
            <w:noWrap/>
            <w:vAlign w:val="bottom"/>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w:t>
            </w:r>
          </w:p>
        </w:tc>
      </w:tr>
      <w:tr>
        <w:trPr>
          <w:trHeight w:val="263"/>
        </w:trPr>
        <w:tc>
          <w:tcPr>
            <w:tcW w:w="2605" w:type="dxa"/>
            <w:tcBorders>
              <w:left w:val="double" w:sz="4" w:space="0" w:color="auto"/>
            </w:tcBorders>
            <w:shd w:val="clear" w:color="auto" w:fill="auto"/>
            <w:noWrap/>
            <w:vAlign w:val="bottom"/>
          </w:tcPr>
          <w:p>
            <w:pPr>
              <w:spacing w:before="60" w:after="60" w:line="240" w:lineRule="auto"/>
              <w:rPr>
                <w:rFonts w:ascii="Times New Roman" w:eastAsia="Times New Roman" w:hAnsi="Times New Roman"/>
                <w:noProof/>
                <w:sz w:val="18"/>
                <w:szCs w:val="18"/>
              </w:rPr>
            </w:pPr>
            <w:r>
              <w:rPr>
                <w:rFonts w:ascii="Times New Roman" w:hAnsi="Times New Roman"/>
                <w:noProof/>
                <w:sz w:val="18"/>
              </w:rPr>
              <w:t>Gennemførelse (C1)</w:t>
            </w:r>
          </w:p>
        </w:tc>
        <w:tc>
          <w:tcPr>
            <w:tcW w:w="1783" w:type="dxa"/>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141 443 524,13 </w:t>
            </w:r>
          </w:p>
        </w:tc>
        <w:tc>
          <w:tcPr>
            <w:tcW w:w="1783" w:type="dxa"/>
            <w:gridSpan w:val="2"/>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71 180 250,83 </w:t>
            </w:r>
          </w:p>
        </w:tc>
        <w:tc>
          <w:tcPr>
            <w:tcW w:w="2056" w:type="dxa"/>
            <w:gridSpan w:val="2"/>
            <w:tcBorders>
              <w:right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17 517 431,10</w:t>
            </w:r>
          </w:p>
        </w:tc>
      </w:tr>
      <w:tr>
        <w:trPr>
          <w:trHeight w:val="263"/>
        </w:trPr>
        <w:tc>
          <w:tcPr>
            <w:tcW w:w="2605" w:type="dxa"/>
            <w:tcBorders>
              <w:left w:val="double" w:sz="4" w:space="0" w:color="auto"/>
              <w:bottom w:val="double" w:sz="4" w:space="0" w:color="auto"/>
            </w:tcBorders>
            <w:shd w:val="clear" w:color="auto" w:fill="auto"/>
            <w:noWrap/>
            <w:vAlign w:val="bottom"/>
          </w:tcPr>
          <w:p>
            <w:pPr>
              <w:spacing w:before="60" w:after="0" w:line="240" w:lineRule="auto"/>
              <w:rPr>
                <w:rFonts w:ascii="Times New Roman" w:eastAsia="Times New Roman" w:hAnsi="Times New Roman"/>
                <w:noProof/>
                <w:sz w:val="18"/>
                <w:szCs w:val="18"/>
              </w:rPr>
            </w:pPr>
            <w:r>
              <w:rPr>
                <w:rFonts w:ascii="Times New Roman" w:hAnsi="Times New Roman"/>
                <w:noProof/>
                <w:sz w:val="18"/>
              </w:rPr>
              <w:t xml:space="preserve">Bortfaldne bevillinger </w:t>
            </w:r>
          </w:p>
        </w:tc>
        <w:tc>
          <w:tcPr>
            <w:tcW w:w="1783" w:type="dxa"/>
            <w:tcBorders>
              <w:bottom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2 523 374,87 </w:t>
            </w:r>
          </w:p>
        </w:tc>
        <w:tc>
          <w:tcPr>
            <w:tcW w:w="1783" w:type="dxa"/>
            <w:gridSpan w:val="2"/>
            <w:tcBorders>
              <w:bottom w:val="double" w:sz="4" w:space="0" w:color="auto"/>
            </w:tcBorders>
            <w:shd w:val="clear" w:color="auto" w:fill="auto"/>
            <w:noWrap/>
            <w:vAlign w:val="center"/>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 xml:space="preserve"> 1 904 784,07 </w:t>
            </w:r>
          </w:p>
        </w:tc>
        <w:tc>
          <w:tcPr>
            <w:tcW w:w="2056" w:type="dxa"/>
            <w:gridSpan w:val="2"/>
            <w:tcBorders>
              <w:bottom w:val="double" w:sz="4" w:space="0" w:color="auto"/>
              <w:right w:val="double" w:sz="4" w:space="0" w:color="auto"/>
            </w:tcBorders>
            <w:shd w:val="clear" w:color="auto" w:fill="auto"/>
            <w:noWrap/>
            <w:vAlign w:val="bottom"/>
          </w:tcPr>
          <w:p>
            <w:pPr>
              <w:spacing w:before="60" w:after="60" w:line="240" w:lineRule="auto"/>
              <w:jc w:val="right"/>
              <w:rPr>
                <w:rFonts w:ascii="Times New Roman" w:eastAsia="Times New Roman" w:hAnsi="Times New Roman"/>
                <w:noProof/>
                <w:sz w:val="18"/>
                <w:szCs w:val="18"/>
              </w:rPr>
            </w:pPr>
            <w:r>
              <w:rPr>
                <w:rFonts w:ascii="Times New Roman" w:hAnsi="Times New Roman"/>
                <w:noProof/>
                <w:sz w:val="18"/>
              </w:rPr>
              <w:t>-</w:t>
            </w:r>
          </w:p>
        </w:tc>
      </w:tr>
      <w:tr>
        <w:trPr>
          <w:trHeight w:val="263"/>
        </w:trPr>
        <w:tc>
          <w:tcPr>
            <w:tcW w:w="8227" w:type="dxa"/>
            <w:gridSpan w:val="6"/>
            <w:tcBorders>
              <w:top w:val="double" w:sz="4" w:space="0" w:color="auto"/>
            </w:tcBorders>
            <w:shd w:val="clear" w:color="auto" w:fill="auto"/>
            <w:noWrap/>
            <w:vAlign w:val="bottom"/>
          </w:tcPr>
          <w:p>
            <w:pPr>
              <w:spacing w:before="60" w:after="0" w:line="240" w:lineRule="auto"/>
              <w:jc w:val="both"/>
              <w:rPr>
                <w:rFonts w:ascii="Times New Roman" w:eastAsia="Times New Roman" w:hAnsi="Times New Roman"/>
                <w:noProof/>
                <w:sz w:val="18"/>
                <w:szCs w:val="18"/>
              </w:rPr>
            </w:pPr>
            <w:r>
              <w:rPr>
                <w:rFonts w:ascii="Times New Roman" w:hAnsi="Times New Roman"/>
                <w:noProof/>
                <w:sz w:val="18"/>
              </w:rPr>
              <w:t>(1) C1 betegner de vedtagne budgetbevillinger. Dette beløb omfatter overførsler fra "delt forvaltning" på 150 000,00 EUR til forpligtelses- og betalingsbevillinger, overførsler "fra" EGFL på i alt -7 525 000,00 EUR til betalingsbevillinger, og et ændringsbudget på -1 400 000,00 EUR til forpligtelses- og betalingsbevillinger.</w:t>
            </w:r>
          </w:p>
          <w:p>
            <w:pPr>
              <w:spacing w:before="60" w:after="0" w:line="240" w:lineRule="auto"/>
              <w:rPr>
                <w:rFonts w:ascii="Times New Roman" w:eastAsia="Times New Roman" w:hAnsi="Times New Roman"/>
                <w:noProof/>
                <w:sz w:val="18"/>
                <w:szCs w:val="18"/>
              </w:rPr>
            </w:pPr>
            <w:r>
              <w:rPr>
                <w:rFonts w:ascii="Times New Roman" w:hAnsi="Times New Roman"/>
                <w:noProof/>
                <w:sz w:val="18"/>
              </w:rPr>
              <w:t>(2) Kun ikke-opdelte bevillinger fremføres til 2019.</w:t>
            </w:r>
          </w:p>
        </w:tc>
      </w:tr>
    </w:tbl>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De disponible forpligtelsesbevillinger til udgifter under direkte forvaltning i budgettet for 2018 udgjorde 144,0 mio. EUR. Der var i 2018 indgået forpligtelser for et beløb på 141,4 mio. EUR. Resten af disse bevillinger, dvs. 2,5 mio. EUR, bortfaldt.</w:t>
      </w:r>
    </w:p>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Størstedelen af EGFL-bevillingerne til udgifter under direkte forvaltning ved Kommissionen er opdelte bevillinger.</w:t>
      </w:r>
    </w:p>
    <w:p>
      <w:pPr>
        <w:spacing w:before="120" w:after="120" w:line="240" w:lineRule="auto"/>
        <w:ind w:left="851"/>
        <w:jc w:val="both"/>
        <w:rPr>
          <w:rFonts w:ascii="Times New Roman" w:eastAsia="Times New Roman" w:hAnsi="Times New Roman"/>
          <w:noProof/>
          <w:sz w:val="24"/>
          <w:szCs w:val="24"/>
        </w:rPr>
      </w:pPr>
      <w:r>
        <w:rPr>
          <w:rFonts w:ascii="Times New Roman" w:hAnsi="Times New Roman"/>
          <w:noProof/>
          <w:sz w:val="24"/>
        </w:rPr>
        <w:t>De automatiske fremførsler til 2019, som kun vedrører ikke-opdelte bevillinger, udgør 17,5 mio. EUR.</w:t>
      </w:r>
    </w:p>
    <w:p>
      <w:pPr>
        <w:pStyle w:val="ManualHeading2"/>
        <w:rPr>
          <w:noProof/>
        </w:rPr>
      </w:pPr>
      <w:r>
        <w:t>2.2.</w:t>
      </w:r>
      <w:r>
        <w:tab/>
      </w:r>
      <w:r>
        <w:rPr>
          <w:noProof/>
        </w:rPr>
        <w:t>Månedlige betalinger</w:t>
      </w:r>
      <w:bookmarkEnd w:id="26"/>
      <w:bookmarkEnd w:id="27"/>
      <w:r>
        <w:rPr>
          <w:noProof/>
        </w:rPr>
        <w:t xml:space="preserve"> </w:t>
      </w:r>
    </w:p>
    <w:p>
      <w:pPr>
        <w:pStyle w:val="ManualHeading3"/>
        <w:rPr>
          <w:noProof/>
        </w:rPr>
      </w:pPr>
      <w:bookmarkStart w:id="28" w:name="_Toc322938572"/>
      <w:bookmarkStart w:id="29" w:name="_Toc358122343"/>
      <w:r>
        <w:t>2.2.1.</w:t>
      </w:r>
      <w:r>
        <w:tab/>
      </w:r>
      <w:r>
        <w:rPr>
          <w:noProof/>
        </w:rPr>
        <w:t>Månedlige betalinger til medlemsstaterne</w:t>
      </w:r>
      <w:bookmarkEnd w:id="28"/>
      <w:bookmarkEnd w:id="29"/>
      <w:r>
        <w:rPr>
          <w:noProof/>
        </w:rPr>
        <w:t xml:space="preserve"> til delt forvaltning</w:t>
      </w:r>
    </w:p>
    <w:p>
      <w:pPr>
        <w:pStyle w:val="ManualHeading4"/>
        <w:rPr>
          <w:noProof/>
        </w:rPr>
      </w:pPr>
      <w:bookmarkStart w:id="30" w:name="_Toc322938573"/>
      <w:bookmarkStart w:id="31" w:name="_Toc358122344"/>
      <w:r>
        <w:t>2.2.1.1.</w:t>
      </w:r>
      <w:r>
        <w:tab/>
      </w:r>
      <w:r>
        <w:rPr>
          <w:noProof/>
        </w:rPr>
        <w:t>Månedlige betalinger på grundlag af afholdte udgifter</w:t>
      </w:r>
      <w:bookmarkEnd w:id="30"/>
      <w:bookmarkEnd w:id="31"/>
    </w:p>
    <w:p>
      <w:pPr>
        <w:pStyle w:val="Text1"/>
        <w:rPr>
          <w:rFonts w:eastAsia="MS PGothic"/>
          <w:noProof/>
        </w:rPr>
      </w:pPr>
      <w:r>
        <w:rPr>
          <w:noProof/>
        </w:rPr>
        <w:t>I artikel 18, stk. 1, i forordning (EU) nr. 1306/2013 fastslås det, at "</w:t>
      </w:r>
      <w:r>
        <w:rPr>
          <w:i/>
          <w:noProof/>
        </w:rPr>
        <w:t>månedlige betalinger foretages af Kommissionen til dækning af de udgifter, som er afholdt af medlemsstaternes godkendte betalingsorganer i referencemåneden</w:t>
      </w:r>
      <w:r>
        <w:rPr>
          <w:noProof/>
        </w:rPr>
        <w:t>". De månedlige betalinger foretages til hver medlemsstat senest den tredje arbejdsdag i den anden måned efter den måned, hvor udgifterne er afholdt.</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De månedlige betalinger er en refusion af nettoudgifter (efter fradrag af indtægter), som allerede er effektueret, og som foretages på grundlag af de månedlige anmeldelser, som medlemsstaterne fremsender</w:t>
      </w:r>
      <w:r>
        <w:rPr>
          <w:rFonts w:ascii="Times New Roman" w:hAnsi="Times New Roman"/>
          <w:noProof/>
          <w:sz w:val="24"/>
          <w:vertAlign w:val="superscript"/>
        </w:rPr>
        <w:footnoteReference w:id="4"/>
      </w:r>
      <w:r>
        <w:rPr>
          <w:rFonts w:ascii="Times New Roman" w:hAnsi="Times New Roman"/>
          <w:noProof/>
          <w:sz w:val="24"/>
        </w:rPr>
        <w:t>. Den månedlige bogføring af udgifter og indtægter kontrolleres og korrigeres på grundlag af disse anmeldelser. Disse betalinger bliver endvidere endelige efter Kommissionens kontrol i forbindelse med regnskabsafslutningsproceduren.</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 xml:space="preserve">De udbetalinger, som medlemsstaterne foretog fra den 16. oktober 2017 til den 15. oktober 2018, er omfattet af ordningen med månedlige betalinger.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For hele regnskabsåret beløb de samlede månedlige nettobetalinger sig til 43 225 677 359,32 EUR efter fradrag som følge af regnskabsafslutninger og andre korrektioner. Under hensyntagen til de suspenderede beløb er der reelt blevet udbetalt 43 225 151 242,49 EUR til medlemsstaterne.</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32" w:name="_Toc7010706"/>
      <w:bookmarkStart w:id="33" w:name="_Toc9340677"/>
      <w:r>
        <w:rPr>
          <w:rFonts w:ascii="Times New Roman" w:hAnsi="Times New Roman"/>
          <w:noProof/>
          <w:sz w:val="24"/>
        </w:rPr>
        <w:t xml:space="preserve">Afgørelser om månedlige betalinger </w:t>
      </w:r>
      <w:bookmarkEnd w:id="32"/>
      <w:bookmarkEnd w:id="33"/>
    </w:p>
    <w:p>
      <w:pPr>
        <w:pStyle w:val="Text1"/>
        <w:rPr>
          <w:noProof/>
        </w:rPr>
      </w:pPr>
      <w:r>
        <w:rPr>
          <w:noProof/>
        </w:rPr>
        <w:t xml:space="preserve">Kommissionen vedtog en afgørelse om betaling for hver af de tolv perioder i regnskabsåret. Endnu en afgørelse blev vedtaget i december til justering af de samlede fastlagte betalinger for året. </w:t>
      </w:r>
    </w:p>
    <w:p>
      <w:pPr>
        <w:pStyle w:val="ManualHeading1"/>
        <w:rPr>
          <w:noProof/>
        </w:rPr>
      </w:pPr>
      <w:bookmarkStart w:id="34" w:name="_Toc322938577"/>
      <w:bookmarkStart w:id="35" w:name="_Toc358122346"/>
      <w:bookmarkStart w:id="36" w:name="_Toc12970338"/>
      <w:bookmarkStart w:id="37" w:name="_Toc14780198"/>
      <w:r>
        <w:t>3.</w:t>
      </w:r>
      <w:r>
        <w:tab/>
      </w:r>
      <w:r>
        <w:rPr>
          <w:noProof/>
        </w:rPr>
        <w:t>GENNEMFØRELSE AF EGFL-BUDGETTET FOR 2018</w:t>
      </w:r>
      <w:bookmarkEnd w:id="34"/>
      <w:bookmarkEnd w:id="35"/>
      <w:bookmarkEnd w:id="36"/>
      <w:bookmarkEnd w:id="37"/>
    </w:p>
    <w:p>
      <w:pPr>
        <w:pStyle w:val="ManualHeading2"/>
        <w:rPr>
          <w:noProof/>
        </w:rPr>
      </w:pPr>
      <w:bookmarkStart w:id="38" w:name="_Toc322938579"/>
      <w:bookmarkStart w:id="39" w:name="_Toc358122347"/>
      <w:r>
        <w:t>3.1.</w:t>
      </w:r>
      <w:r>
        <w:tab/>
      </w:r>
      <w:r>
        <w:rPr>
          <w:noProof/>
        </w:rPr>
        <w:t>Udnyttelsen af EGFL-budgetbevillingerne</w:t>
      </w:r>
      <w:bookmarkEnd w:id="38"/>
      <w:bookmarkEnd w:id="39"/>
    </w:p>
    <w:p>
      <w:pPr>
        <w:pStyle w:val="Text1"/>
        <w:ind w:left="851"/>
        <w:rPr>
          <w:noProof/>
        </w:rPr>
      </w:pPr>
      <w:r>
        <w:rPr>
          <w:noProof/>
        </w:rPr>
        <w:t>Gennemførelsen af budgettet beløb sig til 44 364,5 mio. EUR</w:t>
      </w:r>
      <w:r>
        <w:rPr>
          <w:noProof/>
          <w:vertAlign w:val="superscript"/>
        </w:rPr>
        <w:footnoteReference w:id="5"/>
      </w:r>
      <w:r>
        <w:rPr>
          <w:noProof/>
        </w:rPr>
        <w:t xml:space="preserve">. Disse udgifter blev finansieret af budgettets oprindelige bevillinger og ved at udnytte de formålsbestemte indtægter til politikområde 05, som består af hele beløbet  </w:t>
      </w:r>
      <w:r>
        <w:rPr>
          <w:noProof/>
        </w:rPr>
        <w:br/>
        <w:t xml:space="preserve">på 603,3 mio. EUR, der var fremført fra 2017, og en del af de formålsbestemte indtægter, der blev opkrævet i 2018, svarende til 548,50 mio. EUR ud af et samlet beløb på </w:t>
      </w:r>
      <w:r>
        <w:rPr>
          <w:noProof/>
        </w:rPr>
        <w:br/>
        <w:t xml:space="preserve">997,4 mio. EUR. </w:t>
      </w:r>
    </w:p>
    <w:p>
      <w:pPr>
        <w:spacing w:before="120" w:after="120" w:line="240" w:lineRule="auto"/>
        <w:ind w:left="851"/>
        <w:jc w:val="both"/>
        <w:rPr>
          <w:rFonts w:ascii="Times New Roman" w:eastAsia="MS PGothic" w:hAnsi="Times New Roman"/>
          <w:noProof/>
          <w:sz w:val="24"/>
          <w:szCs w:val="24"/>
        </w:rPr>
      </w:pPr>
      <w:r>
        <w:rPr>
          <w:rFonts w:ascii="Times New Roman" w:hAnsi="Times New Roman"/>
          <w:noProof/>
          <w:sz w:val="24"/>
        </w:rPr>
        <w:t xml:space="preserve">Hvad angår politikområde 05, beløb udgifterne til markedsforanstaltninger sig til 2 709,4 mio. EUR, og udgifterne til direkte betalinger beløb sig til 41 496,5 mio. EUR. </w:t>
      </w:r>
    </w:p>
    <w:p>
      <w:pPr>
        <w:spacing w:before="120" w:after="120" w:line="240" w:lineRule="auto"/>
        <w:ind w:left="851"/>
        <w:jc w:val="both"/>
        <w:rPr>
          <w:rFonts w:ascii="Times New Roman" w:eastAsia="MS PGothic" w:hAnsi="Times New Roman"/>
          <w:noProof/>
          <w:sz w:val="24"/>
          <w:szCs w:val="24"/>
        </w:rPr>
      </w:pPr>
      <w:r>
        <w:rPr>
          <w:rFonts w:ascii="Times New Roman" w:hAnsi="Times New Roman"/>
          <w:noProof/>
          <w:sz w:val="24"/>
        </w:rPr>
        <w:t xml:space="preserve">Oplysninger om budgetgennemførelsen fordelt på politikområder findes i bilag 2. </w:t>
      </w:r>
    </w:p>
    <w:p>
      <w:pPr>
        <w:pStyle w:val="Text1"/>
        <w:ind w:left="851"/>
        <w:rPr>
          <w:noProof/>
        </w:rPr>
      </w:pPr>
      <w:r>
        <w:rPr>
          <w:noProof/>
        </w:rPr>
        <w:t>Bilag 4 viser fordelingen af udgifterne til markedsforanstaltninger, direkte betalinger og revision af landbrugsudgifter pr. artikel og pr. medlemsstat.</w:t>
      </w:r>
    </w:p>
    <w:p>
      <w:pPr>
        <w:pStyle w:val="ManualHeading2"/>
        <w:rPr>
          <w:noProof/>
        </w:rPr>
      </w:pPr>
      <w:bookmarkStart w:id="40" w:name="_Toc322938580"/>
      <w:bookmarkStart w:id="41" w:name="_Toc484011541"/>
      <w:r>
        <w:t>3.2.</w:t>
      </w:r>
      <w:r>
        <w:tab/>
      </w:r>
      <w:r>
        <w:rPr>
          <w:noProof/>
        </w:rPr>
        <w:t xml:space="preserve">Bemærkninger angående gennemførelsen af budgettet </w:t>
      </w:r>
      <w:bookmarkEnd w:id="40"/>
      <w:bookmarkEnd w:id="41"/>
    </w:p>
    <w:p>
      <w:pPr>
        <w:pStyle w:val="Text1"/>
        <w:ind w:left="851"/>
        <w:rPr>
          <w:noProof/>
        </w:rPr>
      </w:pPr>
      <w:r>
        <w:rPr>
          <w:noProof/>
        </w:rPr>
        <w:t>I det følgende anføres korte bemærkninger til de vigtigste sektorer om gennemførelsen af budgetbevillingerne og om anvendelsen af de formålsbestemte indtægter, baseret på tallene i bilag 2, 3-I og 3-II.</w:t>
      </w:r>
    </w:p>
    <w:p>
      <w:pPr>
        <w:pStyle w:val="ManualHeading3"/>
        <w:rPr>
          <w:noProof/>
        </w:rPr>
      </w:pPr>
      <w:bookmarkStart w:id="42" w:name="_Toc322938581"/>
      <w:bookmarkStart w:id="43" w:name="_Toc358122349"/>
      <w:r>
        <w:t>3.2.1.</w:t>
      </w:r>
      <w:r>
        <w:tab/>
      </w:r>
      <w:r>
        <w:rPr>
          <w:noProof/>
        </w:rPr>
        <w:t>Kapitel 05 02: Interventioner på landbrugsmarkederne</w:t>
      </w:r>
      <w:bookmarkEnd w:id="42"/>
      <w:bookmarkEnd w:id="43"/>
    </w:p>
    <w:p>
      <w:pPr>
        <w:pStyle w:val="ManualHeading4"/>
        <w:rPr>
          <w:noProof/>
        </w:rPr>
      </w:pPr>
      <w:bookmarkStart w:id="44" w:name="_Toc322938582"/>
      <w:bookmarkStart w:id="45" w:name="_Toc358122350"/>
      <w:r>
        <w:t>3.2.1.1.</w:t>
      </w:r>
      <w:r>
        <w:tab/>
      </w:r>
      <w:r>
        <w:rPr>
          <w:noProof/>
        </w:rPr>
        <w:t>Indledning</w:t>
      </w:r>
      <w:bookmarkEnd w:id="44"/>
      <w:bookmarkEnd w:id="45"/>
    </w:p>
    <w:p>
      <w:pPr>
        <w:pStyle w:val="Text1"/>
        <w:ind w:left="851"/>
        <w:rPr>
          <w:noProof/>
        </w:rPr>
      </w:pPr>
      <w:r>
        <w:rPr>
          <w:noProof/>
        </w:rPr>
        <w:t xml:space="preserve">De samlede betalinger for dette kapitel beløb sig til 2 709,4 mio. EUR og blev finansieret af de vedtagne bevillinger på 2 358,1 mio. EUR og af formålsbestemte indtægter på 400 mio. EUR. Sidstnævnte blev anvendt til at dække udgifterne i sektoren for frugt og grøntsager (nærmere oplysninger herom fremgår af punkt 3.2.1.2). På konti, hvor behovene oversteg budgetbevillingerne, blev de ekstra udgifter dækket ved hjælp af overførsler fra andre budgetkonti. For markedsforanstaltninger, hvor der var et underforbrug af budgetbevillingerne, blev de disponible bevillinger overført til andre budgetkonti inden for EGFL med henblik på at dække yderligere udgifter efter behov. </w:t>
      </w:r>
    </w:p>
    <w:p>
      <w:pPr>
        <w:pStyle w:val="ManualHeading4"/>
        <w:rPr>
          <w:noProof/>
        </w:rPr>
      </w:pPr>
      <w:bookmarkStart w:id="46" w:name="_Toc484011544"/>
      <w:r>
        <w:t>3.2.1.2.</w:t>
      </w:r>
      <w:r>
        <w:tab/>
      </w:r>
      <w:r>
        <w:rPr>
          <w:noProof/>
        </w:rPr>
        <w:t>Artikel 05 02 08: Frugt og grøntsager</w:t>
      </w:r>
      <w:bookmarkEnd w:id="46"/>
      <w:r>
        <w:rPr>
          <w:noProof/>
        </w:rPr>
        <w:t xml:space="preserve"> </w:t>
      </w:r>
    </w:p>
    <w:p>
      <w:pPr>
        <w:pStyle w:val="Text1"/>
        <w:rPr>
          <w:noProof/>
        </w:rPr>
      </w:pPr>
      <w:r>
        <w:rPr>
          <w:noProof/>
        </w:rPr>
        <w:t xml:space="preserve">I budgettet var der samlet afsat disponible bevillinger på 931,8 mio. EUR til dækning af behovene for alle foranstaltninger i denne sektor. Budgetmyndigheden vedtog bevillinger på 531,8 mio. EUR, idet den tog hensyn til de anslåede formålsbestemte indtægter i denne sektor (400,0 mio. EUR). Endvidere blev der overført 27,3 mio. EUR fra andre budgetposter, der henhører under samme kapitel. De udgifter, der er afholdt af medlemsstaterne i 2018, beløb sig til 865,2 mio. EUR. Saldoen af de uudnyttede formålsbestemte indtægter på 93,9 mio. EUR blev fremført til regnskabsåret 2019 for at dække behovene i det pågældende år. </w:t>
      </w:r>
    </w:p>
    <w:p>
      <w:pPr>
        <w:pStyle w:val="ManualHeading4"/>
        <w:rPr>
          <w:noProof/>
        </w:rPr>
      </w:pPr>
      <w:bookmarkStart w:id="47" w:name="_Toc484011545"/>
      <w:r>
        <w:t>3.2.1.3.</w:t>
      </w:r>
      <w:r>
        <w:tab/>
      </w:r>
      <w:r>
        <w:rPr>
          <w:noProof/>
        </w:rPr>
        <w:t>Artikel 05 02 09: Produkter henhørende under vinsektoren</w:t>
      </w:r>
      <w:bookmarkEnd w:id="47"/>
      <w:r>
        <w:rPr>
          <w:noProof/>
        </w:rPr>
        <w:t xml:space="preserve"> </w:t>
      </w:r>
    </w:p>
    <w:p>
      <w:pPr>
        <w:spacing w:before="120" w:after="120" w:line="240" w:lineRule="auto"/>
        <w:ind w:left="851"/>
        <w:jc w:val="both"/>
        <w:rPr>
          <w:rFonts w:ascii="Times New Roman" w:hAnsi="Times New Roman"/>
          <w:noProof/>
          <w:sz w:val="24"/>
          <w:szCs w:val="24"/>
        </w:rPr>
      </w:pPr>
      <w:r>
        <w:rPr>
          <w:rFonts w:ascii="Times New Roman" w:hAnsi="Times New Roman"/>
          <w:noProof/>
          <w:sz w:val="24"/>
        </w:rPr>
        <w:t>I budgettet var der samlet afsat disponible bevillinger på 1 058 mio. EUR til dækning af behovene for alle foranstaltninger i denne sektor. Underforbruget på 89,9 mio. EUR sammenlignet med det anslåede budgetbehov skyldtes de lavere udgifter, som visse medlemsstater har afholdt navnlig til salgsfremmende foranstaltninger og omstrukturering under deres nationale vinprogrammer.</w:t>
      </w:r>
    </w:p>
    <w:p>
      <w:pPr>
        <w:pStyle w:val="ManualHeading4"/>
        <w:rPr>
          <w:noProof/>
        </w:rPr>
      </w:pPr>
      <w:bookmarkStart w:id="48" w:name="_Toc322938591"/>
      <w:bookmarkStart w:id="49" w:name="_Toc484011546"/>
      <w:r>
        <w:t>3.2.1.4.</w:t>
      </w:r>
      <w:r>
        <w:tab/>
      </w:r>
      <w:r>
        <w:rPr>
          <w:noProof/>
        </w:rPr>
        <w:t>Artikel 05 02 10: Salgsfremmende foranstaltninger</w:t>
      </w:r>
      <w:bookmarkEnd w:id="48"/>
      <w:bookmarkEnd w:id="49"/>
    </w:p>
    <w:p>
      <w:pPr>
        <w:pStyle w:val="Text1"/>
        <w:rPr>
          <w:rFonts w:eastAsia="MS PGothic"/>
          <w:noProof/>
        </w:rPr>
      </w:pPr>
      <w:r>
        <w:rPr>
          <w:noProof/>
        </w:rPr>
        <w:t xml:space="preserve">Hvad angår medlemsstaternes betalinger til salgsfremmende foranstaltninger, skyldtes underforbruget på 10,4 mio. EUR sammenlignet med det anslåede budgetbehov de lavere udgifter, som visse medlemsstater har afholdt til deres salgsfremmende programmer, der er godkendt af Kommissionen, sammenlignet med de udgifter, der var afsat på budgettet. </w:t>
      </w:r>
    </w:p>
    <w:p>
      <w:pPr>
        <w:pStyle w:val="Text1"/>
        <w:ind w:left="851"/>
        <w:rPr>
          <w:noProof/>
        </w:rPr>
      </w:pPr>
      <w:r>
        <w:rPr>
          <w:noProof/>
        </w:rPr>
        <w:t>Hvad angår de direkte betalinger, som Den Europæiske Union har foretaget, forpligtede Kommissionen bevillinger for det samlede beløb (88,6 mio. EUR), der var afsat på budgettet til disse betalinger.</w:t>
      </w:r>
    </w:p>
    <w:p>
      <w:pPr>
        <w:pStyle w:val="ManualHeading4"/>
        <w:rPr>
          <w:noProof/>
        </w:rPr>
      </w:pPr>
      <w:bookmarkStart w:id="50" w:name="_Toc322938593"/>
      <w:bookmarkStart w:id="51" w:name="_Toc484011548"/>
      <w:r>
        <w:t>3.2.1.5.</w:t>
      </w:r>
      <w:r>
        <w:tab/>
      </w:r>
      <w:r>
        <w:rPr>
          <w:noProof/>
        </w:rPr>
        <w:t>Artikel 05 02 12: Mælk og mejeriprodukter</w:t>
      </w:r>
      <w:bookmarkEnd w:id="50"/>
      <w:bookmarkEnd w:id="51"/>
    </w:p>
    <w:p>
      <w:pPr>
        <w:spacing w:before="120" w:after="120"/>
        <w:ind w:left="851"/>
        <w:jc w:val="both"/>
        <w:rPr>
          <w:rFonts w:ascii="Times New Roman" w:eastAsia="Times New Roman" w:hAnsi="Times New Roman"/>
          <w:noProof/>
          <w:sz w:val="24"/>
          <w:szCs w:val="20"/>
        </w:rPr>
      </w:pPr>
      <w:r>
        <w:rPr>
          <w:rFonts w:ascii="Times New Roman" w:hAnsi="Times New Roman"/>
          <w:noProof/>
          <w:sz w:val="24"/>
        </w:rPr>
        <w:t>I budgettet var der samlet afsat disponible bevillinger på 34,1 mio. EUR til dækning af behovene for alle foranstaltninger i denne sektor. De udgifter, der er afholdt af medlemsstaterne, beløb sig til 201,1 mio. EUR. Der er foretaget budgetoverførsler fra andre budgetposter for at dække de ekstra behov.</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52" w:name="_Toc515294817"/>
      <w:r>
        <w:rPr>
          <w:rFonts w:ascii="Times New Roman" w:hAnsi="Times New Roman"/>
          <w:noProof/>
          <w:sz w:val="24"/>
        </w:rPr>
        <w:t>Artikel 05 02 13: Oksekød</w:t>
      </w:r>
      <w:bookmarkEnd w:id="52"/>
      <w:r>
        <w:rPr>
          <w:rFonts w:ascii="Times New Roman" w:hAnsi="Times New Roman"/>
          <w:noProof/>
          <w:sz w:val="24"/>
        </w:rPr>
        <w:t xml:space="preserve"> </w:t>
      </w:r>
    </w:p>
    <w:p>
      <w:pPr>
        <w:spacing w:before="120" w:after="120" w:line="240" w:lineRule="auto"/>
        <w:ind w:left="850"/>
        <w:jc w:val="both"/>
        <w:rPr>
          <w:rFonts w:ascii="Times New Roman" w:eastAsia="Times New Roman" w:hAnsi="Times New Roman"/>
          <w:bCs/>
          <w:iCs/>
          <w:noProof/>
          <w:sz w:val="24"/>
          <w:szCs w:val="24"/>
        </w:rPr>
      </w:pPr>
      <w:r>
        <w:rPr>
          <w:rFonts w:ascii="Times New Roman" w:hAnsi="Times New Roman"/>
          <w:noProof/>
          <w:sz w:val="24"/>
        </w:rPr>
        <w:t>I budgettet var der ikke afsat bevillinger, men medlemsstaterne afholdt mindre udgifter (0,1 mio. EUR) til resterende betalinger i forbindelse med eksportrestitutioner, der vedrørte licencer udstedt før 2014. Disse resterende udgifter blev dækket via en overførsel af disponible bevillinger i samme kapitel.</w:t>
      </w:r>
      <w:r>
        <w:rPr>
          <w:rFonts w:ascii="Times New Roman" w:hAnsi="Times New Roman"/>
          <w:noProof/>
        </w:rPr>
        <w:t xml:space="preserve"> </w:t>
      </w:r>
    </w:p>
    <w:p>
      <w:pPr>
        <w:pStyle w:val="ManualHeading4"/>
        <w:rPr>
          <w:noProof/>
        </w:rPr>
      </w:pPr>
      <w:bookmarkStart w:id="53" w:name="_Toc322938595"/>
      <w:bookmarkStart w:id="54" w:name="_Toc484011549"/>
      <w:r>
        <w:t>3.2.1.7.</w:t>
      </w:r>
      <w:r>
        <w:tab/>
      </w:r>
      <w:r>
        <w:rPr>
          <w:noProof/>
        </w:rPr>
        <w:t>Artikel 05 02 15: Svinekød, æg og fjerkrækød, biavl og andre animalske produkter</w:t>
      </w:r>
      <w:bookmarkEnd w:id="53"/>
      <w:bookmarkEnd w:id="54"/>
    </w:p>
    <w:p>
      <w:pPr>
        <w:pStyle w:val="Text1"/>
        <w:rPr>
          <w:noProof/>
        </w:rPr>
      </w:pPr>
      <w:r>
        <w:rPr>
          <w:noProof/>
        </w:rPr>
        <w:t xml:space="preserve">I budgettet var der samlet afsat disponible bevillinger på 95,0 mio. EUR til dækning af behovene for alle foranstaltninger i denne sektor. De udgifter, der er afholdt af medlemsstaterne, beløb sig imidlertid kun til 64,0 mio. EUR. Forskellen på </w:t>
      </w:r>
      <w:r>
        <w:rPr>
          <w:noProof/>
        </w:rPr>
        <w:br/>
        <w:t>31 mio. EUR er blevet overført til andre budgetartikler.</w:t>
      </w:r>
    </w:p>
    <w:p>
      <w:pPr>
        <w:keepNext/>
        <w:numPr>
          <w:ilvl w:val="3"/>
          <w:numId w:val="32"/>
        </w:numPr>
        <w:spacing w:before="120" w:after="120" w:line="240" w:lineRule="auto"/>
        <w:jc w:val="both"/>
        <w:outlineLvl w:val="3"/>
        <w:rPr>
          <w:rFonts w:ascii="Times New Roman" w:eastAsia="Times New Roman" w:hAnsi="Times New Roman"/>
          <w:bCs/>
          <w:noProof/>
          <w:sz w:val="24"/>
          <w:szCs w:val="28"/>
        </w:rPr>
      </w:pPr>
      <w:bookmarkStart w:id="55" w:name="_Toc7010721"/>
      <w:bookmarkStart w:id="56" w:name="_Toc9340691"/>
      <w:r>
        <w:rPr>
          <w:rFonts w:ascii="Times New Roman" w:hAnsi="Times New Roman"/>
          <w:noProof/>
          <w:sz w:val="24"/>
        </w:rPr>
        <w:t>Artikel 05 02 18: Skoleordninger</w:t>
      </w:r>
      <w:bookmarkEnd w:id="55"/>
      <w:bookmarkEnd w:id="56"/>
    </w:p>
    <w:p>
      <w:pPr>
        <w:spacing w:before="120" w:after="120" w:line="240" w:lineRule="auto"/>
        <w:ind w:left="840" w:right="-47"/>
        <w:jc w:val="both"/>
        <w:rPr>
          <w:rFonts w:ascii="Times New Roman" w:eastAsia="Times New Roman" w:hAnsi="Times New Roman"/>
          <w:noProof/>
          <w:sz w:val="24"/>
          <w:szCs w:val="24"/>
        </w:rPr>
      </w:pPr>
      <w:r>
        <w:rPr>
          <w:rFonts w:ascii="Times New Roman" w:hAnsi="Times New Roman"/>
          <w:noProof/>
          <w:sz w:val="24"/>
        </w:rPr>
        <w:t>Udgifterne til skoleordninger beløb sig til 155,8 mio. EUR sammenlignet med de anslåede behov på 188,0 mio. EUR, der er medtaget i budgettet. Den lavere udnyttelse afspejler det forhold, at 2017/2018 var det første skoleår, hvor de tidligere særskilte frugt- og mælkeordninger blev integreret i én skoleordning, idet medlemsstaterne anmeldte færre udgifter end forventet ved udarbejdelsen af budgettet.</w:t>
      </w:r>
    </w:p>
    <w:p>
      <w:pPr>
        <w:pStyle w:val="ManualHeading3"/>
        <w:rPr>
          <w:noProof/>
        </w:rPr>
      </w:pPr>
      <w:bookmarkStart w:id="57" w:name="_Toc322938596"/>
      <w:bookmarkStart w:id="58" w:name="_Toc358122364"/>
      <w:r>
        <w:t>3.2.2.</w:t>
      </w:r>
      <w:r>
        <w:tab/>
      </w:r>
      <w:r>
        <w:rPr>
          <w:noProof/>
        </w:rPr>
        <w:t xml:space="preserve">Kapitel 05 03: Direkte </w:t>
      </w:r>
      <w:bookmarkEnd w:id="57"/>
      <w:bookmarkEnd w:id="58"/>
      <w:r>
        <w:rPr>
          <w:noProof/>
        </w:rPr>
        <w:t>betalinger</w:t>
      </w:r>
    </w:p>
    <w:p>
      <w:pPr>
        <w:pStyle w:val="Text1"/>
        <w:rPr>
          <w:noProof/>
        </w:rPr>
      </w:pPr>
      <w:r>
        <w:rPr>
          <w:noProof/>
        </w:rPr>
        <w:t xml:space="preserve">Regnskabsåret 2018 var det tredje år for gennemførelsen af alle ordningerne under den nye struktur for direkte betalinger, der blev besluttet i forbindelse med reformen af den fælles landbrugspolitik i 2013. De samlede betalinger for dette kapitel i budgettet beløb sig til 41 496,5 mio. EUR. Dette omfatter et beløb på 441,7 mio. EUR til tilbagebetaling af direkte betalinger til landbrugere i forbindelse med finansdisciplin, som finansieres med  </w:t>
      </w:r>
      <w:r>
        <w:rPr>
          <w:noProof/>
        </w:rPr>
        <w:br/>
        <w:t xml:space="preserve">450,5 mio. EUR fremført fra 2017. De resterende betalinger, </w:t>
      </w:r>
      <w:r>
        <w:rPr>
          <w:noProof/>
        </w:rPr>
        <w:br/>
        <w:t xml:space="preserve">dvs. 41 054,8 mio. EUR, blev finansieret af vedtagne bevillinger (40 668,7 mio. EUR) og af formålsbestemte indtægter (1 200,7 mio. EUR). Sidstnævnte blev anvendt til at dække en del af de afholdte udgifter til grundbetalingsordningen. </w:t>
      </w:r>
    </w:p>
    <w:p>
      <w:pPr>
        <w:pStyle w:val="Text1"/>
        <w:rPr>
          <w:noProof/>
        </w:rPr>
      </w:pPr>
      <w:r>
        <w:rPr>
          <w:noProof/>
        </w:rPr>
        <w:t xml:space="preserve">De samlede uudnyttede bevillinger beløb sig til 823,3 mio. EUR, hvoraf  </w:t>
      </w:r>
      <w:r>
        <w:rPr>
          <w:noProof/>
        </w:rPr>
        <w:br/>
        <w:t xml:space="preserve">814,4 mio. EUR er blevet fremført til regnskabsåret 2019. Desuden blev det uudnyttede beløb i krisereserven (459,5 mio. EUR), som blev oprettet ved hjælp af den foreslåede finansdisciplin i 2018, overført til budgetartikel  </w:t>
      </w:r>
      <w:r>
        <w:rPr>
          <w:noProof/>
        </w:rPr>
        <w:br/>
        <w:t xml:space="preserve">05 03 09, så beløbet for den reelt anvendte finansdisciplin (459,5 mio. EUR) kunne fremføres til 2019 som tilbagebetaling til de berørte medlemsstater (jf. punkt 3.2.2.5). De resterende formålsbestemte indtægter, der blev opkrævet i 2018 (354.9 mio. EUR), blev fremført til 2019. På konti, hvor behovene oversteg de vedtagne budgetbevillinger, blev de ekstra udgifter dækket ved hjælp af overførsler af vedtagne bevillinger fra andre budgetkonti eller af formålsbestemte indtægter. På samme måde blev de disponible bevillinger for direkte betalinger, hvor der var et underforbrug af budgetbevillingerne, overført til andre budgetposter under EGFL med henblik på at dække yderligere udgifter efter behov. </w:t>
      </w:r>
    </w:p>
    <w:p>
      <w:pPr>
        <w:pStyle w:val="ManualHeading4"/>
        <w:rPr>
          <w:noProof/>
        </w:rPr>
      </w:pPr>
      <w:bookmarkStart w:id="59" w:name="_Toc322938597"/>
      <w:bookmarkStart w:id="60" w:name="_Toc422396272"/>
      <w:r>
        <w:t>3.2.2.1.</w:t>
      </w:r>
      <w:r>
        <w:tab/>
      </w:r>
      <w:r>
        <w:rPr>
          <w:noProof/>
        </w:rPr>
        <w:t xml:space="preserve">Artikel 05 03 01: Afkoblede direkte </w:t>
      </w:r>
      <w:bookmarkEnd w:id="59"/>
      <w:bookmarkEnd w:id="60"/>
      <w:r>
        <w:rPr>
          <w:noProof/>
        </w:rPr>
        <w:t>betalinger</w:t>
      </w:r>
    </w:p>
    <w:p>
      <w:pPr>
        <w:pStyle w:val="Text1"/>
        <w:rPr>
          <w:noProof/>
        </w:rPr>
      </w:pPr>
      <w:bookmarkStart w:id="61" w:name="_Toc322938598"/>
      <w:r>
        <w:rPr>
          <w:noProof/>
        </w:rPr>
        <w:t xml:space="preserve">De vigtigste ordninger, der finansieres af denne artikels bevillinger, er den generelle arealbetalingsordning (SAPS), grundbetalingsordningen, betalingen for landbrugsmetoder, der er til gavn for klimaet og miljøet, omfordelingsbetalingen og betalingen til unge landbrugere. Alle støtteordninger under denne artikel er betalt uafhængigt af produktion, men på visse betingelser, såsom f.eks. overholdelse af krydsoverensstemmelse. Budgetbehovet i 2018 for afkoblede direkte betalinger beløb sig til 35 960,3 mio. EUR, for hvilke budgetmyndigheden vedtog bevillinger på i alt 34 309,1 mio. EUR under hensyntagen til de formålsbestemte indtægter på 1 651,2 mio. EUR. Medlemsstaternes udgifter til alle ordninger under denne artikel beløb sig til 35 304,8 mio. EUR, svarende til 98,2 % af de midler, der var afsat i budgettet til disse ordninger. </w:t>
      </w:r>
    </w:p>
    <w:p>
      <w:pPr>
        <w:pStyle w:val="ManualHeading4"/>
        <w:rPr>
          <w:noProof/>
        </w:rPr>
      </w:pPr>
      <w:bookmarkStart w:id="62" w:name="_Toc422396273"/>
      <w:r>
        <w:t>3.2.2.2.</w:t>
      </w:r>
      <w:r>
        <w:tab/>
      </w:r>
      <w:r>
        <w:rPr>
          <w:noProof/>
        </w:rPr>
        <w:t xml:space="preserve">Artikel 05 03 02: Andre direkte </w:t>
      </w:r>
      <w:bookmarkEnd w:id="61"/>
      <w:bookmarkEnd w:id="62"/>
      <w:r>
        <w:rPr>
          <w:noProof/>
        </w:rPr>
        <w:t>betalinger</w:t>
      </w:r>
    </w:p>
    <w:p>
      <w:pPr>
        <w:spacing w:before="120" w:after="120"/>
        <w:ind w:left="840"/>
        <w:jc w:val="both"/>
        <w:rPr>
          <w:rFonts w:ascii="Times New Roman" w:eastAsia="MS PGothic" w:hAnsi="Times New Roman"/>
          <w:noProof/>
          <w:color w:val="000000"/>
          <w:sz w:val="24"/>
          <w:szCs w:val="24"/>
        </w:rPr>
      </w:pPr>
      <w:r>
        <w:rPr>
          <w:rFonts w:ascii="Times New Roman" w:hAnsi="Times New Roman"/>
          <w:noProof/>
          <w:sz w:val="24"/>
        </w:rPr>
        <w:t>Bevillingerne under denne artikel dækker udgifterne til "øvrige direkte betalinger". Dette omfatter ordninger, hvor der på nøje fastlagte betingelser og inden for klare rammer stadig kan være en forbindelse mellem betaling og produktion. Som følge af reformen i 2013 blev der tilføjet ordninger under denne artikel i form af en frivillig ordning for koblet støtte og ordningen for små landmænd samt en række budgetposter, som kun omfattede relativt ubetydelige restbetalinger til ophørte ordninger.</w:t>
      </w:r>
    </w:p>
    <w:p>
      <w:pPr>
        <w:pStyle w:val="Text1"/>
        <w:rPr>
          <w:noProof/>
        </w:rPr>
      </w:pPr>
      <w:r>
        <w:rPr>
          <w:noProof/>
        </w:rPr>
        <w:t xml:space="preserve">Kommissionen havde anslået, at der i 2018 var behov for bevillinger på 5 900,0 mio. EUR til denne artikel. Medlemsstaterne afholdt udgifter på 5 750,0 mio. EUR, hvilket er mindre end de bevillinger, der var afsat på budgettet. </w:t>
      </w:r>
    </w:p>
    <w:p>
      <w:pPr>
        <w:pStyle w:val="ManualHeading4"/>
        <w:rPr>
          <w:noProof/>
        </w:rPr>
      </w:pPr>
      <w:bookmarkStart w:id="63" w:name="_Toc484011554"/>
      <w:r>
        <w:t>3.2.2.3.</w:t>
      </w:r>
      <w:r>
        <w:tab/>
      </w:r>
      <w:r>
        <w:rPr>
          <w:noProof/>
        </w:rPr>
        <w:t>Artikel 05 03 09: Tilbagebetaling af direkte betalinger i forbindelse med finansdisciplin</w:t>
      </w:r>
      <w:bookmarkEnd w:id="63"/>
    </w:p>
    <w:p>
      <w:pPr>
        <w:tabs>
          <w:tab w:val="left" w:pos="851"/>
        </w:tabs>
        <w:ind w:left="840"/>
        <w:jc w:val="both"/>
        <w:rPr>
          <w:rFonts w:ascii="Times New Roman" w:eastAsia="MS PGothic" w:hAnsi="Times New Roman"/>
          <w:noProof/>
          <w:sz w:val="24"/>
          <w:szCs w:val="24"/>
        </w:rPr>
      </w:pPr>
      <w:r>
        <w:rPr>
          <w:rFonts w:ascii="Times New Roman" w:hAnsi="Times New Roman"/>
          <w:noProof/>
          <w:sz w:val="24"/>
        </w:rPr>
        <w:t>Budgetmyndigheden har ikke afsat bevillinger til denne artikel. Denne artikel har til formål at indsamle de vedtagne ikke-forpligtede bevillinger, herunder navnlig bevillingerne i den uudnyttede krisereserve, så de kan fremføres til regnskabsåret N+1 og finansiere tilbagebetaling af finansdisciplinen vedrørende direkte betalinger for kalenderåret N</w:t>
      </w:r>
      <w:r>
        <w:rPr>
          <w:rFonts w:ascii="Times New Roman" w:hAnsi="Times New Roman"/>
          <w:noProof/>
          <w:sz w:val="24"/>
          <w:vertAlign w:val="superscript"/>
        </w:rPr>
        <w:footnoteReference w:id="6"/>
      </w:r>
      <w:r>
        <w:rPr>
          <w:rFonts w:ascii="Times New Roman" w:hAnsi="Times New Roman"/>
          <w:noProof/>
          <w:sz w:val="24"/>
        </w:rPr>
        <w:t xml:space="preserve">. </w:t>
      </w:r>
    </w:p>
    <w:p>
      <w:pPr>
        <w:pStyle w:val="Text1"/>
        <w:rPr>
          <w:noProof/>
        </w:rPr>
      </w:pPr>
      <w:r>
        <w:rPr>
          <w:noProof/>
        </w:rPr>
        <w:t xml:space="preserve">Hvert år fastsætter Kommissionens gennemførelsesforordning, hvis det er relevant, de beløb, som hver medlemsstat skal tilbagebetale til landbrugerne, og fastslår i overensstemmelse med den indledende sætning i artikel 12, stk. 2, i forordning (EU, Euratom) 2018/1046, at udgifterne i forbindelse med denne godtgørelse kun er berettigede til EU-finansiering, hvis beløbene er blevet udbetalt til modtagerne inden den 16. oktober i det regnskabsår, som bevillingerne er fremført til. Af et beløb på 450,5 mio. EUR, svarende til den finansdisciplin, der blev anvendt i regnskabsåret 2017, og som blev fremført til budgettet for 2018 med henblik på tilbagebetaling, tilbagebetalte medlemsstaterne 441,7 mio. EUR. Forskellen på 8,8 mio. EUR blev tilbageført til budgettet for 2018 med henblik på en returnering af beløbet til medlemsstaterne gennem et ændringsbudget i det følgende regnskabsår. </w:t>
      </w:r>
    </w:p>
    <w:p>
      <w:pPr>
        <w:pStyle w:val="ManualHeading4"/>
        <w:rPr>
          <w:noProof/>
        </w:rPr>
      </w:pPr>
      <w:bookmarkStart w:id="64" w:name="_Toc422396276"/>
      <w:r>
        <w:t>3.2.2.4.</w:t>
      </w:r>
      <w:r>
        <w:tab/>
      </w:r>
      <w:r>
        <w:rPr>
          <w:noProof/>
        </w:rPr>
        <w:t>Artikel 05 03 10: Reserve til kriser i landbrugssektoren</w:t>
      </w:r>
      <w:bookmarkEnd w:id="64"/>
    </w:p>
    <w:p>
      <w:pPr>
        <w:pStyle w:val="Text1"/>
        <w:rPr>
          <w:rFonts w:eastAsia="MS PGothic"/>
          <w:noProof/>
        </w:rPr>
      </w:pPr>
      <w:r>
        <w:rPr>
          <w:noProof/>
        </w:rPr>
        <w:t xml:space="preserve">Bevillingerne under denne artikel er bestemt til at dække udgifter til foranstaltninger, som er nødvendige for at håndtere større kriser, der påvirker landbrugsproduktionen eller -distributionen. Krisereserven oprettes ved i begyndelsen af hvert år at anvende en nedsættelse af de direkte betalinger ved hjælp af ordningen for finansiel disciplin, jf. artikel 25 og 26 i forordning (EU)  </w:t>
      </w:r>
      <w:r>
        <w:rPr>
          <w:noProof/>
        </w:rPr>
        <w:br/>
        <w:t>nr. 1306/2013 og artikel 8 i forordning (EU) 1307/2013</w:t>
      </w:r>
      <w:r>
        <w:rPr>
          <w:noProof/>
          <w:vertAlign w:val="superscript"/>
        </w:rPr>
        <w:footnoteReference w:id="7"/>
      </w:r>
      <w:r>
        <w:rPr>
          <w:noProof/>
        </w:rPr>
        <w:t xml:space="preserve">. Denne reserve skal forsynes med et årligt beløb på 400 mio. EUR (i 2011-priser). I regnskabsåret 2018 svarede beløbet i krisereserven til  </w:t>
      </w:r>
      <w:r>
        <w:rPr>
          <w:noProof/>
        </w:rPr>
        <w:br/>
        <w:t>459,5 mio. EUR i løbende priser. Reserven blev ikke anvendt i regnskabsåret 2018.</w:t>
      </w:r>
    </w:p>
    <w:p>
      <w:pPr>
        <w:pStyle w:val="Text1"/>
        <w:rPr>
          <w:noProof/>
          <w:color w:val="FF0000"/>
        </w:rPr>
      </w:pPr>
      <w:r>
        <w:rPr>
          <w:noProof/>
        </w:rPr>
        <w:t xml:space="preserve">For ansøgningsåret 2017 blev finansdisciplinen beregnet udelukkende med henblik på oprettelse af krisereserven på 459,5 mio. EUR. Ved udgangen af regnskabsåret blev vedtagne ikke-forpligtede bevillinger svarende til beløbet for den reelt anvendte finansdisciplin i ansøgningsåret 2017 (under hensyntagen til det uudnyttede beløb i krisereserven) imidlertid overført til budgetartikel 05 03 09 til fremførsel til det følgende regnskabsår og dermed til finansiering af tilbagebetalingen af den finansdisciplin, som blev pålagt landbrugerne i kalenderåret 2018. </w:t>
      </w:r>
    </w:p>
    <w:p>
      <w:pPr>
        <w:pStyle w:val="ManualHeading3"/>
        <w:rPr>
          <w:noProof/>
        </w:rPr>
      </w:pPr>
      <w:bookmarkStart w:id="65" w:name="_Toc322938602"/>
      <w:bookmarkStart w:id="66" w:name="_Toc358122365"/>
      <w:r>
        <w:t>3.2.3.</w:t>
      </w:r>
      <w:r>
        <w:tab/>
      </w:r>
      <w:r>
        <w:rPr>
          <w:noProof/>
        </w:rPr>
        <w:t>Kapitel 05 07: Revision af landbrugsudgifter</w:t>
      </w:r>
      <w:bookmarkEnd w:id="65"/>
      <w:bookmarkEnd w:id="66"/>
    </w:p>
    <w:p>
      <w:pPr>
        <w:pStyle w:val="ManualHeading4"/>
        <w:rPr>
          <w:noProof/>
        </w:rPr>
      </w:pPr>
      <w:bookmarkStart w:id="67" w:name="_Toc322938603"/>
      <w:bookmarkStart w:id="68" w:name="_Toc422396280"/>
      <w:bookmarkStart w:id="69" w:name="_Toc322938628"/>
      <w:bookmarkStart w:id="70" w:name="_Toc358122367"/>
      <w:r>
        <w:t>3.2.3.1.</w:t>
      </w:r>
      <w:r>
        <w:tab/>
      </w:r>
      <w:r>
        <w:rPr>
          <w:noProof/>
        </w:rPr>
        <w:t>Artikel 05 07 01: Kontrol med landbrugsudgifter</w:t>
      </w:r>
      <w:bookmarkEnd w:id="67"/>
      <w:bookmarkEnd w:id="68"/>
    </w:p>
    <w:p>
      <w:pPr>
        <w:pStyle w:val="Text1"/>
        <w:rPr>
          <w:rFonts w:eastAsia="MS PGothic"/>
          <w:noProof/>
        </w:rPr>
      </w:pPr>
      <w:r>
        <w:rPr>
          <w:noProof/>
        </w:rPr>
        <w:t xml:space="preserve">Denne artikel vedrører de foranstaltninger, der er truffet for at styrke midlerne til kontrol på stedet og til at forbedre verifikationssystemerne med henblik på at begrænse risikoen for svig og uregelmæssigheder til skade for Unionens budget. Den omfatter også udgifterne til finansiering af eventuelle regnskabsmæssige og efterprøvende korrektioner til fordel for medlemsstaterne. </w:t>
      </w:r>
    </w:p>
    <w:p>
      <w:pPr>
        <w:spacing w:before="120" w:after="120" w:line="240" w:lineRule="auto"/>
        <w:ind w:left="850"/>
        <w:jc w:val="both"/>
        <w:rPr>
          <w:rFonts w:ascii="Times New Roman" w:eastAsia="MS PGothic" w:hAnsi="Times New Roman"/>
          <w:noProof/>
          <w:sz w:val="24"/>
          <w:szCs w:val="24"/>
        </w:rPr>
      </w:pPr>
      <w:r>
        <w:rPr>
          <w:rFonts w:ascii="Times New Roman" w:hAnsi="Times New Roman"/>
          <w:noProof/>
          <w:sz w:val="24"/>
        </w:rPr>
        <w:t>Den Europæiske Union finansierede direkte inden for rammerne af det integrerede forvaltnings- og kontrolsystem (IACS) køb af satellitbilleder for et beløb på 9,3 mio. EUR.</w:t>
      </w:r>
    </w:p>
    <w:p>
      <w:pPr>
        <w:pStyle w:val="Text1"/>
        <w:rPr>
          <w:noProof/>
        </w:rPr>
      </w:pPr>
      <w:r>
        <w:rPr>
          <w:noProof/>
        </w:rPr>
        <w:t xml:space="preserve">De finansielle korrektioner til fordel for medlemsstaterne som følge af efterprøvende regnskabsafslutning var meget lavere end forventet (12,2 mio. EUR i stedet for  </w:t>
      </w:r>
      <w:r>
        <w:rPr>
          <w:noProof/>
        </w:rPr>
        <w:br/>
        <w:t xml:space="preserve">de 21,4 mio. EUR, der var afsat i budgettet), mens korrektionerne til fordel for medlemsstaterne efter regnskabsafslutningen var i overensstemmelse med det budgetterede beløb (5,2 mio. EUR). </w:t>
      </w:r>
    </w:p>
    <w:p>
      <w:pPr>
        <w:pStyle w:val="ManualHeading4"/>
        <w:rPr>
          <w:noProof/>
        </w:rPr>
      </w:pPr>
      <w:bookmarkStart w:id="71" w:name="_Toc322938604"/>
      <w:bookmarkStart w:id="72" w:name="_Toc422396281"/>
      <w:r>
        <w:t>3.2.3.2.</w:t>
      </w:r>
      <w:r>
        <w:tab/>
      </w:r>
      <w:r>
        <w:rPr>
          <w:noProof/>
        </w:rPr>
        <w:t>Artikel 05 07 02: Bilæggelse af tvister</w:t>
      </w:r>
      <w:bookmarkEnd w:id="71"/>
      <w:bookmarkEnd w:id="72"/>
    </w:p>
    <w:p>
      <w:pPr>
        <w:pStyle w:val="Text1"/>
        <w:rPr>
          <w:noProof/>
        </w:rPr>
      </w:pPr>
      <w:r>
        <w:rPr>
          <w:noProof/>
        </w:rPr>
        <w:t>Bevillingerne under denne artikel er bestemt til at dække omkostninger, som Kommissionen kan holdes ansvarlig for ved afgørelse truffet af en domstol, herunder krav om skadeserstatning og renter. I budgettet for 2018 var der afsat bevillinger på 124,5 mio. EUR, hvoraf 88,8 mio. EUR blev gennemført. De resterende bevillinger er blevet overført til andre budgetkonti.</w:t>
      </w:r>
    </w:p>
    <w:p>
      <w:pPr>
        <w:pStyle w:val="ManualHeading1"/>
        <w:rPr>
          <w:noProof/>
        </w:rPr>
      </w:pPr>
      <w:bookmarkStart w:id="73" w:name="_Toc484011566"/>
      <w:bookmarkStart w:id="74" w:name="_Toc12970339"/>
      <w:bookmarkStart w:id="75" w:name="_Toc14780199"/>
      <w:bookmarkEnd w:id="69"/>
      <w:r>
        <w:t>4.</w:t>
      </w:r>
      <w:r>
        <w:tab/>
      </w:r>
      <w:r>
        <w:rPr>
          <w:noProof/>
        </w:rPr>
        <w:t>FORBRUG AF FORMÅLSBESTEMTE INDTÆGTER TIL EGFL</w:t>
      </w:r>
      <w:bookmarkEnd w:id="73"/>
      <w:bookmarkEnd w:id="74"/>
      <w:bookmarkEnd w:id="75"/>
      <w:r>
        <w:rPr>
          <w:noProof/>
        </w:rPr>
        <w:t xml:space="preserve"> </w:t>
      </w:r>
      <w:bookmarkEnd w:id="70"/>
    </w:p>
    <w:p>
      <w:pPr>
        <w:pStyle w:val="Text1"/>
        <w:rPr>
          <w:noProof/>
        </w:rPr>
      </w:pPr>
      <w:r>
        <w:rPr>
          <w:noProof/>
        </w:rPr>
        <w:t xml:space="preserve">De formålsbestemte indtægter, der blev fremført fra 2017 til 2018, beløb sig til 603,3 mio. EUR og blev fuldt ud anvendt til at finansiere udgifter </w:t>
      </w:r>
      <w:r>
        <w:rPr>
          <w:noProof/>
        </w:rPr>
        <w:br/>
        <w:t xml:space="preserve">i regnskabsåret 2018, jf. finansforordningens artikel 14. Som det fremgår af bilag 3-II, omfattede dette beløb udgifter på 203,8 mio. EUR til driftsfondene for producentorganisationer i sektoren for frugt og grøntsager samt udgifter på 399,4 mio. EUR til grundbetalingsordningen. </w:t>
      </w:r>
    </w:p>
    <w:p>
      <w:pPr>
        <w:pStyle w:val="Text1"/>
        <w:rPr>
          <w:noProof/>
        </w:rPr>
      </w:pPr>
      <w:r>
        <w:rPr>
          <w:noProof/>
        </w:rPr>
        <w:t>Hvad angår de formålsbestemte indtægter, der er opkrævet i 2018, fremgår det af bilag 3-I, at disse indtægter beløb sig til 997,4 mio. EUR, og at de stammede fra følgende:</w:t>
      </w:r>
    </w:p>
    <w:p>
      <w:pPr>
        <w:pStyle w:val="Tiret1"/>
        <w:rPr>
          <w:noProof/>
        </w:rPr>
      </w:pPr>
      <w:r>
        <w:rPr>
          <w:noProof/>
        </w:rPr>
        <w:t>korrektioner som følge af proceduren for regnskabsafslutning på 861,9 mio. EUR</w:t>
      </w:r>
    </w:p>
    <w:p>
      <w:pPr>
        <w:pStyle w:val="Tiret1"/>
        <w:rPr>
          <w:noProof/>
        </w:rPr>
      </w:pPr>
      <w:r>
        <w:rPr>
          <w:noProof/>
        </w:rPr>
        <w:t>indtægter fra uregelmæssigheder på 131,6 mio. EUR</w:t>
      </w:r>
    </w:p>
    <w:p>
      <w:pPr>
        <w:pStyle w:val="Tiret1"/>
        <w:rPr>
          <w:noProof/>
        </w:rPr>
      </w:pPr>
      <w:r>
        <w:rPr>
          <w:noProof/>
        </w:rPr>
        <w:t>indbetalte mælkeafgiftsbeløb på 3,9 mio. EUR.</w:t>
      </w:r>
    </w:p>
    <w:p>
      <w:pPr>
        <w:pStyle w:val="Text1"/>
        <w:rPr>
          <w:noProof/>
        </w:rPr>
      </w:pPr>
      <w:r>
        <w:rPr>
          <w:noProof/>
        </w:rPr>
        <w:t xml:space="preserve">De formålsbestemte indtægter, der blev opkrævet i 2018, blev anvendt til at dække udgifter til følgende foranstaltninger: </w:t>
      </w:r>
    </w:p>
    <w:p>
      <w:pPr>
        <w:pStyle w:val="Tiret1"/>
        <w:rPr>
          <w:noProof/>
        </w:rPr>
      </w:pPr>
      <w:r>
        <w:rPr>
          <w:noProof/>
        </w:rPr>
        <w:t xml:space="preserve">102,2 mio. EUR til driftsfondene for producentorganisationer i sektoren for frugt og grøntsager, </w:t>
      </w:r>
    </w:p>
    <w:p>
      <w:pPr>
        <w:pStyle w:val="Tiret1"/>
        <w:rPr>
          <w:noProof/>
        </w:rPr>
      </w:pPr>
      <w:r>
        <w:rPr>
          <w:noProof/>
        </w:rPr>
        <w:t xml:space="preserve">446,3 mio. EUR til grundbetalingsordningen (direkte betalinger). </w:t>
      </w:r>
    </w:p>
    <w:p>
      <w:pPr>
        <w:pStyle w:val="Text1"/>
        <w:rPr>
          <w:noProof/>
        </w:rPr>
      </w:pPr>
      <w:r>
        <w:rPr>
          <w:noProof/>
        </w:rPr>
        <w:t xml:space="preserve">De resterende formålsbestemte indtægter, der blev opkrævet i 2018 (448,8 mio. EUR), blev automatisk fremført til 2019 til finansiering af behovene i det år. </w:t>
      </w:r>
    </w:p>
    <w:p>
      <w:pPr>
        <w:pStyle w:val="Text1"/>
        <w:rPr>
          <w:noProof/>
        </w:rPr>
      </w:pPr>
      <w:r>
        <w:rPr>
          <w:noProof/>
        </w:rPr>
        <w:t>Nærmere oplysninger herom kan ses i bilag 3-I og 3-II.</w:t>
      </w:r>
    </w:p>
    <w:sectPr>
      <w:headerReference w:type="even" r:id="rId23"/>
      <w:headerReference w:type="default" r:id="rId24"/>
      <w:footerReference w:type="even" r:id="rId25"/>
      <w:footerReference w:type="default" r:id="rId26"/>
      <w:headerReference w:type="first" r:id="rId27"/>
      <w:footerReference w:type="first" r:id="rId28"/>
      <w:pgSz w:w="11907" w:h="16839"/>
      <w:pgMar w:top="1134" w:right="1417" w:bottom="1134"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10</w:t>
    </w:r>
    <w:r>
      <w:rPr>
        <w:noProof/>
      </w:rPr>
      <w:fldChar w:fldCharType="end"/>
    </w:r>
  </w:p>
  <w:p>
    <w:pPr>
      <w:pStyle w:val="Footer"/>
      <w:rPr>
        <w:rFonts w:ascii="Arial" w:hAnsi="Arial" w:cs="Arial"/>
        <w:b/>
        <w:sz w:val="4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Denne procedure er beskrevet i bilag 1.</w:t>
      </w:r>
    </w:p>
  </w:footnote>
  <w:footnote w:id="2">
    <w:p>
      <w:pPr>
        <w:pStyle w:val="FootnoteText"/>
      </w:pPr>
      <w:r>
        <w:rPr>
          <w:rStyle w:val="FootnoteReference"/>
        </w:rPr>
        <w:footnoteRef/>
      </w:r>
      <w:r>
        <w:tab/>
        <w:t>Disse beløb er ikke opført på budgettets indtægtsposter (artikel 670 for formålsbestemte indtægter til EGFL), som nævner "p.m." ("pro memoria"), men overslaget er nævnt i budgetanmærkningerne til denne artikel.</w:t>
      </w:r>
    </w:p>
  </w:footnote>
  <w:footnote w:id="3">
    <w:p>
      <w:pPr>
        <w:pStyle w:val="FootnoteText"/>
      </w:pPr>
      <w:r>
        <w:rPr>
          <w:rStyle w:val="FootnoteReference"/>
        </w:rPr>
        <w:footnoteRef/>
      </w:r>
      <w:r>
        <w:tab/>
        <w:t>EUT L 347 af 20.12.2013, s. 549.</w:t>
      </w:r>
    </w:p>
  </w:footnote>
  <w:footnote w:id="4">
    <w:p>
      <w:pPr>
        <w:pStyle w:val="FootnoteText"/>
      </w:pPr>
      <w:r>
        <w:rPr>
          <w:rStyle w:val="FootnoteReference"/>
        </w:rPr>
        <w:footnoteRef/>
      </w:r>
      <w:r>
        <w:tab/>
        <w:t>Disse månedlige udgiftsanmeldelser fremsendes af medlemsstaterne sammen med anmeldelsen den 12. i måned N+1.</w:t>
      </w:r>
    </w:p>
  </w:footnote>
  <w:footnote w:id="5">
    <w:p>
      <w:pPr>
        <w:pStyle w:val="FootnoteText"/>
      </w:pPr>
      <w:r>
        <w:rPr>
          <w:rStyle w:val="FootnoteReference"/>
        </w:rPr>
        <w:footnoteRef/>
      </w:r>
      <w:r>
        <w:t xml:space="preserve"> </w:t>
      </w:r>
      <w:r>
        <w:tab/>
        <w:t>Dette beløb omfatter tilbagebetaling inden for rammerne af finansdisciplin i forbindelse med reserven til kriser i landbrugssektoren, der var fremført fra regnskabsåret 2017.</w:t>
      </w:r>
    </w:p>
  </w:footnote>
  <w:footnote w:id="6">
    <w:p>
      <w:pPr>
        <w:pStyle w:val="FootnoteText"/>
      </w:pPr>
      <w:r>
        <w:rPr>
          <w:rStyle w:val="FootnoteReference"/>
        </w:rPr>
        <w:footnoteRef/>
      </w:r>
      <w:r>
        <w:t xml:space="preserve"> </w:t>
      </w:r>
      <w:r>
        <w:tab/>
        <w:t>Disse bevillinger kan fremføres i overensstemmelse med artikel 12, stk. 2, første afsnit, litra d), og artikel 26, stk. 5, tredje afsnit, i forordning (EU, Euratom) 2018/1046 og stilles i overensstemmelse med artikel 26, stk. 5, i forordning (EU) nr. 1306/2013 til rådighed for medlemsstaterne med henblik på godtgørelse til slutbrugere, som i det regnskabsår, hvortil bevillingerne er fremført, er omfattet af finansdisciplin, jf. artikel 26, stk. 1 til 4.</w:t>
      </w:r>
    </w:p>
    <w:p>
      <w:pPr>
        <w:pStyle w:val="FootnoteText"/>
      </w:pPr>
    </w:p>
  </w:footnote>
  <w:footnote w:id="7">
    <w:p>
      <w:pPr>
        <w:pStyle w:val="FootnoteText"/>
        <w:rPr>
          <w:lang w:val="pl-PL"/>
        </w:rPr>
      </w:pPr>
      <w:r>
        <w:rPr>
          <w:rStyle w:val="FootnoteReference"/>
        </w:rPr>
        <w:footnoteRef/>
      </w:r>
      <w:r>
        <w:tab/>
        <w:t>EUT L 347 af 20.12.2013, s.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FAFEA2"/>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3C40B18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F212747"/>
    <w:multiLevelType w:val="multilevel"/>
    <w:tmpl w:val="FBD0F488"/>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4727C55"/>
    <w:multiLevelType w:val="multilevel"/>
    <w:tmpl w:val="D3422DA4"/>
    <w:lvl w:ilvl="0">
      <w:start w:val="1"/>
      <w:numFmt w:val="decimal"/>
      <w:lvlRestart w:val="0"/>
      <w:pStyle w:val="Heading1"/>
      <w:lvlText w:val="%1."/>
      <w:lvlJc w:val="left"/>
      <w:pPr>
        <w:tabs>
          <w:tab w:val="num" w:pos="850"/>
        </w:tabs>
        <w:ind w:left="850" w:hanging="850"/>
      </w:pPr>
      <w:rPr>
        <w:sz w:val="24"/>
        <w:szCs w:val="24"/>
        <w:vertAlign w:val="baseline"/>
      </w:rPr>
    </w:lvl>
    <w:lvl w:ilvl="1">
      <w:start w:val="1"/>
      <w:numFmt w:val="decimal"/>
      <w:pStyle w:val="Heading2"/>
      <w:lvlText w:val="%1.%2."/>
      <w:lvlJc w:val="left"/>
      <w:pPr>
        <w:tabs>
          <w:tab w:val="num" w:pos="850"/>
        </w:tabs>
        <w:ind w:left="850" w:hanging="850"/>
      </w:pPr>
      <w:rPr>
        <w:color w:val="auto"/>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9674C4"/>
    <w:multiLevelType w:val="singleLevel"/>
    <w:tmpl w:val="8A2AF054"/>
    <w:name w:val="0,6340992"/>
    <w:lvl w:ilvl="0">
      <w:start w:val="1"/>
      <w:numFmt w:val="bullet"/>
      <w:lvlRestart w:val="0"/>
      <w:pStyle w:val="Tiret1"/>
      <w:lvlText w:val="–"/>
      <w:lvlJc w:val="left"/>
      <w:pPr>
        <w:tabs>
          <w:tab w:val="num" w:pos="1417"/>
        </w:tabs>
        <w:ind w:left="1417" w:hanging="567"/>
      </w:pPr>
    </w:lvl>
  </w:abstractNum>
  <w:abstractNum w:abstractNumId="8">
    <w:nsid w:val="15592001"/>
    <w:multiLevelType w:val="singleLevel"/>
    <w:tmpl w:val="3C6C7C7E"/>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nsid w:val="158411A6"/>
    <w:multiLevelType w:val="singleLevel"/>
    <w:tmpl w:val="891A2EB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0">
    <w:nsid w:val="241162DB"/>
    <w:multiLevelType w:val="singleLevel"/>
    <w:tmpl w:val="B27E1B54"/>
    <w:lvl w:ilvl="0">
      <w:start w:val="1"/>
      <w:numFmt w:val="bullet"/>
      <w:lvlRestart w:val="0"/>
      <w:pStyle w:val="Tiret2"/>
      <w:lvlText w:val="–"/>
      <w:lvlJc w:val="left"/>
      <w:pPr>
        <w:tabs>
          <w:tab w:val="num" w:pos="1984"/>
        </w:tabs>
        <w:ind w:left="1984" w:hanging="567"/>
      </w:pPr>
    </w:lvl>
  </w:abstractNum>
  <w:abstractNum w:abstractNumId="11">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F076C74"/>
    <w:multiLevelType w:val="multilevel"/>
    <w:tmpl w:val="CC8EDB14"/>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3">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0FF3500"/>
    <w:multiLevelType w:val="singleLevel"/>
    <w:tmpl w:val="84DA1EE8"/>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4BF12751"/>
    <w:multiLevelType w:val="multilevel"/>
    <w:tmpl w:val="0809001F"/>
    <w:name w:val="NumPar"/>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96D67A1"/>
    <w:multiLevelType w:val="singleLevel"/>
    <w:tmpl w:val="9AC8831A"/>
    <w:name w:val="Tiret 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nsid w:val="5F8C3B69"/>
    <w:multiLevelType w:val="multilevel"/>
    <w:tmpl w:val="9B14DAA8"/>
    <w:name w:val="Bullet 0"/>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2A8042C"/>
    <w:multiLevelType w:val="singleLevel"/>
    <w:tmpl w:val="CCF20C06"/>
    <w:name w:val="Bullet 2"/>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63B26268"/>
    <w:multiLevelType w:val="singleLevel"/>
    <w:tmpl w:val="491E6360"/>
    <w:name w:val="Tiret 2"/>
    <w:lvl w:ilvl="0">
      <w:start w:val="1"/>
      <w:numFmt w:val="decimal"/>
      <w:lvlRestart w:val="0"/>
      <w:pStyle w:val="Considrant"/>
      <w:lvlText w:val="(%1)"/>
      <w:lvlJc w:val="left"/>
      <w:pPr>
        <w:tabs>
          <w:tab w:val="num" w:pos="709"/>
        </w:tabs>
        <w:ind w:left="709" w:hanging="709"/>
      </w:pPr>
      <w:rPr>
        <w:rFonts w:cs="Times New Roman"/>
      </w:rPr>
    </w:lvl>
  </w:abstractNum>
  <w:abstractNum w:abstractNumId="21">
    <w:nsid w:val="6A6901C1"/>
    <w:multiLevelType w:val="singleLevel"/>
    <w:tmpl w:val="208841AE"/>
    <w:name w:val="0,8228368"/>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A93523C"/>
    <w:multiLevelType w:val="hybridMultilevel"/>
    <w:tmpl w:val="F71473B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3">
    <w:nsid w:val="6C362DF3"/>
    <w:multiLevelType w:val="hybridMultilevel"/>
    <w:tmpl w:val="02001AA2"/>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nsid w:val="6D2B5511"/>
    <w:multiLevelType w:val="singleLevel"/>
    <w:tmpl w:val="74A09970"/>
    <w:name w:val="5,794489E-0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5">
    <w:nsid w:val="6EC300CA"/>
    <w:multiLevelType w:val="singleLevel"/>
    <w:tmpl w:val="055ABBD0"/>
    <w:name w:val="Point"/>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lvl w:ilvl="0">
      <w:start w:val="1"/>
      <w:numFmt w:val="bullet"/>
      <w:lvlRestart w:val="0"/>
      <w:pStyle w:val="Tiret3"/>
      <w:lvlText w:val="–"/>
      <w:lvlJc w:val="left"/>
      <w:pPr>
        <w:tabs>
          <w:tab w:val="num" w:pos="2551"/>
        </w:tabs>
        <w:ind w:left="2551" w:hanging="567"/>
      </w:pPr>
    </w:lvl>
  </w:abstractNum>
  <w:abstractNum w:abstractNumId="27">
    <w:nsid w:val="729504D5"/>
    <w:multiLevelType w:val="singleLevel"/>
    <w:tmpl w:val="1BC6DBFC"/>
    <w:name w:val="0,1023829"/>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78A241BD"/>
    <w:multiLevelType w:val="singleLevel"/>
    <w:tmpl w:val="53C4DF32"/>
    <w:name w:val="0,4901348"/>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9">
    <w:nsid w:val="79C96D36"/>
    <w:multiLevelType w:val="multilevel"/>
    <w:tmpl w:val="BE983CE4"/>
    <w:name w:val="0,38967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31">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7E8224EA"/>
    <w:multiLevelType w:val="singleLevel"/>
    <w:tmpl w:val="34DEB8CE"/>
    <w:lvl w:ilvl="0">
      <w:start w:val="1"/>
      <w:numFmt w:val="bullet"/>
      <w:lvlRestart w:val="0"/>
      <w:pStyle w:val="Tiret0"/>
      <w:lvlText w:val="–"/>
      <w:lvlJc w:val="left"/>
      <w:pPr>
        <w:tabs>
          <w:tab w:val="num" w:pos="850"/>
        </w:tabs>
        <w:ind w:left="850" w:hanging="850"/>
      </w:pPr>
    </w:lvl>
  </w:abstractNum>
  <w:abstractNum w:abstractNumId="33">
    <w:nsid w:val="7F7154E1"/>
    <w:multiLevelType w:val="singleLevel"/>
    <w:tmpl w:val="E3F6D2C6"/>
    <w:name w:val="0,109158"/>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32"/>
  </w:num>
  <w:num w:numId="2">
    <w:abstractNumId w:val="7"/>
  </w:num>
  <w:num w:numId="3">
    <w:abstractNumId w:val="10"/>
  </w:num>
  <w:num w:numId="4">
    <w:abstractNumId w:val="26"/>
  </w:num>
  <w:num w:numId="5">
    <w:abstractNumId w:val="30"/>
  </w:num>
  <w:num w:numId="6">
    <w:abstractNumId w:val="4"/>
  </w:num>
  <w:num w:numId="7">
    <w:abstractNumId w:val="12"/>
  </w:num>
  <w:num w:numId="8">
    <w:abstractNumId w:val="8"/>
  </w:num>
  <w:num w:numId="9">
    <w:abstractNumId w:val="15"/>
  </w:num>
  <w:num w:numId="10">
    <w:abstractNumId w:val="9"/>
  </w:num>
  <w:num w:numId="11">
    <w:abstractNumId w:val="27"/>
  </w:num>
  <w:num w:numId="12">
    <w:abstractNumId w:val="25"/>
  </w:num>
  <w:num w:numId="13">
    <w:abstractNumId w:val="20"/>
  </w:num>
  <w:num w:numId="14">
    <w:abstractNumId w:val="1"/>
  </w:num>
  <w:num w:numId="15">
    <w:abstractNumId w:val="0"/>
  </w:num>
  <w:num w:numId="16">
    <w:abstractNumId w:val="16"/>
  </w:num>
  <w:num w:numId="17">
    <w:abstractNumId w:val="18"/>
  </w:num>
  <w:num w:numId="18">
    <w:abstractNumId w:val="29"/>
  </w:num>
  <w:num w:numId="19">
    <w:abstractNumId w:val="11"/>
  </w:num>
  <w:num w:numId="20">
    <w:abstractNumId w:val="3"/>
  </w:num>
  <w:num w:numId="21">
    <w:abstractNumId w:val="2"/>
  </w:num>
  <w:num w:numId="22">
    <w:abstractNumId w:val="24"/>
  </w:num>
  <w:num w:numId="23">
    <w:abstractNumId w:val="21"/>
  </w:num>
  <w:num w:numId="24">
    <w:abstractNumId w:val="5"/>
  </w:num>
  <w:num w:numId="25">
    <w:abstractNumId w:val="13"/>
  </w:num>
  <w:num w:numId="26">
    <w:abstractNumId w:val="33"/>
  </w:num>
  <w:num w:numId="27">
    <w:abstractNumId w:val="14"/>
  </w:num>
  <w:num w:numId="28">
    <w:abstractNumId w:val="19"/>
  </w:num>
  <w:num w:numId="29">
    <w:abstractNumId w:val="17"/>
  </w:num>
  <w:num w:numId="30">
    <w:abstractNumId w:val="28"/>
  </w:num>
  <w:num w:numId="31">
    <w:abstractNumId w:val="31"/>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num>
  <w:num w:numId="38">
    <w:abstractNumId w:val="22"/>
  </w:num>
  <w:num w:numId="39">
    <w:abstractNumId w:val="23"/>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revisionView w:markup="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69D5AE8F-59BC-4DDB-85E0-0766235EB073"/>
    <w:docVar w:name="LW_COVERPAGE_TYPE" w:val="1"/>
    <w:docVar w:name="LW_CROSSREFERENCE" w:val="{SWD(2019) 317 final}"/>
    <w:docVar w:name="LW_DocType" w:val="NORMAL"/>
    <w:docVar w:name="LW_EMISSION" w:val="7.8.2019"/>
    <w:docVar w:name="LW_EMISSION_ISODATE" w:val="2019-08-07"/>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3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12. FINANSBERETNING FRA KOMMISSIONEN OG RÅDET OM DEN EUROPÆISKE GARANTIFUND FOR LANDBRUGET_x000b__x000d__x000d__x000b__x000d_REGNSKABSÅRET 2018"/>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32"/>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32"/>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32"/>
      </w:numPr>
      <w:spacing w:before="120" w:after="120" w:line="240" w:lineRule="auto"/>
      <w:jc w:val="both"/>
      <w:outlineLvl w:val="2"/>
    </w:pPr>
    <w:rPr>
      <w:rFonts w:ascii="Times New Roman" w:eastAsia="Times New Roman" w:hAnsi="Times New Roman"/>
      <w:i/>
      <w:iCs/>
      <w:noProof/>
      <w:sz w:val="24"/>
      <w:szCs w:val="26"/>
    </w:rPr>
  </w:style>
  <w:style w:type="paragraph" w:styleId="Heading4">
    <w:name w:val="heading 4"/>
    <w:basedOn w:val="Normal"/>
    <w:next w:val="Text1"/>
    <w:link w:val="Heading4Char"/>
    <w:qFormat/>
    <w:pPr>
      <w:keepNext/>
      <w:numPr>
        <w:ilvl w:val="3"/>
        <w:numId w:val="32"/>
      </w:numPr>
      <w:spacing w:before="120" w:after="120" w:line="240" w:lineRule="auto"/>
      <w:jc w:val="both"/>
      <w:outlineLvl w:val="3"/>
    </w:pPr>
    <w:rPr>
      <w:rFonts w:ascii="Times New Roman" w:eastAsia="Times New Roman" w:hAnsi="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da-DK"/>
    </w:rPr>
  </w:style>
  <w:style w:type="character" w:customStyle="1" w:styleId="Heading2Char">
    <w:name w:val="Heading 2 Char"/>
    <w:link w:val="Heading2"/>
    <w:rPr>
      <w:rFonts w:ascii="Times New Roman" w:eastAsia="Times New Roman" w:hAnsi="Times New Roman"/>
      <w:b/>
      <w:bCs/>
      <w:iCs/>
      <w:sz w:val="24"/>
      <w:szCs w:val="28"/>
      <w:lang w:eastAsia="da-DK"/>
    </w:rPr>
  </w:style>
  <w:style w:type="character" w:customStyle="1" w:styleId="Heading3Char">
    <w:name w:val="Heading 3 Char"/>
    <w:link w:val="Heading3"/>
    <w:rPr>
      <w:rFonts w:ascii="Times New Roman" w:eastAsia="Times New Roman" w:hAnsi="Times New Roman"/>
      <w:i/>
      <w:iCs/>
      <w:noProof/>
      <w:sz w:val="24"/>
      <w:szCs w:val="26"/>
      <w:lang w:eastAsia="da-DK"/>
    </w:rPr>
  </w:style>
  <w:style w:type="character" w:customStyle="1" w:styleId="Heading4Char">
    <w:name w:val="Heading 4 Char"/>
    <w:link w:val="Heading4"/>
    <w:rPr>
      <w:rFonts w:ascii="Times New Roman" w:eastAsia="Times New Roman" w:hAnsi="Times New Roman"/>
      <w:bCs/>
      <w:sz w:val="24"/>
      <w:szCs w:val="28"/>
      <w:lang w:eastAsia="da-DK"/>
    </w:rPr>
  </w:style>
  <w:style w:type="character" w:customStyle="1" w:styleId="Heading5Char">
    <w:name w:val="Heading 5 Char"/>
    <w:link w:val="Heading5"/>
    <w:rPr>
      <w:rFonts w:ascii="Arial" w:eastAsia="Times New Roman" w:hAnsi="Arial"/>
      <w:sz w:val="22"/>
      <w:lang w:eastAsia="da-DK"/>
    </w:rPr>
  </w:style>
  <w:style w:type="character" w:customStyle="1" w:styleId="Heading6Char">
    <w:name w:val="Heading 6 Char"/>
    <w:link w:val="Heading6"/>
    <w:rPr>
      <w:rFonts w:ascii="Arial" w:eastAsia="Times New Roman" w:hAnsi="Arial"/>
      <w:i/>
      <w:sz w:val="22"/>
      <w:lang w:eastAsia="da-DK"/>
    </w:rPr>
  </w:style>
  <w:style w:type="character" w:customStyle="1" w:styleId="Heading7Char">
    <w:name w:val="Heading 7 Char"/>
    <w:link w:val="Heading7"/>
    <w:rPr>
      <w:rFonts w:ascii="Arial" w:eastAsia="Times New Roman" w:hAnsi="Arial"/>
      <w:lang w:eastAsia="da-DK"/>
    </w:rPr>
  </w:style>
  <w:style w:type="character" w:customStyle="1" w:styleId="Heading8Char">
    <w:name w:val="Heading 8 Char"/>
    <w:link w:val="Heading8"/>
    <w:rPr>
      <w:rFonts w:ascii="Arial" w:eastAsia="Times New Roman" w:hAnsi="Arial"/>
      <w:i/>
      <w:lang w:eastAsia="da-DK"/>
    </w:rPr>
  </w:style>
  <w:style w:type="character" w:customStyle="1" w:styleId="Heading9Char">
    <w:name w:val="Heading 9 Char"/>
    <w:link w:val="Heading9"/>
    <w:rPr>
      <w:rFonts w:ascii="Arial" w:eastAsia="Times New Roman" w:hAnsi="Arial"/>
      <w:i/>
      <w:sz w:val="18"/>
      <w:lang w:eastAsia="da-DK"/>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da-DK"/>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rPr>
      <w:rFonts w:ascii="Times New Roman" w:eastAsia="Times New Roman" w:hAnsi="Times New Roman"/>
      <w:lang w:eastAsia="da-DK"/>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39"/>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39"/>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39"/>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character" w:styleId="FootnoteReference">
    <w:name w:val="footnote reference"/>
    <w:rPr>
      <w:rFonts w:cs="Times New Roman"/>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styleId="ListBullet">
    <w:name w:val="List Bullet"/>
    <w:basedOn w:val="Normal"/>
    <w:pPr>
      <w:numPr>
        <w:numId w:val="22"/>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2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2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2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20"/>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rPr>
  </w:style>
  <w:style w:type="paragraph" w:customStyle="1" w:styleId="ListDash">
    <w:name w:val="List Dash"/>
    <w:basedOn w:val="Normal"/>
    <w:pPr>
      <w:numPr>
        <w:numId w:val="27"/>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al"/>
    <w:pPr>
      <w:numPr>
        <w:numId w:val="28"/>
      </w:numPr>
      <w:spacing w:before="120" w:after="120" w:line="240" w:lineRule="auto"/>
      <w:jc w:val="both"/>
    </w:pPr>
    <w:rPr>
      <w:rFonts w:ascii="Times New Roman" w:eastAsia="Times New Roman" w:hAnsi="Times New Roman"/>
      <w:sz w:val="24"/>
      <w:szCs w:val="24"/>
    </w:rPr>
  </w:style>
  <w:style w:type="paragraph" w:customStyle="1" w:styleId="ListDash2">
    <w:name w:val="List Dash 2"/>
    <w:basedOn w:val="Normal"/>
    <w:pPr>
      <w:numPr>
        <w:numId w:val="29"/>
      </w:numPr>
      <w:spacing w:before="120" w:after="120" w:line="240" w:lineRule="auto"/>
      <w:jc w:val="both"/>
    </w:pPr>
    <w:rPr>
      <w:rFonts w:ascii="Times New Roman" w:eastAsia="Times New Roman" w:hAnsi="Times New Roman"/>
      <w:sz w:val="24"/>
      <w:szCs w:val="24"/>
    </w:rPr>
  </w:style>
  <w:style w:type="paragraph" w:customStyle="1" w:styleId="ListDash3">
    <w:name w:val="List Dash 3"/>
    <w:basedOn w:val="Normal"/>
    <w:pPr>
      <w:numPr>
        <w:numId w:val="30"/>
      </w:numPr>
      <w:spacing w:before="120" w:after="120" w:line="240" w:lineRule="auto"/>
      <w:jc w:val="both"/>
    </w:pPr>
    <w:rPr>
      <w:rFonts w:ascii="Times New Roman" w:eastAsia="Times New Roman" w:hAnsi="Times New Roman"/>
      <w:sz w:val="24"/>
      <w:szCs w:val="24"/>
    </w:rPr>
  </w:style>
  <w:style w:type="paragraph" w:customStyle="1" w:styleId="ListDash4">
    <w:name w:val="List Dash 4"/>
    <w:basedOn w:val="Normal"/>
    <w:pPr>
      <w:numPr>
        <w:numId w:val="31"/>
      </w:numPr>
      <w:spacing w:before="120" w:after="120" w:line="240" w:lineRule="auto"/>
      <w:jc w:val="both"/>
    </w:pPr>
    <w:rPr>
      <w:rFonts w:ascii="Times New Roman" w:eastAsia="Times New Roman" w:hAnsi="Times New Roman"/>
      <w:sz w:val="24"/>
      <w:szCs w:val="24"/>
    </w:rPr>
  </w:style>
  <w:style w:type="paragraph" w:customStyle="1" w:styleId="ListNumber1">
    <w:name w:val="List Number 1"/>
    <w:basedOn w:val="Text1"/>
    <w:pPr>
      <w:numPr>
        <w:numId w:val="18"/>
      </w:numPr>
    </w:pPr>
    <w:rPr>
      <w:rFonts w:eastAsia="MS PGothic"/>
      <w:noProof/>
    </w:rPr>
  </w:style>
  <w:style w:type="paragraph" w:customStyle="1" w:styleId="ListNumberLevel2">
    <w:name w:val="List Number (Level 2)"/>
    <w:basedOn w:val="Normal"/>
    <w:pPr>
      <w:numPr>
        <w:ilvl w:val="1"/>
        <w:numId w:val="17"/>
      </w:numPr>
      <w:spacing w:before="120" w:after="120" w:line="240" w:lineRule="auto"/>
      <w:jc w:val="both"/>
    </w:pPr>
    <w:rPr>
      <w:rFonts w:ascii="Times New Roman" w:eastAsia="Times New Roman" w:hAnsi="Times New Roman"/>
      <w:sz w:val="24"/>
      <w:szCs w:val="24"/>
    </w:rPr>
  </w:style>
  <w:style w:type="paragraph" w:customStyle="1" w:styleId="ListNumber1Level2">
    <w:name w:val="List Number 1 (Level 2)"/>
    <w:basedOn w:val="Text1"/>
    <w:pPr>
      <w:numPr>
        <w:ilvl w:val="1"/>
        <w:numId w:val="18"/>
      </w:numPr>
    </w:pPr>
    <w:rPr>
      <w:rFonts w:eastAsia="MS PGothic"/>
      <w:noProof/>
    </w:rPr>
  </w:style>
  <w:style w:type="paragraph" w:customStyle="1" w:styleId="ListNumber2Level2">
    <w:name w:val="List Number 2 (Level 2)"/>
    <w:basedOn w:val="Text2"/>
    <w:pPr>
      <w:numPr>
        <w:ilvl w:val="1"/>
        <w:numId w:val="19"/>
      </w:numPr>
    </w:pPr>
  </w:style>
  <w:style w:type="paragraph" w:customStyle="1" w:styleId="ListNumber3Level2">
    <w:name w:val="List Number 3 (Level 2)"/>
    <w:basedOn w:val="Text3"/>
    <w:pPr>
      <w:numPr>
        <w:ilvl w:val="1"/>
        <w:numId w:val="20"/>
      </w:numPr>
    </w:pPr>
  </w:style>
  <w:style w:type="paragraph" w:customStyle="1" w:styleId="ListNumber4Level2">
    <w:name w:val="List Number 4 (Level 2)"/>
    <w:basedOn w:val="Text4"/>
    <w:pPr>
      <w:numPr>
        <w:ilvl w:val="1"/>
        <w:numId w:val="21"/>
      </w:numPr>
    </w:pPr>
  </w:style>
  <w:style w:type="paragraph" w:customStyle="1" w:styleId="ListNumberLevel3">
    <w:name w:val="List Number (Level 3)"/>
    <w:basedOn w:val="Normal"/>
    <w:pPr>
      <w:numPr>
        <w:ilvl w:val="2"/>
        <w:numId w:val="17"/>
      </w:numPr>
      <w:spacing w:before="120" w:after="120" w:line="240" w:lineRule="auto"/>
      <w:jc w:val="both"/>
    </w:pPr>
    <w:rPr>
      <w:rFonts w:ascii="Times New Roman" w:eastAsia="Times New Roman" w:hAnsi="Times New Roman"/>
      <w:sz w:val="24"/>
      <w:szCs w:val="24"/>
    </w:rPr>
  </w:style>
  <w:style w:type="paragraph" w:customStyle="1" w:styleId="ListNumber1Level3">
    <w:name w:val="List Number 1 (Level 3)"/>
    <w:basedOn w:val="Text1"/>
    <w:pPr>
      <w:numPr>
        <w:ilvl w:val="2"/>
        <w:numId w:val="18"/>
      </w:numPr>
    </w:pPr>
    <w:rPr>
      <w:rFonts w:eastAsia="MS PGothic"/>
      <w:noProof/>
    </w:rPr>
  </w:style>
  <w:style w:type="paragraph" w:customStyle="1" w:styleId="ListNumber2Level3">
    <w:name w:val="List Number 2 (Level 3)"/>
    <w:basedOn w:val="Text2"/>
    <w:pPr>
      <w:numPr>
        <w:ilvl w:val="2"/>
        <w:numId w:val="19"/>
      </w:numPr>
    </w:pPr>
  </w:style>
  <w:style w:type="paragraph" w:customStyle="1" w:styleId="ListNumber3Level3">
    <w:name w:val="List Number 3 (Level 3)"/>
    <w:basedOn w:val="Text3"/>
    <w:pPr>
      <w:numPr>
        <w:ilvl w:val="2"/>
        <w:numId w:val="20"/>
      </w:numPr>
    </w:pPr>
  </w:style>
  <w:style w:type="paragraph" w:customStyle="1" w:styleId="ListNumber4Level3">
    <w:name w:val="List Number 4 (Level 3)"/>
    <w:basedOn w:val="Text4"/>
    <w:pPr>
      <w:numPr>
        <w:ilvl w:val="2"/>
        <w:numId w:val="21"/>
      </w:numPr>
    </w:pPr>
  </w:style>
  <w:style w:type="paragraph" w:customStyle="1" w:styleId="ListNumberLevel4">
    <w:name w:val="List Number (Level 4)"/>
    <w:basedOn w:val="Normal"/>
    <w:pPr>
      <w:numPr>
        <w:ilvl w:val="3"/>
        <w:numId w:val="17"/>
      </w:numPr>
      <w:spacing w:before="120" w:after="120" w:line="240" w:lineRule="auto"/>
      <w:jc w:val="both"/>
    </w:pPr>
    <w:rPr>
      <w:rFonts w:ascii="Times New Roman" w:eastAsia="Times New Roman" w:hAnsi="Times New Roman"/>
      <w:sz w:val="24"/>
      <w:szCs w:val="24"/>
    </w:rPr>
  </w:style>
  <w:style w:type="paragraph" w:customStyle="1" w:styleId="ListNumber1Level4">
    <w:name w:val="List Number 1 (Level 4)"/>
    <w:basedOn w:val="Text1"/>
    <w:pPr>
      <w:numPr>
        <w:ilvl w:val="3"/>
        <w:numId w:val="18"/>
      </w:numPr>
    </w:pPr>
    <w:rPr>
      <w:rFonts w:eastAsia="MS PGothic"/>
      <w:noProof/>
    </w:rPr>
  </w:style>
  <w:style w:type="paragraph" w:customStyle="1" w:styleId="ListNumber2Level4">
    <w:name w:val="List Number 2 (Level 4)"/>
    <w:basedOn w:val="Text2"/>
    <w:pPr>
      <w:numPr>
        <w:ilvl w:val="3"/>
        <w:numId w:val="19"/>
      </w:numPr>
    </w:pPr>
  </w:style>
  <w:style w:type="paragraph" w:customStyle="1" w:styleId="ListNumber3Level4">
    <w:name w:val="List Number 3 (Level 4)"/>
    <w:basedOn w:val="Text3"/>
    <w:pPr>
      <w:numPr>
        <w:ilvl w:val="3"/>
        <w:numId w:val="20"/>
      </w:numPr>
    </w:pPr>
  </w:style>
  <w:style w:type="paragraph" w:customStyle="1" w:styleId="ListNumber4Level4">
    <w:name w:val="List Number 4 (Level 4)"/>
    <w:basedOn w:val="Text4"/>
    <w:pPr>
      <w:numPr>
        <w:ilvl w:val="3"/>
        <w:numId w:val="21"/>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b/>
      <w:sz w:val="24"/>
      <w:szCs w:val="20"/>
    </w:rPr>
  </w:style>
  <w:style w:type="paragraph" w:customStyle="1" w:styleId="Fichefinanciretextetable">
    <w:name w:val="Fiche financière texte (table)"/>
    <w:basedOn w:val="Normal"/>
    <w:pPr>
      <w:spacing w:after="0" w:line="240" w:lineRule="auto"/>
    </w:pPr>
    <w:rPr>
      <w:rFonts w:ascii="Times New Roman" w:eastAsia="Times New Roman" w:hAnsi="Times New Roman"/>
      <w:sz w:val="20"/>
      <w:szCs w:val="20"/>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b/>
      <w:sz w:val="40"/>
      <w:szCs w:val="20"/>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b/>
      <w:sz w:val="40"/>
      <w:szCs w:val="20"/>
    </w:rPr>
  </w:style>
  <w:style w:type="character" w:styleId="PageNumber">
    <w:name w:val="page number"/>
    <w:rPr>
      <w:rFonts w:cs="Times New Roman"/>
      <w:shd w:val="clear" w:color="auto" w:fill="auto"/>
    </w:rPr>
  </w:style>
  <w:style w:type="paragraph" w:styleId="ListBullet5">
    <w:name w:val="List Bullet 5"/>
    <w:basedOn w:val="Normal"/>
    <w:autoRedefine/>
    <w:pPr>
      <w:numPr>
        <w:numId w:val="14"/>
      </w:numPr>
      <w:tabs>
        <w:tab w:val="clear" w:pos="1492"/>
        <w:tab w:val="num" w:pos="360"/>
      </w:tabs>
      <w:spacing w:after="240" w:line="240" w:lineRule="auto"/>
      <w:ind w:left="360"/>
      <w:jc w:val="both"/>
    </w:pPr>
    <w:rPr>
      <w:rFonts w:ascii="Times New Roman" w:eastAsia="Times New Roman" w:hAnsi="Times New Roman"/>
      <w:sz w:val="24"/>
      <w:szCs w:val="20"/>
    </w:rPr>
  </w:style>
  <w:style w:type="paragraph" w:styleId="ListNumber5">
    <w:name w:val="List Number 5"/>
    <w:basedOn w:val="Normal"/>
    <w:pPr>
      <w:numPr>
        <w:numId w:val="15"/>
      </w:numPr>
      <w:tabs>
        <w:tab w:val="clear" w:pos="1492"/>
        <w:tab w:val="num" w:pos="643"/>
      </w:tabs>
      <w:spacing w:after="240" w:line="240" w:lineRule="auto"/>
      <w:ind w:left="643"/>
      <w:jc w:val="both"/>
    </w:pPr>
    <w:rPr>
      <w:rFonts w:ascii="Times New Roman" w:eastAsia="Times New Roman" w:hAnsi="Times New Roman"/>
      <w:sz w:val="24"/>
      <w:szCs w:val="20"/>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sz w:val="24"/>
      <w:szCs w:val="20"/>
    </w:rPr>
  </w:style>
  <w:style w:type="character" w:customStyle="1" w:styleId="DocumentMapChar">
    <w:name w:val="Document Map Char"/>
    <w:link w:val="DocumentMap"/>
    <w:semiHidden/>
    <w:rPr>
      <w:rFonts w:ascii="Tahoma" w:eastAsia="Times New Roman" w:hAnsi="Tahoma"/>
      <w:sz w:val="24"/>
      <w:shd w:val="clear" w:color="auto" w:fill="000080"/>
      <w:lang w:eastAsia="da-DK"/>
    </w:rPr>
  </w:style>
  <w:style w:type="character" w:styleId="Hyperlink">
    <w:name w:val="Hyperlink"/>
    <w:uiPriority w:val="99"/>
    <w:rPr>
      <w:rFonts w:cs="Times New Roman"/>
      <w:color w:val="0000FF"/>
      <w:u w:val="single"/>
      <w:shd w:val="clear" w:color="auto" w:fill="auto"/>
    </w:rPr>
  </w:style>
  <w:style w:type="paragraph" w:customStyle="1" w:styleId="AddressTL">
    <w:name w:val="AddressTL"/>
    <w:basedOn w:val="Normal"/>
    <w:next w:val="Normal"/>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Pr>
      <w:rFonts w:ascii="Times New Roman" w:eastAsia="Times New Roman" w:hAnsi="Times New Roman"/>
      <w:sz w:val="24"/>
      <w:lang w:eastAsia="da-DK"/>
    </w:rPr>
  </w:style>
  <w:style w:type="paragraph" w:styleId="BodyText2">
    <w:name w:val="Body Text 2"/>
    <w:basedOn w:val="Normal"/>
    <w:link w:val="BodyText2Char"/>
    <w:pPr>
      <w:spacing w:after="120" w:line="480" w:lineRule="auto"/>
      <w:jc w:val="both"/>
    </w:pPr>
    <w:rPr>
      <w:rFonts w:ascii="Times New Roman" w:eastAsia="Times New Roman" w:hAnsi="Times New Roman"/>
      <w:sz w:val="24"/>
      <w:szCs w:val="20"/>
    </w:rPr>
  </w:style>
  <w:style w:type="character" w:customStyle="1" w:styleId="BodyText2Char">
    <w:name w:val="Body Text 2 Char"/>
    <w:link w:val="BodyText2"/>
    <w:rPr>
      <w:rFonts w:ascii="Times New Roman" w:eastAsia="Times New Roman" w:hAnsi="Times New Roman"/>
      <w:sz w:val="24"/>
      <w:lang w:eastAsia="da-DK"/>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link w:val="BodyText3"/>
    <w:rPr>
      <w:rFonts w:ascii="Times New Roman" w:eastAsia="Times New Roman" w:hAnsi="Times New Roman"/>
      <w:sz w:val="16"/>
      <w:lang w:eastAsia="da-D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eastAsia="Times New Roman" w:hAnsi="Times New Roman"/>
      <w:sz w:val="24"/>
      <w:lang w:eastAsia="da-DK"/>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sz w:val="24"/>
      <w:szCs w:val="20"/>
    </w:rPr>
  </w:style>
  <w:style w:type="character" w:customStyle="1" w:styleId="BodyTextIndentChar">
    <w:name w:val="Body Text Indent Char"/>
    <w:link w:val="BodyTextIndent"/>
    <w:rPr>
      <w:rFonts w:ascii="Times New Roman" w:eastAsia="Times New Roman" w:hAnsi="Times New Roman"/>
      <w:sz w:val="24"/>
      <w:lang w:eastAsia="da-D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eastAsia="Times New Roman" w:hAnsi="Times New Roman"/>
      <w:sz w:val="24"/>
      <w:lang w:eastAsia="da-DK"/>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sz w:val="24"/>
      <w:szCs w:val="20"/>
    </w:rPr>
  </w:style>
  <w:style w:type="character" w:customStyle="1" w:styleId="BodyTextIndent2Char">
    <w:name w:val="Body Text Indent 2 Char"/>
    <w:link w:val="BodyTextIndent2"/>
    <w:rPr>
      <w:rFonts w:ascii="Times New Roman" w:eastAsia="Times New Roman" w:hAnsi="Times New Roman"/>
      <w:sz w:val="24"/>
      <w:lang w:eastAsia="da-DK"/>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sz w:val="16"/>
      <w:szCs w:val="20"/>
    </w:rPr>
  </w:style>
  <w:style w:type="character" w:customStyle="1" w:styleId="BodyTextIndent3Char">
    <w:name w:val="Body Text Indent 3 Char"/>
    <w:link w:val="BodyTextIndent3"/>
    <w:rPr>
      <w:rFonts w:ascii="Times New Roman" w:eastAsia="Times New Roman" w:hAnsi="Times New Roman"/>
      <w:sz w:val="16"/>
      <w:lang w:eastAsia="da-DK"/>
    </w:rPr>
  </w:style>
  <w:style w:type="paragraph" w:styleId="Closing">
    <w:name w:val="Closing"/>
    <w:basedOn w:val="Normal"/>
    <w:next w:val="Signature"/>
    <w:link w:val="ClosingChar"/>
    <w:pPr>
      <w:tabs>
        <w:tab w:val="left" w:pos="5103"/>
      </w:tabs>
      <w:spacing w:before="240" w:after="240" w:line="240" w:lineRule="auto"/>
      <w:ind w:left="5103"/>
    </w:pPr>
    <w:rPr>
      <w:rFonts w:ascii="Times New Roman" w:eastAsia="Times New Roman" w:hAnsi="Times New Roman"/>
      <w:sz w:val="24"/>
      <w:szCs w:val="20"/>
    </w:rPr>
  </w:style>
  <w:style w:type="character" w:customStyle="1" w:styleId="ClosingChar">
    <w:name w:val="Closing Char"/>
    <w:link w:val="Closing"/>
    <w:rPr>
      <w:rFonts w:ascii="Times New Roman" w:eastAsia="Times New Roman" w:hAnsi="Times New Roman"/>
      <w:sz w:val="24"/>
      <w:lang w:eastAsia="da-DK"/>
    </w:rPr>
  </w:style>
  <w:style w:type="paragraph" w:styleId="Signature">
    <w:name w:val="Signature"/>
    <w:basedOn w:val="Normal"/>
    <w:next w:val="Contact"/>
    <w:link w:val="SignatureChar"/>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SignatureChar">
    <w:name w:val="Signature Char"/>
    <w:link w:val="Signature"/>
    <w:rPr>
      <w:rFonts w:ascii="Times New Roman" w:eastAsia="Times New Roman" w:hAnsi="Times New Roman"/>
      <w:sz w:val="24"/>
      <w:lang w:eastAsia="da-DK"/>
    </w:rPr>
  </w:style>
  <w:style w:type="paragraph" w:customStyle="1" w:styleId="Contact">
    <w:name w:val="Contact"/>
    <w:basedOn w:val="Normal"/>
    <w:next w:val="Enclosures"/>
    <w:pPr>
      <w:spacing w:before="480" w:after="0" w:line="240" w:lineRule="auto"/>
      <w:ind w:left="567" w:hanging="567"/>
    </w:pPr>
    <w:rPr>
      <w:rFonts w:ascii="Times New Roman" w:eastAsia="Times New Roman" w:hAnsi="Times New Roman"/>
      <w:sz w:val="24"/>
      <w:szCs w:val="20"/>
    </w:rPr>
  </w:style>
  <w:style w:type="paragraph" w:customStyle="1" w:styleId="Enclosures">
    <w:name w:val="Enclosures"/>
    <w:basedOn w:val="Normal"/>
    <w:next w:val="Participants"/>
    <w:pPr>
      <w:keepNext/>
      <w:keepLines/>
      <w:tabs>
        <w:tab w:val="left" w:pos="5642"/>
      </w:tabs>
      <w:spacing w:before="480" w:after="0" w:line="240" w:lineRule="auto"/>
      <w:ind w:left="1792" w:hanging="1792"/>
    </w:pPr>
    <w:rPr>
      <w:rFonts w:ascii="Times New Roman" w:eastAsia="Times New Roman" w:hAnsi="Times New Roman"/>
      <w:sz w:val="24"/>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sz w:val="24"/>
      <w:lang w:eastAsia="da-DK"/>
    </w:rPr>
  </w:style>
  <w:style w:type="paragraph" w:customStyle="1" w:styleId="References">
    <w:name w:val="References"/>
    <w:basedOn w:val="Normal"/>
    <w:next w:val="AddressTR"/>
    <w:pPr>
      <w:spacing w:after="240" w:line="240" w:lineRule="auto"/>
      <w:ind w:left="5103"/>
    </w:pPr>
    <w:rPr>
      <w:rFonts w:ascii="Times New Roman" w:eastAsia="Times New Roman" w:hAnsi="Times New Roman"/>
      <w:sz w:val="20"/>
      <w:szCs w:val="20"/>
    </w:rPr>
  </w:style>
  <w:style w:type="paragraph" w:customStyle="1" w:styleId="DoubSign">
    <w:name w:val="DoubSign"/>
    <w:basedOn w:val="Normal"/>
    <w:next w:val="Contact"/>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sz w:val="20"/>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sz w:val="24"/>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
    <w:name w:val="Macro Text Char"/>
    <w:link w:val="MacroText"/>
    <w:semiHidden/>
    <w:rPr>
      <w:rFonts w:ascii="Courier New" w:eastAsia="Times New Roman" w:hAnsi="Courier New"/>
      <w:lang w:eastAsia="da-D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MessageHeaderChar">
    <w:name w:val="Message Header Char"/>
    <w:link w:val="MessageHeader"/>
    <w:rPr>
      <w:rFonts w:ascii="Arial" w:eastAsia="Times New Roman" w:hAnsi="Arial"/>
      <w:sz w:val="24"/>
      <w:shd w:val="pct20" w:color="auto" w:fill="auto"/>
      <w:lang w:eastAsia="da-DK"/>
    </w:rPr>
  </w:style>
  <w:style w:type="paragraph" w:styleId="NormalIndent">
    <w:name w:val="Normal Indent"/>
    <w:basedOn w:val="Normal"/>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sz w:val="24"/>
      <w:szCs w:val="20"/>
    </w:rPr>
  </w:style>
  <w:style w:type="character" w:customStyle="1" w:styleId="NoteHeadingChar">
    <w:name w:val="Note Heading Char"/>
    <w:link w:val="NoteHeading"/>
    <w:rPr>
      <w:rFonts w:ascii="Times New Roman" w:eastAsia="Times New Roman" w:hAnsi="Times New Roman"/>
      <w:sz w:val="24"/>
      <w:lang w:eastAsia="da-DK"/>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pPr>
      <w:spacing w:after="480" w:line="240" w:lineRule="auto"/>
      <w:ind w:left="1191" w:hanging="1191"/>
    </w:pPr>
    <w:rPr>
      <w:rFonts w:ascii="Times New Roman" w:eastAsia="Times New Roman" w:hAnsi="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sz w:val="20"/>
      <w:szCs w:val="20"/>
    </w:rPr>
  </w:style>
  <w:style w:type="character" w:customStyle="1" w:styleId="PlainTextChar">
    <w:name w:val="Plain Text Char"/>
    <w:link w:val="PlainText"/>
    <w:uiPriority w:val="99"/>
    <w:rPr>
      <w:rFonts w:ascii="Courier New" w:eastAsia="Times New Roman" w:hAnsi="Courier New"/>
      <w:lang w:eastAsia="da-DK"/>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sz w:val="24"/>
      <w:szCs w:val="20"/>
    </w:rPr>
  </w:style>
  <w:style w:type="character" w:customStyle="1" w:styleId="SalutationChar">
    <w:name w:val="Salutation Char"/>
    <w:link w:val="Salutation"/>
    <w:rPr>
      <w:rFonts w:ascii="Times New Roman" w:eastAsia="Times New Roman" w:hAnsi="Times New Roman"/>
      <w:sz w:val="24"/>
      <w:lang w:eastAsia="da-DK"/>
    </w:rPr>
  </w:style>
  <w:style w:type="paragraph" w:styleId="Subtitle">
    <w:name w:val="Subtitle"/>
    <w:basedOn w:val="Normal"/>
    <w:link w:val="SubtitleChar"/>
    <w:qFormat/>
    <w:pPr>
      <w:spacing w:after="60" w:line="240" w:lineRule="auto"/>
      <w:jc w:val="center"/>
      <w:outlineLvl w:val="1"/>
    </w:pPr>
    <w:rPr>
      <w:rFonts w:ascii="Arial" w:eastAsia="Times New Roman" w:hAnsi="Arial"/>
      <w:sz w:val="24"/>
      <w:szCs w:val="20"/>
    </w:rPr>
  </w:style>
  <w:style w:type="character" w:customStyle="1" w:styleId="SubtitleChar">
    <w:name w:val="Subtitle Char"/>
    <w:link w:val="Subtitle"/>
    <w:rPr>
      <w:rFonts w:ascii="Arial" w:eastAsia="Times New Roman" w:hAnsi="Arial"/>
      <w:sz w:val="24"/>
      <w:lang w:eastAsia="da-DK"/>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rPr>
      <w:rFonts w:ascii="Arial" w:eastAsia="Times New Roman" w:hAnsi="Arial"/>
      <w:b/>
      <w:kern w:val="28"/>
      <w:sz w:val="32"/>
      <w:lang w:eastAsia="da-DK"/>
    </w:rPr>
  </w:style>
  <w:style w:type="paragraph" w:customStyle="1" w:styleId="YReferences">
    <w:name w:val="YReferences"/>
    <w:basedOn w:val="Normal"/>
    <w:next w:val="Normal"/>
    <w:pPr>
      <w:spacing w:after="480" w:line="240" w:lineRule="auto"/>
      <w:ind w:left="1191" w:hanging="1191"/>
      <w:jc w:val="both"/>
    </w:pPr>
    <w:rPr>
      <w:rFonts w:ascii="Times New Roman" w:eastAsia="Times New Roman" w:hAnsi="Times New Roman"/>
      <w:sz w:val="24"/>
      <w:szCs w:val="20"/>
    </w:rPr>
  </w:style>
  <w:style w:type="paragraph" w:customStyle="1" w:styleId="DisclaimerNotice">
    <w:name w:val="Disclaimer Notice"/>
    <w:basedOn w:val="Normal"/>
    <w:next w:val="AddressTR"/>
    <w:pPr>
      <w:spacing w:after="240" w:line="240" w:lineRule="auto"/>
      <w:ind w:left="5103"/>
    </w:pPr>
    <w:rPr>
      <w:rFonts w:ascii="Times New Roman" w:eastAsia="Times New Roman" w:hAnsi="Times New Roman"/>
      <w:b/>
      <w:smallCaps/>
      <w:sz w:val="20"/>
      <w:szCs w:val="20"/>
      <w:u w:val="single"/>
    </w:rPr>
  </w:style>
  <w:style w:type="paragraph" w:customStyle="1" w:styleId="Disclaimer">
    <w:name w:val="Disclaimer"/>
    <w:basedOn w:val="Normal"/>
    <w:pPr>
      <w:keepLines/>
      <w:pBdr>
        <w:top w:val="single" w:sz="4" w:space="1" w:color="auto"/>
      </w:pBdr>
      <w:spacing w:before="480" w:after="0" w:line="240" w:lineRule="auto"/>
      <w:jc w:val="both"/>
    </w:pPr>
    <w:rPr>
      <w:rFonts w:ascii="Times New Roman" w:eastAsia="Times New Roman" w:hAnsi="Times New Roman"/>
      <w:i/>
      <w:sz w:val="24"/>
      <w:szCs w:val="20"/>
    </w:rPr>
  </w:style>
  <w:style w:type="character" w:styleId="FollowedHyperlink">
    <w:name w:val="FollowedHyperlink"/>
    <w:rPr>
      <w:rFonts w:cs="Times New Roman"/>
      <w:color w:val="800080"/>
      <w:u w:val="single"/>
      <w:shd w:val="clear" w:color="auto" w:fill="auto"/>
    </w:rPr>
  </w:style>
  <w:style w:type="paragraph" w:customStyle="1" w:styleId="DisclaimerSJ">
    <w:name w:val="Disclaimer_SJ"/>
    <w:basedOn w:val="Normal"/>
    <w:next w:val="Normal"/>
    <w:pPr>
      <w:spacing w:after="0" w:line="240" w:lineRule="auto"/>
      <w:jc w:val="both"/>
    </w:pPr>
    <w:rPr>
      <w:rFonts w:ascii="Arial" w:eastAsia="Times New Roman" w:hAnsi="Arial"/>
      <w:b/>
      <w:sz w:val="16"/>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sz w:val="24"/>
      <w:szCs w:val="20"/>
    </w:rPr>
  </w:style>
  <w:style w:type="paragraph" w:customStyle="1" w:styleId="ZDGName">
    <w:name w:val="Z_DGName"/>
    <w:basedOn w:val="Normal"/>
    <w:pPr>
      <w:widowControl w:val="0"/>
      <w:spacing w:after="0" w:line="240" w:lineRule="auto"/>
      <w:ind w:right="85"/>
    </w:pPr>
    <w:rPr>
      <w:rFonts w:ascii="Arial" w:eastAsia="Times New Roman" w:hAnsi="Arial"/>
      <w:sz w:val="16"/>
      <w:szCs w:val="20"/>
    </w:rPr>
  </w:style>
  <w:style w:type="paragraph" w:customStyle="1" w:styleId="Style91">
    <w:name w:val="Style91"/>
    <w:rPr>
      <w:rFonts w:ascii="Arial" w:eastAsia="Times New Roman" w:hAnsi="Arial"/>
      <w:sz w:val="24"/>
    </w:rPr>
  </w:style>
  <w:style w:type="paragraph" w:customStyle="1" w:styleId="texte">
    <w:name w:val="texte"/>
    <w:basedOn w:val="Normal"/>
    <w:pPr>
      <w:spacing w:before="100" w:beforeAutospacing="1" w:after="100" w:afterAutospacing="1" w:line="240" w:lineRule="auto"/>
      <w:jc w:val="both"/>
    </w:pPr>
    <w:rPr>
      <w:rFonts w:ascii="Arial" w:eastAsia="Times New Roman" w:hAnsi="Arial" w:cs="Arial"/>
      <w:color w:val="333399"/>
      <w:sz w:val="18"/>
      <w:szCs w:val="18"/>
    </w:rPr>
  </w:style>
  <w:style w:type="table" w:styleId="TableGrid">
    <w:name w:val="Table Grid"/>
    <w:basedOn w:val="TableNormal"/>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Pr>
      <w:rFonts w:ascii="Times New Roman" w:eastAsia="Times New Roman" w:hAnsi="Times New Roman"/>
      <w:lang w:eastAsia="da-DK"/>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b/>
      <w:bCs/>
      <w:lang w:eastAsia="da-DK"/>
    </w:rPr>
  </w:style>
  <w:style w:type="paragraph" w:styleId="BalloonText">
    <w:name w:val="Balloon Text"/>
    <w:basedOn w:val="Normal"/>
    <w:link w:val="BalloonTextChar"/>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da-DK"/>
    </w:rPr>
  </w:style>
  <w:style w:type="paragraph" w:customStyle="1" w:styleId="Style1">
    <w:name w:val="Style1"/>
    <w:basedOn w:val="Heading1"/>
    <w:pPr>
      <w:numPr>
        <w:numId w:val="0"/>
      </w:numPr>
      <w:tabs>
        <w:tab w:val="left" w:pos="709"/>
      </w:tabs>
      <w:spacing w:before="240" w:after="0"/>
      <w:ind w:left="851" w:hanging="851"/>
      <w:jc w:val="left"/>
    </w:pPr>
    <w:rPr>
      <w:bCs w:val="0"/>
      <w:szCs w:val="20"/>
    </w:rPr>
  </w:style>
  <w:style w:type="paragraph" w:customStyle="1" w:styleId="Normal10pt">
    <w:name w:val="Normal + 10 pt"/>
    <w:aliases w:val="Condensed by  0,15 pt"/>
    <w:basedOn w:val="Normal"/>
    <w:pPr>
      <w:keepNext/>
      <w:suppressAutoHyphens/>
      <w:spacing w:after="0" w:line="240" w:lineRule="auto"/>
      <w:ind w:left="255"/>
    </w:pPr>
    <w:rPr>
      <w:rFonts w:ascii="Times New Roman" w:eastAsia="Times New Roman" w:hAnsi="Times New Roman"/>
      <w:spacing w:val="-3"/>
      <w:sz w:val="18"/>
      <w:szCs w:val="18"/>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pacing w:val="-2"/>
      <w:sz w:val="22"/>
    </w:rPr>
  </w:style>
  <w:style w:type="character" w:styleId="Emphasis">
    <w:name w:val="Emphasis"/>
    <w:qFormat/>
    <w:rPr>
      <w:rFonts w:cs="Times New Roman"/>
      <w:i/>
      <w:iCs/>
      <w:shd w:val="clear" w:color="auto" w:fill="auto"/>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da-DK"/>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sz w:val="24"/>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sz w:val="24"/>
      <w:szCs w:val="20"/>
    </w:rPr>
  </w:style>
  <w:style w:type="paragraph" w:styleId="TOAHeading">
    <w:name w:val="toa heading"/>
    <w:basedOn w:val="Normal"/>
    <w:next w:val="Normal"/>
    <w:semiHidden/>
    <w:pPr>
      <w:spacing w:before="120" w:after="240" w:line="240" w:lineRule="auto"/>
      <w:jc w:val="both"/>
    </w:pPr>
    <w:rPr>
      <w:rFonts w:ascii="Arial" w:eastAsia="Times New Roman" w:hAnsi="Arial"/>
      <w:b/>
      <w:sz w:val="24"/>
      <w:szCs w:val="20"/>
    </w:rPr>
  </w:style>
  <w:style w:type="paragraph" w:customStyle="1" w:styleId="Heading">
    <w:name w:val="Heading"/>
    <w:basedOn w:val="Heading1"/>
    <w:pPr>
      <w:numPr>
        <w:numId w:val="0"/>
      </w:numPr>
      <w:tabs>
        <w:tab w:val="num" w:pos="480"/>
        <w:tab w:val="left" w:pos="709"/>
      </w:tabs>
      <w:spacing w:before="240"/>
      <w:ind w:left="480" w:hanging="480"/>
    </w:pPr>
    <w:rPr>
      <w:bCs w:val="0"/>
      <w:sz w:val="22"/>
      <w:szCs w:val="22"/>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pPr>
      <w:spacing w:before="60" w:after="60" w:line="240" w:lineRule="auto"/>
    </w:pPr>
    <w:rPr>
      <w:rFonts w:ascii="Times New Roman" w:eastAsia="Times New Roman" w:hAnsi="Times New Roman"/>
      <w:sz w:val="20"/>
      <w:szCs w:val="2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ascii="Times New Roman" w:eastAsia="Times New Roman" w:hAnsi="Times New Roman"/>
      <w:sz w:val="24"/>
      <w:szCs w:val="20"/>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character" w:styleId="Strong">
    <w:name w:val="Strong"/>
    <w:qFormat/>
    <w:rPr>
      <w:rFonts w:cs="Times New Roman"/>
      <w:b/>
      <w:bCs/>
      <w:shd w:val="clear" w:color="auto" w:fill="auto"/>
    </w:rPr>
  </w:style>
  <w:style w:type="paragraph" w:customStyle="1" w:styleId="Annexetitrefichefinacte">
    <w:name w:val="Annexe titre (fiche fin. acte)"/>
    <w:basedOn w:val="Normal"/>
    <w:next w:val="Normal"/>
    <w:pPr>
      <w:spacing w:before="120" w:after="120" w:line="240" w:lineRule="auto"/>
      <w:jc w:val="center"/>
    </w:pPr>
    <w:rPr>
      <w:rFonts w:ascii="Times New Roman" w:eastAsia="Times New Roman" w:hAnsi="Times New Roman"/>
      <w:b/>
      <w:sz w:val="24"/>
      <w:szCs w:val="24"/>
      <w:u w:val="single"/>
    </w:rPr>
  </w:style>
  <w:style w:type="numbering" w:styleId="111111">
    <w:name w:val="Outline List 2"/>
    <w:basedOn w:val="NoList"/>
    <w:pPr>
      <w:numPr>
        <w:numId w:val="16"/>
      </w:numPr>
    </w:pPr>
  </w:style>
  <w:style w:type="character" w:customStyle="1" w:styleId="Text1Char">
    <w:name w:val="Text 1 Char"/>
    <w:link w:val="Text1"/>
    <w:locked/>
    <w:rPr>
      <w:rFonts w:ascii="Times New Roman" w:eastAsia="Times New Roman" w:hAnsi="Times New Roman"/>
      <w:sz w:val="24"/>
      <w:szCs w:val="24"/>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rPr>
      <w:rFonts w:ascii="Times New Roman" w:eastAsia="Times New Roman" w:hAnsi="Times New Roman"/>
      <w:b/>
      <w:sz w:val="28"/>
      <w:szCs w:val="24"/>
      <w:lang w:eastAsia="da-DK"/>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qFormat/>
    <w:pPr>
      <w:keepNext/>
      <w:numPr>
        <w:numId w:val="32"/>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qFormat/>
    <w:pPr>
      <w:keepNext/>
      <w:numPr>
        <w:ilvl w:val="1"/>
        <w:numId w:val="32"/>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qFormat/>
    <w:pPr>
      <w:keepNext/>
      <w:numPr>
        <w:ilvl w:val="2"/>
        <w:numId w:val="32"/>
      </w:numPr>
      <w:spacing w:before="120" w:after="120" w:line="240" w:lineRule="auto"/>
      <w:jc w:val="both"/>
      <w:outlineLvl w:val="2"/>
    </w:pPr>
    <w:rPr>
      <w:rFonts w:ascii="Times New Roman" w:eastAsia="Times New Roman" w:hAnsi="Times New Roman"/>
      <w:i/>
      <w:iCs/>
      <w:noProof/>
      <w:sz w:val="24"/>
      <w:szCs w:val="26"/>
    </w:rPr>
  </w:style>
  <w:style w:type="paragraph" w:styleId="Heading4">
    <w:name w:val="heading 4"/>
    <w:basedOn w:val="Normal"/>
    <w:next w:val="Text1"/>
    <w:link w:val="Heading4Char"/>
    <w:qFormat/>
    <w:pPr>
      <w:keepNext/>
      <w:numPr>
        <w:ilvl w:val="3"/>
        <w:numId w:val="32"/>
      </w:numPr>
      <w:spacing w:before="120" w:after="120" w:line="240" w:lineRule="auto"/>
      <w:jc w:val="both"/>
      <w:outlineLvl w:val="3"/>
    </w:pPr>
    <w:rPr>
      <w:rFonts w:ascii="Times New Roman" w:eastAsia="Times New Roman" w:hAnsi="Times New Roman"/>
      <w:bCs/>
      <w:sz w:val="24"/>
      <w:szCs w:val="28"/>
    </w:rPr>
  </w:style>
  <w:style w:type="paragraph" w:styleId="Heading5">
    <w:name w:val="heading 5"/>
    <w:basedOn w:val="Normal"/>
    <w:next w:val="Normal"/>
    <w:link w:val="Heading5Char"/>
    <w:qFormat/>
    <w:pPr>
      <w:spacing w:before="240" w:after="60" w:line="240" w:lineRule="auto"/>
      <w:jc w:val="both"/>
      <w:outlineLvl w:val="4"/>
    </w:pPr>
    <w:rPr>
      <w:rFonts w:ascii="Arial" w:eastAsia="Times New Roman" w:hAnsi="Arial"/>
      <w:szCs w:val="20"/>
    </w:rPr>
  </w:style>
  <w:style w:type="paragraph" w:styleId="Heading6">
    <w:name w:val="heading 6"/>
    <w:basedOn w:val="Normal"/>
    <w:next w:val="Normal"/>
    <w:link w:val="Heading6Char"/>
    <w:qFormat/>
    <w:p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pPr>
      <w:spacing w:before="240" w:after="60" w:line="240" w:lineRule="auto"/>
      <w:jc w:val="both"/>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line="240" w:lineRule="auto"/>
      <w:jc w:val="both"/>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b/>
      <w:bCs/>
      <w:smallCaps/>
      <w:sz w:val="24"/>
      <w:szCs w:val="32"/>
      <w:lang w:eastAsia="da-DK"/>
    </w:rPr>
  </w:style>
  <w:style w:type="character" w:customStyle="1" w:styleId="Heading2Char">
    <w:name w:val="Heading 2 Char"/>
    <w:link w:val="Heading2"/>
    <w:rPr>
      <w:rFonts w:ascii="Times New Roman" w:eastAsia="Times New Roman" w:hAnsi="Times New Roman"/>
      <w:b/>
      <w:bCs/>
      <w:iCs/>
      <w:sz w:val="24"/>
      <w:szCs w:val="28"/>
      <w:lang w:eastAsia="da-DK"/>
    </w:rPr>
  </w:style>
  <w:style w:type="character" w:customStyle="1" w:styleId="Heading3Char">
    <w:name w:val="Heading 3 Char"/>
    <w:link w:val="Heading3"/>
    <w:rPr>
      <w:rFonts w:ascii="Times New Roman" w:eastAsia="Times New Roman" w:hAnsi="Times New Roman"/>
      <w:i/>
      <w:iCs/>
      <w:noProof/>
      <w:sz w:val="24"/>
      <w:szCs w:val="26"/>
      <w:lang w:eastAsia="da-DK"/>
    </w:rPr>
  </w:style>
  <w:style w:type="character" w:customStyle="1" w:styleId="Heading4Char">
    <w:name w:val="Heading 4 Char"/>
    <w:link w:val="Heading4"/>
    <w:rPr>
      <w:rFonts w:ascii="Times New Roman" w:eastAsia="Times New Roman" w:hAnsi="Times New Roman"/>
      <w:bCs/>
      <w:sz w:val="24"/>
      <w:szCs w:val="28"/>
      <w:lang w:eastAsia="da-DK"/>
    </w:rPr>
  </w:style>
  <w:style w:type="character" w:customStyle="1" w:styleId="Heading5Char">
    <w:name w:val="Heading 5 Char"/>
    <w:link w:val="Heading5"/>
    <w:rPr>
      <w:rFonts w:ascii="Arial" w:eastAsia="Times New Roman" w:hAnsi="Arial"/>
      <w:sz w:val="22"/>
      <w:lang w:eastAsia="da-DK"/>
    </w:rPr>
  </w:style>
  <w:style w:type="character" w:customStyle="1" w:styleId="Heading6Char">
    <w:name w:val="Heading 6 Char"/>
    <w:link w:val="Heading6"/>
    <w:rPr>
      <w:rFonts w:ascii="Arial" w:eastAsia="Times New Roman" w:hAnsi="Arial"/>
      <w:i/>
      <w:sz w:val="22"/>
      <w:lang w:eastAsia="da-DK"/>
    </w:rPr>
  </w:style>
  <w:style w:type="character" w:customStyle="1" w:styleId="Heading7Char">
    <w:name w:val="Heading 7 Char"/>
    <w:link w:val="Heading7"/>
    <w:rPr>
      <w:rFonts w:ascii="Arial" w:eastAsia="Times New Roman" w:hAnsi="Arial"/>
      <w:lang w:eastAsia="da-DK"/>
    </w:rPr>
  </w:style>
  <w:style w:type="character" w:customStyle="1" w:styleId="Heading8Char">
    <w:name w:val="Heading 8 Char"/>
    <w:link w:val="Heading8"/>
    <w:rPr>
      <w:rFonts w:ascii="Arial" w:eastAsia="Times New Roman" w:hAnsi="Arial"/>
      <w:i/>
      <w:lang w:eastAsia="da-DK"/>
    </w:rPr>
  </w:style>
  <w:style w:type="character" w:customStyle="1" w:styleId="Heading9Char">
    <w:name w:val="Heading 9 Char"/>
    <w:link w:val="Heading9"/>
    <w:rPr>
      <w:rFonts w:ascii="Arial" w:eastAsia="Times New Roman" w:hAnsi="Arial"/>
      <w:i/>
      <w:sz w:val="18"/>
      <w:lang w:eastAsia="da-DK"/>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da-DK"/>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da-DK"/>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rPr>
      <w:rFonts w:ascii="Times New Roman" w:eastAsia="Times New Roman" w:hAnsi="Times New Roman"/>
      <w:lang w:eastAsia="da-DK"/>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39"/>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39"/>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39"/>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39"/>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character" w:styleId="FootnoteReference">
    <w:name w:val="footnote reference"/>
    <w:rPr>
      <w:rFonts w:cs="Times New Roman"/>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b/>
      <w:sz w:val="24"/>
      <w:szCs w:val="24"/>
    </w:rPr>
  </w:style>
  <w:style w:type="character" w:customStyle="1" w:styleId="Marker">
    <w:name w:val="Marker"/>
    <w:rPr>
      <w:rFonts w:cs="Times New Roman"/>
      <w:color w:val="0000FF"/>
      <w:shd w:val="clear" w:color="auto" w:fill="auto"/>
    </w:rPr>
  </w:style>
  <w:style w:type="character" w:customStyle="1" w:styleId="Marker1">
    <w:name w:val="Marker1"/>
    <w:rPr>
      <w:rFonts w:cs="Times New Roman"/>
      <w:color w:val="008000"/>
      <w:shd w:val="clear" w:color="auto" w:fill="auto"/>
    </w:rPr>
  </w:style>
  <w:style w:type="character" w:customStyle="1" w:styleId="Marker2">
    <w:name w:val="Marker2"/>
    <w:rPr>
      <w:rFonts w:cs="Times New Roman"/>
      <w:color w:val="FF0000"/>
      <w:shd w:val="clear" w:color="auto" w:fill="auto"/>
    </w:rPr>
  </w:style>
  <w:style w:type="paragraph" w:styleId="TOCHeading">
    <w:name w:val="TOC Heading"/>
    <w:basedOn w:val="Normal"/>
    <w:next w:val="Normal"/>
    <w:link w:val="TOCHeadingChar"/>
    <w:uiPriority w:val="3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pPr>
      <w:numPr>
        <w:numId w:val="7"/>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pPr>
      <w:numPr>
        <w:ilvl w:val="2"/>
        <w:numId w:val="7"/>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pPr>
      <w:numPr>
        <w:ilvl w:val="4"/>
        <w:numId w:val="7"/>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pPr>
      <w:numPr>
        <w:ilvl w:val="6"/>
        <w:numId w:val="7"/>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pPr>
      <w:numPr>
        <w:ilvl w:val="1"/>
        <w:numId w:val="7"/>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pPr>
      <w:numPr>
        <w:ilvl w:val="3"/>
        <w:numId w:val="7"/>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pPr>
      <w:numPr>
        <w:ilvl w:val="5"/>
        <w:numId w:val="7"/>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pPr>
      <w:numPr>
        <w:ilvl w:val="7"/>
        <w:numId w:val="7"/>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pPr>
      <w:numPr>
        <w:ilvl w:val="8"/>
        <w:numId w:val="7"/>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pPr>
      <w:numPr>
        <w:numId w:val="8"/>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pPr>
      <w:numPr>
        <w:numId w:val="9"/>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pPr>
      <w:numPr>
        <w:numId w:val="10"/>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pPr>
      <w:numPr>
        <w:numId w:val="11"/>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pPr>
      <w:numPr>
        <w:numId w:val="12"/>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pPr>
      <w:numPr>
        <w:numId w:val="13"/>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4"/>
    </w:rPr>
  </w:style>
  <w:style w:type="character" w:customStyle="1" w:styleId="Added">
    <w:name w:val="Added"/>
    <w:rPr>
      <w:rFonts w:cs="Times New Roman"/>
      <w:b/>
      <w:u w:val="single"/>
      <w:shd w:val="clear" w:color="auto" w:fill="auto"/>
    </w:rPr>
  </w:style>
  <w:style w:type="character" w:customStyle="1" w:styleId="Deleted">
    <w:name w:val="Deleted"/>
    <w:rPr>
      <w:rFonts w:cs="Times New Roman"/>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i/>
      <w:caps/>
      <w:sz w:val="24"/>
      <w:szCs w:val="24"/>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sz w:val="24"/>
      <w:szCs w:val="24"/>
    </w:rPr>
  </w:style>
  <w:style w:type="paragraph" w:styleId="ListBullet">
    <w:name w:val="List Bullet"/>
    <w:basedOn w:val="Normal"/>
    <w:pPr>
      <w:numPr>
        <w:numId w:val="22"/>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pPr>
      <w:numPr>
        <w:numId w:val="24"/>
      </w:numPr>
      <w:spacing w:before="120" w:after="120" w:line="240" w:lineRule="auto"/>
      <w:jc w:val="both"/>
    </w:pPr>
    <w:rPr>
      <w:rFonts w:ascii="Times New Roman" w:eastAsia="Times New Roman" w:hAnsi="Times New Roman"/>
      <w:sz w:val="24"/>
      <w:szCs w:val="24"/>
    </w:rPr>
  </w:style>
  <w:style w:type="paragraph" w:styleId="ListBullet3">
    <w:name w:val="List Bullet 3"/>
    <w:basedOn w:val="Normal"/>
    <w:pPr>
      <w:numPr>
        <w:numId w:val="25"/>
      </w:numPr>
      <w:spacing w:before="120" w:after="120" w:line="240" w:lineRule="auto"/>
      <w:jc w:val="both"/>
    </w:pPr>
    <w:rPr>
      <w:rFonts w:ascii="Times New Roman" w:eastAsia="Times New Roman" w:hAnsi="Times New Roman"/>
      <w:sz w:val="24"/>
      <w:szCs w:val="24"/>
    </w:rPr>
  </w:style>
  <w:style w:type="paragraph" w:styleId="ListBullet4">
    <w:name w:val="List Bullet 4"/>
    <w:basedOn w:val="Normal"/>
    <w:pPr>
      <w:numPr>
        <w:numId w:val="26"/>
      </w:numPr>
      <w:spacing w:before="120" w:after="120" w:line="240" w:lineRule="auto"/>
      <w:jc w:val="both"/>
    </w:pPr>
    <w:rPr>
      <w:rFonts w:ascii="Times New Roman" w:eastAsia="Times New Roman" w:hAnsi="Times New Roman"/>
      <w:sz w:val="24"/>
      <w:szCs w:val="24"/>
    </w:rPr>
  </w:style>
  <w:style w:type="paragraph" w:styleId="ListNumber">
    <w:name w:val="List Number"/>
    <w:basedOn w:val="Normal"/>
    <w:pPr>
      <w:numPr>
        <w:numId w:val="17"/>
      </w:numPr>
      <w:spacing w:before="120" w:after="120" w:line="240" w:lineRule="auto"/>
      <w:jc w:val="both"/>
    </w:pPr>
    <w:rPr>
      <w:rFonts w:ascii="Times New Roman" w:eastAsia="Times New Roman" w:hAnsi="Times New Roman"/>
      <w:sz w:val="24"/>
      <w:szCs w:val="24"/>
    </w:rPr>
  </w:style>
  <w:style w:type="paragraph" w:styleId="ListNumber2">
    <w:name w:val="List Number 2"/>
    <w:basedOn w:val="Normal"/>
    <w:pPr>
      <w:numPr>
        <w:numId w:val="19"/>
      </w:numPr>
      <w:spacing w:before="120" w:after="120" w:line="240" w:lineRule="auto"/>
      <w:jc w:val="both"/>
    </w:pPr>
    <w:rPr>
      <w:rFonts w:ascii="Times New Roman" w:eastAsia="Times New Roman" w:hAnsi="Times New Roman"/>
      <w:sz w:val="24"/>
      <w:szCs w:val="24"/>
    </w:rPr>
  </w:style>
  <w:style w:type="paragraph" w:styleId="ListNumber3">
    <w:name w:val="List Number 3"/>
    <w:basedOn w:val="Normal"/>
    <w:pPr>
      <w:numPr>
        <w:numId w:val="20"/>
      </w:numPr>
      <w:spacing w:before="120" w:after="120" w:line="240" w:lineRule="auto"/>
      <w:jc w:val="both"/>
    </w:pPr>
    <w:rPr>
      <w:rFonts w:ascii="Times New Roman" w:eastAsia="Times New Roman" w:hAnsi="Times New Roman"/>
      <w:sz w:val="24"/>
      <w:szCs w:val="24"/>
    </w:rPr>
  </w:style>
  <w:style w:type="paragraph" w:styleId="ListNumber4">
    <w:name w:val="List Number 4"/>
    <w:basedOn w:val="Normal"/>
    <w:pPr>
      <w:numPr>
        <w:numId w:val="21"/>
      </w:numPr>
      <w:spacing w:before="120" w:after="120" w:line="240" w:lineRule="auto"/>
      <w:jc w:val="both"/>
    </w:pPr>
    <w:rPr>
      <w:rFonts w:ascii="Times New Roman" w:eastAsia="Times New Roman" w:hAnsi="Times New Roman"/>
      <w:sz w:val="24"/>
      <w:szCs w:val="24"/>
    </w:rPr>
  </w:style>
  <w:style w:type="paragraph" w:customStyle="1" w:styleId="ListBullet1">
    <w:name w:val="List Bullet 1"/>
    <w:basedOn w:val="Normal"/>
    <w:pPr>
      <w:numPr>
        <w:numId w:val="23"/>
      </w:numPr>
      <w:spacing w:before="120" w:after="120" w:line="240" w:lineRule="auto"/>
      <w:jc w:val="both"/>
    </w:pPr>
    <w:rPr>
      <w:rFonts w:ascii="Times New Roman" w:eastAsia="Times New Roman" w:hAnsi="Times New Roman"/>
      <w:sz w:val="24"/>
      <w:szCs w:val="24"/>
    </w:rPr>
  </w:style>
  <w:style w:type="paragraph" w:customStyle="1" w:styleId="ListDash">
    <w:name w:val="List Dash"/>
    <w:basedOn w:val="Normal"/>
    <w:pPr>
      <w:numPr>
        <w:numId w:val="27"/>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al"/>
    <w:pPr>
      <w:numPr>
        <w:numId w:val="28"/>
      </w:numPr>
      <w:spacing w:before="120" w:after="120" w:line="240" w:lineRule="auto"/>
      <w:jc w:val="both"/>
    </w:pPr>
    <w:rPr>
      <w:rFonts w:ascii="Times New Roman" w:eastAsia="Times New Roman" w:hAnsi="Times New Roman"/>
      <w:sz w:val="24"/>
      <w:szCs w:val="24"/>
    </w:rPr>
  </w:style>
  <w:style w:type="paragraph" w:customStyle="1" w:styleId="ListDash2">
    <w:name w:val="List Dash 2"/>
    <w:basedOn w:val="Normal"/>
    <w:pPr>
      <w:numPr>
        <w:numId w:val="29"/>
      </w:numPr>
      <w:spacing w:before="120" w:after="120" w:line="240" w:lineRule="auto"/>
      <w:jc w:val="both"/>
    </w:pPr>
    <w:rPr>
      <w:rFonts w:ascii="Times New Roman" w:eastAsia="Times New Roman" w:hAnsi="Times New Roman"/>
      <w:sz w:val="24"/>
      <w:szCs w:val="24"/>
    </w:rPr>
  </w:style>
  <w:style w:type="paragraph" w:customStyle="1" w:styleId="ListDash3">
    <w:name w:val="List Dash 3"/>
    <w:basedOn w:val="Normal"/>
    <w:pPr>
      <w:numPr>
        <w:numId w:val="30"/>
      </w:numPr>
      <w:spacing w:before="120" w:after="120" w:line="240" w:lineRule="auto"/>
      <w:jc w:val="both"/>
    </w:pPr>
    <w:rPr>
      <w:rFonts w:ascii="Times New Roman" w:eastAsia="Times New Roman" w:hAnsi="Times New Roman"/>
      <w:sz w:val="24"/>
      <w:szCs w:val="24"/>
    </w:rPr>
  </w:style>
  <w:style w:type="paragraph" w:customStyle="1" w:styleId="ListDash4">
    <w:name w:val="List Dash 4"/>
    <w:basedOn w:val="Normal"/>
    <w:pPr>
      <w:numPr>
        <w:numId w:val="31"/>
      </w:numPr>
      <w:spacing w:before="120" w:after="120" w:line="240" w:lineRule="auto"/>
      <w:jc w:val="both"/>
    </w:pPr>
    <w:rPr>
      <w:rFonts w:ascii="Times New Roman" w:eastAsia="Times New Roman" w:hAnsi="Times New Roman"/>
      <w:sz w:val="24"/>
      <w:szCs w:val="24"/>
    </w:rPr>
  </w:style>
  <w:style w:type="paragraph" w:customStyle="1" w:styleId="ListNumber1">
    <w:name w:val="List Number 1"/>
    <w:basedOn w:val="Text1"/>
    <w:pPr>
      <w:numPr>
        <w:numId w:val="18"/>
      </w:numPr>
    </w:pPr>
    <w:rPr>
      <w:rFonts w:eastAsia="MS PGothic"/>
      <w:noProof/>
    </w:rPr>
  </w:style>
  <w:style w:type="paragraph" w:customStyle="1" w:styleId="ListNumberLevel2">
    <w:name w:val="List Number (Level 2)"/>
    <w:basedOn w:val="Normal"/>
    <w:pPr>
      <w:numPr>
        <w:ilvl w:val="1"/>
        <w:numId w:val="17"/>
      </w:numPr>
      <w:spacing w:before="120" w:after="120" w:line="240" w:lineRule="auto"/>
      <w:jc w:val="both"/>
    </w:pPr>
    <w:rPr>
      <w:rFonts w:ascii="Times New Roman" w:eastAsia="Times New Roman" w:hAnsi="Times New Roman"/>
      <w:sz w:val="24"/>
      <w:szCs w:val="24"/>
    </w:rPr>
  </w:style>
  <w:style w:type="paragraph" w:customStyle="1" w:styleId="ListNumber1Level2">
    <w:name w:val="List Number 1 (Level 2)"/>
    <w:basedOn w:val="Text1"/>
    <w:pPr>
      <w:numPr>
        <w:ilvl w:val="1"/>
        <w:numId w:val="18"/>
      </w:numPr>
    </w:pPr>
    <w:rPr>
      <w:rFonts w:eastAsia="MS PGothic"/>
      <w:noProof/>
    </w:rPr>
  </w:style>
  <w:style w:type="paragraph" w:customStyle="1" w:styleId="ListNumber2Level2">
    <w:name w:val="List Number 2 (Level 2)"/>
    <w:basedOn w:val="Text2"/>
    <w:pPr>
      <w:numPr>
        <w:ilvl w:val="1"/>
        <w:numId w:val="19"/>
      </w:numPr>
    </w:pPr>
  </w:style>
  <w:style w:type="paragraph" w:customStyle="1" w:styleId="ListNumber3Level2">
    <w:name w:val="List Number 3 (Level 2)"/>
    <w:basedOn w:val="Text3"/>
    <w:pPr>
      <w:numPr>
        <w:ilvl w:val="1"/>
        <w:numId w:val="20"/>
      </w:numPr>
    </w:pPr>
  </w:style>
  <w:style w:type="paragraph" w:customStyle="1" w:styleId="ListNumber4Level2">
    <w:name w:val="List Number 4 (Level 2)"/>
    <w:basedOn w:val="Text4"/>
    <w:pPr>
      <w:numPr>
        <w:ilvl w:val="1"/>
        <w:numId w:val="21"/>
      </w:numPr>
    </w:pPr>
  </w:style>
  <w:style w:type="paragraph" w:customStyle="1" w:styleId="ListNumberLevel3">
    <w:name w:val="List Number (Level 3)"/>
    <w:basedOn w:val="Normal"/>
    <w:pPr>
      <w:numPr>
        <w:ilvl w:val="2"/>
        <w:numId w:val="17"/>
      </w:numPr>
      <w:spacing w:before="120" w:after="120" w:line="240" w:lineRule="auto"/>
      <w:jc w:val="both"/>
    </w:pPr>
    <w:rPr>
      <w:rFonts w:ascii="Times New Roman" w:eastAsia="Times New Roman" w:hAnsi="Times New Roman"/>
      <w:sz w:val="24"/>
      <w:szCs w:val="24"/>
    </w:rPr>
  </w:style>
  <w:style w:type="paragraph" w:customStyle="1" w:styleId="ListNumber1Level3">
    <w:name w:val="List Number 1 (Level 3)"/>
    <w:basedOn w:val="Text1"/>
    <w:pPr>
      <w:numPr>
        <w:ilvl w:val="2"/>
        <w:numId w:val="18"/>
      </w:numPr>
    </w:pPr>
    <w:rPr>
      <w:rFonts w:eastAsia="MS PGothic"/>
      <w:noProof/>
    </w:rPr>
  </w:style>
  <w:style w:type="paragraph" w:customStyle="1" w:styleId="ListNumber2Level3">
    <w:name w:val="List Number 2 (Level 3)"/>
    <w:basedOn w:val="Text2"/>
    <w:pPr>
      <w:numPr>
        <w:ilvl w:val="2"/>
        <w:numId w:val="19"/>
      </w:numPr>
    </w:pPr>
  </w:style>
  <w:style w:type="paragraph" w:customStyle="1" w:styleId="ListNumber3Level3">
    <w:name w:val="List Number 3 (Level 3)"/>
    <w:basedOn w:val="Text3"/>
    <w:pPr>
      <w:numPr>
        <w:ilvl w:val="2"/>
        <w:numId w:val="20"/>
      </w:numPr>
    </w:pPr>
  </w:style>
  <w:style w:type="paragraph" w:customStyle="1" w:styleId="ListNumber4Level3">
    <w:name w:val="List Number 4 (Level 3)"/>
    <w:basedOn w:val="Text4"/>
    <w:pPr>
      <w:numPr>
        <w:ilvl w:val="2"/>
        <w:numId w:val="21"/>
      </w:numPr>
    </w:pPr>
  </w:style>
  <w:style w:type="paragraph" w:customStyle="1" w:styleId="ListNumberLevel4">
    <w:name w:val="List Number (Level 4)"/>
    <w:basedOn w:val="Normal"/>
    <w:pPr>
      <w:numPr>
        <w:ilvl w:val="3"/>
        <w:numId w:val="17"/>
      </w:numPr>
      <w:spacing w:before="120" w:after="120" w:line="240" w:lineRule="auto"/>
      <w:jc w:val="both"/>
    </w:pPr>
    <w:rPr>
      <w:rFonts w:ascii="Times New Roman" w:eastAsia="Times New Roman" w:hAnsi="Times New Roman"/>
      <w:sz w:val="24"/>
      <w:szCs w:val="24"/>
    </w:rPr>
  </w:style>
  <w:style w:type="paragraph" w:customStyle="1" w:styleId="ListNumber1Level4">
    <w:name w:val="List Number 1 (Level 4)"/>
    <w:basedOn w:val="Text1"/>
    <w:pPr>
      <w:numPr>
        <w:ilvl w:val="3"/>
        <w:numId w:val="18"/>
      </w:numPr>
    </w:pPr>
    <w:rPr>
      <w:rFonts w:eastAsia="MS PGothic"/>
      <w:noProof/>
    </w:rPr>
  </w:style>
  <w:style w:type="paragraph" w:customStyle="1" w:styleId="ListNumber2Level4">
    <w:name w:val="List Number 2 (Level 4)"/>
    <w:basedOn w:val="Text2"/>
    <w:pPr>
      <w:numPr>
        <w:ilvl w:val="3"/>
        <w:numId w:val="19"/>
      </w:numPr>
    </w:pPr>
  </w:style>
  <w:style w:type="paragraph" w:customStyle="1" w:styleId="ListNumber3Level4">
    <w:name w:val="List Number 3 (Level 4)"/>
    <w:basedOn w:val="Text3"/>
    <w:pPr>
      <w:numPr>
        <w:ilvl w:val="3"/>
        <w:numId w:val="20"/>
      </w:numPr>
    </w:pPr>
  </w:style>
  <w:style w:type="paragraph" w:customStyle="1" w:styleId="ListNumber4Level4">
    <w:name w:val="List Number 4 (Level 4)"/>
    <w:basedOn w:val="Text4"/>
    <w:pPr>
      <w:numPr>
        <w:ilvl w:val="3"/>
        <w:numId w:val="21"/>
      </w:numPr>
    </w:pPr>
  </w:style>
  <w:style w:type="paragraph" w:customStyle="1" w:styleId="Rfrenceinterinstitutionelleprliminaire">
    <w:name w:val="Référence interinstitutionelle (préliminaire)"/>
    <w:basedOn w:val="Normal"/>
    <w:next w:val="Normal"/>
    <w:pPr>
      <w:spacing w:after="0" w:line="240" w:lineRule="auto"/>
      <w:ind w:left="5103"/>
    </w:pPr>
    <w:rPr>
      <w:rFonts w:ascii="Times New Roman" w:eastAsia="Times New Roman" w:hAnsi="Times New Roman"/>
      <w:sz w:val="24"/>
      <w:szCs w:val="24"/>
    </w:rPr>
  </w:style>
  <w:style w:type="paragraph" w:customStyle="1" w:styleId="Sous-titreobjetprliminaire">
    <w:name w:val="Sous-titre objet (préliminaire)"/>
    <w:basedOn w:val="Normal"/>
    <w:pPr>
      <w:spacing w:after="0" w:line="240" w:lineRule="auto"/>
      <w:jc w:val="center"/>
    </w:pPr>
    <w:rPr>
      <w:rFonts w:ascii="Times New Roman" w:eastAsia="Times New Roman" w:hAnsi="Times New Roman"/>
      <w:b/>
      <w:sz w:val="24"/>
      <w:szCs w:val="24"/>
    </w:rPr>
  </w:style>
  <w:style w:type="paragraph" w:customStyle="1" w:styleId="Statutprliminaire">
    <w:name w:val="Statut (préliminaire)"/>
    <w:basedOn w:val="Normal"/>
    <w:next w:val="Normal"/>
    <w:pPr>
      <w:spacing w:before="360" w:after="0" w:line="240" w:lineRule="auto"/>
      <w:jc w:val="center"/>
    </w:pPr>
    <w:rPr>
      <w:rFonts w:ascii="Times New Roman" w:eastAsia="Times New Roman" w:hAnsi="Times New Roman"/>
      <w:sz w:val="24"/>
      <w:szCs w:val="24"/>
    </w:rPr>
  </w:style>
  <w:style w:type="paragraph" w:customStyle="1" w:styleId="Titreobjetprliminaire">
    <w:name w:val="Titre objet (préliminaire)"/>
    <w:basedOn w:val="Normal"/>
    <w:next w:val="Normal"/>
    <w:pPr>
      <w:spacing w:before="360" w:after="360" w:line="240" w:lineRule="auto"/>
      <w:jc w:val="center"/>
    </w:pPr>
    <w:rPr>
      <w:rFonts w:ascii="Times New Roman" w:eastAsia="Times New Roman" w:hAnsi="Times New Roman"/>
      <w:b/>
      <w:sz w:val="24"/>
      <w:szCs w:val="24"/>
    </w:rPr>
  </w:style>
  <w:style w:type="paragraph" w:customStyle="1" w:styleId="Typedudocumentprliminaire">
    <w:name w:val="Type du document (préliminaire)"/>
    <w:basedOn w:val="Normal"/>
    <w:next w:val="Normal"/>
    <w:pPr>
      <w:spacing w:before="360" w:after="0" w:line="240" w:lineRule="auto"/>
      <w:jc w:val="center"/>
    </w:pPr>
    <w:rPr>
      <w:rFonts w:ascii="Times New Roman" w:eastAsia="Times New Roman" w:hAnsi="Times New Roman"/>
      <w:b/>
      <w:sz w:val="24"/>
      <w:szCs w:val="24"/>
    </w:rPr>
  </w:style>
  <w:style w:type="paragraph" w:customStyle="1" w:styleId="FichedimpactPMEtitre">
    <w:name w:val="Fiche d'impact PME titre"/>
    <w:basedOn w:val="Normal"/>
    <w:next w:val="Normal"/>
    <w:pPr>
      <w:spacing w:before="120" w:after="120" w:line="240" w:lineRule="auto"/>
      <w:jc w:val="center"/>
    </w:pPr>
    <w:rPr>
      <w:rFonts w:ascii="Times New Roman" w:eastAsia="Times New Roman" w:hAnsi="Times New Roman"/>
      <w:b/>
      <w:sz w:val="24"/>
      <w:szCs w:val="20"/>
    </w:rPr>
  </w:style>
  <w:style w:type="paragraph" w:customStyle="1" w:styleId="Fichefinanciretextetable">
    <w:name w:val="Fiche financière texte (table)"/>
    <w:basedOn w:val="Normal"/>
    <w:pPr>
      <w:spacing w:after="0" w:line="240" w:lineRule="auto"/>
    </w:pPr>
    <w:rPr>
      <w:rFonts w:ascii="Times New Roman" w:eastAsia="Times New Roman" w:hAnsi="Times New Roman"/>
      <w:sz w:val="20"/>
      <w:szCs w:val="20"/>
    </w:rPr>
  </w:style>
  <w:style w:type="paragraph" w:customStyle="1" w:styleId="Fichefinanciretitreactetable">
    <w:name w:val="Fiche financière titre (acte table)"/>
    <w:basedOn w:val="Normal"/>
    <w:next w:val="Normal"/>
    <w:pPr>
      <w:spacing w:before="120" w:after="120" w:line="240" w:lineRule="auto"/>
      <w:jc w:val="center"/>
    </w:pPr>
    <w:rPr>
      <w:rFonts w:ascii="Times New Roman" w:eastAsia="Times New Roman" w:hAnsi="Times New Roman"/>
      <w:b/>
      <w:sz w:val="40"/>
      <w:szCs w:val="20"/>
    </w:rPr>
  </w:style>
  <w:style w:type="paragraph" w:customStyle="1" w:styleId="Fichefinanciretitretable">
    <w:name w:val="Fiche financière titre (table)"/>
    <w:basedOn w:val="Normal"/>
    <w:pPr>
      <w:spacing w:before="120" w:after="120" w:line="240" w:lineRule="auto"/>
      <w:jc w:val="center"/>
    </w:pPr>
    <w:rPr>
      <w:rFonts w:ascii="Times New Roman" w:eastAsia="Times New Roman" w:hAnsi="Times New Roman"/>
      <w:b/>
      <w:sz w:val="40"/>
      <w:szCs w:val="20"/>
    </w:rPr>
  </w:style>
  <w:style w:type="character" w:styleId="PageNumber">
    <w:name w:val="page number"/>
    <w:rPr>
      <w:rFonts w:cs="Times New Roman"/>
      <w:shd w:val="clear" w:color="auto" w:fill="auto"/>
    </w:rPr>
  </w:style>
  <w:style w:type="paragraph" w:styleId="ListBullet5">
    <w:name w:val="List Bullet 5"/>
    <w:basedOn w:val="Normal"/>
    <w:autoRedefine/>
    <w:pPr>
      <w:numPr>
        <w:numId w:val="14"/>
      </w:numPr>
      <w:tabs>
        <w:tab w:val="clear" w:pos="1492"/>
        <w:tab w:val="num" w:pos="360"/>
      </w:tabs>
      <w:spacing w:after="240" w:line="240" w:lineRule="auto"/>
      <w:ind w:left="360"/>
      <w:jc w:val="both"/>
    </w:pPr>
    <w:rPr>
      <w:rFonts w:ascii="Times New Roman" w:eastAsia="Times New Roman" w:hAnsi="Times New Roman"/>
      <w:sz w:val="24"/>
      <w:szCs w:val="20"/>
    </w:rPr>
  </w:style>
  <w:style w:type="paragraph" w:styleId="ListNumber5">
    <w:name w:val="List Number 5"/>
    <w:basedOn w:val="Normal"/>
    <w:pPr>
      <w:numPr>
        <w:numId w:val="15"/>
      </w:numPr>
      <w:tabs>
        <w:tab w:val="clear" w:pos="1492"/>
        <w:tab w:val="num" w:pos="643"/>
      </w:tabs>
      <w:spacing w:after="240" w:line="240" w:lineRule="auto"/>
      <w:ind w:left="643"/>
      <w:jc w:val="both"/>
    </w:pPr>
    <w:rPr>
      <w:rFonts w:ascii="Times New Roman" w:eastAsia="Times New Roman" w:hAnsi="Times New Roman"/>
      <w:sz w:val="24"/>
      <w:szCs w:val="20"/>
    </w:rPr>
  </w:style>
  <w:style w:type="paragraph" w:styleId="DocumentMap">
    <w:name w:val="Document Map"/>
    <w:basedOn w:val="Normal"/>
    <w:link w:val="DocumentMapChar"/>
    <w:semiHidden/>
    <w:pPr>
      <w:shd w:val="clear" w:color="auto" w:fill="000080"/>
      <w:spacing w:before="120" w:after="120" w:line="240" w:lineRule="auto"/>
      <w:jc w:val="both"/>
    </w:pPr>
    <w:rPr>
      <w:rFonts w:ascii="Tahoma" w:eastAsia="Times New Roman" w:hAnsi="Tahoma"/>
      <w:sz w:val="24"/>
      <w:szCs w:val="20"/>
    </w:rPr>
  </w:style>
  <w:style w:type="character" w:customStyle="1" w:styleId="DocumentMapChar">
    <w:name w:val="Document Map Char"/>
    <w:link w:val="DocumentMap"/>
    <w:semiHidden/>
    <w:rPr>
      <w:rFonts w:ascii="Tahoma" w:eastAsia="Times New Roman" w:hAnsi="Tahoma"/>
      <w:sz w:val="24"/>
      <w:shd w:val="clear" w:color="auto" w:fill="000080"/>
      <w:lang w:eastAsia="da-DK"/>
    </w:rPr>
  </w:style>
  <w:style w:type="character" w:styleId="Hyperlink">
    <w:name w:val="Hyperlink"/>
    <w:uiPriority w:val="99"/>
    <w:rPr>
      <w:rFonts w:cs="Times New Roman"/>
      <w:color w:val="0000FF"/>
      <w:u w:val="single"/>
      <w:shd w:val="clear" w:color="auto" w:fill="auto"/>
    </w:rPr>
  </w:style>
  <w:style w:type="paragraph" w:customStyle="1" w:styleId="AddressTL">
    <w:name w:val="AddressTL"/>
    <w:basedOn w:val="Normal"/>
    <w:next w:val="Normal"/>
    <w:pPr>
      <w:spacing w:after="720" w:line="240" w:lineRule="auto"/>
    </w:pPr>
    <w:rPr>
      <w:rFonts w:ascii="Times New Roman" w:eastAsia="Times New Roman" w:hAnsi="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rPr>
      <w:rFonts w:ascii="Times New Roman" w:eastAsia="Times New Roman" w:hAnsi="Times New Roman"/>
      <w:sz w:val="24"/>
      <w:lang w:eastAsia="da-DK"/>
    </w:rPr>
  </w:style>
  <w:style w:type="paragraph" w:styleId="BodyText2">
    <w:name w:val="Body Text 2"/>
    <w:basedOn w:val="Normal"/>
    <w:link w:val="BodyText2Char"/>
    <w:pPr>
      <w:spacing w:after="120" w:line="480" w:lineRule="auto"/>
      <w:jc w:val="both"/>
    </w:pPr>
    <w:rPr>
      <w:rFonts w:ascii="Times New Roman" w:eastAsia="Times New Roman" w:hAnsi="Times New Roman"/>
      <w:sz w:val="24"/>
      <w:szCs w:val="20"/>
    </w:rPr>
  </w:style>
  <w:style w:type="character" w:customStyle="1" w:styleId="BodyText2Char">
    <w:name w:val="Body Text 2 Char"/>
    <w:link w:val="BodyText2"/>
    <w:rPr>
      <w:rFonts w:ascii="Times New Roman" w:eastAsia="Times New Roman" w:hAnsi="Times New Roman"/>
      <w:sz w:val="24"/>
      <w:lang w:eastAsia="da-DK"/>
    </w:rPr>
  </w:style>
  <w:style w:type="paragraph" w:styleId="BodyText3">
    <w:name w:val="Body Text 3"/>
    <w:basedOn w:val="Normal"/>
    <w:link w:val="BodyText3Char"/>
    <w:pPr>
      <w:spacing w:after="120" w:line="240" w:lineRule="auto"/>
      <w:jc w:val="both"/>
    </w:pPr>
    <w:rPr>
      <w:rFonts w:ascii="Times New Roman" w:eastAsia="Times New Roman" w:hAnsi="Times New Roman"/>
      <w:sz w:val="16"/>
      <w:szCs w:val="20"/>
    </w:rPr>
  </w:style>
  <w:style w:type="character" w:customStyle="1" w:styleId="BodyText3Char">
    <w:name w:val="Body Text 3 Char"/>
    <w:link w:val="BodyText3"/>
    <w:rPr>
      <w:rFonts w:ascii="Times New Roman" w:eastAsia="Times New Roman" w:hAnsi="Times New Roman"/>
      <w:sz w:val="16"/>
      <w:lang w:eastAsia="da-DK"/>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eastAsia="Times New Roman" w:hAnsi="Times New Roman"/>
      <w:sz w:val="24"/>
      <w:lang w:eastAsia="da-DK"/>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sz w:val="24"/>
      <w:szCs w:val="20"/>
    </w:rPr>
  </w:style>
  <w:style w:type="character" w:customStyle="1" w:styleId="BodyTextIndentChar">
    <w:name w:val="Body Text Indent Char"/>
    <w:link w:val="BodyTextIndent"/>
    <w:rPr>
      <w:rFonts w:ascii="Times New Roman" w:eastAsia="Times New Roman" w:hAnsi="Times New Roman"/>
      <w:sz w:val="24"/>
      <w:lang w:eastAsia="da-DK"/>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eastAsia="Times New Roman" w:hAnsi="Times New Roman"/>
      <w:sz w:val="24"/>
      <w:lang w:eastAsia="da-DK"/>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sz w:val="24"/>
      <w:szCs w:val="20"/>
    </w:rPr>
  </w:style>
  <w:style w:type="character" w:customStyle="1" w:styleId="BodyTextIndent2Char">
    <w:name w:val="Body Text Indent 2 Char"/>
    <w:link w:val="BodyTextIndent2"/>
    <w:rPr>
      <w:rFonts w:ascii="Times New Roman" w:eastAsia="Times New Roman" w:hAnsi="Times New Roman"/>
      <w:sz w:val="24"/>
      <w:lang w:eastAsia="da-DK"/>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sz w:val="16"/>
      <w:szCs w:val="20"/>
    </w:rPr>
  </w:style>
  <w:style w:type="character" w:customStyle="1" w:styleId="BodyTextIndent3Char">
    <w:name w:val="Body Text Indent 3 Char"/>
    <w:link w:val="BodyTextIndent3"/>
    <w:rPr>
      <w:rFonts w:ascii="Times New Roman" w:eastAsia="Times New Roman" w:hAnsi="Times New Roman"/>
      <w:sz w:val="16"/>
      <w:lang w:eastAsia="da-DK"/>
    </w:rPr>
  </w:style>
  <w:style w:type="paragraph" w:styleId="Closing">
    <w:name w:val="Closing"/>
    <w:basedOn w:val="Normal"/>
    <w:next w:val="Signature"/>
    <w:link w:val="ClosingChar"/>
    <w:pPr>
      <w:tabs>
        <w:tab w:val="left" w:pos="5103"/>
      </w:tabs>
      <w:spacing w:before="240" w:after="240" w:line="240" w:lineRule="auto"/>
      <w:ind w:left="5103"/>
    </w:pPr>
    <w:rPr>
      <w:rFonts w:ascii="Times New Roman" w:eastAsia="Times New Roman" w:hAnsi="Times New Roman"/>
      <w:sz w:val="24"/>
      <w:szCs w:val="20"/>
    </w:rPr>
  </w:style>
  <w:style w:type="character" w:customStyle="1" w:styleId="ClosingChar">
    <w:name w:val="Closing Char"/>
    <w:link w:val="Closing"/>
    <w:rPr>
      <w:rFonts w:ascii="Times New Roman" w:eastAsia="Times New Roman" w:hAnsi="Times New Roman"/>
      <w:sz w:val="24"/>
      <w:lang w:eastAsia="da-DK"/>
    </w:rPr>
  </w:style>
  <w:style w:type="paragraph" w:styleId="Signature">
    <w:name w:val="Signature"/>
    <w:basedOn w:val="Normal"/>
    <w:next w:val="Contact"/>
    <w:link w:val="SignatureChar"/>
    <w:pPr>
      <w:tabs>
        <w:tab w:val="left" w:pos="5103"/>
      </w:tabs>
      <w:spacing w:before="1200" w:after="0" w:line="240" w:lineRule="auto"/>
      <w:ind w:left="5103"/>
      <w:jc w:val="center"/>
    </w:pPr>
    <w:rPr>
      <w:rFonts w:ascii="Times New Roman" w:eastAsia="Times New Roman" w:hAnsi="Times New Roman"/>
      <w:sz w:val="24"/>
      <w:szCs w:val="20"/>
    </w:rPr>
  </w:style>
  <w:style w:type="character" w:customStyle="1" w:styleId="SignatureChar">
    <w:name w:val="Signature Char"/>
    <w:link w:val="Signature"/>
    <w:rPr>
      <w:rFonts w:ascii="Times New Roman" w:eastAsia="Times New Roman" w:hAnsi="Times New Roman"/>
      <w:sz w:val="24"/>
      <w:lang w:eastAsia="da-DK"/>
    </w:rPr>
  </w:style>
  <w:style w:type="paragraph" w:customStyle="1" w:styleId="Contact">
    <w:name w:val="Contact"/>
    <w:basedOn w:val="Normal"/>
    <w:next w:val="Enclosures"/>
    <w:pPr>
      <w:spacing w:before="480" w:after="0" w:line="240" w:lineRule="auto"/>
      <w:ind w:left="567" w:hanging="567"/>
    </w:pPr>
    <w:rPr>
      <w:rFonts w:ascii="Times New Roman" w:eastAsia="Times New Roman" w:hAnsi="Times New Roman"/>
      <w:sz w:val="24"/>
      <w:szCs w:val="20"/>
    </w:rPr>
  </w:style>
  <w:style w:type="paragraph" w:customStyle="1" w:styleId="Enclosures">
    <w:name w:val="Enclosures"/>
    <w:basedOn w:val="Normal"/>
    <w:next w:val="Participants"/>
    <w:pPr>
      <w:keepNext/>
      <w:keepLines/>
      <w:tabs>
        <w:tab w:val="left" w:pos="5642"/>
      </w:tabs>
      <w:spacing w:before="480" w:after="0" w:line="240" w:lineRule="auto"/>
      <w:ind w:left="1792" w:hanging="1792"/>
    </w:pPr>
    <w:rPr>
      <w:rFonts w:ascii="Times New Roman" w:eastAsia="Times New Roman" w:hAnsi="Times New Roman"/>
      <w:sz w:val="24"/>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sz w:val="24"/>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sz w:val="24"/>
      <w:szCs w:val="20"/>
    </w:rPr>
  </w:style>
  <w:style w:type="character" w:customStyle="1" w:styleId="DateChar">
    <w:name w:val="Date Char"/>
    <w:link w:val="Date"/>
    <w:rPr>
      <w:rFonts w:ascii="Times New Roman" w:eastAsia="Times New Roman" w:hAnsi="Times New Roman"/>
      <w:sz w:val="24"/>
      <w:lang w:eastAsia="da-DK"/>
    </w:rPr>
  </w:style>
  <w:style w:type="paragraph" w:customStyle="1" w:styleId="References">
    <w:name w:val="References"/>
    <w:basedOn w:val="Normal"/>
    <w:next w:val="AddressTR"/>
    <w:pPr>
      <w:spacing w:after="240" w:line="240" w:lineRule="auto"/>
      <w:ind w:left="5103"/>
    </w:pPr>
    <w:rPr>
      <w:rFonts w:ascii="Times New Roman" w:eastAsia="Times New Roman" w:hAnsi="Times New Roman"/>
      <w:sz w:val="20"/>
      <w:szCs w:val="20"/>
    </w:rPr>
  </w:style>
  <w:style w:type="paragraph" w:customStyle="1" w:styleId="DoubSign">
    <w:name w:val="DoubSign"/>
    <w:basedOn w:val="Normal"/>
    <w:next w:val="Contact"/>
    <w:pPr>
      <w:tabs>
        <w:tab w:val="left" w:pos="5103"/>
      </w:tabs>
      <w:spacing w:before="1200" w:after="0" w:line="240" w:lineRule="auto"/>
    </w:pPr>
    <w:rPr>
      <w:rFonts w:ascii="Times New Roman" w:eastAsia="Times New Roman" w:hAnsi="Times New Roman"/>
      <w:sz w:val="24"/>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sz w:val="20"/>
      <w:szCs w:val="20"/>
    </w:rPr>
  </w:style>
  <w:style w:type="paragraph" w:styleId="Index8">
    <w:name w:val="index 8"/>
    <w:basedOn w:val="Normal"/>
    <w:next w:val="Normal"/>
    <w:autoRedefine/>
    <w:semiHidden/>
    <w:pPr>
      <w:spacing w:after="240" w:line="240" w:lineRule="auto"/>
      <w:ind w:left="1920" w:hanging="240"/>
      <w:jc w:val="both"/>
    </w:pPr>
    <w:rPr>
      <w:rFonts w:ascii="Times New Roman" w:eastAsia="Times New Roman" w:hAnsi="Times New Roman"/>
      <w:sz w:val="24"/>
      <w:szCs w:val="20"/>
    </w:rPr>
  </w:style>
  <w:style w:type="paragraph" w:styleId="Index1">
    <w:name w:val="index 1"/>
    <w:basedOn w:val="Normal"/>
    <w:next w:val="Normal"/>
    <w:autoRedefine/>
    <w:semiHidden/>
    <w:pPr>
      <w:spacing w:after="240" w:line="240" w:lineRule="auto"/>
      <w:ind w:left="240" w:hanging="240"/>
      <w:jc w:val="both"/>
    </w:pPr>
    <w:rPr>
      <w:rFonts w:ascii="Times New Roman" w:eastAsia="Times New Roman" w:hAnsi="Times New Roman"/>
      <w:sz w:val="24"/>
      <w:szCs w:val="20"/>
    </w:rPr>
  </w:style>
  <w:style w:type="paragraph" w:styleId="IndexHeading">
    <w:name w:val="index heading"/>
    <w:basedOn w:val="Normal"/>
    <w:next w:val="Index1"/>
    <w:semiHidden/>
    <w:pPr>
      <w:spacing w:after="240" w:line="240" w:lineRule="auto"/>
      <w:jc w:val="both"/>
    </w:pPr>
    <w:rPr>
      <w:rFonts w:ascii="Arial" w:eastAsia="Times New Roman" w:hAnsi="Arial"/>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sz w:val="24"/>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
    <w:name w:val="Macro Text Char"/>
    <w:link w:val="MacroText"/>
    <w:semiHidden/>
    <w:rPr>
      <w:rFonts w:ascii="Courier New" w:eastAsia="Times New Roman" w:hAnsi="Courier New"/>
      <w:lang w:eastAsia="da-DK"/>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rPr>
  </w:style>
  <w:style w:type="character" w:customStyle="1" w:styleId="MessageHeaderChar">
    <w:name w:val="Message Header Char"/>
    <w:link w:val="MessageHeader"/>
    <w:rPr>
      <w:rFonts w:ascii="Arial" w:eastAsia="Times New Roman" w:hAnsi="Arial"/>
      <w:sz w:val="24"/>
      <w:shd w:val="pct20" w:color="auto" w:fill="auto"/>
      <w:lang w:eastAsia="da-DK"/>
    </w:rPr>
  </w:style>
  <w:style w:type="paragraph" w:styleId="NormalIndent">
    <w:name w:val="Normal Indent"/>
    <w:basedOn w:val="Normal"/>
    <w:pPr>
      <w:spacing w:after="240" w:line="240" w:lineRule="auto"/>
      <w:ind w:left="720"/>
      <w:jc w:val="both"/>
    </w:pPr>
    <w:rPr>
      <w:rFonts w:ascii="Times New Roman" w:eastAsia="Times New Roman" w:hAnsi="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sz w:val="24"/>
      <w:szCs w:val="20"/>
    </w:rPr>
  </w:style>
  <w:style w:type="character" w:customStyle="1" w:styleId="NoteHeadingChar">
    <w:name w:val="Note Heading Char"/>
    <w:link w:val="NoteHeading"/>
    <w:rPr>
      <w:rFonts w:ascii="Times New Roman" w:eastAsia="Times New Roman" w:hAnsi="Times New Roman"/>
      <w:sz w:val="24"/>
      <w:lang w:eastAsia="da-DK"/>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b/>
      <w:smallCaps/>
      <w:sz w:val="24"/>
      <w:szCs w:val="20"/>
    </w:rPr>
  </w:style>
  <w:style w:type="paragraph" w:customStyle="1" w:styleId="Subject">
    <w:name w:val="Subject"/>
    <w:basedOn w:val="Normal"/>
    <w:next w:val="Normal"/>
    <w:pPr>
      <w:spacing w:after="480" w:line="240" w:lineRule="auto"/>
      <w:ind w:left="1191" w:hanging="1191"/>
    </w:pPr>
    <w:rPr>
      <w:rFonts w:ascii="Times New Roman" w:eastAsia="Times New Roman" w:hAnsi="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b/>
      <w:smallCaps/>
      <w:sz w:val="24"/>
      <w:szCs w:val="20"/>
    </w:rPr>
  </w:style>
  <w:style w:type="paragraph" w:styleId="PlainText">
    <w:name w:val="Plain Text"/>
    <w:basedOn w:val="Normal"/>
    <w:link w:val="PlainTextChar"/>
    <w:uiPriority w:val="99"/>
    <w:pPr>
      <w:spacing w:after="240" w:line="240" w:lineRule="auto"/>
      <w:jc w:val="both"/>
    </w:pPr>
    <w:rPr>
      <w:rFonts w:ascii="Courier New" w:eastAsia="Times New Roman" w:hAnsi="Courier New"/>
      <w:sz w:val="20"/>
      <w:szCs w:val="20"/>
    </w:rPr>
  </w:style>
  <w:style w:type="character" w:customStyle="1" w:styleId="PlainTextChar">
    <w:name w:val="Plain Text Char"/>
    <w:link w:val="PlainText"/>
    <w:uiPriority w:val="99"/>
    <w:rPr>
      <w:rFonts w:ascii="Courier New" w:eastAsia="Times New Roman" w:hAnsi="Courier New"/>
      <w:lang w:eastAsia="da-DK"/>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sz w:val="24"/>
      <w:szCs w:val="20"/>
    </w:rPr>
  </w:style>
  <w:style w:type="character" w:customStyle="1" w:styleId="SalutationChar">
    <w:name w:val="Salutation Char"/>
    <w:link w:val="Salutation"/>
    <w:rPr>
      <w:rFonts w:ascii="Times New Roman" w:eastAsia="Times New Roman" w:hAnsi="Times New Roman"/>
      <w:sz w:val="24"/>
      <w:lang w:eastAsia="da-DK"/>
    </w:rPr>
  </w:style>
  <w:style w:type="paragraph" w:styleId="Subtitle">
    <w:name w:val="Subtitle"/>
    <w:basedOn w:val="Normal"/>
    <w:link w:val="SubtitleChar"/>
    <w:qFormat/>
    <w:pPr>
      <w:spacing w:after="60" w:line="240" w:lineRule="auto"/>
      <w:jc w:val="center"/>
      <w:outlineLvl w:val="1"/>
    </w:pPr>
    <w:rPr>
      <w:rFonts w:ascii="Arial" w:eastAsia="Times New Roman" w:hAnsi="Arial"/>
      <w:sz w:val="24"/>
      <w:szCs w:val="20"/>
    </w:rPr>
  </w:style>
  <w:style w:type="character" w:customStyle="1" w:styleId="SubtitleChar">
    <w:name w:val="Subtitle Char"/>
    <w:link w:val="Subtitle"/>
    <w:rPr>
      <w:rFonts w:ascii="Arial" w:eastAsia="Times New Roman" w:hAnsi="Arial"/>
      <w:sz w:val="24"/>
      <w:lang w:eastAsia="da-DK"/>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rPr>
      <w:rFonts w:ascii="Arial" w:eastAsia="Times New Roman" w:hAnsi="Arial"/>
      <w:b/>
      <w:kern w:val="28"/>
      <w:sz w:val="32"/>
      <w:lang w:eastAsia="da-DK"/>
    </w:rPr>
  </w:style>
  <w:style w:type="paragraph" w:customStyle="1" w:styleId="YReferences">
    <w:name w:val="YReferences"/>
    <w:basedOn w:val="Normal"/>
    <w:next w:val="Normal"/>
    <w:pPr>
      <w:spacing w:after="480" w:line="240" w:lineRule="auto"/>
      <w:ind w:left="1191" w:hanging="1191"/>
      <w:jc w:val="both"/>
    </w:pPr>
    <w:rPr>
      <w:rFonts w:ascii="Times New Roman" w:eastAsia="Times New Roman" w:hAnsi="Times New Roman"/>
      <w:sz w:val="24"/>
      <w:szCs w:val="20"/>
    </w:rPr>
  </w:style>
  <w:style w:type="paragraph" w:customStyle="1" w:styleId="DisclaimerNotice">
    <w:name w:val="Disclaimer Notice"/>
    <w:basedOn w:val="Normal"/>
    <w:next w:val="AddressTR"/>
    <w:pPr>
      <w:spacing w:after="240" w:line="240" w:lineRule="auto"/>
      <w:ind w:left="5103"/>
    </w:pPr>
    <w:rPr>
      <w:rFonts w:ascii="Times New Roman" w:eastAsia="Times New Roman" w:hAnsi="Times New Roman"/>
      <w:b/>
      <w:smallCaps/>
      <w:sz w:val="20"/>
      <w:szCs w:val="20"/>
      <w:u w:val="single"/>
    </w:rPr>
  </w:style>
  <w:style w:type="paragraph" w:customStyle="1" w:styleId="Disclaimer">
    <w:name w:val="Disclaimer"/>
    <w:basedOn w:val="Normal"/>
    <w:pPr>
      <w:keepLines/>
      <w:pBdr>
        <w:top w:val="single" w:sz="4" w:space="1" w:color="auto"/>
      </w:pBdr>
      <w:spacing w:before="480" w:after="0" w:line="240" w:lineRule="auto"/>
      <w:jc w:val="both"/>
    </w:pPr>
    <w:rPr>
      <w:rFonts w:ascii="Times New Roman" w:eastAsia="Times New Roman" w:hAnsi="Times New Roman"/>
      <w:i/>
      <w:sz w:val="24"/>
      <w:szCs w:val="20"/>
    </w:rPr>
  </w:style>
  <w:style w:type="character" w:styleId="FollowedHyperlink">
    <w:name w:val="FollowedHyperlink"/>
    <w:rPr>
      <w:rFonts w:cs="Times New Roman"/>
      <w:color w:val="800080"/>
      <w:u w:val="single"/>
      <w:shd w:val="clear" w:color="auto" w:fill="auto"/>
    </w:rPr>
  </w:style>
  <w:style w:type="paragraph" w:customStyle="1" w:styleId="DisclaimerSJ">
    <w:name w:val="Disclaimer_SJ"/>
    <w:basedOn w:val="Normal"/>
    <w:next w:val="Normal"/>
    <w:pPr>
      <w:spacing w:after="0" w:line="240" w:lineRule="auto"/>
      <w:jc w:val="both"/>
    </w:pPr>
    <w:rPr>
      <w:rFonts w:ascii="Arial" w:eastAsia="Times New Roman" w:hAnsi="Arial"/>
      <w:b/>
      <w:sz w:val="16"/>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sz w:val="24"/>
      <w:szCs w:val="20"/>
    </w:rPr>
  </w:style>
  <w:style w:type="paragraph" w:customStyle="1" w:styleId="ZDGName">
    <w:name w:val="Z_DGName"/>
    <w:basedOn w:val="Normal"/>
    <w:pPr>
      <w:widowControl w:val="0"/>
      <w:spacing w:after="0" w:line="240" w:lineRule="auto"/>
      <w:ind w:right="85"/>
    </w:pPr>
    <w:rPr>
      <w:rFonts w:ascii="Arial" w:eastAsia="Times New Roman" w:hAnsi="Arial"/>
      <w:sz w:val="16"/>
      <w:szCs w:val="20"/>
    </w:rPr>
  </w:style>
  <w:style w:type="paragraph" w:customStyle="1" w:styleId="Style91">
    <w:name w:val="Style91"/>
    <w:rPr>
      <w:rFonts w:ascii="Arial" w:eastAsia="Times New Roman" w:hAnsi="Arial"/>
      <w:sz w:val="24"/>
    </w:rPr>
  </w:style>
  <w:style w:type="paragraph" w:customStyle="1" w:styleId="texte">
    <w:name w:val="texte"/>
    <w:basedOn w:val="Normal"/>
    <w:pPr>
      <w:spacing w:before="100" w:beforeAutospacing="1" w:after="100" w:afterAutospacing="1" w:line="240" w:lineRule="auto"/>
      <w:jc w:val="both"/>
    </w:pPr>
    <w:rPr>
      <w:rFonts w:ascii="Arial" w:eastAsia="Times New Roman" w:hAnsi="Arial" w:cs="Arial"/>
      <w:color w:val="333399"/>
      <w:sz w:val="18"/>
      <w:szCs w:val="18"/>
    </w:rPr>
  </w:style>
  <w:style w:type="table" w:styleId="TableGrid">
    <w:name w:val="Table Grid"/>
    <w:basedOn w:val="TableNormal"/>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shd w:val="clear" w:color="auto" w:fill="auto"/>
    </w:rPr>
  </w:style>
  <w:style w:type="paragraph" w:styleId="CommentText">
    <w:name w:val="annotation text"/>
    <w:basedOn w:val="Normal"/>
    <w:link w:val="CommentTextChar"/>
    <w:semiHidden/>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semiHidden/>
    <w:rPr>
      <w:rFonts w:ascii="Times New Roman" w:eastAsia="Times New Roman" w:hAnsi="Times New Roman"/>
      <w:lang w:eastAsia="da-DK"/>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ascii="Times New Roman" w:eastAsia="Times New Roman" w:hAnsi="Times New Roman"/>
      <w:b/>
      <w:bCs/>
      <w:lang w:eastAsia="da-DK"/>
    </w:rPr>
  </w:style>
  <w:style w:type="paragraph" w:styleId="BalloonText">
    <w:name w:val="Balloon Text"/>
    <w:basedOn w:val="Normal"/>
    <w:link w:val="BalloonTextChar"/>
    <w:semiHidden/>
    <w:pPr>
      <w:spacing w:before="120" w:after="120" w:line="240" w:lineRule="auto"/>
      <w:jc w:val="both"/>
    </w:pPr>
    <w:rPr>
      <w:rFonts w:ascii="Tahoma" w:eastAsia="Times New Roman" w:hAnsi="Tahoma" w:cs="Tahoma"/>
      <w:sz w:val="16"/>
      <w:szCs w:val="16"/>
    </w:rPr>
  </w:style>
  <w:style w:type="character" w:customStyle="1" w:styleId="BalloonTextChar">
    <w:name w:val="Balloon Text Char"/>
    <w:link w:val="BalloonText"/>
    <w:semiHidden/>
    <w:rPr>
      <w:rFonts w:ascii="Tahoma" w:eastAsia="Times New Roman" w:hAnsi="Tahoma" w:cs="Tahoma"/>
      <w:sz w:val="16"/>
      <w:szCs w:val="16"/>
      <w:lang w:eastAsia="da-DK"/>
    </w:rPr>
  </w:style>
  <w:style w:type="paragraph" w:customStyle="1" w:styleId="Style1">
    <w:name w:val="Style1"/>
    <w:basedOn w:val="Heading1"/>
    <w:pPr>
      <w:numPr>
        <w:numId w:val="0"/>
      </w:numPr>
      <w:tabs>
        <w:tab w:val="left" w:pos="709"/>
      </w:tabs>
      <w:spacing w:before="240" w:after="0"/>
      <w:ind w:left="851" w:hanging="851"/>
      <w:jc w:val="left"/>
    </w:pPr>
    <w:rPr>
      <w:bCs w:val="0"/>
      <w:szCs w:val="20"/>
    </w:rPr>
  </w:style>
  <w:style w:type="paragraph" w:customStyle="1" w:styleId="Normal10pt">
    <w:name w:val="Normal + 10 pt"/>
    <w:aliases w:val="Condensed by  0,15 pt"/>
    <w:basedOn w:val="Normal"/>
    <w:pPr>
      <w:keepNext/>
      <w:suppressAutoHyphens/>
      <w:spacing w:after="0" w:line="240" w:lineRule="auto"/>
      <w:ind w:left="255"/>
    </w:pPr>
    <w:rPr>
      <w:rFonts w:ascii="Times New Roman" w:eastAsia="Times New Roman" w:hAnsi="Times New Roman"/>
      <w:spacing w:val="-3"/>
      <w:sz w:val="18"/>
      <w:szCs w:val="18"/>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pacing w:val="-2"/>
      <w:sz w:val="22"/>
    </w:rPr>
  </w:style>
  <w:style w:type="character" w:styleId="Emphasis">
    <w:name w:val="Emphasis"/>
    <w:qFormat/>
    <w:rPr>
      <w:rFonts w:cs="Times New Roman"/>
      <w:i/>
      <w:iCs/>
      <w:shd w:val="clear" w:color="auto" w:fill="auto"/>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sz w:val="20"/>
      <w:szCs w:val="20"/>
    </w:rPr>
  </w:style>
  <w:style w:type="character" w:customStyle="1" w:styleId="EndnoteTextChar">
    <w:name w:val="Endnote Text Char"/>
    <w:link w:val="EndnoteText"/>
    <w:semiHidden/>
    <w:rPr>
      <w:rFonts w:ascii="Times New Roman" w:eastAsia="Times New Roman" w:hAnsi="Times New Roman"/>
      <w:lang w:eastAsia="da-DK"/>
    </w:rPr>
  </w:style>
  <w:style w:type="paragraph" w:styleId="Index2">
    <w:name w:val="index 2"/>
    <w:basedOn w:val="Normal"/>
    <w:next w:val="Normal"/>
    <w:autoRedefine/>
    <w:semiHidden/>
    <w:pPr>
      <w:spacing w:after="240" w:line="240" w:lineRule="auto"/>
      <w:ind w:left="480" w:hanging="240"/>
      <w:jc w:val="both"/>
    </w:pPr>
    <w:rPr>
      <w:rFonts w:ascii="Times New Roman" w:eastAsia="Times New Roman" w:hAnsi="Times New Roman"/>
      <w:sz w:val="24"/>
      <w:szCs w:val="20"/>
    </w:rPr>
  </w:style>
  <w:style w:type="paragraph" w:styleId="Index3">
    <w:name w:val="index 3"/>
    <w:basedOn w:val="Normal"/>
    <w:next w:val="Normal"/>
    <w:autoRedefine/>
    <w:semiHidden/>
    <w:pPr>
      <w:spacing w:after="240" w:line="240" w:lineRule="auto"/>
      <w:ind w:left="720" w:hanging="240"/>
      <w:jc w:val="both"/>
    </w:pPr>
    <w:rPr>
      <w:rFonts w:ascii="Times New Roman" w:eastAsia="Times New Roman" w:hAnsi="Times New Roman"/>
      <w:sz w:val="24"/>
      <w:szCs w:val="20"/>
    </w:rPr>
  </w:style>
  <w:style w:type="paragraph" w:styleId="Index4">
    <w:name w:val="index 4"/>
    <w:basedOn w:val="Normal"/>
    <w:next w:val="Normal"/>
    <w:autoRedefine/>
    <w:semiHidden/>
    <w:pPr>
      <w:spacing w:after="240" w:line="240" w:lineRule="auto"/>
      <w:ind w:left="960" w:hanging="240"/>
      <w:jc w:val="both"/>
    </w:pPr>
    <w:rPr>
      <w:rFonts w:ascii="Times New Roman" w:eastAsia="Times New Roman" w:hAnsi="Times New Roman"/>
      <w:sz w:val="24"/>
      <w:szCs w:val="20"/>
    </w:rPr>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sz w:val="24"/>
      <w:szCs w:val="20"/>
    </w:rPr>
  </w:style>
  <w:style w:type="paragraph" w:styleId="Index6">
    <w:name w:val="index 6"/>
    <w:basedOn w:val="Normal"/>
    <w:next w:val="Normal"/>
    <w:autoRedefine/>
    <w:semiHidden/>
    <w:pPr>
      <w:spacing w:after="240" w:line="240" w:lineRule="auto"/>
      <w:ind w:left="1440" w:hanging="240"/>
      <w:jc w:val="both"/>
    </w:pPr>
    <w:rPr>
      <w:rFonts w:ascii="Times New Roman" w:eastAsia="Times New Roman" w:hAnsi="Times New Roman"/>
      <w:sz w:val="24"/>
      <w:szCs w:val="20"/>
    </w:rPr>
  </w:style>
  <w:style w:type="paragraph" w:styleId="Index7">
    <w:name w:val="index 7"/>
    <w:basedOn w:val="Normal"/>
    <w:next w:val="Normal"/>
    <w:autoRedefine/>
    <w:semiHidden/>
    <w:pPr>
      <w:spacing w:after="240" w:line="240" w:lineRule="auto"/>
      <w:ind w:left="1680" w:hanging="240"/>
      <w:jc w:val="both"/>
    </w:pPr>
    <w:rPr>
      <w:rFonts w:ascii="Times New Roman" w:eastAsia="Times New Roman" w:hAnsi="Times New Roman"/>
      <w:sz w:val="24"/>
      <w:szCs w:val="20"/>
    </w:rPr>
  </w:style>
  <w:style w:type="paragraph" w:styleId="Index9">
    <w:name w:val="index 9"/>
    <w:basedOn w:val="Normal"/>
    <w:next w:val="Normal"/>
    <w:autoRedefine/>
    <w:semiHidden/>
    <w:pPr>
      <w:spacing w:after="240" w:line="240" w:lineRule="auto"/>
      <w:ind w:left="2160" w:hanging="240"/>
      <w:jc w:val="both"/>
    </w:pPr>
    <w:rPr>
      <w:rFonts w:ascii="Times New Roman" w:eastAsia="Times New Roman" w:hAnsi="Times New Roman"/>
      <w:sz w:val="24"/>
      <w:szCs w:val="20"/>
    </w:rPr>
  </w:style>
  <w:style w:type="paragraph" w:styleId="TableofAuthorities">
    <w:name w:val="table of authorities"/>
    <w:basedOn w:val="Normal"/>
    <w:next w:val="Normal"/>
    <w:semiHidden/>
    <w:pPr>
      <w:spacing w:after="240" w:line="240" w:lineRule="auto"/>
      <w:ind w:left="240" w:hanging="240"/>
      <w:jc w:val="both"/>
    </w:pPr>
    <w:rPr>
      <w:rFonts w:ascii="Times New Roman" w:eastAsia="Times New Roman" w:hAnsi="Times New Roman"/>
      <w:sz w:val="24"/>
      <w:szCs w:val="20"/>
    </w:rPr>
  </w:style>
  <w:style w:type="paragraph" w:styleId="TableofFigures">
    <w:name w:val="table of figures"/>
    <w:basedOn w:val="Normal"/>
    <w:next w:val="Normal"/>
    <w:semiHidden/>
    <w:pPr>
      <w:spacing w:after="240" w:line="240" w:lineRule="auto"/>
      <w:ind w:left="480" w:hanging="480"/>
      <w:jc w:val="both"/>
    </w:pPr>
    <w:rPr>
      <w:rFonts w:ascii="Times New Roman" w:eastAsia="Times New Roman" w:hAnsi="Times New Roman"/>
      <w:sz w:val="24"/>
      <w:szCs w:val="20"/>
    </w:rPr>
  </w:style>
  <w:style w:type="paragraph" w:styleId="TOAHeading">
    <w:name w:val="toa heading"/>
    <w:basedOn w:val="Normal"/>
    <w:next w:val="Normal"/>
    <w:semiHidden/>
    <w:pPr>
      <w:spacing w:before="120" w:after="240" w:line="240" w:lineRule="auto"/>
      <w:jc w:val="both"/>
    </w:pPr>
    <w:rPr>
      <w:rFonts w:ascii="Arial" w:eastAsia="Times New Roman" w:hAnsi="Arial"/>
      <w:b/>
      <w:sz w:val="24"/>
      <w:szCs w:val="20"/>
    </w:rPr>
  </w:style>
  <w:style w:type="paragraph" w:customStyle="1" w:styleId="Heading">
    <w:name w:val="Heading"/>
    <w:basedOn w:val="Heading1"/>
    <w:pPr>
      <w:numPr>
        <w:numId w:val="0"/>
      </w:numPr>
      <w:tabs>
        <w:tab w:val="num" w:pos="480"/>
        <w:tab w:val="left" w:pos="709"/>
      </w:tabs>
      <w:spacing w:before="240"/>
      <w:ind w:left="480" w:hanging="480"/>
    </w:pPr>
    <w:rPr>
      <w:bCs w:val="0"/>
      <w:sz w:val="22"/>
      <w:szCs w:val="22"/>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pPr>
      <w:spacing w:before="60" w:after="60" w:line="240" w:lineRule="auto"/>
    </w:pPr>
    <w:rPr>
      <w:rFonts w:ascii="Times New Roman" w:eastAsia="Times New Roman" w:hAnsi="Times New Roman"/>
      <w:sz w:val="20"/>
      <w:szCs w:val="20"/>
    </w:rPr>
  </w:style>
  <w:style w:type="paragraph" w:customStyle="1" w:styleId="EntInstit">
    <w:name w:val="EntInstit"/>
    <w:basedOn w:val="NormalConseil"/>
    <w:pPr>
      <w:jc w:val="right"/>
    </w:pPr>
    <w:rPr>
      <w:b/>
    </w:rPr>
  </w:style>
  <w:style w:type="paragraph" w:customStyle="1" w:styleId="NormalConseil">
    <w:name w:val="NormalConseil"/>
    <w:basedOn w:val="Normal"/>
    <w:pPr>
      <w:spacing w:after="0" w:line="240" w:lineRule="auto"/>
    </w:pPr>
    <w:rPr>
      <w:rFonts w:ascii="Times New Roman" w:eastAsia="Times New Roman" w:hAnsi="Times New Roman"/>
      <w:sz w:val="24"/>
      <w:szCs w:val="20"/>
    </w:rPr>
  </w:style>
  <w:style w:type="paragraph" w:customStyle="1" w:styleId="EntRefer">
    <w:name w:val="EntRefer"/>
    <w:basedOn w:val="NormalConseil"/>
    <w:rPr>
      <w:b/>
    </w:rPr>
  </w:style>
  <w:style w:type="paragraph" w:customStyle="1" w:styleId="EntEmet">
    <w:name w:val="EntEmet"/>
    <w:basedOn w:val="NormalConseil"/>
    <w:pPr>
      <w:tabs>
        <w:tab w:val="left" w:pos="284"/>
        <w:tab w:val="left" w:pos="567"/>
        <w:tab w:val="left" w:pos="851"/>
        <w:tab w:val="left" w:pos="1134"/>
        <w:tab w:val="left" w:pos="1418"/>
      </w:tabs>
      <w:spacing w:before="40"/>
    </w:pPr>
  </w:style>
  <w:style w:type="paragraph" w:customStyle="1" w:styleId="EntLogo">
    <w:name w:val="EntLogo"/>
    <w:basedOn w:val="NormalConseil"/>
    <w:next w:val="EntInstit"/>
    <w:pPr>
      <w:spacing w:line="360" w:lineRule="auto"/>
    </w:pPr>
    <w:rPr>
      <w:b/>
    </w:rPr>
  </w:style>
  <w:style w:type="paragraph" w:customStyle="1" w:styleId="FooterConseil">
    <w:name w:val="FooterConseil"/>
    <w:basedOn w:val="NormalConseil"/>
    <w:pPr>
      <w:tabs>
        <w:tab w:val="center" w:pos="4820"/>
        <w:tab w:val="center" w:pos="7371"/>
        <w:tab w:val="right" w:pos="9639"/>
      </w:tabs>
    </w:pPr>
  </w:style>
  <w:style w:type="character" w:styleId="Strong">
    <w:name w:val="Strong"/>
    <w:qFormat/>
    <w:rPr>
      <w:rFonts w:cs="Times New Roman"/>
      <w:b/>
      <w:bCs/>
      <w:shd w:val="clear" w:color="auto" w:fill="auto"/>
    </w:rPr>
  </w:style>
  <w:style w:type="paragraph" w:customStyle="1" w:styleId="Annexetitrefichefinacte">
    <w:name w:val="Annexe titre (fiche fin. acte)"/>
    <w:basedOn w:val="Normal"/>
    <w:next w:val="Normal"/>
    <w:pPr>
      <w:spacing w:before="120" w:after="120" w:line="240" w:lineRule="auto"/>
      <w:jc w:val="center"/>
    </w:pPr>
    <w:rPr>
      <w:rFonts w:ascii="Times New Roman" w:eastAsia="Times New Roman" w:hAnsi="Times New Roman"/>
      <w:b/>
      <w:sz w:val="24"/>
      <w:szCs w:val="24"/>
      <w:u w:val="single"/>
    </w:rPr>
  </w:style>
  <w:style w:type="numbering" w:styleId="111111">
    <w:name w:val="Outline List 2"/>
    <w:basedOn w:val="NoList"/>
    <w:pPr>
      <w:numPr>
        <w:numId w:val="16"/>
      </w:numPr>
    </w:pPr>
  </w:style>
  <w:style w:type="character" w:customStyle="1" w:styleId="Text1Char">
    <w:name w:val="Text 1 Char"/>
    <w:link w:val="Text1"/>
    <w:locked/>
    <w:rPr>
      <w:rFonts w:ascii="Times New Roman" w:eastAsia="Times New Roman" w:hAnsi="Times New Roman"/>
      <w:sz w:val="24"/>
      <w:szCs w:val="24"/>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rPr>
      <w:rFonts w:ascii="Times New Roman" w:eastAsia="Times New Roman" w:hAnsi="Times New Roman"/>
      <w:b/>
      <w:sz w:val="28"/>
      <w:szCs w:val="24"/>
      <w:lang w:eastAsia="da-DK"/>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343">
      <w:bodyDiv w:val="1"/>
      <w:marLeft w:val="0"/>
      <w:marRight w:val="0"/>
      <w:marTop w:val="0"/>
      <w:marBottom w:val="0"/>
      <w:divBdr>
        <w:top w:val="none" w:sz="0" w:space="0" w:color="auto"/>
        <w:left w:val="none" w:sz="0" w:space="0" w:color="auto"/>
        <w:bottom w:val="none" w:sz="0" w:space="0" w:color="auto"/>
        <w:right w:val="none" w:sz="0" w:space="0" w:color="auto"/>
      </w:divBdr>
    </w:div>
    <w:div w:id="832840763">
      <w:bodyDiv w:val="1"/>
      <w:marLeft w:val="0"/>
      <w:marRight w:val="0"/>
      <w:marTop w:val="0"/>
      <w:marBottom w:val="0"/>
      <w:divBdr>
        <w:top w:val="none" w:sz="0" w:space="0" w:color="auto"/>
        <w:left w:val="none" w:sz="0" w:space="0" w:color="auto"/>
        <w:bottom w:val="none" w:sz="0" w:space="0" w:color="auto"/>
        <w:right w:val="none" w:sz="0" w:space="0" w:color="auto"/>
      </w:divBdr>
    </w:div>
    <w:div w:id="12944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ec.europa.eu/agriculture/cap-funding/financial-reports/eagf/index_en.htm"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6ED0-6E1D-43A4-A0A6-25C0A0CE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3598</Words>
  <Characters>21629</Characters>
  <Application>Microsoft Office Word</Application>
  <DocSecurity>0</DocSecurity>
  <Lines>470</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25006</CharactersWithSpaces>
  <SharedDoc>false</SharedDoc>
  <HLinks>
    <vt:vector size="24" baseType="variant">
      <vt:variant>
        <vt:i4>1179696</vt:i4>
      </vt:variant>
      <vt:variant>
        <vt:i4>20</vt:i4>
      </vt:variant>
      <vt:variant>
        <vt:i4>0</vt:i4>
      </vt:variant>
      <vt:variant>
        <vt:i4>5</vt:i4>
      </vt:variant>
      <vt:variant>
        <vt:lpwstr/>
      </vt:variant>
      <vt:variant>
        <vt:lpwstr>_Toc484709035</vt:lpwstr>
      </vt:variant>
      <vt:variant>
        <vt:i4>1179696</vt:i4>
      </vt:variant>
      <vt:variant>
        <vt:i4>14</vt:i4>
      </vt:variant>
      <vt:variant>
        <vt:i4>0</vt:i4>
      </vt:variant>
      <vt:variant>
        <vt:i4>5</vt:i4>
      </vt:variant>
      <vt:variant>
        <vt:lpwstr/>
      </vt:variant>
      <vt:variant>
        <vt:lpwstr>_Toc484709034</vt:lpwstr>
      </vt:variant>
      <vt:variant>
        <vt:i4>1179696</vt:i4>
      </vt:variant>
      <vt:variant>
        <vt:i4>8</vt:i4>
      </vt:variant>
      <vt:variant>
        <vt:i4>0</vt:i4>
      </vt:variant>
      <vt:variant>
        <vt:i4>5</vt:i4>
      </vt:variant>
      <vt:variant>
        <vt:lpwstr/>
      </vt:variant>
      <vt:variant>
        <vt:lpwstr>_Toc484709033</vt:lpwstr>
      </vt:variant>
      <vt:variant>
        <vt:i4>1179696</vt:i4>
      </vt:variant>
      <vt:variant>
        <vt:i4>2</vt:i4>
      </vt:variant>
      <vt:variant>
        <vt:i4>0</vt:i4>
      </vt:variant>
      <vt:variant>
        <vt:i4>5</vt:i4>
      </vt:variant>
      <vt:variant>
        <vt:lpwstr/>
      </vt:variant>
      <vt:variant>
        <vt:lpwstr>_Toc484709032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22</cp:revision>
  <cp:lastPrinted>2019-05-29T08:10:00Z</cp:lastPrinted>
  <dcterms:created xsi:type="dcterms:W3CDTF">2019-07-02T12:30:00Z</dcterms:created>
  <dcterms:modified xsi:type="dcterms:W3CDTF">2019-07-31T11:11:00Z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