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50C2D5EF-807B-4B6F-9A09-5844075E703C" style="width:451.25pt;height:406.9pt">
            <v:imagedata r:id="rId9" o:title=""/>
          </v:shape>
        </w:pict>
      </w:r>
    </w:p>
    <w:p>
      <w:pPr>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OBRAZLOŽITVENI MEMORANDUM</w:t>
      </w:r>
    </w:p>
    <w:p>
      <w:pPr>
        <w:pStyle w:val="ManualHeading1"/>
        <w:rPr>
          <w:noProof/>
        </w:rPr>
      </w:pPr>
      <w:r>
        <w:t>1.</w:t>
      </w:r>
      <w:r>
        <w:tab/>
      </w:r>
      <w:r>
        <w:rPr>
          <w:noProof/>
        </w:rPr>
        <w:t>OZADJE PREDLOGA</w:t>
      </w:r>
    </w:p>
    <w:p>
      <w:pPr>
        <w:rPr>
          <w:noProof/>
        </w:rPr>
      </w:pPr>
      <w:r>
        <w:rPr>
          <w:noProof/>
        </w:rPr>
        <w:t>Kot del evropske sosedske politike (v nadaljnjem besedilu: ESP) je postopno odpiranje nekaterih programov in agencij Unije partnerskim državam ESP eden od številnih ukrepov za spodbujanje reform, modernizacije in tranzicije v soseščini Evropske unije. Evropska komisija je ta strateški vidik podrobneje predstavila v sporočilu iz decembra 2006 o splošnem pristopu, s katerim se partnerskim državam evropske sosedske politike omogoči sodelovanje v agencijah Skupnosti ter v programih Skupnosti</w:t>
      </w:r>
      <w:r>
        <w:rPr>
          <w:rStyle w:val="FootnoteReference"/>
          <w:noProof/>
        </w:rPr>
        <w:footnoteReference w:id="1"/>
      </w:r>
      <w:r>
        <w:rPr>
          <w:noProof/>
        </w:rPr>
        <w:t>.</w:t>
      </w:r>
    </w:p>
    <w:p>
      <w:pPr>
        <w:rPr>
          <w:noProof/>
        </w:rPr>
      </w:pPr>
      <w:r>
        <w:rPr>
          <w:noProof/>
        </w:rPr>
        <w:t>Svet je ta pristop potrdil v sklepih z dne 5. marca 2007</w:t>
      </w:r>
      <w:r>
        <w:rPr>
          <w:rStyle w:val="FootnoteReference"/>
          <w:noProof/>
        </w:rPr>
        <w:footnoteReference w:id="2"/>
      </w:r>
      <w:r>
        <w:rPr>
          <w:noProof/>
        </w:rPr>
        <w:t>.</w:t>
      </w:r>
    </w:p>
    <w:p>
      <w:pPr>
        <w:rPr>
          <w:noProof/>
        </w:rPr>
      </w:pPr>
      <w:r>
        <w:rPr>
          <w:noProof/>
        </w:rPr>
        <w:t>Na podlagi tega sporočila in sklepov z dne 5. marca 2007 je Svet 18. junija 2007 Komisiji izdal smernice za pogajanja o okvirnih sporazumih z Alžirijo, Armenijo, Azerbajdžanom, Egiptom, Gruzijo, Izraelom, Jordanijo, Libanonom, Moldavijo, Marokom, Palestinsko oblastjo, Tunizijo in Ukrajino o splošnih načelih za njihovo sodelovanje v programih Skupnosti</w:t>
      </w:r>
      <w:r>
        <w:rPr>
          <w:rStyle w:val="FootnoteReference"/>
          <w:noProof/>
        </w:rPr>
        <w:footnoteReference w:id="3"/>
      </w:r>
      <w:r>
        <w:rPr>
          <w:noProof/>
        </w:rPr>
        <w:t xml:space="preserve">. </w:t>
      </w:r>
    </w:p>
    <w:p>
      <w:pPr>
        <w:rPr>
          <w:noProof/>
        </w:rPr>
      </w:pPr>
      <w:r>
        <w:rPr>
          <w:noProof/>
        </w:rPr>
        <w:t>Evropski svet</w:t>
      </w:r>
      <w:r>
        <w:rPr>
          <w:rStyle w:val="FootnoteReference"/>
          <w:noProof/>
        </w:rPr>
        <w:footnoteReference w:id="4"/>
      </w:r>
      <w:r>
        <w:rPr>
          <w:noProof/>
        </w:rPr>
        <w:t xml:space="preserve"> je na zasedanju junija 2007 ponovno poudaril izjemni pomen ESP in potrdil poročilo predsedstva o napredku</w:t>
      </w:r>
      <w:r>
        <w:rPr>
          <w:rStyle w:val="FootnoteReference"/>
          <w:noProof/>
        </w:rPr>
        <w:footnoteReference w:id="5"/>
      </w:r>
      <w:r>
        <w:rPr>
          <w:noProof/>
        </w:rPr>
        <w:t>, ki je bilo predloženo na zasedanju Sveta 18. in 19. junija 2007, ter z njim povezane sklepe Sveta</w:t>
      </w:r>
      <w:r>
        <w:rPr>
          <w:rStyle w:val="FootnoteReference"/>
          <w:noProof/>
        </w:rPr>
        <w:footnoteReference w:id="6"/>
      </w:r>
      <w:r>
        <w:rPr>
          <w:noProof/>
        </w:rPr>
        <w:t xml:space="preserve">. V tem poročilu so bile znova omenjene smernice Sveta za pogajanje o ustreznih dodatnih protokolih. </w:t>
      </w:r>
    </w:p>
    <w:p>
      <w:pPr>
        <w:spacing w:after="60"/>
        <w:rPr>
          <w:noProof/>
        </w:rPr>
      </w:pPr>
      <w:r>
        <w:rPr>
          <w:noProof/>
        </w:rPr>
        <w:t>V skupnem sporočilu Komisije in Visokega predstavnika Evropske unije za zunanje zadeve in varnostno politiko z naslovom Nov odziv na spremembe v sosedstvu</w:t>
      </w:r>
      <w:r>
        <w:rPr>
          <w:rStyle w:val="FootnoteReference"/>
          <w:noProof/>
        </w:rPr>
        <w:footnoteReference w:id="7"/>
      </w:r>
      <w:r>
        <w:rPr>
          <w:noProof/>
        </w:rPr>
        <w:t>, ki je bilo potrjeno s sklepi Sveta z dne 20. junija 2011, je bil nadalje poudarjen namen EU, da partnerskim državam omogoči sodelovanje v programih EU.</w:t>
      </w:r>
    </w:p>
    <w:p>
      <w:pPr>
        <w:spacing w:after="60"/>
        <w:rPr>
          <w:noProof/>
        </w:rPr>
      </w:pPr>
      <w:r>
        <w:rPr>
          <w:noProof/>
        </w:rPr>
        <w:t>Doslej so bili podpisani podobni protokoli z Alžirijo</w:t>
      </w:r>
      <w:r>
        <w:rPr>
          <w:rStyle w:val="FootnoteReference"/>
          <w:noProof/>
        </w:rPr>
        <w:footnoteReference w:id="8"/>
      </w:r>
      <w:r>
        <w:rPr>
          <w:noProof/>
        </w:rPr>
        <w:t>, Armenijo</w:t>
      </w:r>
      <w:r>
        <w:rPr>
          <w:rStyle w:val="FootnoteReference"/>
          <w:noProof/>
        </w:rPr>
        <w:footnoteReference w:id="9"/>
      </w:r>
      <w:r>
        <w:rPr>
          <w:noProof/>
        </w:rPr>
        <w:t>, Azerbajdžanom</w:t>
      </w:r>
      <w:r>
        <w:rPr>
          <w:rStyle w:val="FootnoteReference"/>
          <w:noProof/>
        </w:rPr>
        <w:footnoteReference w:id="10"/>
      </w:r>
      <w:r>
        <w:rPr>
          <w:noProof/>
        </w:rPr>
        <w:t>, Gruzijo</w:t>
      </w:r>
      <w:r>
        <w:rPr>
          <w:rStyle w:val="FootnoteReference"/>
          <w:noProof/>
        </w:rPr>
        <w:footnoteReference w:id="11"/>
      </w:r>
      <w:r>
        <w:rPr>
          <w:noProof/>
        </w:rPr>
        <w:t>, Izraelom</w:t>
      </w:r>
      <w:r>
        <w:rPr>
          <w:rStyle w:val="FootnoteReference"/>
          <w:noProof/>
        </w:rPr>
        <w:footnoteReference w:id="12"/>
      </w:r>
      <w:r>
        <w:rPr>
          <w:noProof/>
        </w:rPr>
        <w:t>, Jordanijo</w:t>
      </w:r>
      <w:r>
        <w:rPr>
          <w:rStyle w:val="FootnoteReference"/>
          <w:noProof/>
        </w:rPr>
        <w:footnoteReference w:id="13"/>
      </w:r>
      <w:r>
        <w:rPr>
          <w:noProof/>
        </w:rPr>
        <w:t>, Libanonom</w:t>
      </w:r>
      <w:r>
        <w:rPr>
          <w:rStyle w:val="FootnoteReference"/>
          <w:noProof/>
        </w:rPr>
        <w:footnoteReference w:id="14"/>
      </w:r>
      <w:r>
        <w:rPr>
          <w:noProof/>
        </w:rPr>
        <w:t>, Moldavijo</w:t>
      </w:r>
      <w:r>
        <w:rPr>
          <w:rStyle w:val="FootnoteReference"/>
          <w:noProof/>
        </w:rPr>
        <w:footnoteReference w:id="15"/>
      </w:r>
      <w:r>
        <w:rPr>
          <w:noProof/>
        </w:rPr>
        <w:t>, Marokom</w:t>
      </w:r>
      <w:r>
        <w:rPr>
          <w:rStyle w:val="FootnoteReference"/>
          <w:noProof/>
        </w:rPr>
        <w:footnoteReference w:id="16"/>
      </w:r>
      <w:r>
        <w:rPr>
          <w:noProof/>
        </w:rPr>
        <w:t>, Tunizijo</w:t>
      </w:r>
      <w:r>
        <w:rPr>
          <w:rStyle w:val="FootnoteReference"/>
          <w:noProof/>
        </w:rPr>
        <w:footnoteReference w:id="17"/>
      </w:r>
      <w:r>
        <w:rPr>
          <w:noProof/>
        </w:rPr>
        <w:t xml:space="preserve"> in Ukrajino</w:t>
      </w:r>
      <w:r>
        <w:rPr>
          <w:rStyle w:val="FootnoteReference"/>
          <w:noProof/>
        </w:rPr>
        <w:footnoteReference w:id="18"/>
      </w:r>
      <w:r>
        <w:rPr>
          <w:noProof/>
        </w:rPr>
        <w:t xml:space="preserve">, razpravlja pa se o protokolu z Egiptom. V skupnem odboru EU-Palestinska oblast je slednja septembra 2018 izrazila zanimanje za podpis Protokola k Okvirnemu sporazumu, da bi lahko v celoti sodelovala v številnih izbranih programih EU. </w:t>
      </w:r>
    </w:p>
    <w:p>
      <w:pPr>
        <w:spacing w:after="60"/>
        <w:rPr>
          <w:noProof/>
        </w:rPr>
      </w:pPr>
      <w:r>
        <w:rPr>
          <w:noProof/>
        </w:rPr>
        <w:t xml:space="preserve">Namen Protokola je določiti finančna in tehnična pravila, ki bi Palestinski oblasti omogočila sodelovanje v nekaterih programih EU. Horizontalni okvir, ki ga določa Protokol, določa </w:t>
      </w:r>
      <w:r>
        <w:rPr>
          <w:noProof/>
        </w:rPr>
        <w:lastRenderedPageBreak/>
        <w:t>načela gospodarskega, finančnega in tehničnega sodelovanja in Palestinski oblasti omogoča prejemanje pomoči, zlasti finančne, ki jo Evropska unija zagotavlja na podlagi programov. Ta okvir se uporablja samo za tiste programe, pri katerih je v ustreznih ustanovnih pravnih aktih predvidena možnost sodelovanja Palestinske oblasti. Podpis in začasna uporaba Protokola zato še ne pomenita tudi izvajanja pooblastil v okviru različnih sektorskih politik; ta pooblastila se izvajajo šele, ko so ti programi vzpostavljeni.</w:t>
      </w:r>
    </w:p>
    <w:p>
      <w:pPr>
        <w:pStyle w:val="ManualHeading1"/>
        <w:rPr>
          <w:noProof/>
        </w:rPr>
      </w:pPr>
      <w:r>
        <w:t>2.</w:t>
      </w:r>
      <w:r>
        <w:tab/>
      </w:r>
      <w:r>
        <w:rPr>
          <w:noProof/>
        </w:rPr>
        <w:t>PRAVNI OKVIR</w:t>
      </w:r>
    </w:p>
    <w:p>
      <w:pPr>
        <w:pBdr>
          <w:top w:val="nil"/>
          <w:left w:val="nil"/>
          <w:bottom w:val="nil"/>
          <w:right w:val="nil"/>
          <w:between w:val="nil"/>
          <w:bar w:val="nil"/>
        </w:pBdr>
        <w:spacing w:before="0" w:after="240"/>
        <w:rPr>
          <w:noProof/>
          <w:szCs w:val="24"/>
        </w:rPr>
      </w:pPr>
      <w:r>
        <w:rPr>
          <w:noProof/>
        </w:rPr>
        <w:t>Začasni evro-mediteranski pridružitveni sporazum o trgovini in sodelovanju med Evropsko skupnostjo na eni strani ter Palestinsko osvobodilno organizacijo (PLO) za Palestinsko upravo Zahodnega brega in Gaze na drugi strani je bil podpisan 24. februarja 1997 in je začel veljati 1. julija 1997.</w:t>
      </w:r>
    </w:p>
    <w:p>
      <w:pPr>
        <w:pBdr>
          <w:top w:val="nil"/>
          <w:left w:val="nil"/>
          <w:bottom w:val="nil"/>
          <w:right w:val="nil"/>
          <w:between w:val="nil"/>
          <w:bar w:val="nil"/>
        </w:pBdr>
        <w:spacing w:before="0" w:after="240"/>
        <w:rPr>
          <w:rFonts w:eastAsia="Arial Unicode MS"/>
          <w:noProof/>
        </w:rPr>
      </w:pPr>
      <w:r>
        <w:rPr>
          <w:noProof/>
        </w:rPr>
        <w:t>Evropski svet je na zasedanju 17. in 18. junija 2004 pozdravil predloge Komisije za ESP in podprl sklepe Sveta z dne 14. junija 2004.</w:t>
      </w:r>
    </w:p>
    <w:p>
      <w:pPr>
        <w:pBdr>
          <w:top w:val="nil"/>
          <w:left w:val="nil"/>
          <w:bottom w:val="nil"/>
          <w:right w:val="nil"/>
          <w:between w:val="nil"/>
          <w:bar w:val="nil"/>
        </w:pBdr>
        <w:spacing w:before="0" w:after="240"/>
        <w:rPr>
          <w:rFonts w:eastAsia="Arial Unicode MS"/>
          <w:noProof/>
        </w:rPr>
      </w:pPr>
      <w:r>
        <w:rPr>
          <w:noProof/>
        </w:rPr>
        <w:t>Svet je 5. marca 2007 izrazil podporo splošnemu in globalnemu pristopu, začrtanemu v sporočilu Komisije z dne 4. decembra 2006, da se partnericam ESP omogoči sodelovanje v agencijah in programih Skupnosti glede na njihove dosežke in tam, kjer pravna podlaga to omogoča.</w:t>
      </w:r>
    </w:p>
    <w:p>
      <w:pPr>
        <w:rPr>
          <w:noProof/>
        </w:rPr>
      </w:pPr>
      <w:r>
        <w:rPr>
          <w:noProof/>
        </w:rPr>
        <w:t>Na podlagi tega sporočila in sklepov z dne 5. marca 2007 je Svet 18. junija 2007 Komisiji izdal smernice za pogajanja o okvirnih sporazumih z državami ESP o splošnih načelih za njihovo sodelovanje v programih Skupnosti</w:t>
      </w:r>
      <w:r>
        <w:rPr>
          <w:rStyle w:val="FootnoteReference"/>
          <w:noProof/>
        </w:rPr>
        <w:footnoteReference w:id="19"/>
      </w:r>
      <w:r>
        <w:rPr>
          <w:noProof/>
        </w:rPr>
        <w:t xml:space="preserve">. </w:t>
      </w:r>
    </w:p>
    <w:p>
      <w:pPr>
        <w:rPr>
          <w:noProof/>
        </w:rPr>
      </w:pPr>
      <w:r>
        <w:rPr>
          <w:noProof/>
        </w:rPr>
        <w:t xml:space="preserve">Materialna pravna podlaga za podpis Protokola je člen 209 Pogodbe o delovanju Evropske unije (PDEU). Postopkovna pravna podlaga je člen 218(5) in člen 218(7) PDEU. </w:t>
      </w:r>
    </w:p>
    <w:p>
      <w:pPr>
        <w:rPr>
          <w:noProof/>
        </w:rPr>
      </w:pPr>
      <w:r>
        <w:rPr>
          <w:noProof/>
        </w:rPr>
        <w:t>Protokol bo podpisan s Palestinsko upravo Zahodnega brega in Gaze, ki je partnerica EU pri izvajanju začasnega pridružitvenega sporazuma</w:t>
      </w:r>
      <w:r>
        <w:rPr>
          <w:rStyle w:val="FootnoteReference"/>
          <w:noProof/>
        </w:rPr>
        <w:footnoteReference w:id="20"/>
      </w:r>
      <w:r>
        <w:rPr>
          <w:noProof/>
        </w:rPr>
        <w:t xml:space="preserve">. </w:t>
      </w:r>
    </w:p>
    <w:p>
      <w:pPr>
        <w:pStyle w:val="ManualHeading1"/>
        <w:rPr>
          <w:rStyle w:val="Heading1Char"/>
          <w:b/>
          <w:noProof/>
        </w:rPr>
      </w:pPr>
      <w:r>
        <w:rPr>
          <w:rStyle w:val="Heading1Char"/>
        </w:rPr>
        <w:t>3.</w:t>
      </w:r>
      <w:r>
        <w:rPr>
          <w:rStyle w:val="Heading1Char"/>
        </w:rPr>
        <w:tab/>
      </w:r>
      <w:r>
        <w:rPr>
          <w:rStyle w:val="Heading1Char"/>
          <w:b/>
          <w:noProof/>
        </w:rPr>
        <w:t>REZULTATI NAKNADNIH OCEN, POSVETOVANJ Z ZAINTERESIRANIMI STRANMI IN OCEN UČINKA</w:t>
      </w:r>
    </w:p>
    <w:p>
      <w:pPr>
        <w:pBdr>
          <w:top w:val="nil"/>
          <w:left w:val="nil"/>
          <w:bottom w:val="nil"/>
          <w:right w:val="nil"/>
          <w:between w:val="nil"/>
          <w:bar w:val="nil"/>
        </w:pBdr>
        <w:spacing w:before="0" w:after="240"/>
        <w:rPr>
          <w:noProof/>
        </w:rPr>
      </w:pPr>
      <w:r>
        <w:rPr>
          <w:noProof/>
        </w:rPr>
        <w:t>Ni relevantno.</w:t>
      </w:r>
    </w:p>
    <w:p>
      <w:pPr>
        <w:pStyle w:val="ManualHeading1"/>
        <w:rPr>
          <w:noProof/>
        </w:rPr>
      </w:pPr>
      <w:r>
        <w:t>4.</w:t>
      </w:r>
      <w:r>
        <w:tab/>
      </w:r>
      <w:r>
        <w:rPr>
          <w:noProof/>
        </w:rPr>
        <w:t>PRORAČUNSKE POSLEDICE</w:t>
      </w:r>
    </w:p>
    <w:p>
      <w:pPr>
        <w:shd w:val="clear" w:color="auto" w:fill="FFFFFF"/>
        <w:rPr>
          <w:noProof/>
        </w:rPr>
      </w:pPr>
      <w:r>
        <w:rPr>
          <w:noProof/>
        </w:rPr>
        <w:t xml:space="preserve">Palestinska oblast finančno prispeva k splošnemu proračunu Evropske unije skladno s posameznimi programi, v katerih sodeluje. </w:t>
      </w:r>
    </w:p>
    <w:p>
      <w:pPr>
        <w:shd w:val="clear" w:color="auto" w:fill="FFFFFF"/>
        <w:rPr>
          <w:noProof/>
        </w:rPr>
      </w:pPr>
      <w:r>
        <w:rPr>
          <w:noProof/>
        </w:rPr>
        <w:t>Posebna določila in pogoje za sodelovanje Palestinske oblasti v vsakem programu, zlasti glede plačljivega finančnega prispevka, je treba določiti v memorandumu o soglasju med Komisijo in pristojnimi organi Palestinske oblasti na podlagi meril, določenih v ustreznih programih.</w:t>
      </w:r>
    </w:p>
    <w:p>
      <w:pPr>
        <w:shd w:val="clear" w:color="auto" w:fill="FFFFFF"/>
        <w:rPr>
          <w:noProof/>
        </w:rPr>
      </w:pPr>
      <w:r>
        <w:rPr>
          <w:noProof/>
        </w:rPr>
        <w:t xml:space="preserve">V vsakem memorandumu o soglasju, sklenjenem v skladu s členom 5 Protokola, je v skladu z Uredbo (EU, Euratom) 2018/1046 Evropskega parlamenta in Sveta z dne 18. julija 2018 o finančnih pravilih, ki se uporabljajo za splošni proračun Unije, spremembi uredb (EU) št. </w:t>
      </w:r>
      <w:r>
        <w:rPr>
          <w:noProof/>
        </w:rPr>
        <w:lastRenderedPageBreak/>
        <w:t xml:space="preserve">1296/2013, (EU) št. 1301/2013, (EU) št. 1303/2013, (EU) št. 1304/2013, (EU) št. 1309/2013, (EU) št. 1316/2013, (EU) št. 223/2014, (EU) št. 283/2014 in Sklepa št. 541/2014/EU ter razveljavitvi Uredbe (EU, Euratom) št. 966/2012 določeno, da se bodo finančni nadzor, revizije ali </w:t>
      </w:r>
      <w:r>
        <w:rPr>
          <w:rStyle w:val="Emphasis"/>
          <w:i w:val="0"/>
          <w:noProof/>
        </w:rPr>
        <w:t>druga preverjanja, vključno z upravnimi preiskavami</w:t>
      </w:r>
      <w:r>
        <w:rPr>
          <w:noProof/>
        </w:rPr>
        <w:t>, izvajali s strani ali pod vodstvom Komisije, Evropskega urada za boj proti goljufijam in Evropskega računskega sodišča.</w:t>
      </w:r>
    </w:p>
    <w:p>
      <w:pPr>
        <w:shd w:val="clear" w:color="auto" w:fill="FFFFFF"/>
        <w:rPr>
          <w:noProof/>
        </w:rPr>
      </w:pPr>
      <w:r>
        <w:rPr>
          <w:noProof/>
        </w:rPr>
        <w:t xml:space="preserve">Sprejmejo se podrobni predpisi o finančnem nadzoru in reviziji, upravnih ukrepih, kaznih ter izterjavah, ki bodo Komisiji, Evropskemu uradu za boj proti goljufijam in Računskemu sodišču dale pooblastila, enaka tistim, ki jih imajo v zvezi z upravičenci ali izvajalci s sedežem v Uniji. </w:t>
      </w:r>
    </w:p>
    <w:p>
      <w:pPr>
        <w:pStyle w:val="ManualHeading1"/>
        <w:rPr>
          <w:noProof/>
        </w:rPr>
      </w:pPr>
      <w:r>
        <w:t>5.</w:t>
      </w:r>
      <w:r>
        <w:tab/>
      </w:r>
      <w:r>
        <w:rPr>
          <w:noProof/>
        </w:rPr>
        <w:t>DRUGI ELEMENTI</w:t>
      </w:r>
    </w:p>
    <w:p>
      <w:pPr>
        <w:shd w:val="clear" w:color="auto" w:fill="FFFFFF"/>
        <w:rPr>
          <w:noProof/>
          <w:szCs w:val="24"/>
        </w:rPr>
      </w:pPr>
      <w:r>
        <w:rPr>
          <w:noProof/>
        </w:rPr>
        <w:t xml:space="preserve">Najpozneje v treh letih po datumu začetka veljavnosti tega protokola, nato pa vsaka tri leta, lahko pogodbenici pregledata izvajanje tega protokola na podlagi dejanskega sodelovanja Palestinske oblasti v programih Unije. </w:t>
      </w:r>
    </w:p>
    <w:p>
      <w:pPr>
        <w:shd w:val="clear" w:color="auto" w:fill="FFFFFF"/>
        <w:rPr>
          <w:noProof/>
        </w:rPr>
      </w:pPr>
      <w:r>
        <w:rPr>
          <w:noProof/>
        </w:rPr>
        <w:t>Posebna določila in pogoje za sodelovanje Palestinske oblasti v vsakem programu posebej, zlasti glede poročanja in postopkov vrednotenja, je treba določiti v memorandumu o soglasju med Komisijo in pristojnimi organi Palestinske oblasti na podlagi meril, določenih v ustreznih programih.</w:t>
      </w:r>
    </w:p>
    <w:p>
      <w:pPr>
        <w:rPr>
          <w:noProof/>
        </w:rPr>
        <w:sectPr>
          <w:footerReference w:type="default" r:id="rId16"/>
          <w:footerReference w:type="first" r:id="rId17"/>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2019/0165 (NLE)</w:t>
      </w:r>
    </w:p>
    <w:p>
      <w:pPr>
        <w:pStyle w:val="Statut"/>
        <w:rPr>
          <w:noProof/>
        </w:rPr>
      </w:pPr>
      <w:r>
        <w:rPr>
          <w:noProof/>
        </w:rPr>
        <w:t>Predlog</w:t>
      </w:r>
    </w:p>
    <w:p>
      <w:pPr>
        <w:pStyle w:val="Typedudocument"/>
        <w:rPr>
          <w:noProof/>
        </w:rPr>
      </w:pPr>
      <w:r>
        <w:rPr>
          <w:noProof/>
        </w:rPr>
        <w:t>SKLEP SVETA</w:t>
      </w:r>
    </w:p>
    <w:p>
      <w:pPr>
        <w:pStyle w:val="Titreobjet"/>
        <w:rPr>
          <w:noProof/>
        </w:rPr>
      </w:pPr>
      <w:r>
        <w:rPr>
          <w:noProof/>
        </w:rPr>
        <w:t>o podpisu v imenu Evropske unije in začasni uporabi Protokola k Začasnemu evro-mediteranskemu pridružitvenemu sporazumu o trgovini in sodelovanju med Evropsko skupnostjo na eni strani ter Palestinsko osvobodilno organizacijo (PLO) za Palestinsko upravo Zahodnega brega in Gaze na drugi strani o Okvirnem sporazumu med Evropsko unijo in Palestinsko upravo Zahodnega brega in Gaze o splošnih načelih za sodelovanje v programih Unije</w:t>
      </w:r>
    </w:p>
    <w:p>
      <w:pPr>
        <w:pStyle w:val="Institutionquiagit"/>
        <w:rPr>
          <w:b/>
          <w:noProof/>
        </w:rPr>
      </w:pPr>
      <w:r>
        <w:rPr>
          <w:noProof/>
        </w:rPr>
        <w:t>SVET EVROPSKE UNIJE JE –</w:t>
      </w:r>
    </w:p>
    <w:p>
      <w:pPr>
        <w:rPr>
          <w:noProof/>
        </w:rPr>
      </w:pPr>
      <w:r>
        <w:rPr>
          <w:noProof/>
        </w:rPr>
        <w:t>ob upoštevanju Pogodbe o delovanju Evropske unije in zlasti člena 209 v povezavi s členom 218(5) in členom 218(7) Pogodbe,</w:t>
      </w:r>
    </w:p>
    <w:p>
      <w:pPr>
        <w:rPr>
          <w:noProof/>
        </w:rPr>
      </w:pPr>
      <w:r>
        <w:rPr>
          <w:noProof/>
        </w:rPr>
        <w:t>ob upoštevanju predloga Evropske komisije,</w:t>
      </w:r>
    </w:p>
    <w:p>
      <w:pPr>
        <w:rPr>
          <w:noProof/>
        </w:rPr>
      </w:pPr>
      <w:r>
        <w:rPr>
          <w:noProof/>
        </w:rPr>
        <w:t>ob upoštevanju naslednjega:</w:t>
      </w:r>
    </w:p>
    <w:p>
      <w:pPr>
        <w:pStyle w:val="ManualConsidrant"/>
        <w:rPr>
          <w:noProof/>
        </w:rPr>
      </w:pPr>
      <w:r>
        <w:t>(1)</w:t>
      </w:r>
      <w:r>
        <w:tab/>
      </w:r>
      <w:r>
        <w:rPr>
          <w:noProof/>
        </w:rPr>
        <w:t>Svet je 18. junija 2007 pooblastil Komisijo za pogajanja o Protokolu k Začasnemu evro-mediteranskemu pridružitvenemu sporazumu o trgovini in sodelovanju med Evropsko skupnostjo na eni strani ter Palestinsko osvobodilno organizacijo (PLO) za Palestinsko upravo Zahodnega brega in Gaze na drugi strani o Okvirnem sporazumu med Evropsko unijo in Palestinsko upravo Zahodnega brega in Gaze o splošnih načelih za sodelovanje v programih Unije (v nadaljnjem besedilu: Protokol).</w:t>
      </w:r>
    </w:p>
    <w:p>
      <w:pPr>
        <w:pStyle w:val="ManualConsidrant"/>
        <w:rPr>
          <w:noProof/>
        </w:rPr>
      </w:pPr>
      <w:r>
        <w:t>(2)</w:t>
      </w:r>
      <w:r>
        <w:tab/>
      </w:r>
      <w:r>
        <w:rPr>
          <w:noProof/>
        </w:rPr>
        <w:t>Pogajanja so se zaključila.</w:t>
      </w:r>
    </w:p>
    <w:p>
      <w:pPr>
        <w:pStyle w:val="ManualConsidrant"/>
        <w:rPr>
          <w:noProof/>
        </w:rPr>
      </w:pPr>
      <w:r>
        <w:t>(3)</w:t>
      </w:r>
      <w:r>
        <w:tab/>
      </w:r>
      <w:r>
        <w:rPr>
          <w:noProof/>
        </w:rPr>
        <w:t xml:space="preserve">Namen Protokola je določiti finančna in tehnična pravila, ki bi Palestinski oblasti omogočila sodelovanje v nekaterih programih EU. Horizontalni okvir, ki ga določa Protokol, določa načela ukrepov gospodarskega, finančnega in tehničnega sodelovanja ter Palestinski oblasti omogoča prejemanje tehnične pomoči, zlasti finančne, ki jo Evropska unija zagotavlja na podlagi svojih programov. Ta okvir se uporablja samo za tiste programe, pri katerih je v ustreznih ustanovnih pravnih aktih predvidena možnost sodelovanja Palestinske oblasti. Podpis in začasna uporaba Protokola zato še ne pomenita tudi izvajanja pooblastil v okviru različnih sektorskih politik; ta pooblastila se izvajajo šele, ko so ti programi vzpostavljeni.  </w:t>
      </w:r>
    </w:p>
    <w:p>
      <w:pPr>
        <w:pStyle w:val="ManualConsidrant"/>
        <w:rPr>
          <w:noProof/>
        </w:rPr>
      </w:pPr>
      <w:r>
        <w:t>(4)</w:t>
      </w:r>
      <w:r>
        <w:tab/>
      </w:r>
      <w:r>
        <w:rPr>
          <w:noProof/>
        </w:rPr>
        <w:t>Protokol bi bilo treba podpisati v imenu Evropske Unije ter ga do zaključka postopkov, potrebnih za njegovo sklenitev, uporabljati začasno –</w:t>
      </w:r>
    </w:p>
    <w:p>
      <w:pPr>
        <w:pStyle w:val="Formuledadoption"/>
        <w:rPr>
          <w:noProof/>
        </w:rPr>
      </w:pPr>
      <w:r>
        <w:rPr>
          <w:noProof/>
        </w:rPr>
        <w:t>SPREJEL NASLEDNJI SKLEP:</w:t>
      </w:r>
    </w:p>
    <w:p>
      <w:pPr>
        <w:pStyle w:val="Titrearticle"/>
        <w:outlineLvl w:val="0"/>
        <w:rPr>
          <w:noProof/>
        </w:rPr>
      </w:pPr>
      <w:r>
        <w:rPr>
          <w:noProof/>
        </w:rPr>
        <w:t>Člen 1</w:t>
      </w:r>
    </w:p>
    <w:p>
      <w:pPr>
        <w:autoSpaceDE w:val="0"/>
        <w:autoSpaceDN w:val="0"/>
        <w:adjustRightInd w:val="0"/>
        <w:rPr>
          <w:noProof/>
        </w:rPr>
      </w:pPr>
      <w:r>
        <w:rPr>
          <w:noProof/>
        </w:rPr>
        <w:t xml:space="preserve">Podpis, v imenu Unije, Protokola k Začasnemu evro-mediteranskemu pridružitvenemu sporazumu o trgovini in sodelovanju med Evropsko skupnostjo na eni strani ter Palestinsko osvobodilno organizacijo (PLO) za Palestinsko upravo Zahodnega brega in Gaze na drugi strani o Okvirnem sporazumu med Evropsko unijo in Palestinsko upravo Zahodnega brega in Gaze o splošnih načelih za sodelovanje med Evropsko unijo ter Palestinsko upravo </w:t>
      </w:r>
      <w:r>
        <w:rPr>
          <w:noProof/>
        </w:rPr>
        <w:lastRenderedPageBreak/>
        <w:t>Zahodnega brega in Gaze o splošnih načelih za sodelovanje v programih Unije se odobri s pridržkom sklenitve navedenega protokola.</w:t>
      </w:r>
    </w:p>
    <w:p>
      <w:pPr>
        <w:autoSpaceDE w:val="0"/>
        <w:autoSpaceDN w:val="0"/>
        <w:adjustRightInd w:val="0"/>
        <w:rPr>
          <w:noProof/>
        </w:rPr>
      </w:pPr>
      <w:r>
        <w:rPr>
          <w:noProof/>
        </w:rPr>
        <w:t>Besedilo Protokola je priloženo temu sklepu.</w:t>
      </w:r>
    </w:p>
    <w:p>
      <w:pPr>
        <w:pStyle w:val="Titrearticle"/>
        <w:rPr>
          <w:noProof/>
        </w:rPr>
      </w:pPr>
      <w:r>
        <w:rPr>
          <w:noProof/>
        </w:rPr>
        <w:t>Člen 2</w:t>
      </w:r>
    </w:p>
    <w:p>
      <w:pPr>
        <w:rPr>
          <w:noProof/>
        </w:rPr>
      </w:pPr>
      <w:r>
        <w:rPr>
          <w:noProof/>
        </w:rPr>
        <w:t>Generalni sekretariat Sveta vzpostavi instrument popolnih pooblastil za podpis Protokola s pridržkom njegove sklenitve za osebe, ki jih določi pogajalec o Protokolu.</w:t>
      </w:r>
    </w:p>
    <w:p>
      <w:pPr>
        <w:pStyle w:val="Titrearticle"/>
        <w:rPr>
          <w:noProof/>
        </w:rPr>
      </w:pPr>
      <w:r>
        <w:rPr>
          <w:noProof/>
        </w:rPr>
        <w:t>Člen 3</w:t>
      </w:r>
    </w:p>
    <w:p>
      <w:pPr>
        <w:rPr>
          <w:noProof/>
        </w:rPr>
      </w:pPr>
      <w:r>
        <w:rPr>
          <w:noProof/>
        </w:rPr>
        <w:t>Protokol se v skladu z njegovim členom 10 začasno uporablja od datuma njegovega podpisa do zaključka postopkov, potrebnih za njegovo sklenitev.</w:t>
      </w:r>
    </w:p>
    <w:p>
      <w:pPr>
        <w:rPr>
          <w:noProof/>
        </w:rPr>
      </w:pPr>
      <w:r>
        <w:rPr>
          <w:noProof/>
        </w:rPr>
        <w:t xml:space="preserve">Datum podpisa Protokola bo objavljen v </w:t>
      </w:r>
      <w:r>
        <w:rPr>
          <w:i/>
          <w:iCs/>
          <w:noProof/>
        </w:rPr>
        <w:t>Uradnem listu Evropske unije</w:t>
      </w:r>
      <w:r>
        <w:rPr>
          <w:noProof/>
        </w:rPr>
        <w:t>.</w:t>
      </w:r>
    </w:p>
    <w:p>
      <w:pPr>
        <w:pStyle w:val="Titrearticle"/>
        <w:rPr>
          <w:noProof/>
        </w:rPr>
      </w:pPr>
      <w:r>
        <w:rPr>
          <w:noProof/>
        </w:rPr>
        <w:t>Člen 4</w:t>
      </w:r>
    </w:p>
    <w:p>
      <w:pPr>
        <w:rPr>
          <w:noProof/>
        </w:rPr>
      </w:pPr>
      <w:r>
        <w:rPr>
          <w:noProof/>
        </w:rPr>
        <w:t>Komisija je pooblaščena, da v imenu Unije določi posebne pogoje glede sodelovanja Palestinske oblasti v vsakem posameznem programu, vključno s finančnim prispevkom, ki ga je treba plačati. Komisija redno obvešča pristojno delovno skupino Sveta.</w:t>
      </w:r>
    </w:p>
    <w:p>
      <w:pPr>
        <w:pStyle w:val="Titrearticle"/>
        <w:rPr>
          <w:noProof/>
        </w:rPr>
      </w:pPr>
      <w:r>
        <w:rPr>
          <w:noProof/>
        </w:rPr>
        <w:t>Člen 5</w:t>
      </w:r>
    </w:p>
    <w:p>
      <w:pPr>
        <w:rPr>
          <w:noProof/>
        </w:rPr>
      </w:pPr>
      <w:r>
        <w:rPr>
          <w:noProof/>
        </w:rPr>
        <w:t>Ta sklep začne veljati na dan sprejetja.</w:t>
      </w:r>
    </w:p>
    <w:p>
      <w:pPr>
        <w:pStyle w:val="Fait"/>
        <w:rPr>
          <w:noProof/>
        </w:rPr>
      </w:pPr>
      <w:r>
        <w:t>V Bruslju,</w:t>
      </w:r>
    </w:p>
    <w:p>
      <w:pPr>
        <w:pStyle w:val="Institutionquisigne"/>
        <w:rPr>
          <w:noProof/>
        </w:rPr>
      </w:pPr>
      <w:r>
        <w:rPr>
          <w:noProof/>
        </w:rPr>
        <w:tab/>
        <w:t>Za Svet</w:t>
      </w:r>
    </w:p>
    <w:p>
      <w:pPr>
        <w:pStyle w:val="Personnequisigne"/>
        <w:rPr>
          <w:noProof/>
        </w:rPr>
      </w:pPr>
      <w:r>
        <w:rPr>
          <w:noProof/>
        </w:rPr>
        <w:tab/>
        <w:t>Predsednik</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SL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COM(2006) 724 final z dne 4. decembra 2006.</w:t>
      </w:r>
    </w:p>
  </w:footnote>
  <w:footnote w:id="2">
    <w:p>
      <w:pPr>
        <w:pStyle w:val="FootnoteText"/>
      </w:pPr>
      <w:r>
        <w:rPr>
          <w:rStyle w:val="FootnoteReference"/>
        </w:rPr>
        <w:footnoteRef/>
      </w:r>
      <w:r>
        <w:tab/>
        <w:t>Sklepi Sveta za splošne zadeve in zunanje odnose (GAERC) z dne 5. marca 2007.</w:t>
      </w:r>
    </w:p>
  </w:footnote>
  <w:footnote w:id="3">
    <w:p>
      <w:pPr>
        <w:pStyle w:val="FootnoteText"/>
      </w:pPr>
      <w:r>
        <w:rPr>
          <w:rStyle w:val="FootnoteReference"/>
        </w:rPr>
        <w:footnoteRef/>
      </w:r>
      <w:r>
        <w:tab/>
        <w:t>Sklep Sveta (omejeno) o pooblastilu Komisije za pogajanja o protokolih […], dokument 10412/07.</w:t>
      </w:r>
    </w:p>
  </w:footnote>
  <w:footnote w:id="4">
    <w:p>
      <w:pPr>
        <w:pStyle w:val="FootnoteText"/>
      </w:pPr>
      <w:r>
        <w:rPr>
          <w:rStyle w:val="FootnoteReference"/>
        </w:rPr>
        <w:footnoteRef/>
      </w:r>
      <w:r>
        <w:tab/>
        <w:t>Sklepi predsedstva – Bruselj, 21. in 22. junij 2007, dokument 11177/07.</w:t>
      </w:r>
    </w:p>
  </w:footnote>
  <w:footnote w:id="5">
    <w:p>
      <w:pPr>
        <w:pStyle w:val="FootnoteText"/>
      </w:pPr>
      <w:r>
        <w:rPr>
          <w:rStyle w:val="FootnoteReference"/>
        </w:rPr>
        <w:footnoteRef/>
      </w:r>
      <w:r>
        <w:tab/>
        <w:t>Poročilo predsedstva o napredku o „krepitvi evropske sosedske politike“, dokument 10874/07.</w:t>
      </w:r>
    </w:p>
  </w:footnote>
  <w:footnote w:id="6">
    <w:p>
      <w:pPr>
        <w:pStyle w:val="FootnoteText"/>
      </w:pPr>
      <w:r>
        <w:rPr>
          <w:rStyle w:val="FootnoteReference"/>
        </w:rPr>
        <w:footnoteRef/>
      </w:r>
      <w:r>
        <w:tab/>
        <w:t>Sklepi o krepitvi evropske sosedske politike, ki jih je Svet (za splošne zadeve in zunanje odnose) sprejel 18. junija 2007, dokument 11016/07.</w:t>
      </w:r>
    </w:p>
  </w:footnote>
  <w:footnote w:id="7">
    <w:p>
      <w:pPr>
        <w:pStyle w:val="FootnoteText"/>
      </w:pPr>
      <w:r>
        <w:rPr>
          <w:rStyle w:val="FootnoteReference"/>
        </w:rPr>
        <w:footnoteRef/>
      </w:r>
      <w:r>
        <w:tab/>
        <w:t>COM(2011) 303 final z dne 25. maja 2011.</w:t>
      </w:r>
    </w:p>
  </w:footnote>
  <w:footnote w:id="8">
    <w:p>
      <w:pPr>
        <w:pStyle w:val="FootnoteText"/>
      </w:pPr>
      <w:r>
        <w:rPr>
          <w:rStyle w:val="FootnoteReference"/>
        </w:rPr>
        <w:footnoteRef/>
      </w:r>
      <w:r>
        <w:tab/>
        <w:t>UL L 14, 18.1.2017, str. 2.</w:t>
      </w:r>
    </w:p>
  </w:footnote>
  <w:footnote w:id="9">
    <w:p>
      <w:pPr>
        <w:pStyle w:val="FootnoteText"/>
      </w:pPr>
      <w:r>
        <w:rPr>
          <w:rStyle w:val="FootnoteReference"/>
        </w:rPr>
        <w:footnoteRef/>
      </w:r>
      <w:r>
        <w:tab/>
        <w:t>UL L 174, 13.6.2014, str. 1.</w:t>
      </w:r>
    </w:p>
  </w:footnote>
  <w:footnote w:id="10">
    <w:p>
      <w:pPr>
        <w:pStyle w:val="FootnoteText"/>
      </w:pPr>
      <w:r>
        <w:rPr>
          <w:rStyle w:val="FootnoteReference"/>
        </w:rPr>
        <w:footnoteRef/>
      </w:r>
      <w:r>
        <w:tab/>
        <w:t>UL L 199, 26.7.2016, str. 1.</w:t>
      </w:r>
    </w:p>
  </w:footnote>
  <w:footnote w:id="11">
    <w:p>
      <w:pPr>
        <w:pStyle w:val="FootnoteText"/>
      </w:pPr>
      <w:r>
        <w:rPr>
          <w:rStyle w:val="FootnoteReference"/>
        </w:rPr>
        <w:footnoteRef/>
      </w:r>
      <w:r>
        <w:tab/>
        <w:t>UL L 165, 4.6.2014, str. 16.</w:t>
      </w:r>
    </w:p>
  </w:footnote>
  <w:footnote w:id="12">
    <w:p>
      <w:pPr>
        <w:pStyle w:val="FootnoteText"/>
      </w:pPr>
      <w:r>
        <w:rPr>
          <w:rStyle w:val="FootnoteReference"/>
        </w:rPr>
        <w:footnoteRef/>
      </w:r>
      <w:r>
        <w:tab/>
        <w:t>UL L 129, 17.5.2008, str. 39.</w:t>
      </w:r>
    </w:p>
  </w:footnote>
  <w:footnote w:id="13">
    <w:p>
      <w:pPr>
        <w:pStyle w:val="FootnoteText"/>
      </w:pPr>
      <w:r>
        <w:rPr>
          <w:rStyle w:val="FootnoteReference"/>
        </w:rPr>
        <w:footnoteRef/>
      </w:r>
      <w:r>
        <w:tab/>
        <w:t>UL L 89, 25.3.2014, str. 6.</w:t>
      </w:r>
    </w:p>
  </w:footnote>
  <w:footnote w:id="14">
    <w:p>
      <w:pPr>
        <w:pStyle w:val="FootnoteText"/>
      </w:pPr>
      <w:r>
        <w:rPr>
          <w:rStyle w:val="FootnoteReference"/>
        </w:rPr>
        <w:footnoteRef/>
      </w:r>
      <w:r>
        <w:tab/>
        <w:t>UL L 202, 28.7.2016, str. 3.</w:t>
      </w:r>
    </w:p>
  </w:footnote>
  <w:footnote w:id="15">
    <w:p>
      <w:pPr>
        <w:pStyle w:val="FootnoteText"/>
      </w:pPr>
      <w:r>
        <w:rPr>
          <w:rStyle w:val="FootnoteReference"/>
        </w:rPr>
        <w:footnoteRef/>
      </w:r>
      <w:r>
        <w:tab/>
        <w:t>UL L 131, 18.5.2011, str. 1.</w:t>
      </w:r>
    </w:p>
  </w:footnote>
  <w:footnote w:id="16">
    <w:p>
      <w:pPr>
        <w:pStyle w:val="FootnoteText"/>
      </w:pPr>
      <w:r>
        <w:rPr>
          <w:rStyle w:val="FootnoteReference"/>
        </w:rPr>
        <w:footnoteRef/>
      </w:r>
      <w:r>
        <w:tab/>
        <w:t>UL L 90, 28.3.2012, str. 1.</w:t>
      </w:r>
    </w:p>
  </w:footnote>
  <w:footnote w:id="17">
    <w:p>
      <w:pPr>
        <w:pStyle w:val="FootnoteText"/>
      </w:pPr>
      <w:r>
        <w:rPr>
          <w:rStyle w:val="FootnoteReference"/>
        </w:rPr>
        <w:footnoteRef/>
      </w:r>
      <w:r>
        <w:tab/>
        <w:t>UL L 297, 13.11.2015, str. 1.</w:t>
      </w:r>
    </w:p>
  </w:footnote>
  <w:footnote w:id="18">
    <w:p>
      <w:pPr>
        <w:pStyle w:val="FootnoteText"/>
      </w:pPr>
      <w:r>
        <w:rPr>
          <w:rStyle w:val="FootnoteReference"/>
        </w:rPr>
        <w:footnoteRef/>
      </w:r>
      <w:r>
        <w:tab/>
        <w:t>UL L 133, 20.5.2011, str. 1.</w:t>
      </w:r>
    </w:p>
  </w:footnote>
  <w:footnote w:id="19">
    <w:p>
      <w:pPr>
        <w:pStyle w:val="FootnoteText"/>
      </w:pPr>
      <w:r>
        <w:rPr>
          <w:rStyle w:val="FootnoteReference"/>
        </w:rPr>
        <w:footnoteRef/>
      </w:r>
      <w:r>
        <w:tab/>
        <w:t>Sklep Sveta (omejeno) o pooblastilu Komisije za pogajanja o protokolih […], dokument 10412/07.</w:t>
      </w:r>
    </w:p>
  </w:footnote>
  <w:footnote w:id="20">
    <w:p>
      <w:pPr>
        <w:pStyle w:val="FootnoteText"/>
      </w:pPr>
      <w:r>
        <w:rPr>
          <w:rStyle w:val="FootnoteReference"/>
        </w:rPr>
        <w:footnoteRef/>
      </w:r>
      <w:r>
        <w:tab/>
        <w:t>Glej tudi akcijski načrt, ki je bil podpisan s Palestinsko oblastjo v skladu s Sklepom Sveta (EU) 2019/222 z dne 20. decembra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DD47B5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B008EC0"/>
    <w:lvl w:ilvl="0">
      <w:start w:val="1"/>
      <w:numFmt w:val="decimal"/>
      <w:pStyle w:val="ListNumber3"/>
      <w:lvlText w:val="%1."/>
      <w:lvlJc w:val="left"/>
      <w:pPr>
        <w:tabs>
          <w:tab w:val="num" w:pos="926"/>
        </w:tabs>
        <w:ind w:left="926" w:hanging="360"/>
      </w:pPr>
    </w:lvl>
  </w:abstractNum>
  <w:abstractNum w:abstractNumId="2">
    <w:nsid w:val="FFFFFF7F"/>
    <w:multiLevelType w:val="singleLevel"/>
    <w:tmpl w:val="0486F898"/>
    <w:lvl w:ilvl="0">
      <w:start w:val="1"/>
      <w:numFmt w:val="decimal"/>
      <w:pStyle w:val="ListNumber2"/>
      <w:lvlText w:val="%1."/>
      <w:lvlJc w:val="left"/>
      <w:pPr>
        <w:tabs>
          <w:tab w:val="num" w:pos="643"/>
        </w:tabs>
        <w:ind w:left="643" w:hanging="360"/>
      </w:pPr>
    </w:lvl>
  </w:abstractNum>
  <w:abstractNum w:abstractNumId="3">
    <w:nsid w:val="FFFFFF81"/>
    <w:multiLevelType w:val="singleLevel"/>
    <w:tmpl w:val="0732784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42A519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698BE8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4238DDE8"/>
    <w:lvl w:ilvl="0">
      <w:start w:val="1"/>
      <w:numFmt w:val="decimal"/>
      <w:pStyle w:val="ListNumber"/>
      <w:lvlText w:val="%1."/>
      <w:lvlJc w:val="left"/>
      <w:pPr>
        <w:tabs>
          <w:tab w:val="num" w:pos="360"/>
        </w:tabs>
        <w:ind w:left="360" w:hanging="360"/>
      </w:pPr>
    </w:lvl>
  </w:abstractNum>
  <w:abstractNum w:abstractNumId="7">
    <w:nsid w:val="FFFFFF89"/>
    <w:multiLevelType w:val="singleLevel"/>
    <w:tmpl w:val="56149A6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activeWritingStyle w:appName="MSWord" w:lang="de-DE" w:vendorID="64" w:dllVersion="131078" w:nlCheck="1" w:checkStyle="0"/>
  <w:activeWritingStyle w:appName="MSWord" w:lang="en-GB" w:vendorID="64" w:dllVersion="131078" w:nlCheck="1" w:checkStyle="1"/>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7-29 10:04:28"/>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50C2D5EF-807B-4B6F-9A09-5844075E703C"/>
    <w:docVar w:name="LW_COVERPAGE_TYPE" w:val="1"/>
    <w:docVar w:name="LW_CROSSREFERENCE" w:val="&lt;UNUSED&gt;"/>
    <w:docVar w:name="LW_DocType" w:val="COM"/>
    <w:docVar w:name="LW_EMISSION" w:val="2.8.2019"/>
    <w:docVar w:name="LW_EMISSION_ISODATE" w:val="2019-08-02"/>
    <w:docVar w:name="LW_EMISSION_LOCATION" w:val="BRX"/>
    <w:docVar w:name="LW_EMISSION_PREFIX" w:val="Bruselj,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165"/>
    <w:docVar w:name="LW_REF.II.NEW.CP_YEAR" w:val="2019"/>
    <w:docVar w:name="LW_REF.INST.NEW" w:val="COM"/>
    <w:docVar w:name="LW_REF.INST.NEW_ADOPTED" w:val="final"/>
    <w:docVar w:name="LW_REF.INST.NEW_TEXT" w:val="(2019) 36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podpisu v imenu Evropske unije in za\u269?asni uporabi Protokola k Za\u269?asnemu evro-mediteranskemu pridru\u382?itvenemu sporazumu o trgovini in sodelovanju med Evropsko skupnostjo na eni strani ter Palestinsko osvobodilno organizacijo (PLO) za Palestinsko upravo Zahodnega brega in Gaze na drugi strani o Okvirnem sporazumu med Evropsko unijo in Palestinsko upravo Zahodnega brega in Gaze o splo\u353?nih na\u269?elih za sodelovanje v programih Unije"/>
    <w:docVar w:name="LW_TYPE.DOC.CP" w:val="SKLEP SVETA"/>
  </w:docVar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qFormat/>
    <w:rPr>
      <w:i/>
      <w:iCs/>
      <w:shd w:val="clear" w:color="auto" w:fil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tabs>
        <w:tab w:val="clear" w:pos="643"/>
        <w:tab w:val="num" w:pos="360"/>
      </w:tabs>
      <w:ind w:left="0" w:firstLine="0"/>
      <w:contextualSpacing/>
    </w:pPr>
  </w:style>
  <w:style w:type="paragraph" w:styleId="ListBullet3">
    <w:name w:val="List Bullet 3"/>
    <w:basedOn w:val="Normal"/>
    <w:uiPriority w:val="99"/>
    <w:semiHidden/>
    <w:unhideWhenUsed/>
    <w:pPr>
      <w:numPr>
        <w:numId w:val="3"/>
      </w:numPr>
      <w:tabs>
        <w:tab w:val="clear" w:pos="926"/>
        <w:tab w:val="num" w:pos="360"/>
      </w:tabs>
      <w:ind w:left="0" w:firstLine="0"/>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Emphasis">
    <w:name w:val="Emphasis"/>
    <w:qFormat/>
    <w:rPr>
      <w:i/>
      <w:iCs/>
      <w:shd w:val="clear" w:color="auto" w:fill="auto"/>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9271-DFFF-4854-B659-C5632098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6</Pages>
  <Words>1369</Words>
  <Characters>8055</Characters>
  <Application>Microsoft Office Word</Application>
  <DocSecurity>0</DocSecurity>
  <Lines>146</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WES PDFC Administrator</cp:lastModifiedBy>
  <cp:revision>18</cp:revision>
  <dcterms:created xsi:type="dcterms:W3CDTF">2019-07-25T14:35:00Z</dcterms:created>
  <dcterms:modified xsi:type="dcterms:W3CDTF">2019-07-29T08:04:00Z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