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B862422-7CD3-4D60-98C2-B529D186739B" style="width:450.35pt;height:420.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t>1.</w:t>
      </w:r>
      <w:r>
        <w:tab/>
      </w:r>
      <w:r>
        <w:rPr>
          <w:noProof/>
        </w:rPr>
        <w:t>PRIEKŠLIKUMA KONTEKSTS</w:t>
      </w:r>
    </w:p>
    <w:p>
      <w:pPr>
        <w:rPr>
          <w:noProof/>
        </w:rPr>
      </w:pPr>
      <w:r>
        <w:rPr>
          <w:noProof/>
        </w:rPr>
        <w:t>Eiropas kaimiņattiecību politikas (EKP) ietvaros veiktā pakāpeniska noteiktu Eiropas Savienības programmu un aģentūru atvēršana EKP partnervalstīm ir viens no daudziem pasākumiem, kuru mērķis ir veicināt reformas, modernizāciju un pārejas procesus Eiropas Savienības kaimiņu reģionos. Eiropas Komisija to sīkāk izklāstīja savā 2006. gada decembra paziņojumā par vispārējo pieeju Eiropas kaimiņattiecību politikas partnervalstu līdzdalībai Kopienas aģentūrās un Kopienas programmās</w:t>
      </w:r>
      <w:r>
        <w:rPr>
          <w:rStyle w:val="FootnoteReference"/>
          <w:noProof/>
        </w:rPr>
        <w:footnoteReference w:id="1"/>
      </w:r>
      <w:r>
        <w:rPr>
          <w:noProof/>
        </w:rPr>
        <w:t>.</w:t>
      </w:r>
    </w:p>
    <w:p>
      <w:pPr>
        <w:rPr>
          <w:noProof/>
        </w:rPr>
      </w:pPr>
      <w:r>
        <w:rPr>
          <w:noProof/>
        </w:rPr>
        <w:t>Padome šo pieeju apstiprināja savos 2007. gada 5. marta secinājumos</w:t>
      </w:r>
      <w:r>
        <w:rPr>
          <w:rStyle w:val="FootnoteReference"/>
          <w:noProof/>
        </w:rPr>
        <w:footnoteReference w:id="2"/>
      </w:r>
      <w:r>
        <w:rPr>
          <w:noProof/>
        </w:rPr>
        <w:t>.</w:t>
      </w:r>
    </w:p>
    <w:p>
      <w:pPr>
        <w:rPr>
          <w:noProof/>
        </w:rPr>
      </w:pPr>
      <w:r>
        <w:rPr>
          <w:noProof/>
        </w:rPr>
        <w:t>Pamatojoties uz šo paziņojumu un 2007. gada 5. martā pieņemtajiem secinājumiem, Padome 2007. gada 18. jūnijā pieņēma norādījumus Komisijai sarunu risināšanai par pamatnolīgumiem ar Alžīriju, Armēniju, Azerbaidžānu, Ēģipti, Gruziju, Izraēlu, Jordāniju, Libānu, Maroku, Moldovu, Palestīniešu pašpārvaldi, Tunisiju un Ukrainu par vispārējiem principiem šo valstu līdzdalībai Kopienas programmās</w:t>
      </w:r>
      <w:r>
        <w:rPr>
          <w:rStyle w:val="FootnoteReference"/>
          <w:noProof/>
        </w:rPr>
        <w:footnoteReference w:id="3"/>
      </w:r>
      <w:r>
        <w:rPr>
          <w:noProof/>
        </w:rPr>
        <w:t>.</w:t>
      </w:r>
    </w:p>
    <w:p>
      <w:pPr>
        <w:rPr>
          <w:noProof/>
        </w:rPr>
      </w:pPr>
      <w:r>
        <w:rPr>
          <w:noProof/>
        </w:rPr>
        <w:t>Eiropadome 2007. gada jūnijā</w:t>
      </w:r>
      <w:r>
        <w:rPr>
          <w:rStyle w:val="FootnoteReference"/>
          <w:noProof/>
        </w:rPr>
        <w:footnoteReference w:id="4"/>
      </w:r>
      <w:r>
        <w:rPr>
          <w:noProof/>
        </w:rPr>
        <w:t xml:space="preserve"> atkārtoti apstiprināja EKP lielo nozīmi un apstiprināja prezidentvalsts progresa ziņojumu</w:t>
      </w:r>
      <w:r>
        <w:rPr>
          <w:rStyle w:val="FootnoteReference"/>
          <w:noProof/>
        </w:rPr>
        <w:footnoteReference w:id="5"/>
      </w:r>
      <w:r>
        <w:rPr>
          <w:noProof/>
        </w:rPr>
        <w:t>, kuru iesniedza izskatīšanai Padomes sanāksmē 2007. gada 18. un 19. jūnijā, kā arī ar to saistītos Padomes secinājumus</w:t>
      </w:r>
      <w:r>
        <w:rPr>
          <w:rStyle w:val="FootnoteReference"/>
          <w:noProof/>
        </w:rPr>
        <w:footnoteReference w:id="6"/>
      </w:r>
      <w:r>
        <w:rPr>
          <w:noProof/>
        </w:rPr>
        <w:t>. Šajā ziņojumā tika atgādināti Padomes norādījumi sarunu risināšanai par attiecīgajiem papildprotokoliem.</w:t>
      </w:r>
    </w:p>
    <w:p>
      <w:pPr>
        <w:spacing w:after="60"/>
        <w:rPr>
          <w:noProof/>
        </w:rPr>
      </w:pPr>
      <w:r>
        <w:rPr>
          <w:noProof/>
        </w:rPr>
        <w:t>Komisijas un Savienības Augstās pārstāves ārlietās un drošības politikas jautājumos kopīgajā paziņojumā “Jauna reakcija uz pārmaiņām kaimiņvalstīs”</w:t>
      </w:r>
      <w:r>
        <w:rPr>
          <w:rStyle w:val="FootnoteReference"/>
          <w:noProof/>
        </w:rPr>
        <w:footnoteReference w:id="7"/>
      </w:r>
      <w:r>
        <w:rPr>
          <w:noProof/>
        </w:rPr>
        <w:t>, ko apstiprināja ar Padomes 2011. gada 20. jūnija secinājumiem, tika vēl vairāk uzsvērts ES nodoms atvieglot partnervalstu līdzdalību ES programmās.</w:t>
      </w:r>
    </w:p>
    <w:p>
      <w:pPr>
        <w:spacing w:after="60"/>
        <w:rPr>
          <w:noProof/>
        </w:rPr>
      </w:pPr>
      <w:r>
        <w:rPr>
          <w:noProof/>
        </w:rPr>
        <w:t>Līdz šim līdzīgi protokoli ir parakstīti ar Alžīriju</w:t>
      </w:r>
      <w:r>
        <w:rPr>
          <w:rStyle w:val="FootnoteReference"/>
          <w:noProof/>
        </w:rPr>
        <w:footnoteReference w:id="8"/>
      </w:r>
      <w:r>
        <w:rPr>
          <w:noProof/>
        </w:rPr>
        <w:t>, Armēniju</w:t>
      </w:r>
      <w:r>
        <w:rPr>
          <w:rStyle w:val="FootnoteReference"/>
          <w:noProof/>
        </w:rPr>
        <w:footnoteReference w:id="9"/>
      </w:r>
      <w:r>
        <w:rPr>
          <w:noProof/>
        </w:rPr>
        <w:t>, Azerbaidžānu</w:t>
      </w:r>
      <w:r>
        <w:rPr>
          <w:rStyle w:val="FootnoteReference"/>
          <w:noProof/>
        </w:rPr>
        <w:footnoteReference w:id="10"/>
      </w:r>
      <w:r>
        <w:rPr>
          <w:noProof/>
        </w:rPr>
        <w:t>, Gruziju</w:t>
      </w:r>
      <w:r>
        <w:rPr>
          <w:rStyle w:val="FootnoteReference"/>
          <w:noProof/>
        </w:rPr>
        <w:footnoteReference w:id="11"/>
      </w:r>
      <w:r>
        <w:rPr>
          <w:noProof/>
        </w:rPr>
        <w:t>, Izraēlu</w:t>
      </w:r>
      <w:r>
        <w:rPr>
          <w:rStyle w:val="FootnoteReference"/>
          <w:noProof/>
        </w:rPr>
        <w:footnoteReference w:id="12"/>
      </w:r>
      <w:r>
        <w:rPr>
          <w:noProof/>
        </w:rPr>
        <w:t>, Jordāniju</w:t>
      </w:r>
      <w:r>
        <w:rPr>
          <w:rStyle w:val="FootnoteReference"/>
          <w:noProof/>
        </w:rPr>
        <w:footnoteReference w:id="13"/>
      </w:r>
      <w:r>
        <w:rPr>
          <w:noProof/>
        </w:rPr>
        <w:t>, Libānu</w:t>
      </w:r>
      <w:r>
        <w:rPr>
          <w:rStyle w:val="FootnoteReference"/>
          <w:noProof/>
        </w:rPr>
        <w:footnoteReference w:id="14"/>
      </w:r>
      <w:r>
        <w:rPr>
          <w:noProof/>
        </w:rPr>
        <w:t>, Moldovu</w:t>
      </w:r>
      <w:r>
        <w:rPr>
          <w:rStyle w:val="FootnoteReference"/>
          <w:noProof/>
        </w:rPr>
        <w:footnoteReference w:id="15"/>
      </w:r>
      <w:r>
        <w:rPr>
          <w:noProof/>
        </w:rPr>
        <w:t>, Maroku</w:t>
      </w:r>
      <w:r>
        <w:rPr>
          <w:rStyle w:val="FootnoteReference"/>
          <w:noProof/>
        </w:rPr>
        <w:footnoteReference w:id="16"/>
      </w:r>
      <w:r>
        <w:rPr>
          <w:noProof/>
        </w:rPr>
        <w:t>, Tunisiju</w:t>
      </w:r>
      <w:r>
        <w:rPr>
          <w:rStyle w:val="FootnoteReference"/>
          <w:noProof/>
        </w:rPr>
        <w:footnoteReference w:id="17"/>
      </w:r>
      <w:r>
        <w:rPr>
          <w:noProof/>
        </w:rPr>
        <w:t xml:space="preserve"> un Ukrainu</w:t>
      </w:r>
      <w:r>
        <w:rPr>
          <w:rStyle w:val="FootnoteReference"/>
          <w:noProof/>
        </w:rPr>
        <w:footnoteReference w:id="18"/>
      </w:r>
      <w:r>
        <w:rPr>
          <w:noProof/>
        </w:rPr>
        <w:t>, savukārt pašlaik tiek apspriests protokols ar Ēģipti. ES un Palestīniešu pašpārvaldes Apvienotās komitejas sanāksmē, kas notika 2018. gada septembrī, Palestīniešu pašpārvalde pauda interesi parakstīt protokolu Pamatnolīgumam par savu iespējamu pilnīgu līdzdalību vairākās izvēlētās ES programmās.</w:t>
      </w:r>
    </w:p>
    <w:p>
      <w:pPr>
        <w:spacing w:after="60"/>
        <w:rPr>
          <w:noProof/>
        </w:rPr>
      </w:pPr>
      <w:r>
        <w:rPr>
          <w:noProof/>
        </w:rPr>
        <w:t>Protokola mērķis ir paredzēt finanšu un tehniskos noteikumus, kas ļautu Palestīniešu pašpārvaldei piedalīties konkrētās ES programmās. Horizontālajos noteikumos, ko nosaka protokols, ir izklāstīti principi ekonomikas, finanšu un tehniskajai sadarbībai, un tie ļauj Palestīniešu pašpārvaldei saņemt palīdzību (jo īpaši finansiālu palīdzību) no Eiropas Savienības saskaņā ar programmām. Minētie noteikumi ir piemērojami tikai tām programmām, kurās Palestīniešu pašpārvaldes iespēju piedalīties paredz attiecīgie izveides tiesību akti. Tāpēc protokola parakstīšana un provizoriska piemērošana neietver tādu pilnvaru īstenošanu, ko paredz dažādu nozaru politika un kas tiek īstenotas, izveidojot programmas.</w:t>
      </w:r>
    </w:p>
    <w:p>
      <w:pPr>
        <w:pStyle w:val="ManualHeading1"/>
        <w:rPr>
          <w:noProof/>
        </w:rPr>
      </w:pPr>
      <w:r>
        <w:t>2.</w:t>
      </w:r>
      <w:r>
        <w:tab/>
      </w:r>
      <w:r>
        <w:rPr>
          <w:noProof/>
        </w:rPr>
        <w:t>JURIDISKAIS KONTEKSTS</w:t>
      </w:r>
    </w:p>
    <w:p>
      <w:pPr>
        <w:pBdr>
          <w:top w:val="nil"/>
          <w:left w:val="nil"/>
          <w:bottom w:val="nil"/>
          <w:right w:val="nil"/>
          <w:between w:val="nil"/>
          <w:bar w:val="nil"/>
        </w:pBdr>
        <w:spacing w:before="0" w:after="240"/>
        <w:rPr>
          <w:noProof/>
          <w:szCs w:val="24"/>
        </w:rPr>
      </w:pPr>
      <w:r>
        <w:rPr>
          <w:noProof/>
        </w:rPr>
        <w:t>Eiropas un Vidusjūras reģiona valstu pagaidu asociācijas nolīgums par tirdzniecību un sadarbību starp Eiropas Kopienu, no vienas puses, un Palestīnas atbrīvošanas organizāciju (PAO) Jordānas Rietumkrasta un Gazas sektora Palestīniešu pašpārvaldes vajadzībām, no otras puses, tika parakstīts 1997. gada 24. februārī un stājās spēkā 1997. gada 1. jūlijā.</w:t>
      </w:r>
    </w:p>
    <w:p>
      <w:pPr>
        <w:pBdr>
          <w:top w:val="nil"/>
          <w:left w:val="nil"/>
          <w:bottom w:val="nil"/>
          <w:right w:val="nil"/>
          <w:between w:val="nil"/>
          <w:bar w:val="nil"/>
        </w:pBdr>
        <w:spacing w:before="0" w:after="240"/>
        <w:rPr>
          <w:rFonts w:eastAsia="Arial Unicode MS"/>
          <w:noProof/>
        </w:rPr>
      </w:pPr>
      <w:r>
        <w:rPr>
          <w:noProof/>
        </w:rPr>
        <w:t>Eiropadome 2004. gada 17. un 18. jūnija sanāksmē atzinīgi novērtēja Komisijas priekšlikumus par EKP un apstiprināja Padomes 2004. gada 14. jūnija secinājumus.</w:t>
      </w:r>
    </w:p>
    <w:p>
      <w:pPr>
        <w:pBdr>
          <w:top w:val="nil"/>
          <w:left w:val="nil"/>
          <w:bottom w:val="nil"/>
          <w:right w:val="nil"/>
          <w:between w:val="nil"/>
          <w:bar w:val="nil"/>
        </w:pBdr>
        <w:spacing w:before="0" w:after="240"/>
        <w:rPr>
          <w:rFonts w:eastAsia="Arial Unicode MS"/>
          <w:noProof/>
        </w:rPr>
      </w:pPr>
      <w:r>
        <w:rPr>
          <w:noProof/>
        </w:rPr>
        <w:t>Padome 2007. gada 5. martā pauda atbalstu Komisijas 2006. gada 4. decembra paziņojumā izklāstītajai vispārējai pieejai, saskaņā ar kuru EKP partneri atbilstoši to sasniegumiem var piedalīties Kopienas aģentūru darbā un Kopienas programmās, ja to pieļauj juridiskais pamats.</w:t>
      </w:r>
    </w:p>
    <w:p>
      <w:pPr>
        <w:rPr>
          <w:noProof/>
        </w:rPr>
      </w:pPr>
      <w:r>
        <w:rPr>
          <w:noProof/>
        </w:rPr>
        <w:t>Pamatojoties uz šo paziņojumu un 2007. gada 5. martā pieņemtajiem secinājumiem, Padome 2007. gada 18. jūnijā pieņēma norādījumus Komisijai sarunu risināšanai par pamatnolīgumiem ar EKP valstīm par vispārējiem principiem šo valstu līdzdalībai Kopienas programmās</w:t>
      </w:r>
      <w:r>
        <w:rPr>
          <w:rStyle w:val="FootnoteReference"/>
          <w:noProof/>
        </w:rPr>
        <w:footnoteReference w:id="19"/>
      </w:r>
      <w:r>
        <w:rPr>
          <w:noProof/>
        </w:rPr>
        <w:t xml:space="preserve">. </w:t>
      </w:r>
    </w:p>
    <w:p>
      <w:pPr>
        <w:rPr>
          <w:noProof/>
        </w:rPr>
      </w:pPr>
      <w:r>
        <w:rPr>
          <w:noProof/>
        </w:rPr>
        <w:t>Protokola parakstīšanas materiālais juridiskais pamats ir Līguma par Eiropas Savienības darbību (LESD) 209. pants. Procesuālais juridiskais pamats ir LESD 218. panta 5.un 7. punkts.</w:t>
      </w:r>
    </w:p>
    <w:p>
      <w:pPr>
        <w:rPr>
          <w:noProof/>
        </w:rPr>
      </w:pPr>
      <w:r>
        <w:rPr>
          <w:noProof/>
        </w:rPr>
        <w:t>Protokols tiks parakstīts ar Jordānas Rietumkrasta un Gazas sektora Palestīniešu pašpārvaldi, kas ir ES attiecīgā partnere pagaidu asociācijas nolīguma īstenošanai</w:t>
      </w:r>
      <w:r>
        <w:rPr>
          <w:rStyle w:val="FootnoteReference"/>
          <w:noProof/>
        </w:rPr>
        <w:footnoteReference w:id="20"/>
      </w:r>
      <w:r>
        <w:rPr>
          <w:noProof/>
        </w:rPr>
        <w:t>.</w:t>
      </w:r>
    </w:p>
    <w:p>
      <w:pPr>
        <w:pStyle w:val="ManualHeading1"/>
        <w:rPr>
          <w:rStyle w:val="Heading1Char"/>
          <w:b/>
          <w:noProof/>
          <w:lang w:val="lv-LV"/>
        </w:rPr>
      </w:pPr>
      <w:r>
        <w:rPr>
          <w:rStyle w:val="Heading1Char"/>
        </w:rPr>
        <w:t>3.</w:t>
      </w:r>
      <w:r>
        <w:rPr>
          <w:rStyle w:val="Heading1Char"/>
        </w:rPr>
        <w:tab/>
      </w:r>
      <w:r>
        <w:rPr>
          <w:rStyle w:val="Heading1Char"/>
          <w:b/>
          <w:i/>
          <w:noProof/>
          <w:lang w:val="lv-LV"/>
        </w:rPr>
        <w:t>EX POST</w:t>
      </w:r>
      <w:r>
        <w:rPr>
          <w:rStyle w:val="Heading1Char"/>
          <w:b/>
          <w:noProof/>
          <w:lang w:val="lv-LV"/>
        </w:rPr>
        <w:t xml:space="preserve"> IZVĒRTĒJUMU, APSPRIEŠANĀS AR IEINTERESĒTAJĀM PERSONĀM UN IETEKMES NOVĒRTĒJUMU REZULTĀTI</w:t>
      </w:r>
    </w:p>
    <w:p>
      <w:pPr>
        <w:pBdr>
          <w:top w:val="nil"/>
          <w:left w:val="nil"/>
          <w:bottom w:val="nil"/>
          <w:right w:val="nil"/>
          <w:between w:val="nil"/>
          <w:bar w:val="nil"/>
        </w:pBdr>
        <w:spacing w:before="0" w:after="240"/>
        <w:rPr>
          <w:noProof/>
        </w:rPr>
      </w:pPr>
      <w:r>
        <w:rPr>
          <w:noProof/>
        </w:rPr>
        <w:t>Neattiecas.</w:t>
      </w:r>
    </w:p>
    <w:p>
      <w:pPr>
        <w:pStyle w:val="ManualHeading1"/>
        <w:rPr>
          <w:noProof/>
        </w:rPr>
      </w:pPr>
      <w:r>
        <w:t>4.</w:t>
      </w:r>
      <w:r>
        <w:tab/>
      </w:r>
      <w:r>
        <w:rPr>
          <w:noProof/>
        </w:rPr>
        <w:t>IETEKME UZ BUDŽETU</w:t>
      </w:r>
    </w:p>
    <w:p>
      <w:pPr>
        <w:shd w:val="clear" w:color="auto" w:fill="FFFFFF"/>
        <w:rPr>
          <w:noProof/>
        </w:rPr>
      </w:pPr>
      <w:r>
        <w:rPr>
          <w:noProof/>
        </w:rPr>
        <w:t xml:space="preserve">Palestīniešu pašpārvalde veic finansiālu ieguldījumu Eiropas Savienības vispārējā budžetā atbilstīgi konkrētajām Savienības programmām, kurās Palestīniešu pašpārvalde piedalās. </w:t>
      </w:r>
    </w:p>
    <w:p>
      <w:pPr>
        <w:shd w:val="clear" w:color="auto" w:fill="FFFFFF"/>
        <w:rPr>
          <w:noProof/>
        </w:rPr>
      </w:pPr>
      <w:r>
        <w:rPr>
          <w:noProof/>
        </w:rPr>
        <w:t>Konkrētus noteikumus un nosacījumus par Palestīniešu pašpārvaldes līdzdalību katrā programmā, jo īpaši maksājamo finansiālo ieguldījumu, nosaka Saprašanās memorandā starp Komisiju un Palestīniešu pašpārvaldes kompetentajām iestādēm, balstoties uz attiecīgo programmu noteiktajiem kritērijiem.</w:t>
      </w:r>
    </w:p>
    <w:p>
      <w:pPr>
        <w:shd w:val="clear" w:color="auto" w:fill="FFFFFF"/>
        <w:rPr>
          <w:noProof/>
        </w:rPr>
      </w:pPr>
      <w:r>
        <w:rPr>
          <w:noProof/>
        </w:rPr>
        <w:t xml:space="preserve">Katrā saprašanās memorandā, kas noslēgts saskaņā ar protokola 5. pantu, atbilstīgi Eiropas Parlamenta un Padomes 2018. gada 18. jūlija Regulai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 ir noteikts, ka finanšu kontroli, revīzijas vai </w:t>
      </w:r>
      <w:r>
        <w:rPr>
          <w:rStyle w:val="Emphasis"/>
          <w:i w:val="0"/>
          <w:noProof/>
        </w:rPr>
        <w:t>citas pārbaudes, tostarp administratīvas pārbaudes</w:t>
      </w:r>
      <w:r>
        <w:rPr>
          <w:noProof/>
        </w:rPr>
        <w:t>, veiks Komisija, Eiropas Birojs krāpšanas apkarošanai un Revīzijas palāta, vai tās tiks veiktas ar šo iestāžu atļauju.</w:t>
      </w:r>
    </w:p>
    <w:p>
      <w:pPr>
        <w:shd w:val="clear" w:color="auto" w:fill="FFFFFF"/>
        <w:rPr>
          <w:noProof/>
        </w:rPr>
      </w:pPr>
      <w:r>
        <w:rPr>
          <w:noProof/>
        </w:rPr>
        <w:t xml:space="preserve">Tiek pieņemti detalizēti noteikumi par finanšu kontroli un revīzijām, administratīvajiem pasākumiem, sankcijām un piedziņu, kuri ļauj Komisijai, Eiropas Birojam krāpšanas apkarošanai un Eiropas Revīzijas palātai piešķirt tādas pilnvaras, kas ir līdzvērtīgas to pilnvarām attiecībā uz atbalsta saņēmējiem vai līgumslēdzējiem, kuri veic uzņēmējdarbību Savienībā. </w:t>
      </w:r>
    </w:p>
    <w:p>
      <w:pPr>
        <w:pStyle w:val="ManualHeading1"/>
        <w:rPr>
          <w:noProof/>
        </w:rPr>
      </w:pPr>
      <w:r>
        <w:t>5.</w:t>
      </w:r>
      <w:r>
        <w:tab/>
      </w:r>
      <w:r>
        <w:rPr>
          <w:noProof/>
        </w:rPr>
        <w:t>CITI ELEMENTI</w:t>
      </w:r>
    </w:p>
    <w:p>
      <w:pPr>
        <w:shd w:val="clear" w:color="auto" w:fill="FFFFFF"/>
        <w:rPr>
          <w:noProof/>
          <w:szCs w:val="24"/>
        </w:rPr>
      </w:pPr>
      <w:r>
        <w:rPr>
          <w:noProof/>
        </w:rPr>
        <w:t xml:space="preserve">Ne vēlāk kā trīs gadus pēc šā protokola spēkā stāšanās dienas un reizi trijos gados pēc tam Puses var pārskatīt šā protokola īstenošanu, pamatojoties uz Palestīniešu pašpārvaldes faktisko līdzdalību Savienības programmās. </w:t>
      </w:r>
    </w:p>
    <w:p>
      <w:pPr>
        <w:shd w:val="clear" w:color="auto" w:fill="FFFFFF"/>
        <w:rPr>
          <w:noProof/>
        </w:rPr>
      </w:pPr>
      <w:r>
        <w:rPr>
          <w:noProof/>
        </w:rPr>
        <w:t>Konkrētus noteikumus un nosacījumus par Palestīniešu pašpārvaldes līdzdalību katrā programmā, jo īpaši ziņošanas un novērtēšanas procedūras, nosaka Saprašanās memorandā starp Komisiju un Palestīniešu pašpārvaldes kompetentajām iestādēm, balstoties uz attiecīgo programmu noteiktajiem kritērijiem.</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2019/0165 (NLE)</w:t>
      </w:r>
    </w:p>
    <w:p>
      <w:pPr>
        <w:pStyle w:val="Statut"/>
        <w:rPr>
          <w:noProof/>
        </w:rPr>
      </w:pPr>
      <w:r>
        <w:rPr>
          <w:noProof/>
        </w:rPr>
        <w:t>Priekšlikums</w:t>
      </w:r>
    </w:p>
    <w:p>
      <w:pPr>
        <w:pStyle w:val="Typedudocument"/>
        <w:rPr>
          <w:noProof/>
        </w:rPr>
      </w:pPr>
      <w:r>
        <w:rPr>
          <w:noProof/>
        </w:rPr>
        <w:t>PADOMES LĒMUMS</w:t>
      </w:r>
    </w:p>
    <w:p>
      <w:pPr>
        <w:pStyle w:val="Titreobjet"/>
        <w:rPr>
          <w:noProof/>
        </w:rPr>
      </w:pPr>
      <w:r>
        <w:rPr>
          <w:noProof/>
        </w:rPr>
        <w:t>par to, lai Eiropas Savienības vārdā parakstītu un provizoriski piemērotu Protokolu Eiropas un Vidusjūras reģiona valstu pagaidu asociācijas nolīgumam par tirdzniecību un sadarbību starp Eiropas Kopienu, no vienas puses, un Palestīnas atbrīvošanas organizāciju (PAO) Jordānas Rietumkrasta un Gazas sektora Palestīniešu pašpārvaldes vajadzībām, no otras puses, attiecībā uz Pamatnolīgumu starp Eiropas Savienību un Jordānas Rietumkrasta un Gazas sektora Palestīniešu pašpārvaldi par vispārējiem principiem tās līdzdalībai Savienības programmās</w:t>
      </w:r>
    </w:p>
    <w:p>
      <w:pPr>
        <w:pStyle w:val="Institutionquiagit"/>
        <w:rPr>
          <w:b/>
          <w:noProof/>
        </w:rPr>
      </w:pPr>
      <w:r>
        <w:rPr>
          <w:noProof/>
        </w:rPr>
        <w:t>EIROPAS SAVIENĪBAS PADOME,</w:t>
      </w:r>
    </w:p>
    <w:p>
      <w:pPr>
        <w:rPr>
          <w:noProof/>
        </w:rPr>
      </w:pPr>
      <w:r>
        <w:rPr>
          <w:noProof/>
        </w:rPr>
        <w:t>ņemot vērā Līgumu par Eiropas Savienības darbību un jo īpaši tā 209. pantu saistībā ar 218. panta 5. un 7. punktu,</w:t>
      </w:r>
    </w:p>
    <w:p>
      <w:pPr>
        <w:rPr>
          <w:noProof/>
        </w:rPr>
      </w:pPr>
      <w:r>
        <w:rPr>
          <w:noProof/>
        </w:rPr>
        <w:t>ņemot vērā Eiropas Komisijas priekšlikumu,</w:t>
      </w:r>
    </w:p>
    <w:p>
      <w:pPr>
        <w:rPr>
          <w:noProof/>
        </w:rPr>
      </w:pPr>
      <w:r>
        <w:rPr>
          <w:noProof/>
        </w:rPr>
        <w:t>tā kā:</w:t>
      </w:r>
    </w:p>
    <w:p>
      <w:pPr>
        <w:pStyle w:val="ManualConsidrant"/>
        <w:rPr>
          <w:noProof/>
        </w:rPr>
      </w:pPr>
      <w:r>
        <w:t>(1)</w:t>
      </w:r>
      <w:r>
        <w:tab/>
      </w:r>
      <w:r>
        <w:rPr>
          <w:noProof/>
        </w:rPr>
        <w:t>Padome 2007. gada 18. jūnijā pilnvaroja Komisiju risināt sarunas par Protokola noslēgšanu Eiropas un Vidusjūras reģiona valstu pagaidu asociācijas nolīgumam par tirdzniecību un sadarbību starp Eiropas Kopienu, no vienas puses, un Palestīnas atbrīvošanas organizāciju (PAO) Jordānas Rietumkrasta un Gazas sektora Palestīniešu pašpārvaldes vajadzībām, no otras puses, attiecībā uz Pamatnolīgumu starp Eiropas Savienību un Jordānas Rietumkrasta un Gazas sektora Palestīniešu pašpārvaldi par vispārējiem principiem tās līdzdalībai Savienības programmās (“Protokols”).</w:t>
      </w:r>
    </w:p>
    <w:p>
      <w:pPr>
        <w:pStyle w:val="ManualConsidrant"/>
        <w:rPr>
          <w:noProof/>
        </w:rPr>
      </w:pPr>
      <w:r>
        <w:t>(2)</w:t>
      </w:r>
      <w:r>
        <w:tab/>
      </w:r>
      <w:r>
        <w:rPr>
          <w:noProof/>
        </w:rPr>
        <w:t>Sarunas ir noslēgtas.</w:t>
      </w:r>
    </w:p>
    <w:p>
      <w:pPr>
        <w:pStyle w:val="ManualConsidrant"/>
        <w:rPr>
          <w:noProof/>
        </w:rPr>
      </w:pPr>
      <w:r>
        <w:t>(3)</w:t>
      </w:r>
      <w:r>
        <w:tab/>
      </w:r>
      <w:r>
        <w:rPr>
          <w:noProof/>
        </w:rPr>
        <w:t>Protokola mērķis ir paredzēt finanšu un tehniskos noteikumus, kas ļautu Palestīniešu pašpārvaldei piedalīties konkrētās ES programmās. Horizontālajos noteikumos, ko nosaka Protokols, ir izklāstīti principi ekonomikas, finanšu un tehniskās sadarbības pasākumam, un tie ļauj Palestīniešu pašpārvaldei saņemt palīdzību (jo īpaši finansiālu palīdzību) no Eiropas Savienības saskaņā ar programmām. Minētie noteikumi ir piemērojami tikai tām programmām, kurās Palestīniešu pašpārvaldes iespēju piedalīties paredz attiecīgie izveides tiesību akti. Tāpēc protokola parakstīšana un provizoriska piemērošana neietver tādu pilnvaru īstenošanu, ko paredz dažādu nozaru politika un kas tiek īstenotas, izveidojot programmas.</w:t>
      </w:r>
    </w:p>
    <w:p>
      <w:pPr>
        <w:pStyle w:val="ManualConsidrant"/>
        <w:rPr>
          <w:noProof/>
        </w:rPr>
      </w:pPr>
      <w:r>
        <w:t>(4)</w:t>
      </w:r>
      <w:r>
        <w:tab/>
      </w:r>
      <w:r>
        <w:rPr>
          <w:noProof/>
        </w:rPr>
        <w:t>Protokols būtu jāparaksta Eiropas Savienības vārdā, un tas būtu jāpiemēro provizoriski, kamēr tiek pabeigtas procedūras tā noslēgšanai,</w:t>
      </w:r>
    </w:p>
    <w:p>
      <w:pPr>
        <w:pStyle w:val="Formuledadoption"/>
        <w:rPr>
          <w:noProof/>
        </w:rPr>
      </w:pPr>
      <w:r>
        <w:rPr>
          <w:noProof/>
        </w:rPr>
        <w:t>IR PIEŅĒMUSI ŠO LĒMUMU.</w:t>
      </w:r>
    </w:p>
    <w:p>
      <w:pPr>
        <w:pStyle w:val="Titrearticle"/>
        <w:outlineLvl w:val="0"/>
        <w:rPr>
          <w:noProof/>
        </w:rPr>
      </w:pPr>
      <w:r>
        <w:rPr>
          <w:noProof/>
        </w:rPr>
        <w:t>1. pants</w:t>
      </w:r>
    </w:p>
    <w:p>
      <w:pPr>
        <w:autoSpaceDE w:val="0"/>
        <w:autoSpaceDN w:val="0"/>
        <w:adjustRightInd w:val="0"/>
        <w:rPr>
          <w:noProof/>
        </w:rPr>
      </w:pPr>
      <w:r>
        <w:rPr>
          <w:noProof/>
        </w:rPr>
        <w:t>Ar šo atļauj Savienības vārdā parakstīt Protokolu Eiropas un Vidusjūras reģiona valstu pagaidu asociācijas nolīgumam par tirdzniecību un sadarbību starp Eiropas Kopienu, no vienas puses, un Palestīnas atbrīvošanas organizāciju (PAO) Jordānas Rietumkrasta un Gazas sektora Palestīniešu pašpārvaldes vajadzībām, no otras puses, attiecībā uz Pamatnolīgumu starp Eiropas Savienību un Jordānas Rietumkrasta un Gazas sektora Palestīniešu pašpārvaldi par vispārējiem principiem tās līdzdalībai Savienības programmās, ņemot vērā minētā protokola noslēgšanu.</w:t>
      </w:r>
    </w:p>
    <w:p>
      <w:pPr>
        <w:autoSpaceDE w:val="0"/>
        <w:autoSpaceDN w:val="0"/>
        <w:adjustRightInd w:val="0"/>
        <w:rPr>
          <w:noProof/>
        </w:rPr>
      </w:pPr>
      <w:r>
        <w:rPr>
          <w:noProof/>
        </w:rPr>
        <w:t>Protokola teksts ir pievienots šim lēmumam.</w:t>
      </w:r>
    </w:p>
    <w:p>
      <w:pPr>
        <w:pStyle w:val="Titrearticle"/>
        <w:rPr>
          <w:noProof/>
        </w:rPr>
      </w:pPr>
      <w:r>
        <w:rPr>
          <w:noProof/>
        </w:rPr>
        <w:t>2. pants</w:t>
      </w:r>
    </w:p>
    <w:p>
      <w:pPr>
        <w:rPr>
          <w:noProof/>
        </w:rPr>
      </w:pPr>
      <w:r>
        <w:rPr>
          <w:noProof/>
        </w:rPr>
        <w:t>Padomes Ģenerālsekretariāts sagatavo pilnvaru, lai protokolu, ņemot vērā tā noslēgšanu, parakstītu persona vai personas, ko izraudzījies protokola sarunvedējs.</w:t>
      </w:r>
    </w:p>
    <w:p>
      <w:pPr>
        <w:pStyle w:val="Titrearticle"/>
        <w:rPr>
          <w:noProof/>
        </w:rPr>
      </w:pPr>
      <w:r>
        <w:rPr>
          <w:noProof/>
        </w:rPr>
        <w:t>3. pants</w:t>
      </w:r>
    </w:p>
    <w:p>
      <w:pPr>
        <w:rPr>
          <w:noProof/>
        </w:rPr>
      </w:pPr>
      <w:r>
        <w:rPr>
          <w:noProof/>
        </w:rPr>
        <w:t>Protokolu saskaņā ar 10. pantu provizoriski piemēro no tā parakstīšanas datuma, kamēr tiek veiktas tā noslēgšanai vajadzīgās procedūras.</w:t>
      </w:r>
    </w:p>
    <w:p>
      <w:pPr>
        <w:rPr>
          <w:noProof/>
        </w:rPr>
      </w:pPr>
      <w:r>
        <w:rPr>
          <w:noProof/>
        </w:rPr>
        <w:t xml:space="preserve">Protokola parakstīšanas datumu publicēs </w:t>
      </w:r>
      <w:r>
        <w:rPr>
          <w:i/>
          <w:noProof/>
        </w:rPr>
        <w:t>Eiropas Savienības Oficiālajā Vēstnesī</w:t>
      </w:r>
      <w:r>
        <w:rPr>
          <w:noProof/>
        </w:rPr>
        <w:t>.</w:t>
      </w:r>
    </w:p>
    <w:p>
      <w:pPr>
        <w:pStyle w:val="Titrearticle"/>
        <w:rPr>
          <w:noProof/>
        </w:rPr>
      </w:pPr>
      <w:r>
        <w:rPr>
          <w:noProof/>
        </w:rPr>
        <w:t>4. pants</w:t>
      </w:r>
    </w:p>
    <w:p>
      <w:pPr>
        <w:rPr>
          <w:noProof/>
        </w:rPr>
      </w:pPr>
      <w:r>
        <w:rPr>
          <w:noProof/>
        </w:rPr>
        <w:t>Komisija ir tiesīga Savienības vārdā paredzēt konkrētus noteikumus un nosacījumus, kas attiecas uz Palestīniešu pašpārvaldes līdzdalību jebkurā konkrētā programmā, tostarp maksājamo finansiālo ieguldījumu. Komisija pastāvīgi informē attiecīgo Padomes darba grupu.</w:t>
      </w:r>
    </w:p>
    <w:p>
      <w:pPr>
        <w:pStyle w:val="Titrearticle"/>
        <w:rPr>
          <w:noProof/>
        </w:rPr>
      </w:pPr>
      <w:r>
        <w:rPr>
          <w:noProof/>
        </w:rPr>
        <w:t>5. pants</w:t>
      </w:r>
    </w:p>
    <w:p>
      <w:pPr>
        <w:rPr>
          <w:noProof/>
        </w:rPr>
      </w:pPr>
      <w:r>
        <w:rPr>
          <w:noProof/>
        </w:rPr>
        <w:t>Šis lēmums stājas spēkā tā pieņemšanas dienā.</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COM(2006) 724 final, 2006. gada 4. decembris.</w:t>
      </w:r>
    </w:p>
  </w:footnote>
  <w:footnote w:id="2">
    <w:p>
      <w:pPr>
        <w:pStyle w:val="FootnoteText"/>
      </w:pPr>
      <w:r>
        <w:rPr>
          <w:rStyle w:val="FootnoteReference"/>
        </w:rPr>
        <w:footnoteRef/>
      </w:r>
      <w:r>
        <w:tab/>
        <w:t>Vispārējo lietu un ārējo attiecību padomes (VLĀAP) 2007. gada 5. marta secinājumi.</w:t>
      </w:r>
    </w:p>
  </w:footnote>
  <w:footnote w:id="3">
    <w:p>
      <w:pPr>
        <w:pStyle w:val="FootnoteText"/>
      </w:pPr>
      <w:r>
        <w:rPr>
          <w:rStyle w:val="FootnoteReference"/>
        </w:rPr>
        <w:footnoteRef/>
      </w:r>
      <w:r>
        <w:tab/>
        <w:t>Padomes lēmums (</w:t>
      </w:r>
      <w:r>
        <w:rPr>
          <w:i/>
        </w:rPr>
        <w:t>restricted</w:t>
      </w:r>
      <w:r>
        <w:t>), ar ko pilnvaro Komisiju risināt sarunas par protokoliem […], dok. 10412/07.</w:t>
      </w:r>
    </w:p>
  </w:footnote>
  <w:footnote w:id="4">
    <w:p>
      <w:pPr>
        <w:pStyle w:val="FootnoteText"/>
      </w:pPr>
      <w:r>
        <w:rPr>
          <w:rStyle w:val="FootnoteReference"/>
        </w:rPr>
        <w:footnoteRef/>
      </w:r>
      <w:r>
        <w:tab/>
        <w:t>Prezidentvalsts secinājumi – Briselē, 2007. gada 21. un 22. jūnijā, dok. 11177/07.</w:t>
      </w:r>
    </w:p>
  </w:footnote>
  <w:footnote w:id="5">
    <w:p>
      <w:pPr>
        <w:pStyle w:val="FootnoteText"/>
      </w:pPr>
      <w:r>
        <w:rPr>
          <w:rStyle w:val="FootnoteReference"/>
        </w:rPr>
        <w:footnoteRef/>
      </w:r>
      <w:r>
        <w:tab/>
        <w:t>Prezidentvalsts progresa ziņojums „Eiropas Kaimiņattiecību politikas stiprināšana”, dok. 10874/07.</w:t>
      </w:r>
    </w:p>
  </w:footnote>
  <w:footnote w:id="6">
    <w:p>
      <w:pPr>
        <w:pStyle w:val="FootnoteText"/>
      </w:pPr>
      <w:r>
        <w:rPr>
          <w:rStyle w:val="FootnoteReference"/>
        </w:rPr>
        <w:footnoteRef/>
      </w:r>
      <w:r>
        <w:tab/>
        <w:t>Secinājumi par Eiropas Kaimiņattiecību politikas stiprināšanu, kurus Padome (Vispārējās lietas un ārējās attiecības) pieņēma 2007. gada 18. jūnijā, dok. 11016/07.</w:t>
      </w:r>
    </w:p>
  </w:footnote>
  <w:footnote w:id="7">
    <w:p>
      <w:pPr>
        <w:pStyle w:val="FootnoteText"/>
        <w:rPr>
          <w:lang w:val="pt-PT"/>
        </w:rPr>
      </w:pPr>
      <w:r>
        <w:rPr>
          <w:rStyle w:val="FootnoteReference"/>
        </w:rPr>
        <w:footnoteRef/>
      </w:r>
      <w:r>
        <w:rPr>
          <w:lang w:val="pt-PT"/>
        </w:rPr>
        <w:tab/>
        <w:t>COM(2011) 303 final, 2011. gada 25. maijs.</w:t>
      </w:r>
    </w:p>
  </w:footnote>
  <w:footnote w:id="8">
    <w:p>
      <w:pPr>
        <w:pStyle w:val="FootnoteText"/>
        <w:rPr>
          <w:lang w:val="pt-PT"/>
        </w:rPr>
      </w:pPr>
      <w:r>
        <w:rPr>
          <w:rStyle w:val="FootnoteReference"/>
        </w:rPr>
        <w:footnoteRef/>
      </w:r>
      <w:r>
        <w:rPr>
          <w:lang w:val="pt-PT"/>
        </w:rPr>
        <w:tab/>
        <w:t>OV L 14, 18.1.2017., 2. lpp.</w:t>
      </w:r>
    </w:p>
  </w:footnote>
  <w:footnote w:id="9">
    <w:p>
      <w:pPr>
        <w:pStyle w:val="FootnoteText"/>
        <w:rPr>
          <w:lang w:val="nn-NO"/>
        </w:rPr>
      </w:pPr>
      <w:r>
        <w:rPr>
          <w:rStyle w:val="FootnoteReference"/>
        </w:rPr>
        <w:footnoteRef/>
      </w:r>
      <w:r>
        <w:rPr>
          <w:lang w:val="nn-NO"/>
        </w:rPr>
        <w:tab/>
        <w:t>OV L 174, 13.6.2014., 1. lpp.</w:t>
      </w:r>
    </w:p>
  </w:footnote>
  <w:footnote w:id="10">
    <w:p>
      <w:pPr>
        <w:pStyle w:val="FootnoteText"/>
        <w:rPr>
          <w:lang w:val="nn-NO"/>
        </w:rPr>
      </w:pPr>
      <w:r>
        <w:rPr>
          <w:rStyle w:val="FootnoteReference"/>
        </w:rPr>
        <w:footnoteRef/>
      </w:r>
      <w:r>
        <w:rPr>
          <w:lang w:val="nn-NO"/>
        </w:rPr>
        <w:tab/>
        <w:t>OV L 199, 26.7.2016., 1. lpp.</w:t>
      </w:r>
    </w:p>
  </w:footnote>
  <w:footnote w:id="11">
    <w:p>
      <w:pPr>
        <w:pStyle w:val="FootnoteText"/>
        <w:rPr>
          <w:lang w:val="nn-NO"/>
        </w:rPr>
      </w:pPr>
      <w:r>
        <w:rPr>
          <w:rStyle w:val="FootnoteReference"/>
        </w:rPr>
        <w:footnoteRef/>
      </w:r>
      <w:r>
        <w:rPr>
          <w:lang w:val="nn-NO"/>
        </w:rPr>
        <w:tab/>
        <w:t>OV L 165, 4.6.2014., 16. lpp.</w:t>
      </w:r>
    </w:p>
  </w:footnote>
  <w:footnote w:id="12">
    <w:p>
      <w:pPr>
        <w:pStyle w:val="FootnoteText"/>
        <w:rPr>
          <w:lang w:val="nn-NO"/>
        </w:rPr>
      </w:pPr>
      <w:r>
        <w:rPr>
          <w:rStyle w:val="FootnoteReference"/>
        </w:rPr>
        <w:footnoteRef/>
      </w:r>
      <w:r>
        <w:rPr>
          <w:lang w:val="nn-NO"/>
        </w:rPr>
        <w:tab/>
        <w:t>OV L 129, 17.5.2008., 39. lpp.</w:t>
      </w:r>
    </w:p>
  </w:footnote>
  <w:footnote w:id="13">
    <w:p>
      <w:pPr>
        <w:pStyle w:val="FootnoteText"/>
        <w:rPr>
          <w:lang w:val="nn-NO"/>
        </w:rPr>
      </w:pPr>
      <w:r>
        <w:rPr>
          <w:rStyle w:val="FootnoteReference"/>
        </w:rPr>
        <w:footnoteRef/>
      </w:r>
      <w:r>
        <w:rPr>
          <w:lang w:val="nn-NO"/>
        </w:rPr>
        <w:tab/>
        <w:t>OV L 89, 25.3.2014., 6. lpp.</w:t>
      </w:r>
    </w:p>
  </w:footnote>
  <w:footnote w:id="14">
    <w:p>
      <w:pPr>
        <w:pStyle w:val="FootnoteText"/>
        <w:rPr>
          <w:lang w:val="nn-NO"/>
        </w:rPr>
      </w:pPr>
      <w:r>
        <w:rPr>
          <w:rStyle w:val="FootnoteReference"/>
        </w:rPr>
        <w:footnoteRef/>
      </w:r>
      <w:r>
        <w:rPr>
          <w:lang w:val="nn-NO"/>
        </w:rPr>
        <w:tab/>
        <w:t>OV L 202, 28.7.2016., 3. lpp.</w:t>
      </w:r>
    </w:p>
  </w:footnote>
  <w:footnote w:id="15">
    <w:p>
      <w:pPr>
        <w:pStyle w:val="FootnoteText"/>
        <w:rPr>
          <w:lang w:val="nn-NO"/>
        </w:rPr>
      </w:pPr>
      <w:r>
        <w:rPr>
          <w:rStyle w:val="FootnoteReference"/>
        </w:rPr>
        <w:footnoteRef/>
      </w:r>
      <w:r>
        <w:rPr>
          <w:lang w:val="nn-NO"/>
        </w:rPr>
        <w:tab/>
        <w:t>OV L 131, 18.5.2011., 1. lpp.</w:t>
      </w:r>
    </w:p>
  </w:footnote>
  <w:footnote w:id="16">
    <w:p>
      <w:pPr>
        <w:pStyle w:val="FootnoteText"/>
        <w:rPr>
          <w:lang w:val="nn-NO"/>
        </w:rPr>
      </w:pPr>
      <w:r>
        <w:rPr>
          <w:rStyle w:val="FootnoteReference"/>
        </w:rPr>
        <w:footnoteRef/>
      </w:r>
      <w:r>
        <w:rPr>
          <w:lang w:val="nn-NO"/>
        </w:rPr>
        <w:tab/>
        <w:t>OV L 90, 28.3.2012., 1. lpp.</w:t>
      </w:r>
    </w:p>
  </w:footnote>
  <w:footnote w:id="17">
    <w:p>
      <w:pPr>
        <w:pStyle w:val="FootnoteText"/>
        <w:rPr>
          <w:lang w:val="nn-NO"/>
        </w:rPr>
      </w:pPr>
      <w:r>
        <w:rPr>
          <w:rStyle w:val="FootnoteReference"/>
        </w:rPr>
        <w:footnoteRef/>
      </w:r>
      <w:r>
        <w:rPr>
          <w:lang w:val="nn-NO"/>
        </w:rPr>
        <w:tab/>
        <w:t>OV L 297, 13.11.2015., 1. lpp.</w:t>
      </w:r>
    </w:p>
  </w:footnote>
  <w:footnote w:id="18">
    <w:p>
      <w:pPr>
        <w:pStyle w:val="FootnoteText"/>
        <w:rPr>
          <w:lang w:val="nn-NO"/>
        </w:rPr>
      </w:pPr>
      <w:r>
        <w:rPr>
          <w:rStyle w:val="FootnoteReference"/>
        </w:rPr>
        <w:footnoteRef/>
      </w:r>
      <w:r>
        <w:rPr>
          <w:lang w:val="nn-NO"/>
        </w:rPr>
        <w:tab/>
        <w:t>OV L 133, 20.5.2011., 1. lpp.</w:t>
      </w:r>
    </w:p>
  </w:footnote>
  <w:footnote w:id="19">
    <w:p>
      <w:pPr>
        <w:pStyle w:val="FootnoteText"/>
      </w:pPr>
      <w:r>
        <w:rPr>
          <w:rStyle w:val="FootnoteReference"/>
        </w:rPr>
        <w:footnoteRef/>
      </w:r>
      <w:r>
        <w:tab/>
        <w:t>Padomes lēmums (</w:t>
      </w:r>
      <w:r>
        <w:rPr>
          <w:i/>
        </w:rPr>
        <w:t>restricted</w:t>
      </w:r>
      <w:r>
        <w:t>), ar ko pilnvaro Komisiju risināt sarunas par protokoliem […], dok. 10412/07.</w:t>
      </w:r>
    </w:p>
  </w:footnote>
  <w:footnote w:id="20">
    <w:p>
      <w:pPr>
        <w:pStyle w:val="FootnoteText"/>
      </w:pPr>
      <w:r>
        <w:rPr>
          <w:rStyle w:val="FootnoteReference"/>
        </w:rPr>
        <w:footnoteRef/>
      </w:r>
      <w:r>
        <w:tab/>
        <w:t>Sk. arī rīcības plānu, kas parakstīts ar Palestīniešu pašpārvaldi, kā noteikts Padomes 2018. gada 20. decembra Lēmumā (ES) 2019/222.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DD47B5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B008E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0486F8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0732784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42A519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698BE8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238DDE8"/>
    <w:lvl w:ilvl="0">
      <w:start w:val="1"/>
      <w:numFmt w:val="decimal"/>
      <w:pStyle w:val="ListNumber"/>
      <w:lvlText w:val="%1."/>
      <w:lvlJc w:val="left"/>
      <w:pPr>
        <w:tabs>
          <w:tab w:val="num" w:pos="360"/>
        </w:tabs>
        <w:ind w:left="360" w:hanging="360"/>
      </w:pPr>
    </w:lvl>
  </w:abstractNum>
  <w:abstractNum w:abstractNumId="7">
    <w:nsid w:val="FFFFFF89"/>
    <w:multiLevelType w:val="singleLevel"/>
    <w:tmpl w:val="56149A6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29 09:59:4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B862422-7CD3-4D60-98C2-B529D186739B"/>
    <w:docVar w:name="LW_COVERPAGE_TYPE" w:val="1"/>
    <w:docVar w:name="LW_CROSSREFERENCE" w:val="&lt;UNUSED&gt;"/>
    <w:docVar w:name="LW_DocType" w:val="COM"/>
    <w:docVar w:name="LW_EMISSION" w:val="2.8.2019"/>
    <w:docVar w:name="LW_EMISSION_ISODATE" w:val="2019-08-02"/>
    <w:docVar w:name="LW_EMISSION_LOCATION" w:val="BRX"/>
    <w:docVar w:name="LW_EMISSION_PREFIX" w:val="Briselē, "/>
    <w:docVar w:name="LW_EMISSION_SUFFIX" w:val="."/>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165"/>
    <w:docVar w:name="LW_REF.II.NEW.CP_YEAR" w:val="2019"/>
    <w:docVar w:name="LW_REF.INST.NEW" w:val="COM"/>
    <w:docVar w:name="LW_REF.INST.NEW_ADOPTED" w:val="final"/>
    <w:docVar w:name="LW_REF.INST.NEW_TEXT" w:val="(2019) 3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par to, lai Eiropas Savien\u299?bas v\u257?rd\u257? parakst\u299?tu un provizoriski piem\u275?rotu Protokolu Eiropas un Vidusj\u363?ras re\u291?iona valstu pagaidu asoci\u257?cijas nol\u299?gumam par tirdzniec\u299?bu un sadarb\u299?bu starp Eiropas Kopienu, no vienas puses, un Palest\u299?nas atbr\u299?vo\u353?anas organiz\u257?ciju (PAO) Jord\u257?nas Rietumkrasta un Gazas sektora Palest\u299?nie\u353?u pa\u353?p\u257?rvaldes vajadz\u299?b\u257?m, no otras puses, attiec\u299?b\u257? uz Pamatnol\u299?gumu starp Eiropas Savien\u299?bu un Jord\u257?nas Rietumkrasta un Gazas sektora Palest\u299?nie\u353?u pa\u353?p\u257?rvaldi par visp\u257?r\u275?jiem principiem t\u257?s l\u299?dzdal\u299?bai Savien\u299?bas programm\u257?s"/>
    <w:docVar w:name="LW_TYPE.DOC.CP" w:val="PADOMES L\u274?MUMS"/>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qFormat/>
    <w:rPr>
      <w:i/>
      <w:iCs/>
      <w:shd w:val="clear" w:color="auto" w:fil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qFormat/>
    <w:rPr>
      <w:i/>
      <w:iCs/>
      <w:shd w:val="clear" w:color="auto" w:fil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5175D-A9BF-4122-B3B8-6E16203C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1267</Words>
  <Characters>8795</Characters>
  <Application>Microsoft Office Word</Application>
  <DocSecurity>0</DocSecurity>
  <Lines>151</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2019-07-26T05:29:00Z</dcterms:created>
  <dcterms:modified xsi:type="dcterms:W3CDTF">2019-07-29T07:59:00Z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