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6C2A7AE-D2D4-4C26-9B80-2F4B14D31AB6" style="width:450.35pt;height:320.6pt">
            <v:imagedata r:id="rId9" o:title=""/>
          </v:shape>
        </w:pict>
      </w:r>
    </w:p>
    <w:bookmarkEnd w:id="0"/>
    <w:p>
      <w:pPr>
        <w:spacing w:before="0" w:after="0"/>
        <w:jc w:val="left"/>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aperSrc w:first="15" w:other="15"/>
          <w:pgNumType w:start="1"/>
          <w:cols w:space="720"/>
          <w:docGrid w:linePitch="326"/>
        </w:sectPr>
      </w:pPr>
    </w:p>
    <w:p>
      <w:pPr>
        <w:pStyle w:val="TOCHeading"/>
        <w:rPr>
          <w:noProof/>
        </w:rPr>
      </w:pPr>
      <w:bookmarkStart w:id="1" w:name="_GoBack"/>
      <w:bookmarkEnd w:id="1"/>
      <w:r>
        <w:rPr>
          <w:noProof/>
        </w:rPr>
        <w:lastRenderedPageBreak/>
        <w:t>Sisällysluettelo</w:t>
      </w:r>
    </w:p>
    <w:p>
      <w:pPr>
        <w:pStyle w:val="TOC1"/>
        <w:rPr>
          <w:rFonts w:asciiTheme="minorHAnsi" w:eastAsiaTheme="minorEastAsia" w:hAnsiTheme="minorHAnsi" w:cstheme="minorBidi"/>
          <w:noProof/>
          <w:sz w:val="22"/>
          <w:szCs w:val="22"/>
          <w:lang w:eastAsia="fi-FI"/>
        </w:rPr>
      </w:pPr>
      <w:r>
        <w:rPr>
          <w:noProof/>
        </w:rPr>
        <w:fldChar w:fldCharType="begin"/>
      </w:r>
      <w:r>
        <w:rPr>
          <w:noProof/>
        </w:rPr>
        <w:instrText xml:space="preserve"> TOC \o "1-3" \h \z \u </w:instrText>
      </w:r>
      <w:r>
        <w:rPr>
          <w:noProof/>
        </w:rPr>
        <w:fldChar w:fldCharType="separate"/>
      </w:r>
      <w:hyperlink w:anchor="_Toc14792895" w:history="1">
        <w:r>
          <w:rPr>
            <w:rStyle w:val="Hyperlink"/>
            <w:noProof/>
          </w:rPr>
          <w:t>1.</w:t>
        </w:r>
        <w:r>
          <w:rPr>
            <w:rFonts w:asciiTheme="minorHAnsi" w:eastAsiaTheme="minorEastAsia" w:hAnsiTheme="minorHAnsi" w:cstheme="minorBidi"/>
            <w:noProof/>
            <w:sz w:val="22"/>
            <w:szCs w:val="22"/>
            <w:lang w:eastAsia="fi-FI"/>
          </w:rPr>
          <w:tab/>
        </w:r>
        <w:r>
          <w:rPr>
            <w:rStyle w:val="Hyperlink"/>
            <w:noProof/>
          </w:rPr>
          <w:t>Johdanto</w:t>
        </w:r>
        <w:r>
          <w:rPr>
            <w:noProof/>
            <w:webHidden/>
          </w:rPr>
          <w:tab/>
        </w:r>
        <w:r>
          <w:rPr>
            <w:noProof/>
            <w:webHidden/>
          </w:rPr>
          <w:fldChar w:fldCharType="begin"/>
        </w:r>
        <w:r>
          <w:rPr>
            <w:noProof/>
            <w:webHidden/>
          </w:rPr>
          <w:instrText xml:space="preserve"> PAGEREF _Toc14792895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noProof/>
          <w:sz w:val="22"/>
          <w:szCs w:val="22"/>
          <w:lang w:eastAsia="fi-FI"/>
        </w:rPr>
      </w:pPr>
      <w:hyperlink w:anchor="_Toc14792896" w:history="1">
        <w:r>
          <w:rPr>
            <w:rStyle w:val="Hyperlink"/>
            <w:noProof/>
          </w:rPr>
          <w:t>2.</w:t>
        </w:r>
        <w:r>
          <w:rPr>
            <w:rFonts w:asciiTheme="minorHAnsi" w:eastAsiaTheme="minorEastAsia" w:hAnsiTheme="minorHAnsi" w:cstheme="minorBidi"/>
            <w:noProof/>
            <w:sz w:val="22"/>
            <w:szCs w:val="22"/>
            <w:lang w:eastAsia="fi-FI"/>
          </w:rPr>
          <w:tab/>
        </w:r>
        <w:r>
          <w:rPr>
            <w:rStyle w:val="Hyperlink"/>
            <w:noProof/>
          </w:rPr>
          <w:t>Rahaston taloudellinen tilanne ja merkittävät liiketoimet</w:t>
        </w:r>
        <w:r>
          <w:rPr>
            <w:noProof/>
            <w:webHidden/>
          </w:rPr>
          <w:tab/>
        </w:r>
        <w:r>
          <w:rPr>
            <w:noProof/>
            <w:webHidden/>
          </w:rPr>
          <w:fldChar w:fldCharType="begin"/>
        </w:r>
        <w:r>
          <w:rPr>
            <w:noProof/>
            <w:webHidden/>
          </w:rPr>
          <w:instrText xml:space="preserve"> PAGEREF _Toc14792896 \h </w:instrText>
        </w:r>
        <w:r>
          <w:rPr>
            <w:noProof/>
            <w:webHidden/>
          </w:rPr>
        </w:r>
        <w:r>
          <w:rPr>
            <w:noProof/>
            <w:webHidden/>
          </w:rPr>
          <w:fldChar w:fldCharType="separate"/>
        </w:r>
        <w:r>
          <w:rPr>
            <w:noProof/>
            <w:webHidden/>
          </w:rPr>
          <w:t>4</w:t>
        </w:r>
        <w:r>
          <w:rPr>
            <w:noProof/>
            <w:webHidden/>
          </w:rPr>
          <w:fldChar w:fldCharType="end"/>
        </w:r>
      </w:hyperlink>
    </w:p>
    <w:p>
      <w:pPr>
        <w:pStyle w:val="TOC2"/>
        <w:rPr>
          <w:rFonts w:asciiTheme="minorHAnsi" w:eastAsiaTheme="minorEastAsia" w:hAnsiTheme="minorHAnsi" w:cstheme="minorBidi"/>
          <w:noProof/>
          <w:sz w:val="22"/>
          <w:szCs w:val="22"/>
          <w:lang w:eastAsia="fi-FI"/>
        </w:rPr>
      </w:pPr>
      <w:hyperlink w:anchor="_Toc14792897" w:history="1">
        <w:r>
          <w:rPr>
            <w:rStyle w:val="Hyperlink"/>
            <w:noProof/>
          </w:rPr>
          <w:t>2.1.</w:t>
        </w:r>
        <w:r>
          <w:rPr>
            <w:rFonts w:asciiTheme="minorHAnsi" w:eastAsiaTheme="minorEastAsia" w:hAnsiTheme="minorHAnsi" w:cstheme="minorBidi"/>
            <w:noProof/>
            <w:sz w:val="22"/>
            <w:szCs w:val="22"/>
            <w:lang w:eastAsia="fi-FI"/>
          </w:rPr>
          <w:tab/>
        </w:r>
        <w:r>
          <w:rPr>
            <w:rStyle w:val="Hyperlink"/>
            <w:noProof/>
          </w:rPr>
          <w:t>Rahaston taloudellinen tilanne 31. joulukuuta 2018</w:t>
        </w:r>
        <w:r>
          <w:rPr>
            <w:noProof/>
            <w:webHidden/>
          </w:rPr>
          <w:tab/>
        </w:r>
        <w:r>
          <w:rPr>
            <w:noProof/>
            <w:webHidden/>
          </w:rPr>
          <w:fldChar w:fldCharType="begin"/>
        </w:r>
        <w:r>
          <w:rPr>
            <w:noProof/>
            <w:webHidden/>
          </w:rPr>
          <w:instrText xml:space="preserve"> PAGEREF _Toc14792897 \h </w:instrText>
        </w:r>
        <w:r>
          <w:rPr>
            <w:noProof/>
            <w:webHidden/>
          </w:rPr>
        </w:r>
        <w:r>
          <w:rPr>
            <w:noProof/>
            <w:webHidden/>
          </w:rPr>
          <w:fldChar w:fldCharType="separate"/>
        </w:r>
        <w:r>
          <w:rPr>
            <w:noProof/>
            <w:webHidden/>
          </w:rPr>
          <w:t>4</w:t>
        </w:r>
        <w:r>
          <w:rPr>
            <w:noProof/>
            <w:webHidden/>
          </w:rPr>
          <w:fldChar w:fldCharType="end"/>
        </w:r>
      </w:hyperlink>
    </w:p>
    <w:p>
      <w:pPr>
        <w:pStyle w:val="TOC2"/>
        <w:rPr>
          <w:rFonts w:asciiTheme="minorHAnsi" w:eastAsiaTheme="minorEastAsia" w:hAnsiTheme="minorHAnsi" w:cstheme="minorBidi"/>
          <w:noProof/>
          <w:sz w:val="22"/>
          <w:szCs w:val="22"/>
          <w:lang w:eastAsia="fi-FI"/>
        </w:rPr>
      </w:pPr>
      <w:hyperlink w:anchor="_Toc14792898" w:history="1">
        <w:r>
          <w:rPr>
            <w:rStyle w:val="Hyperlink"/>
            <w:noProof/>
          </w:rPr>
          <w:t>2.2.</w:t>
        </w:r>
        <w:r>
          <w:rPr>
            <w:rFonts w:asciiTheme="minorHAnsi" w:eastAsiaTheme="minorEastAsia" w:hAnsiTheme="minorHAnsi" w:cstheme="minorBidi"/>
            <w:noProof/>
            <w:sz w:val="22"/>
            <w:szCs w:val="22"/>
            <w:lang w:eastAsia="fi-FI"/>
          </w:rPr>
          <w:tab/>
        </w:r>
        <w:r>
          <w:rPr>
            <w:rStyle w:val="Hyperlink"/>
            <w:noProof/>
          </w:rPr>
          <w:t>Rahaston merkittävät liiketoimet vuonna 2018</w:t>
        </w:r>
        <w:r>
          <w:rPr>
            <w:noProof/>
            <w:webHidden/>
          </w:rPr>
          <w:tab/>
        </w:r>
        <w:r>
          <w:rPr>
            <w:noProof/>
            <w:webHidden/>
          </w:rPr>
          <w:fldChar w:fldCharType="begin"/>
        </w:r>
        <w:r>
          <w:rPr>
            <w:noProof/>
            <w:webHidden/>
          </w:rPr>
          <w:instrText xml:space="preserve"> PAGEREF _Toc14792898 \h </w:instrText>
        </w:r>
        <w:r>
          <w:rPr>
            <w:noProof/>
            <w:webHidden/>
          </w:rPr>
        </w:r>
        <w:r>
          <w:rPr>
            <w:noProof/>
            <w:webHidden/>
          </w:rPr>
          <w:fldChar w:fldCharType="separate"/>
        </w:r>
        <w:r>
          <w:rPr>
            <w:noProof/>
            <w:webHidden/>
          </w:rPr>
          <w:t>4</w:t>
        </w:r>
        <w:r>
          <w:rPr>
            <w:noProof/>
            <w:webHidden/>
          </w:rPr>
          <w:fldChar w:fldCharType="end"/>
        </w:r>
      </w:hyperlink>
    </w:p>
    <w:p>
      <w:pPr>
        <w:pStyle w:val="TOC2"/>
        <w:rPr>
          <w:rFonts w:asciiTheme="minorHAnsi" w:eastAsiaTheme="minorEastAsia" w:hAnsiTheme="minorHAnsi" w:cstheme="minorBidi"/>
          <w:noProof/>
          <w:sz w:val="22"/>
          <w:szCs w:val="22"/>
          <w:lang w:eastAsia="fi-FI"/>
        </w:rPr>
      </w:pPr>
      <w:hyperlink w:anchor="_Toc14792899" w:history="1">
        <w:r>
          <w:rPr>
            <w:rStyle w:val="Hyperlink"/>
            <w:noProof/>
          </w:rPr>
          <w:t>2.2.1</w:t>
        </w:r>
        <w:r>
          <w:rPr>
            <w:rFonts w:asciiTheme="minorHAnsi" w:eastAsiaTheme="minorEastAsia" w:hAnsiTheme="minorHAnsi" w:cstheme="minorBidi"/>
            <w:noProof/>
            <w:sz w:val="22"/>
            <w:szCs w:val="22"/>
            <w:lang w:eastAsia="fi-FI"/>
          </w:rPr>
          <w:tab/>
        </w:r>
        <w:r>
          <w:rPr>
            <w:rStyle w:val="Hyperlink"/>
            <w:noProof/>
          </w:rPr>
          <w:t>Vuoden 2018 rahastolle esitetyt takausvaateet</w:t>
        </w:r>
        <w:r>
          <w:rPr>
            <w:noProof/>
            <w:webHidden/>
          </w:rPr>
          <w:tab/>
        </w:r>
        <w:r>
          <w:rPr>
            <w:noProof/>
            <w:webHidden/>
          </w:rPr>
          <w:fldChar w:fldCharType="begin"/>
        </w:r>
        <w:r>
          <w:rPr>
            <w:noProof/>
            <w:webHidden/>
          </w:rPr>
          <w:instrText xml:space="preserve"> PAGEREF _Toc14792899 \h </w:instrText>
        </w:r>
        <w:r>
          <w:rPr>
            <w:noProof/>
            <w:webHidden/>
          </w:rPr>
        </w:r>
        <w:r>
          <w:rPr>
            <w:noProof/>
            <w:webHidden/>
          </w:rPr>
          <w:fldChar w:fldCharType="separate"/>
        </w:r>
        <w:r>
          <w:rPr>
            <w:noProof/>
            <w:webHidden/>
          </w:rPr>
          <w:t>4</w:t>
        </w:r>
        <w:r>
          <w:rPr>
            <w:noProof/>
            <w:webHidden/>
          </w:rPr>
          <w:fldChar w:fldCharType="end"/>
        </w:r>
      </w:hyperlink>
    </w:p>
    <w:p>
      <w:pPr>
        <w:pStyle w:val="TOC2"/>
        <w:rPr>
          <w:rFonts w:asciiTheme="minorHAnsi" w:eastAsiaTheme="minorEastAsia" w:hAnsiTheme="minorHAnsi" w:cstheme="minorBidi"/>
          <w:noProof/>
          <w:sz w:val="22"/>
          <w:szCs w:val="22"/>
          <w:lang w:eastAsia="fi-FI"/>
        </w:rPr>
      </w:pPr>
      <w:hyperlink w:anchor="_Toc14792900" w:history="1">
        <w:r>
          <w:rPr>
            <w:rStyle w:val="Hyperlink"/>
            <w:noProof/>
          </w:rPr>
          <w:t>2.2.2</w:t>
        </w:r>
        <w:r>
          <w:rPr>
            <w:rFonts w:asciiTheme="minorHAnsi" w:eastAsiaTheme="minorEastAsia" w:hAnsiTheme="minorHAnsi" w:cstheme="minorBidi"/>
            <w:noProof/>
            <w:sz w:val="22"/>
            <w:szCs w:val="22"/>
            <w:lang w:eastAsia="fi-FI"/>
          </w:rPr>
          <w:tab/>
        </w:r>
        <w:r>
          <w:rPr>
            <w:rStyle w:val="Hyperlink"/>
            <w:noProof/>
          </w:rPr>
          <w:t>Vuoden 2018 takuurahaston rahoittaminen</w:t>
        </w:r>
        <w:r>
          <w:rPr>
            <w:noProof/>
            <w:webHidden/>
          </w:rPr>
          <w:tab/>
        </w:r>
        <w:r>
          <w:rPr>
            <w:noProof/>
            <w:webHidden/>
          </w:rPr>
          <w:fldChar w:fldCharType="begin"/>
        </w:r>
        <w:r>
          <w:rPr>
            <w:noProof/>
            <w:webHidden/>
          </w:rPr>
          <w:instrText xml:space="preserve"> PAGEREF _Toc14792900 \h </w:instrText>
        </w:r>
        <w:r>
          <w:rPr>
            <w:noProof/>
            <w:webHidden/>
          </w:rPr>
        </w:r>
        <w:r>
          <w:rPr>
            <w:noProof/>
            <w:webHidden/>
          </w:rPr>
          <w:fldChar w:fldCharType="separate"/>
        </w:r>
        <w:r>
          <w:rPr>
            <w:noProof/>
            <w:webHidden/>
          </w:rPr>
          <w:t>4</w:t>
        </w:r>
        <w:r>
          <w:rPr>
            <w:noProof/>
            <w:webHidden/>
          </w:rPr>
          <w:fldChar w:fldCharType="end"/>
        </w:r>
      </w:hyperlink>
    </w:p>
    <w:p>
      <w:pPr>
        <w:pStyle w:val="TOC2"/>
        <w:rPr>
          <w:rFonts w:asciiTheme="minorHAnsi" w:eastAsiaTheme="minorEastAsia" w:hAnsiTheme="minorHAnsi" w:cstheme="minorBidi"/>
          <w:noProof/>
          <w:sz w:val="22"/>
          <w:szCs w:val="22"/>
          <w:lang w:eastAsia="fi-FI"/>
        </w:rPr>
      </w:pPr>
      <w:hyperlink w:anchor="_Toc14792901" w:history="1">
        <w:r>
          <w:rPr>
            <w:rStyle w:val="Hyperlink"/>
            <w:noProof/>
          </w:rPr>
          <w:t>2.3.</w:t>
        </w:r>
        <w:r>
          <w:rPr>
            <w:rFonts w:asciiTheme="minorHAnsi" w:eastAsiaTheme="minorEastAsia" w:hAnsiTheme="minorHAnsi" w:cstheme="minorBidi"/>
            <w:noProof/>
            <w:sz w:val="22"/>
            <w:szCs w:val="22"/>
            <w:lang w:eastAsia="fi-FI"/>
          </w:rPr>
          <w:tab/>
        </w:r>
        <w:r>
          <w:rPr>
            <w:rStyle w:val="Hyperlink"/>
            <w:noProof/>
          </w:rPr>
          <w:t>Raportointiajankohdan jälkeiset merkittävät liiketoimet (maaliskuun 2019 loppuun mennessä)</w:t>
        </w:r>
        <w:r>
          <w:rPr>
            <w:noProof/>
            <w:webHidden/>
          </w:rPr>
          <w:tab/>
        </w:r>
        <w:r>
          <w:rPr>
            <w:noProof/>
            <w:webHidden/>
          </w:rPr>
          <w:fldChar w:fldCharType="begin"/>
        </w:r>
        <w:r>
          <w:rPr>
            <w:noProof/>
            <w:webHidden/>
          </w:rPr>
          <w:instrText xml:space="preserve"> PAGEREF _Toc14792901 \h </w:instrText>
        </w:r>
        <w:r>
          <w:rPr>
            <w:noProof/>
            <w:webHidden/>
          </w:rPr>
        </w:r>
        <w:r>
          <w:rPr>
            <w:noProof/>
            <w:webHidden/>
          </w:rPr>
          <w:fldChar w:fldCharType="separate"/>
        </w:r>
        <w:r>
          <w:rPr>
            <w:noProof/>
            <w:webHidden/>
          </w:rPr>
          <w:t>5</w:t>
        </w:r>
        <w:r>
          <w:rPr>
            <w:noProof/>
            <w:webHidden/>
          </w:rPr>
          <w:fldChar w:fldCharType="end"/>
        </w:r>
      </w:hyperlink>
    </w:p>
    <w:p>
      <w:pPr>
        <w:pStyle w:val="TOC1"/>
        <w:rPr>
          <w:rFonts w:asciiTheme="minorHAnsi" w:eastAsiaTheme="minorEastAsia" w:hAnsiTheme="minorHAnsi" w:cstheme="minorBidi"/>
          <w:noProof/>
          <w:sz w:val="22"/>
          <w:szCs w:val="22"/>
          <w:lang w:eastAsia="fi-FI"/>
        </w:rPr>
      </w:pPr>
      <w:hyperlink w:anchor="_Toc14792902" w:history="1">
        <w:r>
          <w:rPr>
            <w:rStyle w:val="Hyperlink"/>
            <w:noProof/>
          </w:rPr>
          <w:t>3.</w:t>
        </w:r>
        <w:r>
          <w:rPr>
            <w:rFonts w:asciiTheme="minorHAnsi" w:eastAsiaTheme="minorEastAsia" w:hAnsiTheme="minorHAnsi" w:cstheme="minorBidi"/>
            <w:noProof/>
            <w:sz w:val="22"/>
            <w:szCs w:val="22"/>
            <w:lang w:eastAsia="fi-FI"/>
          </w:rPr>
          <w:tab/>
        </w:r>
        <w:r>
          <w:rPr>
            <w:rStyle w:val="Hyperlink"/>
            <w:noProof/>
          </w:rPr>
          <w:t>Rahaston konsolidoimaton tilinpäätös</w:t>
        </w:r>
        <w:r>
          <w:rPr>
            <w:noProof/>
            <w:webHidden/>
          </w:rPr>
          <w:tab/>
        </w:r>
        <w:r>
          <w:rPr>
            <w:noProof/>
            <w:webHidden/>
          </w:rPr>
          <w:fldChar w:fldCharType="begin"/>
        </w:r>
        <w:r>
          <w:rPr>
            <w:noProof/>
            <w:webHidden/>
          </w:rPr>
          <w:instrText xml:space="preserve"> PAGEREF _Toc14792902 \h </w:instrText>
        </w:r>
        <w:r>
          <w:rPr>
            <w:noProof/>
            <w:webHidden/>
          </w:rPr>
        </w:r>
        <w:r>
          <w:rPr>
            <w:noProof/>
            <w:webHidden/>
          </w:rPr>
          <w:fldChar w:fldCharType="separate"/>
        </w:r>
        <w:r>
          <w:rPr>
            <w:noProof/>
            <w:webHidden/>
          </w:rPr>
          <w:t>5</w:t>
        </w:r>
        <w:r>
          <w:rPr>
            <w:noProof/>
            <w:webHidden/>
          </w:rPr>
          <w:fldChar w:fldCharType="end"/>
        </w:r>
      </w:hyperlink>
    </w:p>
    <w:p>
      <w:pPr>
        <w:pStyle w:val="TOC2"/>
        <w:rPr>
          <w:rFonts w:asciiTheme="minorHAnsi" w:eastAsiaTheme="minorEastAsia" w:hAnsiTheme="minorHAnsi" w:cstheme="minorBidi"/>
          <w:noProof/>
          <w:sz w:val="22"/>
          <w:szCs w:val="22"/>
          <w:lang w:eastAsia="fi-FI"/>
        </w:rPr>
      </w:pPr>
      <w:hyperlink w:anchor="_Toc14792903" w:history="1">
        <w:r>
          <w:rPr>
            <w:rStyle w:val="Hyperlink"/>
            <w:noProof/>
          </w:rPr>
          <w:t>3.1.</w:t>
        </w:r>
        <w:r>
          <w:rPr>
            <w:rFonts w:asciiTheme="minorHAnsi" w:eastAsiaTheme="minorEastAsia" w:hAnsiTheme="minorHAnsi" w:cstheme="minorBidi"/>
            <w:noProof/>
            <w:sz w:val="22"/>
            <w:szCs w:val="22"/>
            <w:lang w:eastAsia="fi-FI"/>
          </w:rPr>
          <w:tab/>
        </w:r>
        <w:r>
          <w:rPr>
            <w:rStyle w:val="Hyperlink"/>
            <w:noProof/>
          </w:rPr>
          <w:t>Konsolidoimaton taloudellinen tilanne 31. joulukuuta 2018</w:t>
        </w:r>
        <w:r>
          <w:rPr>
            <w:noProof/>
            <w:webHidden/>
          </w:rPr>
          <w:tab/>
        </w:r>
        <w:r>
          <w:rPr>
            <w:noProof/>
            <w:webHidden/>
          </w:rPr>
          <w:fldChar w:fldCharType="begin"/>
        </w:r>
        <w:r>
          <w:rPr>
            <w:noProof/>
            <w:webHidden/>
          </w:rPr>
          <w:instrText xml:space="preserve"> PAGEREF _Toc14792903 \h </w:instrText>
        </w:r>
        <w:r>
          <w:rPr>
            <w:noProof/>
            <w:webHidden/>
          </w:rPr>
        </w:r>
        <w:r>
          <w:rPr>
            <w:noProof/>
            <w:webHidden/>
          </w:rPr>
          <w:fldChar w:fldCharType="separate"/>
        </w:r>
        <w:r>
          <w:rPr>
            <w:noProof/>
            <w:webHidden/>
          </w:rPr>
          <w:t>6</w:t>
        </w:r>
        <w:r>
          <w:rPr>
            <w:noProof/>
            <w:webHidden/>
          </w:rPr>
          <w:fldChar w:fldCharType="end"/>
        </w:r>
      </w:hyperlink>
    </w:p>
    <w:p>
      <w:pPr>
        <w:pStyle w:val="TOC2"/>
        <w:rPr>
          <w:rFonts w:asciiTheme="minorHAnsi" w:eastAsiaTheme="minorEastAsia" w:hAnsiTheme="minorHAnsi" w:cstheme="minorBidi"/>
          <w:noProof/>
          <w:sz w:val="22"/>
          <w:szCs w:val="22"/>
          <w:lang w:eastAsia="fi-FI"/>
        </w:rPr>
      </w:pPr>
      <w:hyperlink w:anchor="_Toc14792904" w:history="1">
        <w:r>
          <w:rPr>
            <w:rStyle w:val="Hyperlink"/>
            <w:noProof/>
          </w:rPr>
          <w:t>3.2.</w:t>
        </w:r>
        <w:r>
          <w:rPr>
            <w:rFonts w:asciiTheme="minorHAnsi" w:eastAsiaTheme="minorEastAsia" w:hAnsiTheme="minorHAnsi" w:cstheme="minorBidi"/>
            <w:noProof/>
            <w:sz w:val="22"/>
            <w:szCs w:val="22"/>
            <w:lang w:eastAsia="fi-FI"/>
          </w:rPr>
          <w:tab/>
        </w:r>
        <w:r>
          <w:rPr>
            <w:rStyle w:val="Hyperlink"/>
            <w:noProof/>
          </w:rPr>
          <w:t>Konsolidoimaton tuloslaskelma</w:t>
        </w:r>
        <w:r>
          <w:rPr>
            <w:noProof/>
            <w:webHidden/>
          </w:rPr>
          <w:tab/>
        </w:r>
        <w:r>
          <w:rPr>
            <w:noProof/>
            <w:webHidden/>
          </w:rPr>
          <w:fldChar w:fldCharType="begin"/>
        </w:r>
        <w:r>
          <w:rPr>
            <w:noProof/>
            <w:webHidden/>
          </w:rPr>
          <w:instrText xml:space="preserve"> PAGEREF _Toc14792904 \h </w:instrText>
        </w:r>
        <w:r>
          <w:rPr>
            <w:noProof/>
            <w:webHidden/>
          </w:rPr>
        </w:r>
        <w:r>
          <w:rPr>
            <w:noProof/>
            <w:webHidden/>
          </w:rPr>
          <w:fldChar w:fldCharType="separate"/>
        </w:r>
        <w:r>
          <w:rPr>
            <w:noProof/>
            <w:webHidden/>
          </w:rPr>
          <w:t>9</w:t>
        </w:r>
        <w:r>
          <w:rPr>
            <w:noProof/>
            <w:webHidden/>
          </w:rPr>
          <w:fldChar w:fldCharType="end"/>
        </w:r>
      </w:hyperlink>
    </w:p>
    <w:p>
      <w:pPr>
        <w:pStyle w:val="TOC1"/>
        <w:rPr>
          <w:rFonts w:asciiTheme="minorHAnsi" w:eastAsiaTheme="minorEastAsia" w:hAnsiTheme="minorHAnsi" w:cstheme="minorBidi"/>
          <w:noProof/>
          <w:sz w:val="22"/>
          <w:szCs w:val="22"/>
          <w:lang w:eastAsia="fi-FI"/>
        </w:rPr>
      </w:pPr>
      <w:hyperlink w:anchor="_Toc14792905" w:history="1">
        <w:r>
          <w:rPr>
            <w:rStyle w:val="Hyperlink"/>
            <w:noProof/>
          </w:rPr>
          <w:t>4.</w:t>
        </w:r>
        <w:r>
          <w:rPr>
            <w:rFonts w:asciiTheme="minorHAnsi" w:eastAsiaTheme="minorEastAsia" w:hAnsiTheme="minorHAnsi" w:cstheme="minorBidi"/>
            <w:noProof/>
            <w:sz w:val="22"/>
            <w:szCs w:val="22"/>
            <w:lang w:eastAsia="fi-FI"/>
          </w:rPr>
          <w:tab/>
        </w:r>
        <w:r>
          <w:rPr>
            <w:rStyle w:val="Hyperlink"/>
            <w:noProof/>
          </w:rPr>
          <w:t>Rahaston varainhallinta</w:t>
        </w:r>
        <w:r>
          <w:rPr>
            <w:noProof/>
            <w:webHidden/>
          </w:rPr>
          <w:tab/>
        </w:r>
        <w:r>
          <w:rPr>
            <w:noProof/>
            <w:webHidden/>
          </w:rPr>
          <w:fldChar w:fldCharType="begin"/>
        </w:r>
        <w:r>
          <w:rPr>
            <w:noProof/>
            <w:webHidden/>
          </w:rPr>
          <w:instrText xml:space="preserve"> PAGEREF _Toc14792905 \h </w:instrText>
        </w:r>
        <w:r>
          <w:rPr>
            <w:noProof/>
            <w:webHidden/>
          </w:rPr>
        </w:r>
        <w:r>
          <w:rPr>
            <w:noProof/>
            <w:webHidden/>
          </w:rPr>
          <w:fldChar w:fldCharType="separate"/>
        </w:r>
        <w:r>
          <w:rPr>
            <w:noProof/>
            <w:webHidden/>
          </w:rPr>
          <w:t>10</w:t>
        </w:r>
        <w:r>
          <w:rPr>
            <w:noProof/>
            <w:webHidden/>
          </w:rPr>
          <w:fldChar w:fldCharType="end"/>
        </w:r>
      </w:hyperlink>
    </w:p>
    <w:p>
      <w:pPr>
        <w:pStyle w:val="TOC2"/>
        <w:rPr>
          <w:rFonts w:asciiTheme="minorHAnsi" w:eastAsiaTheme="minorEastAsia" w:hAnsiTheme="minorHAnsi" w:cstheme="minorBidi"/>
          <w:noProof/>
          <w:sz w:val="22"/>
          <w:szCs w:val="22"/>
          <w:lang w:eastAsia="fi-FI"/>
        </w:rPr>
      </w:pPr>
      <w:hyperlink w:anchor="_Toc14792906" w:history="1">
        <w:r>
          <w:rPr>
            <w:rStyle w:val="Hyperlink"/>
            <w:noProof/>
          </w:rPr>
          <w:t>4.1.</w:t>
        </w:r>
        <w:r>
          <w:rPr>
            <w:rFonts w:asciiTheme="minorHAnsi" w:eastAsiaTheme="minorEastAsia" w:hAnsiTheme="minorHAnsi" w:cstheme="minorBidi"/>
            <w:noProof/>
            <w:sz w:val="22"/>
            <w:szCs w:val="22"/>
            <w:lang w:eastAsia="fi-FI"/>
          </w:rPr>
          <w:tab/>
        </w:r>
        <w:r>
          <w:rPr>
            <w:rStyle w:val="Hyperlink"/>
            <w:noProof/>
          </w:rPr>
          <w:t>Sijoituspolitiikka</w:t>
        </w:r>
        <w:r>
          <w:rPr>
            <w:noProof/>
            <w:webHidden/>
          </w:rPr>
          <w:tab/>
        </w:r>
        <w:r>
          <w:rPr>
            <w:noProof/>
            <w:webHidden/>
          </w:rPr>
          <w:fldChar w:fldCharType="begin"/>
        </w:r>
        <w:r>
          <w:rPr>
            <w:noProof/>
            <w:webHidden/>
          </w:rPr>
          <w:instrText xml:space="preserve"> PAGEREF _Toc14792906 \h </w:instrText>
        </w:r>
        <w:r>
          <w:rPr>
            <w:noProof/>
            <w:webHidden/>
          </w:rPr>
        </w:r>
        <w:r>
          <w:rPr>
            <w:noProof/>
            <w:webHidden/>
          </w:rPr>
          <w:fldChar w:fldCharType="separate"/>
        </w:r>
        <w:r>
          <w:rPr>
            <w:noProof/>
            <w:webHidden/>
          </w:rPr>
          <w:t>10</w:t>
        </w:r>
        <w:r>
          <w:rPr>
            <w:noProof/>
            <w:webHidden/>
          </w:rPr>
          <w:fldChar w:fldCharType="end"/>
        </w:r>
      </w:hyperlink>
    </w:p>
    <w:p>
      <w:pPr>
        <w:pStyle w:val="TOC2"/>
        <w:rPr>
          <w:rFonts w:asciiTheme="minorHAnsi" w:eastAsiaTheme="minorEastAsia" w:hAnsiTheme="minorHAnsi" w:cstheme="minorBidi"/>
          <w:noProof/>
          <w:sz w:val="22"/>
          <w:szCs w:val="22"/>
          <w:lang w:eastAsia="fi-FI"/>
        </w:rPr>
      </w:pPr>
      <w:hyperlink w:anchor="_Toc14792907" w:history="1">
        <w:r>
          <w:rPr>
            <w:rStyle w:val="Hyperlink"/>
            <w:noProof/>
          </w:rPr>
          <w:t>4.2.</w:t>
        </w:r>
        <w:r>
          <w:rPr>
            <w:rFonts w:asciiTheme="minorHAnsi" w:eastAsiaTheme="minorEastAsia" w:hAnsiTheme="minorHAnsi" w:cstheme="minorBidi"/>
            <w:noProof/>
            <w:sz w:val="22"/>
            <w:szCs w:val="22"/>
            <w:lang w:eastAsia="fi-FI"/>
          </w:rPr>
          <w:tab/>
        </w:r>
        <w:r>
          <w:rPr>
            <w:rStyle w:val="Hyperlink"/>
            <w:noProof/>
          </w:rPr>
          <w:t xml:space="preserve"> Vuoden 2018 tulos ja markkinakehitys</w:t>
        </w:r>
        <w:r>
          <w:rPr>
            <w:noProof/>
            <w:webHidden/>
          </w:rPr>
          <w:tab/>
        </w:r>
        <w:r>
          <w:rPr>
            <w:noProof/>
            <w:webHidden/>
          </w:rPr>
          <w:fldChar w:fldCharType="begin"/>
        </w:r>
        <w:r>
          <w:rPr>
            <w:noProof/>
            <w:webHidden/>
          </w:rPr>
          <w:instrText xml:space="preserve"> PAGEREF _Toc14792907 \h </w:instrText>
        </w:r>
        <w:r>
          <w:rPr>
            <w:noProof/>
            <w:webHidden/>
          </w:rPr>
        </w:r>
        <w:r>
          <w:rPr>
            <w:noProof/>
            <w:webHidden/>
          </w:rPr>
          <w:fldChar w:fldCharType="separate"/>
        </w:r>
        <w:r>
          <w:rPr>
            <w:noProof/>
            <w:webHidden/>
          </w:rPr>
          <w:t>10</w:t>
        </w:r>
        <w:r>
          <w:rPr>
            <w:noProof/>
            <w:webHidden/>
          </w:rPr>
          <w:fldChar w:fldCharType="end"/>
        </w:r>
      </w:hyperlink>
    </w:p>
    <w:p>
      <w:pPr>
        <w:pStyle w:val="TOC1"/>
        <w:rPr>
          <w:rFonts w:asciiTheme="minorHAnsi" w:eastAsiaTheme="minorEastAsia" w:hAnsiTheme="minorHAnsi" w:cstheme="minorBidi"/>
          <w:noProof/>
          <w:sz w:val="22"/>
          <w:szCs w:val="22"/>
          <w:lang w:eastAsia="fi-FI"/>
        </w:rPr>
      </w:pPr>
      <w:hyperlink w:anchor="_Toc14792908" w:history="1">
        <w:r>
          <w:rPr>
            <w:rStyle w:val="Hyperlink"/>
            <w:noProof/>
          </w:rPr>
          <w:t>5.</w:t>
        </w:r>
        <w:r>
          <w:rPr>
            <w:rFonts w:asciiTheme="minorHAnsi" w:eastAsiaTheme="minorEastAsia" w:hAnsiTheme="minorHAnsi" w:cstheme="minorBidi"/>
            <w:noProof/>
            <w:sz w:val="22"/>
            <w:szCs w:val="22"/>
            <w:lang w:eastAsia="fi-FI"/>
          </w:rPr>
          <w:tab/>
        </w:r>
        <w:r>
          <w:rPr>
            <w:rStyle w:val="Hyperlink"/>
            <w:noProof/>
          </w:rPr>
          <w:t>Rahastolle esitetyt takausvaateet</w:t>
        </w:r>
        <w:r>
          <w:rPr>
            <w:noProof/>
            <w:webHidden/>
          </w:rPr>
          <w:tab/>
        </w:r>
        <w:r>
          <w:rPr>
            <w:noProof/>
            <w:webHidden/>
          </w:rPr>
          <w:fldChar w:fldCharType="begin"/>
        </w:r>
        <w:r>
          <w:rPr>
            <w:noProof/>
            <w:webHidden/>
          </w:rPr>
          <w:instrText xml:space="preserve"> PAGEREF _Toc14792908 \h </w:instrText>
        </w:r>
        <w:r>
          <w:rPr>
            <w:noProof/>
            <w:webHidden/>
          </w:rPr>
        </w:r>
        <w:r>
          <w:rPr>
            <w:noProof/>
            <w:webHidden/>
          </w:rPr>
          <w:fldChar w:fldCharType="separate"/>
        </w:r>
        <w:r>
          <w:rPr>
            <w:noProof/>
            <w:webHidden/>
          </w:rPr>
          <w:t>11</w:t>
        </w:r>
        <w:r>
          <w:rPr>
            <w:noProof/>
            <w:webHidden/>
          </w:rPr>
          <w:fldChar w:fldCharType="end"/>
        </w:r>
      </w:hyperlink>
    </w:p>
    <w:p>
      <w:pPr>
        <w:pStyle w:val="TOC1"/>
        <w:rPr>
          <w:rFonts w:asciiTheme="minorHAnsi" w:eastAsiaTheme="minorEastAsia" w:hAnsiTheme="minorHAnsi" w:cstheme="minorBidi"/>
          <w:noProof/>
          <w:sz w:val="22"/>
          <w:szCs w:val="22"/>
          <w:lang w:eastAsia="fi-FI"/>
        </w:rPr>
      </w:pPr>
      <w:hyperlink w:anchor="_Toc14792909" w:history="1">
        <w:r>
          <w:rPr>
            <w:rStyle w:val="Hyperlink"/>
            <w:noProof/>
          </w:rPr>
          <w:t>6.</w:t>
        </w:r>
        <w:r>
          <w:rPr>
            <w:rFonts w:asciiTheme="minorHAnsi" w:eastAsiaTheme="minorEastAsia" w:hAnsiTheme="minorHAnsi" w:cstheme="minorBidi"/>
            <w:noProof/>
            <w:sz w:val="22"/>
            <w:szCs w:val="22"/>
            <w:lang w:eastAsia="fi-FI"/>
          </w:rPr>
          <w:tab/>
        </w:r>
        <w:r>
          <w:rPr>
            <w:rStyle w:val="Hyperlink"/>
            <w:noProof/>
          </w:rPr>
          <w:t>EIP:n palkkio</w:t>
        </w:r>
        <w:r>
          <w:rPr>
            <w:noProof/>
            <w:webHidden/>
          </w:rPr>
          <w:tab/>
        </w:r>
        <w:r>
          <w:rPr>
            <w:noProof/>
            <w:webHidden/>
          </w:rPr>
          <w:fldChar w:fldCharType="begin"/>
        </w:r>
        <w:r>
          <w:rPr>
            <w:noProof/>
            <w:webHidden/>
          </w:rPr>
          <w:instrText xml:space="preserve"> PAGEREF _Toc14792909 \h </w:instrText>
        </w:r>
        <w:r>
          <w:rPr>
            <w:noProof/>
            <w:webHidden/>
          </w:rPr>
        </w:r>
        <w:r>
          <w:rPr>
            <w:noProof/>
            <w:webHidden/>
          </w:rPr>
          <w:fldChar w:fldCharType="separate"/>
        </w:r>
        <w:r>
          <w:rPr>
            <w:noProof/>
            <w:webHidden/>
          </w:rPr>
          <w:t>11</w:t>
        </w:r>
        <w:r>
          <w:rPr>
            <w:noProof/>
            <w:webHidden/>
          </w:rPr>
          <w:fldChar w:fldCharType="end"/>
        </w:r>
      </w:hyperlink>
    </w:p>
    <w:p>
      <w:pPr>
        <w:pStyle w:val="ManualHeading1"/>
        <w:rPr>
          <w:b w:val="0"/>
          <w:bCs/>
          <w:noProof/>
        </w:rPr>
      </w:pPr>
      <w:r>
        <w:rPr>
          <w:b w:val="0"/>
          <w:bCs/>
          <w:noProof/>
        </w:rPr>
        <w:fldChar w:fldCharType="end"/>
      </w:r>
      <w:bookmarkStart w:id="2" w:name="_Toc14792895"/>
    </w:p>
    <w:p>
      <w:pPr>
        <w:spacing w:before="0" w:after="0"/>
        <w:jc w:val="left"/>
        <w:rPr>
          <w:bCs/>
          <w:smallCaps/>
          <w:noProof/>
        </w:rPr>
      </w:pPr>
      <w:r>
        <w:rPr>
          <w:b/>
          <w:bCs/>
          <w:noProof/>
        </w:rPr>
        <w:br w:type="page"/>
      </w:r>
    </w:p>
    <w:p>
      <w:pPr>
        <w:pStyle w:val="ManualHeading1"/>
        <w:rPr>
          <w:noProof/>
        </w:rPr>
      </w:pPr>
      <w:r>
        <w:rPr>
          <w:noProof/>
        </w:rPr>
        <w:t>1.</w:t>
      </w:r>
      <w:r>
        <w:rPr>
          <w:noProof/>
        </w:rPr>
        <w:tab/>
        <w:t>Johdanto</w:t>
      </w:r>
      <w:bookmarkEnd w:id="2"/>
    </w:p>
    <w:p>
      <w:pPr>
        <w:rPr>
          <w:noProof/>
        </w:rPr>
      </w:pPr>
      <w:r>
        <w:rPr>
          <w:noProof/>
        </w:rPr>
        <w:t>Takuurahasto ulkosuhteisiin liittyville hankkeille, jäljempänä ’rahasto’, perustettiin 25. toukokuuta 2009 annetulla neuvoston asetuksella (EY, Euratom) N:o 480/2009, jäljempänä ’rahastoasetus’</w:t>
      </w:r>
      <w:r>
        <w:rPr>
          <w:rStyle w:val="FootnoteReference"/>
          <w:noProof/>
        </w:rPr>
        <w:footnoteReference w:id="1"/>
      </w:r>
      <w:r>
        <w:rPr>
          <w:noProof/>
        </w:rPr>
        <w:t>. Jos lainansaaja laiminlyö Euroopan unionin myöntämän tai takaaman lainan takaisinmaksun, laina maksetaan takaisin rahastosta. Rahastoasetuksen 7 artiklan nojalla komissio antoi rahaston varainhoidon Euroopan investointipankin (EIP) hoidettavaksi Euroopan unionin ja EIP:n välisen, 25. marraskuuta 1994 allekirjoitetun ja myöhemmin 23. syyskuuta 1996, 8. toukokuuta 2002, 25. helmikuuta 2008, 9. marraskuuta 2010 ja 28 syyskuuta 2018</w:t>
      </w:r>
      <w:r>
        <w:rPr>
          <w:rStyle w:val="FootnoteReference"/>
          <w:noProof/>
        </w:rPr>
        <w:footnoteReference w:id="2"/>
      </w:r>
      <w:r>
        <w:rPr>
          <w:noProof/>
        </w:rPr>
        <w:t xml:space="preserve"> muutetun sopimuksen mukaisesti.</w:t>
      </w:r>
    </w:p>
    <w:p>
      <w:pPr>
        <w:rPr>
          <w:noProof/>
        </w:rPr>
      </w:pPr>
      <w:r>
        <w:rPr>
          <w:noProof/>
        </w:rPr>
        <w:t xml:space="preserve">Rahastoasetuksen 8 artiklassa säädetään seuraavaa: ”Komissio toimittaa viimeistään seuraavan varainhoitovuoden toukokuun 31 päivänä Euroopan parlamentille, neuvostolle ja tilintarkastustuomioistuimelle vuosikatsauksen rahaston tilanteesta ja hoidosta edellisenä varainhoitovuotena.” </w:t>
      </w:r>
    </w:p>
    <w:p>
      <w:pPr>
        <w:rPr>
          <w:noProof/>
        </w:rPr>
      </w:pPr>
      <w:r>
        <w:rPr>
          <w:noProof/>
        </w:rPr>
        <w:t>Tiedot rahaston tilanteesta ja hoidosta esitetään tässä kertomuksessa ja komission yksiköiden valmisteluasiakirjassa. Tiedot perustuvat EIP:ltä sopimuksen mukaisesti saatuihin tietoihin.</w:t>
      </w:r>
    </w:p>
    <w:p>
      <w:pPr>
        <w:pStyle w:val="ManualHeading1"/>
        <w:rPr>
          <w:noProof/>
        </w:rPr>
      </w:pPr>
      <w:r>
        <w:rPr>
          <w:noProof/>
        </w:rPr>
        <w:br w:type="page"/>
      </w:r>
      <w:bookmarkStart w:id="3" w:name="_Toc14792896"/>
      <w:r>
        <w:rPr>
          <w:noProof/>
        </w:rPr>
        <w:t>2.</w:t>
      </w:r>
      <w:r>
        <w:rPr>
          <w:noProof/>
        </w:rPr>
        <w:tab/>
        <w:t>Rahaston taloudellinen tilanne ja merkittävät liiketoimet</w:t>
      </w:r>
      <w:bookmarkEnd w:id="3"/>
      <w:r>
        <w:rPr>
          <w:noProof/>
        </w:rPr>
        <w:t xml:space="preserve"> </w:t>
      </w:r>
    </w:p>
    <w:p>
      <w:pPr>
        <w:pStyle w:val="ManualHeading2"/>
        <w:spacing w:before="360"/>
        <w:ind w:left="851" w:hanging="851"/>
        <w:rPr>
          <w:noProof/>
        </w:rPr>
      </w:pPr>
      <w:bookmarkStart w:id="4" w:name="_Toc14792897"/>
      <w:r>
        <w:rPr>
          <w:noProof/>
        </w:rPr>
        <w:t>2.1.</w:t>
      </w:r>
      <w:r>
        <w:rPr>
          <w:noProof/>
        </w:rPr>
        <w:tab/>
        <w:t>Rahaston taloudellinen tilanne 31. joulukuuta 2018</w:t>
      </w:r>
      <w:bookmarkEnd w:id="4"/>
    </w:p>
    <w:p>
      <w:pPr>
        <w:rPr>
          <w:noProof/>
        </w:rPr>
      </w:pPr>
      <w:r>
        <w:rPr>
          <w:noProof/>
        </w:rPr>
        <w:t xml:space="preserve">Rahaston varat olivat 31. joulukuuta 2018 yhteensä 2 609 881 747,51 euroa (31. joulukuuta 2017 varat olivat 2 560 761 844,63 euroa) (ks. valmisteluasiakirjan liite: rahaston tilinpäätös, EIP:n mukaan). </w:t>
      </w:r>
    </w:p>
    <w:p>
      <w:pPr>
        <w:rPr>
          <w:noProof/>
        </w:rPr>
      </w:pPr>
      <w:r>
        <w:rPr>
          <w:noProof/>
        </w:rPr>
        <w:t>Rahaston taseen loppusumma kasvoi noin 49,1 miljoonaa euroa vuonna 2018. Tämä johtuu pääasiassa seuraavista seikoista:</w:t>
      </w:r>
    </w:p>
    <w:p>
      <w:pPr>
        <w:rPr>
          <w:noProof/>
          <w:u w:val="single"/>
        </w:rPr>
      </w:pPr>
      <w:r>
        <w:rPr>
          <w:noProof/>
          <w:u w:val="single"/>
        </w:rPr>
        <w:t>Lisäykset:</w:t>
      </w:r>
    </w:p>
    <w:p>
      <w:pPr>
        <w:pStyle w:val="Bullet0"/>
        <w:numPr>
          <w:ilvl w:val="0"/>
          <w:numId w:val="14"/>
        </w:numPr>
        <w:rPr>
          <w:noProof/>
        </w:rPr>
      </w:pPr>
      <w:r>
        <w:rPr>
          <w:noProof/>
        </w:rPr>
        <w:t xml:space="preserve">EU:n talousarviosta maksettiin 103,2 miljoonaa euroa (rahoitettava määrä), jotta rahasto pääsisi 9 prosentin tavoitesummaan maksamattomien velkojen kokonaismäärästä. </w:t>
      </w:r>
    </w:p>
    <w:p>
      <w:pPr>
        <w:pStyle w:val="Bullet0"/>
        <w:numPr>
          <w:ilvl w:val="0"/>
          <w:numId w:val="14"/>
        </w:numPr>
        <w:rPr>
          <w:noProof/>
        </w:rPr>
      </w:pPr>
      <w:r>
        <w:rPr>
          <w:noProof/>
        </w:rPr>
        <w:t>Rahoitustoimien taloudellinen tulos oli 12,0 miljoonaa euroa.</w:t>
      </w:r>
    </w:p>
    <w:p>
      <w:pPr>
        <w:rPr>
          <w:noProof/>
          <w:u w:val="single"/>
        </w:rPr>
      </w:pPr>
      <w:r>
        <w:rPr>
          <w:noProof/>
          <w:u w:val="single"/>
        </w:rPr>
        <w:t>Vähennykset:</w:t>
      </w:r>
    </w:p>
    <w:p>
      <w:pPr>
        <w:pStyle w:val="Bullet0"/>
        <w:numPr>
          <w:ilvl w:val="0"/>
          <w:numId w:val="14"/>
        </w:numPr>
        <w:rPr>
          <w:noProof/>
        </w:rPr>
      </w:pPr>
      <w:r>
        <w:rPr>
          <w:noProof/>
        </w:rPr>
        <w:t xml:space="preserve">Rahasto kattoi laiminlyödyt maksut, joiden kokonaissumma on 55,7 miljoonaa euroa. </w:t>
      </w:r>
    </w:p>
    <w:p>
      <w:pPr>
        <w:pStyle w:val="Bullet0"/>
        <w:numPr>
          <w:ilvl w:val="0"/>
          <w:numId w:val="14"/>
        </w:numPr>
        <w:rPr>
          <w:noProof/>
        </w:rPr>
      </w:pPr>
      <w:r>
        <w:rPr>
          <w:noProof/>
        </w:rPr>
        <w:t>Salkun arvo laski 10,5 miljoonaa euroa, mikä johtui arvon mukautuksesta markkinahintaan.</w:t>
      </w:r>
    </w:p>
    <w:p>
      <w:pPr>
        <w:pStyle w:val="ManualHeading2"/>
        <w:spacing w:before="360"/>
        <w:ind w:left="851" w:hanging="851"/>
        <w:rPr>
          <w:noProof/>
        </w:rPr>
      </w:pPr>
      <w:bookmarkStart w:id="5" w:name="_Toc14792898"/>
      <w:r>
        <w:rPr>
          <w:noProof/>
        </w:rPr>
        <w:t>2.2.</w:t>
      </w:r>
      <w:r>
        <w:rPr>
          <w:noProof/>
        </w:rPr>
        <w:tab/>
        <w:t>Rahaston merkittävät liiketoimet vuonna 2018</w:t>
      </w:r>
      <w:bookmarkEnd w:id="5"/>
    </w:p>
    <w:p>
      <w:pPr>
        <w:pStyle w:val="ManualHeading2"/>
        <w:tabs>
          <w:tab w:val="clear" w:pos="850"/>
          <w:tab w:val="left" w:pos="426"/>
        </w:tabs>
        <w:spacing w:before="240"/>
        <w:ind w:left="425" w:firstLine="0"/>
        <w:rPr>
          <w:noProof/>
        </w:rPr>
      </w:pPr>
      <w:bookmarkStart w:id="6" w:name="_Toc14792899"/>
      <w:r>
        <w:rPr>
          <w:noProof/>
        </w:rPr>
        <w:t>2.2.1</w:t>
      </w:r>
      <w:r>
        <w:rPr>
          <w:noProof/>
        </w:rPr>
        <w:tab/>
        <w:t>Vuoden 2018 rahastolle esitetyt takausvaateet</w:t>
      </w:r>
      <w:bookmarkEnd w:id="6"/>
    </w:p>
    <w:p>
      <w:pPr>
        <w:tabs>
          <w:tab w:val="left" w:pos="426"/>
        </w:tabs>
        <w:spacing w:after="0"/>
        <w:ind w:left="426"/>
        <w:rPr>
          <w:b/>
          <w:noProof/>
        </w:rPr>
      </w:pPr>
      <w:r>
        <w:rPr>
          <w:b/>
          <w:noProof/>
        </w:rPr>
        <w:t>Syyria</w:t>
      </w:r>
    </w:p>
    <w:p>
      <w:pPr>
        <w:pStyle w:val="Point0number"/>
        <w:tabs>
          <w:tab w:val="left" w:pos="426"/>
        </w:tabs>
        <w:ind w:left="426"/>
        <w:rPr>
          <w:noProof/>
        </w:rPr>
      </w:pPr>
      <w:r>
        <w:rPr>
          <w:noProof/>
        </w:rPr>
        <w:t>EIP:llä on ollut vuonna 2018 edelleen erääntyneitä valtionlainasaatavia Syyrialta. Tämän vuoksi EIP on sen ja EU:n välisten takuusopimusten mukaisesti turvautunut EU:n takuurahastoon yhdeksän kertaa 31. joulukuuta 2018 mennessä. Rahastosta on maksettu kaikkiaan 55,73 miljoonaa euroa (ks. kohta 5).</w:t>
      </w:r>
    </w:p>
    <w:p>
      <w:pPr>
        <w:tabs>
          <w:tab w:val="left" w:pos="426"/>
        </w:tabs>
        <w:spacing w:after="0"/>
        <w:ind w:left="426"/>
        <w:rPr>
          <w:b/>
          <w:noProof/>
        </w:rPr>
      </w:pPr>
      <w:r>
        <w:rPr>
          <w:b/>
          <w:noProof/>
        </w:rPr>
        <w:t>Enfidhan lentoasema (Tunisia)</w:t>
      </w:r>
    </w:p>
    <w:p>
      <w:pPr>
        <w:pStyle w:val="Point0number"/>
        <w:tabs>
          <w:tab w:val="left" w:pos="426"/>
        </w:tabs>
        <w:ind w:left="426"/>
        <w:rPr>
          <w:noProof/>
        </w:rPr>
      </w:pPr>
      <w:r>
        <w:rPr>
          <w:noProof/>
        </w:rPr>
        <w:t>Vuonna 2018 EIP peri Enfidhan lentoaseman (Tunisia) lainasta takaisin 136 092,88 euroa, jotka hyvitettiin takuurahaston pankkitilille arvopäivänä 15. tammikuuta 2018 (ks. kohta 5).</w:t>
      </w:r>
    </w:p>
    <w:p>
      <w:pPr>
        <w:pStyle w:val="ManualHeading2"/>
        <w:tabs>
          <w:tab w:val="clear" w:pos="850"/>
          <w:tab w:val="left" w:pos="426"/>
        </w:tabs>
        <w:spacing w:before="360"/>
        <w:ind w:left="425" w:firstLine="0"/>
        <w:rPr>
          <w:noProof/>
        </w:rPr>
      </w:pPr>
      <w:bookmarkStart w:id="7" w:name="_Toc14792900"/>
      <w:r>
        <w:rPr>
          <w:noProof/>
        </w:rPr>
        <w:t>2.2.2</w:t>
      </w:r>
      <w:r>
        <w:rPr>
          <w:noProof/>
        </w:rPr>
        <w:tab/>
        <w:t>Vuoden 2018 takuurahaston rahoittaminen</w:t>
      </w:r>
      <w:bookmarkEnd w:id="7"/>
    </w:p>
    <w:p>
      <w:pPr>
        <w:pStyle w:val="Point0number"/>
        <w:tabs>
          <w:tab w:val="left" w:pos="426"/>
        </w:tabs>
        <w:ind w:left="426"/>
        <w:rPr>
          <w:noProof/>
        </w:rPr>
      </w:pPr>
      <w:r>
        <w:rPr>
          <w:noProof/>
        </w:rPr>
        <w:t>Helmikuussa 2018 talousarviosta siirrettiin rahastoon 137,8 miljoonaa euroa. Tämä summa vastasi talousarviosta vuonna 2018 rahoitettavaa määrää.</w:t>
      </w:r>
    </w:p>
    <w:p>
      <w:pPr>
        <w:pStyle w:val="Point0number"/>
        <w:tabs>
          <w:tab w:val="left" w:pos="426"/>
        </w:tabs>
        <w:ind w:left="426"/>
        <w:rPr>
          <w:noProof/>
        </w:rPr>
      </w:pPr>
      <w:r>
        <w:rPr>
          <w:noProof/>
        </w:rPr>
        <w:t>Myös laskelma EU:n talousarviosta rahastoon vuonna 2019 siirrettävästä rahoitusosuudesta laskettiin helmikuussa 2018. Helmikuussa 2019 siirrettäväksi määrätty summa oli 103,2 miljoonaa euroa. Se laskettiin asetuksen 3 artiklan ja 5 artiklan mukaisesti:</w:t>
      </w:r>
    </w:p>
    <w:p>
      <w:pPr>
        <w:pStyle w:val="Point0number"/>
        <w:tabs>
          <w:tab w:val="left" w:pos="426"/>
        </w:tabs>
        <w:ind w:left="426"/>
        <w:rPr>
          <w:noProof/>
        </w:rPr>
      </w:pPr>
      <w:r>
        <w:rPr>
          <w:noProof/>
        </w:rPr>
        <w:t xml:space="preserve">Rahastoasetuksen 3 artiklassa rahaston tavoitesummaksi vahvistetaan 9 prosenttia kustakin toimesta aiheutuvien pääomasitoumusten kokonaismäärästä, johon lisätään kertyneet maksamattomat erääntyneet korot. </w:t>
      </w:r>
    </w:p>
    <w:p>
      <w:pPr>
        <w:pStyle w:val="Point0number"/>
        <w:tabs>
          <w:tab w:val="left" w:pos="426"/>
        </w:tabs>
        <w:ind w:left="426"/>
        <w:rPr>
          <w:noProof/>
        </w:rPr>
      </w:pPr>
      <w:r>
        <w:rPr>
          <w:noProof/>
        </w:rPr>
        <w:t>Rahastoasetuksen 5 artiklan mukaan talousarviosta rahastoon vuonna n + 1 siirrettävän määrän perusteena on vuoden n – 1 lopun tavoitesumman ja rahaston varojen nettoarvon välinen erotus, joka lasketaan vuoden n alussa.</w:t>
      </w:r>
    </w:p>
    <w:p>
      <w:pPr>
        <w:pStyle w:val="Point0number"/>
        <w:tabs>
          <w:tab w:val="left" w:pos="426"/>
        </w:tabs>
        <w:ind w:left="426"/>
        <w:rPr>
          <w:noProof/>
        </w:rPr>
      </w:pPr>
      <w:r>
        <w:rPr>
          <w:noProof/>
        </w:rPr>
        <w:t xml:space="preserve">Jotta rahaston varat kattaisivat 9 prosenttia voimassa olevien pääomasitoumusten kokonaismäärästä, vuotta 2019 koskevaan EU:n talousarvioon sisällytettiin 103,22 miljoonan euron määrä rahastoon maksettavaa osuutta varten. Määrä laskettiin 31. joulukuuta 2017 voimassa olevan takauksella katetun lainakannan perusteella. Neuvosto ja Euroopan parlamentti hyväksyivät määrän, ja se kirjattiin rahaston taseessa vastaaviin (saamisiksi) 31. joulukuuta 2018. </w:t>
      </w:r>
    </w:p>
    <w:p>
      <w:pPr>
        <w:pStyle w:val="ManualHeading2"/>
        <w:spacing w:before="360"/>
        <w:ind w:left="851" w:hanging="851"/>
        <w:rPr>
          <w:noProof/>
        </w:rPr>
      </w:pPr>
      <w:bookmarkStart w:id="8" w:name="_Toc14792901"/>
      <w:r>
        <w:rPr>
          <w:noProof/>
        </w:rPr>
        <w:t>2.3.</w:t>
      </w:r>
      <w:r>
        <w:rPr>
          <w:noProof/>
        </w:rPr>
        <w:tab/>
        <w:t>Raportointiajankohdan jälkeiset merkittävät liiketoimet (maaliskuun 2019 loppuun mennessä)</w:t>
      </w:r>
      <w:bookmarkEnd w:id="8"/>
    </w:p>
    <w:p>
      <w:pPr>
        <w:ind w:left="850"/>
        <w:rPr>
          <w:noProof/>
        </w:rPr>
      </w:pPr>
      <w:r>
        <w:rPr>
          <w:noProof/>
        </w:rPr>
        <w:t>Helmikuussa 2019 EU:n talousarviosta siirrettiin rahastoon edellä mainittu rahoitettava määrä 103,2 miljoonaa euroa.</w:t>
      </w:r>
    </w:p>
    <w:p>
      <w:pPr>
        <w:ind w:left="851"/>
        <w:rPr>
          <w:noProof/>
        </w:rPr>
      </w:pPr>
      <w:r>
        <w:rPr>
          <w:noProof/>
        </w:rPr>
        <w:t xml:space="preserve">Tammi- ja maaliskuussa 2019 kahden Syyrian maksulaiminlyöntejä koskevan vaateen perusteella maksettiin yhteensä 10,6 miljoonaa (3,2 miljoonaa euroa ja 7,4 miljoonaa euroa mukaan lukien EIP:n asettamat sakot). </w:t>
      </w:r>
    </w:p>
    <w:p>
      <w:pPr>
        <w:pStyle w:val="ManualHeading1"/>
        <w:ind w:left="851" w:hanging="851"/>
        <w:rPr>
          <w:noProof/>
        </w:rPr>
      </w:pPr>
      <w:bookmarkStart w:id="9" w:name="_Toc14792902"/>
      <w:r>
        <w:rPr>
          <w:noProof/>
        </w:rPr>
        <w:t>3.</w:t>
      </w:r>
      <w:r>
        <w:rPr>
          <w:noProof/>
        </w:rPr>
        <w:tab/>
        <w:t>Rahaston konsolidoimaton tilinpäätös</w:t>
      </w:r>
      <w:bookmarkEnd w:id="9"/>
    </w:p>
    <w:p>
      <w:pPr>
        <w:rPr>
          <w:noProof/>
        </w:rPr>
      </w:pPr>
      <w:r>
        <w:rPr>
          <w:noProof/>
        </w:rPr>
        <w:t>Takuurahaston konsolidoimaton tilinpäätös laaditaan, jotta huomioon voidaan ottaa kirjanpitotapahtumat, joita ei ole sisällytetty EIP:n laatimaan rahaston tilinpäätökseen (ks. valmisteluasiakirja). Ne ovat osa EU:n konsolidoitua tilinpäätöstä.</w:t>
      </w:r>
    </w:p>
    <w:p>
      <w:pPr>
        <w:pStyle w:val="ManualHeading2"/>
        <w:rPr>
          <w:noProof/>
        </w:rPr>
      </w:pPr>
      <w:r>
        <w:rPr>
          <w:noProof/>
        </w:rPr>
        <w:br w:type="page"/>
      </w:r>
      <w:bookmarkStart w:id="10" w:name="_Toc14792903"/>
      <w:r>
        <w:rPr>
          <w:noProof/>
        </w:rPr>
        <w:t>3.1.</w:t>
      </w:r>
      <w:r>
        <w:rPr>
          <w:noProof/>
        </w:rPr>
        <w:tab/>
        <w:t>Konsolidoimaton taloudellinen tilanne 31. joulukuuta 2018</w:t>
      </w:r>
      <w:bookmarkEnd w:id="10"/>
    </w:p>
    <w:p>
      <w:pPr>
        <w:rPr>
          <w:noProof/>
        </w:rPr>
      </w:pPr>
      <w:r>
        <w:rPr>
          <w:noProof/>
        </w:rPr>
        <w:t>Tase – vastaavaa</w:t>
      </w:r>
    </w:p>
    <w:tbl>
      <w:tblPr>
        <w:tblW w:w="8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2976"/>
        <w:gridCol w:w="2115"/>
      </w:tblGrid>
      <w:tr>
        <w:tc>
          <w:tcPr>
            <w:tcW w:w="3374" w:type="dxa"/>
            <w:tcBorders>
              <w:bottom w:val="single" w:sz="4" w:space="0" w:color="auto"/>
            </w:tcBorders>
            <w:shd w:val="clear" w:color="auto" w:fill="auto"/>
          </w:tcPr>
          <w:p>
            <w:pPr>
              <w:jc w:val="center"/>
              <w:rPr>
                <w:noProof/>
              </w:rPr>
            </w:pPr>
          </w:p>
        </w:tc>
        <w:tc>
          <w:tcPr>
            <w:tcW w:w="2976" w:type="dxa"/>
            <w:tcBorders>
              <w:bottom w:val="single" w:sz="4" w:space="0" w:color="auto"/>
            </w:tcBorders>
            <w:shd w:val="clear" w:color="auto" w:fill="auto"/>
          </w:tcPr>
          <w:p>
            <w:pPr>
              <w:jc w:val="center"/>
              <w:rPr>
                <w:noProof/>
              </w:rPr>
            </w:pPr>
            <w:r>
              <w:rPr>
                <w:noProof/>
              </w:rPr>
              <w:t>31. joulukuuta 2018</w:t>
            </w:r>
          </w:p>
        </w:tc>
        <w:tc>
          <w:tcPr>
            <w:tcW w:w="2115" w:type="dxa"/>
            <w:tcBorders>
              <w:bottom w:val="single" w:sz="4" w:space="0" w:color="auto"/>
            </w:tcBorders>
          </w:tcPr>
          <w:p>
            <w:pPr>
              <w:jc w:val="center"/>
              <w:rPr>
                <w:noProof/>
              </w:rPr>
            </w:pPr>
            <w:r>
              <w:rPr>
                <w:noProof/>
              </w:rPr>
              <w:t>31. joulukuuta 2017</w:t>
            </w:r>
          </w:p>
        </w:tc>
      </w:tr>
      <w:tr>
        <w:tc>
          <w:tcPr>
            <w:tcW w:w="3374" w:type="dxa"/>
            <w:shd w:val="pct20" w:color="auto" w:fill="auto"/>
          </w:tcPr>
          <w:p>
            <w:pPr>
              <w:rPr>
                <w:noProof/>
                <w14:shadow w14:blurRad="50800" w14:dist="38100" w14:dir="2700000" w14:sx="100000" w14:sy="100000" w14:kx="0" w14:ky="0" w14:algn="tl">
                  <w14:srgbClr w14:val="000000">
                    <w14:alpha w14:val="60000"/>
                  </w14:srgbClr>
                </w14:shadow>
              </w:rPr>
            </w:pPr>
            <w:r>
              <w:rPr>
                <w:noProof/>
                <w14:shadow w14:blurRad="50800" w14:dist="38100" w14:dir="2700000" w14:sx="100000" w14:sy="100000" w14:kx="0" w14:ky="0" w14:algn="tl">
                  <w14:srgbClr w14:val="000000">
                    <w14:alpha w14:val="60000"/>
                  </w14:srgbClr>
                </w14:shadow>
              </w:rPr>
              <w:t>PYSYVÄT VASTAAVAT</w:t>
            </w:r>
          </w:p>
        </w:tc>
        <w:tc>
          <w:tcPr>
            <w:tcW w:w="2976" w:type="dxa"/>
            <w:shd w:val="pct20" w:color="auto" w:fill="auto"/>
          </w:tcPr>
          <w:p>
            <w:pPr>
              <w:jc w:val="right"/>
              <w:rPr>
                <w:noProof/>
                <w14:shadow w14:blurRad="50800" w14:dist="38100" w14:dir="2700000" w14:sx="100000" w14:sy="100000" w14:kx="0" w14:ky="0" w14:algn="tl">
                  <w14:srgbClr w14:val="000000">
                    <w14:alpha w14:val="60000"/>
                  </w14:srgbClr>
                </w14:shadow>
              </w:rPr>
            </w:pPr>
            <w:r>
              <w:rPr>
                <w:noProof/>
                <w14:shadow w14:blurRad="50800" w14:dist="38100" w14:dir="2700000" w14:sx="100000" w14:sy="100000" w14:kx="0" w14:ky="0" w14:algn="tl">
                  <w14:srgbClr w14:val="000000">
                    <w14:alpha w14:val="60000"/>
                  </w14:srgbClr>
                </w14:shadow>
              </w:rPr>
              <w:t>2 275 342 664</w:t>
            </w:r>
          </w:p>
        </w:tc>
        <w:tc>
          <w:tcPr>
            <w:tcW w:w="2115" w:type="dxa"/>
            <w:shd w:val="pct20" w:color="auto" w:fill="auto"/>
          </w:tcPr>
          <w:p>
            <w:pPr>
              <w:jc w:val="right"/>
              <w:rPr>
                <w:noProof/>
                <w14:shadow w14:blurRad="50800" w14:dist="38100" w14:dir="2700000" w14:sx="100000" w14:sy="100000" w14:kx="0" w14:ky="0" w14:algn="tl">
                  <w14:srgbClr w14:val="000000">
                    <w14:alpha w14:val="60000"/>
                  </w14:srgbClr>
                </w14:shadow>
              </w:rPr>
            </w:pPr>
            <w:r>
              <w:rPr>
                <w:noProof/>
                <w14:shadow w14:blurRad="50800" w14:dist="38100" w14:dir="2700000" w14:sx="100000" w14:sy="100000" w14:kx="0" w14:ky="0" w14:algn="tl">
                  <w14:srgbClr w14:val="000000">
                    <w14:alpha w14:val="60000"/>
                  </w14:srgbClr>
                </w14:shadow>
              </w:rPr>
              <w:t>2 077 970 486</w:t>
            </w:r>
          </w:p>
        </w:tc>
      </w:tr>
      <w:tr>
        <w:tc>
          <w:tcPr>
            <w:tcW w:w="3374" w:type="dxa"/>
            <w:tcBorders>
              <w:bottom w:val="single" w:sz="4" w:space="0" w:color="auto"/>
            </w:tcBorders>
            <w:shd w:val="clear" w:color="auto" w:fill="auto"/>
          </w:tcPr>
          <w:p>
            <w:pPr>
              <w:rPr>
                <w:noProof/>
              </w:rPr>
            </w:pPr>
            <w:r>
              <w:rPr>
                <w:noProof/>
              </w:rPr>
              <w:t>Rahoitusvarat</w:t>
            </w:r>
          </w:p>
        </w:tc>
        <w:tc>
          <w:tcPr>
            <w:tcW w:w="2976" w:type="dxa"/>
            <w:tcBorders>
              <w:bottom w:val="single" w:sz="4" w:space="0" w:color="auto"/>
            </w:tcBorders>
            <w:shd w:val="clear" w:color="auto" w:fill="auto"/>
          </w:tcPr>
          <w:p>
            <w:pPr>
              <w:jc w:val="right"/>
              <w:rPr>
                <w:noProof/>
              </w:rPr>
            </w:pPr>
            <w:r>
              <w:rPr>
                <w:noProof/>
                <w14:shadow w14:blurRad="50800" w14:dist="38100" w14:dir="2700000" w14:sx="100000" w14:sy="100000" w14:kx="0" w14:ky="0" w14:algn="tl">
                  <w14:srgbClr w14:val="000000">
                    <w14:alpha w14:val="60000"/>
                  </w14:srgbClr>
                </w14:shadow>
              </w:rPr>
              <w:t>2 275 342 664</w:t>
            </w:r>
          </w:p>
        </w:tc>
        <w:tc>
          <w:tcPr>
            <w:tcW w:w="2115" w:type="dxa"/>
            <w:tcBorders>
              <w:bottom w:val="single" w:sz="4" w:space="0" w:color="auto"/>
            </w:tcBorders>
          </w:tcPr>
          <w:p>
            <w:pPr>
              <w:jc w:val="right"/>
              <w:rPr>
                <w:noProof/>
              </w:rPr>
            </w:pPr>
            <w:r>
              <w:rPr>
                <w:noProof/>
                <w14:shadow w14:blurRad="50800" w14:dist="38100" w14:dir="2700000" w14:sx="100000" w14:sy="100000" w14:kx="0" w14:ky="0" w14:algn="tl">
                  <w14:srgbClr w14:val="000000">
                    <w14:alpha w14:val="60000"/>
                  </w14:srgbClr>
                </w14:shadow>
              </w:rPr>
              <w:t>2 077 970 486</w:t>
            </w:r>
          </w:p>
        </w:tc>
      </w:tr>
      <w:tr>
        <w:tc>
          <w:tcPr>
            <w:tcW w:w="3374" w:type="dxa"/>
            <w:shd w:val="pct20" w:color="auto" w:fill="auto"/>
          </w:tcPr>
          <w:p>
            <w:pPr>
              <w:rPr>
                <w:noProof/>
              </w:rPr>
            </w:pPr>
            <w:r>
              <w:rPr>
                <w:noProof/>
              </w:rPr>
              <w:t>VAIHTUVAT VASTAAVAT</w:t>
            </w:r>
          </w:p>
        </w:tc>
        <w:tc>
          <w:tcPr>
            <w:tcW w:w="2976" w:type="dxa"/>
            <w:shd w:val="pct20" w:color="auto" w:fill="auto"/>
          </w:tcPr>
          <w:p>
            <w:pPr>
              <w:jc w:val="right"/>
              <w:rPr>
                <w:noProof/>
              </w:rPr>
            </w:pPr>
            <w:r>
              <w:rPr>
                <w:noProof/>
              </w:rPr>
              <w:t>231 316 149</w:t>
            </w:r>
          </w:p>
        </w:tc>
        <w:tc>
          <w:tcPr>
            <w:tcW w:w="2115" w:type="dxa"/>
            <w:shd w:val="pct20" w:color="auto" w:fill="auto"/>
          </w:tcPr>
          <w:p>
            <w:pPr>
              <w:jc w:val="right"/>
              <w:rPr>
                <w:noProof/>
              </w:rPr>
            </w:pPr>
            <w:r>
              <w:rPr>
                <w:noProof/>
              </w:rPr>
              <w:t>344 990 638</w:t>
            </w:r>
          </w:p>
        </w:tc>
      </w:tr>
      <w:tr>
        <w:tc>
          <w:tcPr>
            <w:tcW w:w="3374" w:type="dxa"/>
            <w:shd w:val="clear" w:color="auto" w:fill="auto"/>
          </w:tcPr>
          <w:p>
            <w:pPr>
              <w:rPr>
                <w:noProof/>
              </w:rPr>
            </w:pPr>
            <w:r>
              <w:rPr>
                <w:noProof/>
              </w:rPr>
              <w:t>Rahoitusvarat</w:t>
            </w:r>
          </w:p>
        </w:tc>
        <w:tc>
          <w:tcPr>
            <w:tcW w:w="2976" w:type="dxa"/>
            <w:shd w:val="clear" w:color="auto" w:fill="auto"/>
          </w:tcPr>
          <w:p>
            <w:pPr>
              <w:jc w:val="right"/>
              <w:rPr>
                <w:noProof/>
              </w:rPr>
            </w:pPr>
            <w:r>
              <w:rPr>
                <w:noProof/>
              </w:rPr>
              <w:t>189 758 096</w:t>
            </w:r>
          </w:p>
        </w:tc>
        <w:tc>
          <w:tcPr>
            <w:tcW w:w="2115" w:type="dxa"/>
          </w:tcPr>
          <w:p>
            <w:pPr>
              <w:jc w:val="right"/>
              <w:rPr>
                <w:noProof/>
              </w:rPr>
            </w:pPr>
            <w:r>
              <w:rPr>
                <w:noProof/>
              </w:rPr>
              <w:t>120 771 792</w:t>
            </w:r>
          </w:p>
        </w:tc>
      </w:tr>
      <w:tr>
        <w:tc>
          <w:tcPr>
            <w:tcW w:w="3374" w:type="dxa"/>
            <w:shd w:val="clear" w:color="auto" w:fill="auto"/>
          </w:tcPr>
          <w:p>
            <w:pPr>
              <w:rPr>
                <w:noProof/>
              </w:rPr>
            </w:pPr>
            <w:r>
              <w:rPr>
                <w:noProof/>
              </w:rPr>
              <w:t>Saamiset</w:t>
            </w:r>
          </w:p>
        </w:tc>
        <w:tc>
          <w:tcPr>
            <w:tcW w:w="2976" w:type="dxa"/>
            <w:shd w:val="clear" w:color="auto" w:fill="auto"/>
          </w:tcPr>
          <w:p>
            <w:pPr>
              <w:jc w:val="right"/>
              <w:rPr>
                <w:noProof/>
              </w:rPr>
            </w:pPr>
            <w:r>
              <w:rPr>
                <w:noProof/>
              </w:rPr>
              <w:t>–</w:t>
            </w:r>
          </w:p>
        </w:tc>
        <w:tc>
          <w:tcPr>
            <w:tcW w:w="2115" w:type="dxa"/>
          </w:tcPr>
          <w:p>
            <w:pPr>
              <w:jc w:val="right"/>
              <w:rPr>
                <w:noProof/>
              </w:rPr>
            </w:pPr>
            <w:r>
              <w:rPr>
                <w:noProof/>
              </w:rPr>
              <w:t>136 093</w:t>
            </w:r>
          </w:p>
        </w:tc>
      </w:tr>
      <w:tr>
        <w:tc>
          <w:tcPr>
            <w:tcW w:w="3374" w:type="dxa"/>
            <w:tcBorders>
              <w:bottom w:val="single" w:sz="4" w:space="0" w:color="auto"/>
            </w:tcBorders>
            <w:shd w:val="clear" w:color="auto" w:fill="auto"/>
          </w:tcPr>
          <w:p>
            <w:pPr>
              <w:rPr>
                <w:noProof/>
              </w:rPr>
            </w:pPr>
            <w:r>
              <w:rPr>
                <w:noProof/>
              </w:rPr>
              <w:t>Käteisvarat ja muut rahavarat</w:t>
            </w:r>
          </w:p>
        </w:tc>
        <w:tc>
          <w:tcPr>
            <w:tcW w:w="2976" w:type="dxa"/>
            <w:tcBorders>
              <w:bottom w:val="single" w:sz="4" w:space="0" w:color="auto"/>
            </w:tcBorders>
            <w:shd w:val="clear" w:color="auto" w:fill="auto"/>
          </w:tcPr>
          <w:p>
            <w:pPr>
              <w:jc w:val="right"/>
              <w:rPr>
                <w:noProof/>
              </w:rPr>
            </w:pPr>
            <w:r>
              <w:rPr>
                <w:noProof/>
              </w:rPr>
              <w:t>41 558 053</w:t>
            </w:r>
          </w:p>
        </w:tc>
        <w:tc>
          <w:tcPr>
            <w:tcW w:w="2115" w:type="dxa"/>
            <w:tcBorders>
              <w:bottom w:val="single" w:sz="4" w:space="0" w:color="auto"/>
            </w:tcBorders>
          </w:tcPr>
          <w:p>
            <w:pPr>
              <w:jc w:val="right"/>
              <w:rPr>
                <w:noProof/>
              </w:rPr>
            </w:pPr>
            <w:r>
              <w:rPr>
                <w:noProof/>
              </w:rPr>
              <w:t>224 082 753</w:t>
            </w:r>
          </w:p>
        </w:tc>
      </w:tr>
      <w:tr>
        <w:tc>
          <w:tcPr>
            <w:tcW w:w="3374" w:type="dxa"/>
            <w:shd w:val="pct20" w:color="auto" w:fill="auto"/>
          </w:tcPr>
          <w:p>
            <w:pPr>
              <w:rPr>
                <w:noProof/>
              </w:rPr>
            </w:pPr>
            <w:r>
              <w:rPr>
                <w:noProof/>
              </w:rPr>
              <w:t>VARAT YHTEENSÄ</w:t>
            </w:r>
          </w:p>
        </w:tc>
        <w:tc>
          <w:tcPr>
            <w:tcW w:w="2976" w:type="dxa"/>
            <w:shd w:val="pct20" w:color="auto" w:fill="auto"/>
          </w:tcPr>
          <w:p>
            <w:pPr>
              <w:jc w:val="right"/>
              <w:rPr>
                <w:noProof/>
              </w:rPr>
            </w:pPr>
            <w:r>
              <w:rPr>
                <w:noProof/>
              </w:rPr>
              <w:t>2 506 658 813</w:t>
            </w:r>
          </w:p>
        </w:tc>
        <w:tc>
          <w:tcPr>
            <w:tcW w:w="2115" w:type="dxa"/>
            <w:shd w:val="pct20" w:color="auto" w:fill="auto"/>
          </w:tcPr>
          <w:p>
            <w:pPr>
              <w:jc w:val="right"/>
              <w:rPr>
                <w:noProof/>
              </w:rPr>
            </w:pPr>
            <w:r>
              <w:rPr>
                <w:noProof/>
              </w:rPr>
              <w:t>2 422 961 124</w:t>
            </w:r>
          </w:p>
        </w:tc>
      </w:tr>
    </w:tbl>
    <w:p>
      <w:pPr>
        <w:rPr>
          <w:noProof/>
        </w:rPr>
      </w:pPr>
    </w:p>
    <w:p>
      <w:pPr>
        <w:rPr>
          <w:noProof/>
        </w:rPr>
      </w:pPr>
      <w:r>
        <w:rPr>
          <w:noProof/>
        </w:rPr>
        <w:t>Tase – vastattavaa</w:t>
      </w:r>
    </w:p>
    <w:tbl>
      <w:tblPr>
        <w:tblW w:w="8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268"/>
        <w:gridCol w:w="2261"/>
      </w:tblGrid>
      <w:tr>
        <w:tc>
          <w:tcPr>
            <w:tcW w:w="3936" w:type="dxa"/>
            <w:tcBorders>
              <w:bottom w:val="single" w:sz="4" w:space="0" w:color="auto"/>
            </w:tcBorders>
            <w:shd w:val="clear" w:color="auto" w:fill="auto"/>
          </w:tcPr>
          <w:p>
            <w:pPr>
              <w:jc w:val="center"/>
              <w:rPr>
                <w:noProof/>
              </w:rPr>
            </w:pPr>
          </w:p>
        </w:tc>
        <w:tc>
          <w:tcPr>
            <w:tcW w:w="2268" w:type="dxa"/>
            <w:tcBorders>
              <w:bottom w:val="single" w:sz="4" w:space="0" w:color="auto"/>
            </w:tcBorders>
            <w:shd w:val="clear" w:color="auto" w:fill="auto"/>
          </w:tcPr>
          <w:p>
            <w:pPr>
              <w:jc w:val="center"/>
              <w:rPr>
                <w:noProof/>
              </w:rPr>
            </w:pPr>
            <w:r>
              <w:rPr>
                <w:noProof/>
              </w:rPr>
              <w:t>31. joulukuuta 2018</w:t>
            </w:r>
          </w:p>
        </w:tc>
        <w:tc>
          <w:tcPr>
            <w:tcW w:w="2261" w:type="dxa"/>
            <w:tcBorders>
              <w:bottom w:val="single" w:sz="4" w:space="0" w:color="auto"/>
            </w:tcBorders>
          </w:tcPr>
          <w:p>
            <w:pPr>
              <w:jc w:val="center"/>
              <w:rPr>
                <w:noProof/>
              </w:rPr>
            </w:pPr>
            <w:r>
              <w:rPr>
                <w:noProof/>
              </w:rPr>
              <w:t>31. joulukuuta 2017</w:t>
            </w:r>
          </w:p>
        </w:tc>
      </w:tr>
      <w:tr>
        <w:tc>
          <w:tcPr>
            <w:tcW w:w="3936" w:type="dxa"/>
            <w:shd w:val="pct20" w:color="auto" w:fill="auto"/>
          </w:tcPr>
          <w:p>
            <w:pPr>
              <w:rPr>
                <w:noProof/>
                <w14:shadow w14:blurRad="50800" w14:dist="38100" w14:dir="2700000" w14:sx="100000" w14:sy="100000" w14:kx="0" w14:ky="0" w14:algn="tl">
                  <w14:srgbClr w14:val="000000">
                    <w14:alpha w14:val="60000"/>
                  </w14:srgbClr>
                </w14:shadow>
              </w:rPr>
            </w:pPr>
            <w:r>
              <w:rPr>
                <w:noProof/>
                <w14:shadow w14:blurRad="50800" w14:dist="38100" w14:dir="2700000" w14:sx="100000" w14:sy="100000" w14:kx="0" w14:ky="0" w14:algn="tl">
                  <w14:srgbClr w14:val="000000">
                    <w14:alpha w14:val="60000"/>
                  </w14:srgbClr>
                </w14:shadow>
              </w:rPr>
              <w:t>RAHOITTAJIEN VARAT</w:t>
            </w:r>
          </w:p>
        </w:tc>
        <w:tc>
          <w:tcPr>
            <w:tcW w:w="2268" w:type="dxa"/>
            <w:shd w:val="pct20" w:color="auto" w:fill="auto"/>
          </w:tcPr>
          <w:p>
            <w:pPr>
              <w:jc w:val="right"/>
              <w:rPr>
                <w:noProof/>
                <w14:shadow w14:blurRad="50800" w14:dist="38100" w14:dir="2700000" w14:sx="100000" w14:sy="100000" w14:kx="0" w14:ky="0" w14:algn="tl">
                  <w14:srgbClr w14:val="000000">
                    <w14:alpha w14:val="60000"/>
                  </w14:srgbClr>
                </w14:shadow>
              </w:rPr>
            </w:pPr>
            <w:r>
              <w:rPr>
                <w:noProof/>
                <w14:shadow w14:blurRad="50800" w14:dist="38100" w14:dir="2700000" w14:sx="100000" w14:sy="100000" w14:kx="0" w14:ky="0" w14:algn="tl">
                  <w14:srgbClr w14:val="000000">
                    <w14:alpha w14:val="60000"/>
                  </w14:srgbClr>
                </w14:shadow>
              </w:rPr>
              <w:t>2 295 687 144</w:t>
            </w:r>
          </w:p>
        </w:tc>
        <w:tc>
          <w:tcPr>
            <w:tcW w:w="2261" w:type="dxa"/>
            <w:shd w:val="pct20" w:color="auto" w:fill="auto"/>
          </w:tcPr>
          <w:p>
            <w:pPr>
              <w:jc w:val="right"/>
              <w:rPr>
                <w:noProof/>
                <w14:shadow w14:blurRad="50800" w14:dist="38100" w14:dir="2700000" w14:sx="100000" w14:sy="100000" w14:kx="0" w14:ky="0" w14:algn="tl">
                  <w14:srgbClr w14:val="000000">
                    <w14:alpha w14:val="60000"/>
                  </w14:srgbClr>
                </w14:shadow>
              </w:rPr>
            </w:pPr>
            <w:r>
              <w:rPr>
                <w:noProof/>
                <w14:shadow w14:blurRad="50800" w14:dist="38100" w14:dir="2700000" w14:sx="100000" w14:sy="100000" w14:kx="0" w14:ky="0" w14:algn="tl">
                  <w14:srgbClr w14:val="000000">
                    <w14:alpha w14:val="60000"/>
                  </w14:srgbClr>
                </w14:shadow>
              </w:rPr>
              <w:t>2 160 971 521</w:t>
            </w:r>
          </w:p>
        </w:tc>
      </w:tr>
      <w:tr>
        <w:tc>
          <w:tcPr>
            <w:tcW w:w="3936" w:type="dxa"/>
            <w:shd w:val="clear" w:color="auto" w:fill="auto"/>
          </w:tcPr>
          <w:p>
            <w:pPr>
              <w:rPr>
                <w:noProof/>
              </w:rPr>
            </w:pPr>
            <w:r>
              <w:rPr>
                <w:noProof/>
              </w:rPr>
              <w:t>Euroopan komission rahoitusosuus</w:t>
            </w:r>
          </w:p>
        </w:tc>
        <w:tc>
          <w:tcPr>
            <w:tcW w:w="2268" w:type="dxa"/>
            <w:shd w:val="clear" w:color="auto" w:fill="auto"/>
          </w:tcPr>
          <w:p>
            <w:pPr>
              <w:jc w:val="right"/>
              <w:rPr>
                <w:noProof/>
              </w:rPr>
            </w:pPr>
            <w:r>
              <w:rPr>
                <w:noProof/>
              </w:rPr>
              <w:t>1 846 972 362</w:t>
            </w:r>
          </w:p>
        </w:tc>
        <w:tc>
          <w:tcPr>
            <w:tcW w:w="2261" w:type="dxa"/>
          </w:tcPr>
          <w:p>
            <w:pPr>
              <w:jc w:val="right"/>
              <w:rPr>
                <w:noProof/>
              </w:rPr>
            </w:pPr>
            <w:r>
              <w:rPr>
                <w:noProof/>
              </w:rPr>
              <w:t>1 709 171 640</w:t>
            </w:r>
          </w:p>
        </w:tc>
      </w:tr>
      <w:tr>
        <w:tc>
          <w:tcPr>
            <w:tcW w:w="3936" w:type="dxa"/>
            <w:shd w:val="clear" w:color="auto" w:fill="auto"/>
          </w:tcPr>
          <w:p>
            <w:pPr>
              <w:rPr>
                <w:noProof/>
              </w:rPr>
            </w:pPr>
            <w:r>
              <w:rPr>
                <w:noProof/>
              </w:rPr>
              <w:t>Käyvän arvon rahasto</w:t>
            </w:r>
          </w:p>
        </w:tc>
        <w:tc>
          <w:tcPr>
            <w:tcW w:w="2268" w:type="dxa"/>
            <w:shd w:val="clear" w:color="auto" w:fill="auto"/>
          </w:tcPr>
          <w:p>
            <w:pPr>
              <w:jc w:val="right"/>
              <w:rPr>
                <w:noProof/>
              </w:rPr>
            </w:pPr>
            <w:r>
              <w:rPr>
                <w:noProof/>
              </w:rPr>
              <w:t>12 227 192</w:t>
            </w:r>
          </w:p>
        </w:tc>
        <w:tc>
          <w:tcPr>
            <w:tcW w:w="2261" w:type="dxa"/>
          </w:tcPr>
          <w:p>
            <w:pPr>
              <w:jc w:val="right"/>
              <w:rPr>
                <w:noProof/>
              </w:rPr>
            </w:pPr>
            <w:r>
              <w:rPr>
                <w:noProof/>
              </w:rPr>
              <w:t>22 700 055</w:t>
            </w:r>
          </w:p>
        </w:tc>
      </w:tr>
      <w:tr>
        <w:tc>
          <w:tcPr>
            <w:tcW w:w="3936" w:type="dxa"/>
            <w:tcBorders>
              <w:bottom w:val="single" w:sz="4" w:space="0" w:color="auto"/>
            </w:tcBorders>
            <w:shd w:val="clear" w:color="auto" w:fill="auto"/>
          </w:tcPr>
          <w:p>
            <w:pPr>
              <w:rPr>
                <w:noProof/>
              </w:rPr>
            </w:pPr>
            <w:r>
              <w:rPr>
                <w:noProof/>
              </w:rPr>
              <w:t>Jakamaton voitto</w:t>
            </w:r>
          </w:p>
        </w:tc>
        <w:tc>
          <w:tcPr>
            <w:tcW w:w="2268" w:type="dxa"/>
            <w:tcBorders>
              <w:bottom w:val="single" w:sz="4" w:space="0" w:color="auto"/>
            </w:tcBorders>
            <w:shd w:val="clear" w:color="auto" w:fill="auto"/>
          </w:tcPr>
          <w:p>
            <w:pPr>
              <w:jc w:val="right"/>
              <w:rPr>
                <w:noProof/>
              </w:rPr>
            </w:pPr>
            <w:r>
              <w:rPr>
                <w:noProof/>
              </w:rPr>
              <w:t>436 487 590</w:t>
            </w:r>
          </w:p>
        </w:tc>
        <w:tc>
          <w:tcPr>
            <w:tcW w:w="2261" w:type="dxa"/>
            <w:tcBorders>
              <w:bottom w:val="single" w:sz="4" w:space="0" w:color="auto"/>
            </w:tcBorders>
          </w:tcPr>
          <w:p>
            <w:pPr>
              <w:jc w:val="right"/>
              <w:rPr>
                <w:noProof/>
              </w:rPr>
            </w:pPr>
            <w:r>
              <w:rPr>
                <w:noProof/>
              </w:rPr>
              <w:t>429 099 826</w:t>
            </w:r>
          </w:p>
        </w:tc>
      </w:tr>
      <w:tr>
        <w:tc>
          <w:tcPr>
            <w:tcW w:w="3936" w:type="dxa"/>
            <w:shd w:val="pct20" w:color="auto" w:fill="auto"/>
          </w:tcPr>
          <w:p>
            <w:pPr>
              <w:rPr>
                <w:noProof/>
              </w:rPr>
            </w:pPr>
            <w:r>
              <w:rPr>
                <w:noProof/>
                <w14:shadow w14:blurRad="50800" w14:dist="38100" w14:dir="2700000" w14:sx="100000" w14:sy="100000" w14:kx="0" w14:ky="0" w14:algn="tl">
                  <w14:srgbClr w14:val="000000">
                    <w14:alpha w14:val="60000"/>
                  </w14:srgbClr>
                </w14:shadow>
              </w:rPr>
              <w:t>PITKÄAIKAINEN VIERAS PÄÄOMA</w:t>
            </w:r>
          </w:p>
        </w:tc>
        <w:tc>
          <w:tcPr>
            <w:tcW w:w="2268" w:type="dxa"/>
            <w:shd w:val="pct20" w:color="auto" w:fill="auto"/>
          </w:tcPr>
          <w:p>
            <w:pPr>
              <w:jc w:val="right"/>
              <w:rPr>
                <w:noProof/>
              </w:rPr>
            </w:pPr>
            <w:r>
              <w:rPr>
                <w:noProof/>
              </w:rPr>
              <w:t>159 153 609</w:t>
            </w:r>
          </w:p>
        </w:tc>
        <w:tc>
          <w:tcPr>
            <w:tcW w:w="2261" w:type="dxa"/>
            <w:shd w:val="pct20" w:color="auto" w:fill="auto"/>
          </w:tcPr>
          <w:p>
            <w:pPr>
              <w:jc w:val="right"/>
              <w:rPr>
                <w:noProof/>
              </w:rPr>
            </w:pPr>
            <w:r>
              <w:rPr>
                <w:noProof/>
              </w:rPr>
              <w:t>208 033 976</w:t>
            </w:r>
          </w:p>
        </w:tc>
      </w:tr>
      <w:tr>
        <w:tc>
          <w:tcPr>
            <w:tcW w:w="3936" w:type="dxa"/>
            <w:tcBorders>
              <w:bottom w:val="single" w:sz="4" w:space="0" w:color="auto"/>
            </w:tcBorders>
            <w:shd w:val="clear" w:color="auto" w:fill="auto"/>
          </w:tcPr>
          <w:p>
            <w:pPr>
              <w:rPr>
                <w:noProof/>
              </w:rPr>
            </w:pPr>
            <w:r>
              <w:rPr>
                <w:noProof/>
              </w:rPr>
              <w:t>Rahoitusvaraukset</w:t>
            </w:r>
          </w:p>
        </w:tc>
        <w:tc>
          <w:tcPr>
            <w:tcW w:w="2268" w:type="dxa"/>
            <w:tcBorders>
              <w:bottom w:val="single" w:sz="4" w:space="0" w:color="auto"/>
            </w:tcBorders>
            <w:shd w:val="clear" w:color="auto" w:fill="auto"/>
          </w:tcPr>
          <w:p>
            <w:pPr>
              <w:jc w:val="right"/>
              <w:rPr>
                <w:noProof/>
              </w:rPr>
            </w:pPr>
            <w:r>
              <w:rPr>
                <w:noProof/>
              </w:rPr>
              <w:t>159 153 609</w:t>
            </w:r>
          </w:p>
        </w:tc>
        <w:tc>
          <w:tcPr>
            <w:tcW w:w="2261" w:type="dxa"/>
            <w:tcBorders>
              <w:bottom w:val="single" w:sz="4" w:space="0" w:color="auto"/>
            </w:tcBorders>
          </w:tcPr>
          <w:p>
            <w:pPr>
              <w:jc w:val="right"/>
              <w:rPr>
                <w:noProof/>
              </w:rPr>
            </w:pPr>
            <w:r>
              <w:rPr>
                <w:noProof/>
              </w:rPr>
              <w:t>208 033 976</w:t>
            </w:r>
          </w:p>
        </w:tc>
      </w:tr>
      <w:tr>
        <w:tc>
          <w:tcPr>
            <w:tcW w:w="3936" w:type="dxa"/>
            <w:shd w:val="pct20" w:color="auto" w:fill="auto"/>
          </w:tcPr>
          <w:p>
            <w:pPr>
              <w:rPr>
                <w:noProof/>
              </w:rPr>
            </w:pPr>
            <w:r>
              <w:rPr>
                <w:noProof/>
                <w14:shadow w14:blurRad="50800" w14:dist="38100" w14:dir="2700000" w14:sx="100000" w14:sy="100000" w14:kx="0" w14:ky="0" w14:algn="tl">
                  <w14:srgbClr w14:val="000000">
                    <w14:alpha w14:val="60000"/>
                  </w14:srgbClr>
                </w14:shadow>
              </w:rPr>
              <w:t>LYHYTAIKAINEN VIERAS PÄÄOMA</w:t>
            </w:r>
          </w:p>
        </w:tc>
        <w:tc>
          <w:tcPr>
            <w:tcW w:w="2268" w:type="dxa"/>
            <w:shd w:val="pct20" w:color="auto" w:fill="auto"/>
          </w:tcPr>
          <w:p>
            <w:pPr>
              <w:jc w:val="right"/>
              <w:rPr>
                <w:noProof/>
              </w:rPr>
            </w:pPr>
            <w:r>
              <w:rPr>
                <w:noProof/>
              </w:rPr>
              <w:t>51 818 060</w:t>
            </w:r>
          </w:p>
        </w:tc>
        <w:tc>
          <w:tcPr>
            <w:tcW w:w="2261" w:type="dxa"/>
            <w:shd w:val="pct20" w:color="auto" w:fill="auto"/>
          </w:tcPr>
          <w:p>
            <w:pPr>
              <w:jc w:val="right"/>
              <w:rPr>
                <w:noProof/>
              </w:rPr>
            </w:pPr>
            <w:r>
              <w:rPr>
                <w:noProof/>
              </w:rPr>
              <w:t>53 955 627</w:t>
            </w:r>
          </w:p>
        </w:tc>
      </w:tr>
      <w:tr>
        <w:tc>
          <w:tcPr>
            <w:tcW w:w="3936" w:type="dxa"/>
            <w:tcBorders>
              <w:bottom w:val="single" w:sz="4" w:space="0" w:color="auto"/>
            </w:tcBorders>
            <w:shd w:val="clear" w:color="auto" w:fill="auto"/>
          </w:tcPr>
          <w:p>
            <w:pPr>
              <w:rPr>
                <w:noProof/>
              </w:rPr>
            </w:pPr>
            <w:r>
              <w:rPr>
                <w:noProof/>
              </w:rPr>
              <w:t>Rahoitusvaraukset</w:t>
            </w:r>
          </w:p>
        </w:tc>
        <w:tc>
          <w:tcPr>
            <w:tcW w:w="2268" w:type="dxa"/>
            <w:tcBorders>
              <w:bottom w:val="single" w:sz="4" w:space="0" w:color="auto"/>
            </w:tcBorders>
            <w:shd w:val="clear" w:color="auto" w:fill="auto"/>
          </w:tcPr>
          <w:p>
            <w:pPr>
              <w:jc w:val="right"/>
              <w:rPr>
                <w:noProof/>
              </w:rPr>
            </w:pPr>
            <w:r>
              <w:rPr>
                <w:noProof/>
              </w:rPr>
              <w:t>50 777 871</w:t>
            </w:r>
          </w:p>
        </w:tc>
        <w:tc>
          <w:tcPr>
            <w:tcW w:w="2261" w:type="dxa"/>
            <w:tcBorders>
              <w:bottom w:val="single" w:sz="4" w:space="0" w:color="auto"/>
            </w:tcBorders>
          </w:tcPr>
          <w:p>
            <w:pPr>
              <w:jc w:val="right"/>
              <w:rPr>
                <w:noProof/>
              </w:rPr>
            </w:pPr>
            <w:r>
              <w:rPr>
                <w:noProof/>
              </w:rPr>
              <w:t>50 408 230</w:t>
            </w:r>
          </w:p>
        </w:tc>
      </w:tr>
      <w:tr>
        <w:tc>
          <w:tcPr>
            <w:tcW w:w="3936" w:type="dxa"/>
            <w:tcBorders>
              <w:bottom w:val="single" w:sz="4" w:space="0" w:color="auto"/>
            </w:tcBorders>
            <w:shd w:val="clear" w:color="auto" w:fill="auto"/>
          </w:tcPr>
          <w:p>
            <w:pPr>
              <w:rPr>
                <w:noProof/>
              </w:rPr>
            </w:pPr>
            <w:r>
              <w:rPr>
                <w:noProof/>
              </w:rPr>
              <w:t>Lyhytaikaiset velat</w:t>
            </w:r>
          </w:p>
        </w:tc>
        <w:tc>
          <w:tcPr>
            <w:tcW w:w="2268" w:type="dxa"/>
            <w:tcBorders>
              <w:bottom w:val="single" w:sz="4" w:space="0" w:color="auto"/>
            </w:tcBorders>
            <w:shd w:val="clear" w:color="auto" w:fill="auto"/>
          </w:tcPr>
          <w:p>
            <w:pPr>
              <w:jc w:val="right"/>
              <w:rPr>
                <w:noProof/>
              </w:rPr>
            </w:pPr>
            <w:r>
              <w:rPr>
                <w:noProof/>
              </w:rPr>
              <w:t>1 040 189</w:t>
            </w:r>
          </w:p>
        </w:tc>
        <w:tc>
          <w:tcPr>
            <w:tcW w:w="2261" w:type="dxa"/>
            <w:tcBorders>
              <w:bottom w:val="single" w:sz="4" w:space="0" w:color="auto"/>
            </w:tcBorders>
          </w:tcPr>
          <w:p>
            <w:pPr>
              <w:jc w:val="right"/>
              <w:rPr>
                <w:noProof/>
              </w:rPr>
            </w:pPr>
            <w:r>
              <w:rPr>
                <w:noProof/>
              </w:rPr>
              <w:t>3 547 397</w:t>
            </w:r>
          </w:p>
        </w:tc>
      </w:tr>
      <w:tr>
        <w:tc>
          <w:tcPr>
            <w:tcW w:w="3936" w:type="dxa"/>
            <w:shd w:val="pct20" w:color="auto" w:fill="auto"/>
          </w:tcPr>
          <w:p>
            <w:pPr>
              <w:jc w:val="left"/>
              <w:rPr>
                <w:noProof/>
              </w:rPr>
            </w:pPr>
            <w:r>
              <w:rPr>
                <w:noProof/>
                <w14:shadow w14:blurRad="50800" w14:dist="38100" w14:dir="2700000" w14:sx="100000" w14:sy="100000" w14:kx="0" w14:ky="0" w14:algn="tl">
                  <w14:srgbClr w14:val="000000">
                    <w14:alpha w14:val="60000"/>
                  </w14:srgbClr>
                </w14:shadow>
              </w:rPr>
              <w:t>RAHOITTAJIEN VARAT JA VELAT YHTEENSÄ</w:t>
            </w:r>
          </w:p>
        </w:tc>
        <w:tc>
          <w:tcPr>
            <w:tcW w:w="2268" w:type="dxa"/>
            <w:shd w:val="pct20" w:color="auto" w:fill="auto"/>
          </w:tcPr>
          <w:p>
            <w:pPr>
              <w:jc w:val="right"/>
              <w:rPr>
                <w:noProof/>
              </w:rPr>
            </w:pPr>
            <w:r>
              <w:rPr>
                <w:noProof/>
              </w:rPr>
              <w:t>2 506 658 813</w:t>
            </w:r>
          </w:p>
        </w:tc>
        <w:tc>
          <w:tcPr>
            <w:tcW w:w="2261" w:type="dxa"/>
            <w:shd w:val="pct20" w:color="auto" w:fill="auto"/>
          </w:tcPr>
          <w:p>
            <w:pPr>
              <w:jc w:val="right"/>
              <w:rPr>
                <w:noProof/>
              </w:rPr>
            </w:pPr>
            <w:r>
              <w:rPr>
                <w:noProof/>
              </w:rPr>
              <w:t>2 422 961 124</w:t>
            </w:r>
          </w:p>
        </w:tc>
      </w:tr>
    </w:tbl>
    <w:p>
      <w:pPr>
        <w:rPr>
          <w:noProof/>
        </w:rPr>
      </w:pPr>
      <w:r>
        <w:rPr>
          <w:noProof/>
        </w:rPr>
        <w:t>Rahaston konsolidoimattoman taseen (2 506 658 813 euroa) ja EIP:n laatiman rahaston tilinpäätöksen (2 609 881 748 euroa) välinen erotus on 103,2 miljoonaa euroa, ja se johtuu pääasiassa seuraavista sekoista:</w:t>
      </w:r>
    </w:p>
    <w:p>
      <w:pPr>
        <w:numPr>
          <w:ilvl w:val="0"/>
          <w:numId w:val="13"/>
        </w:numPr>
        <w:tabs>
          <w:tab w:val="clear" w:pos="850"/>
        </w:tabs>
        <w:ind w:left="360" w:hanging="360"/>
        <w:rPr>
          <w:noProof/>
        </w:rPr>
      </w:pPr>
      <w:r>
        <w:rPr>
          <w:noProof/>
        </w:rPr>
        <w:t xml:space="preserve">Konsolidoimaton tilinpäätös sisältää kaikki ne määrät, jotka on siirretty EU:lle seurauksena EIP:n takauksen nojalla vaatimista maksusuorituksista, joilla katetaan laiminlyötyjä takaisinmaksueriä (rästejä sekä kertyneitä viivästyskorkoja). Syyrian poliittisen tilanteen johdosta ja Euroopan komission tilinpitäjän päätöksen perusteella nämä määrät on kuitenkin kirjattu kokonaisuudessaan järjestämättömiksi lainoiksi vuoden 2018 tilinpäätöksessä. </w:t>
      </w:r>
    </w:p>
    <w:p>
      <w:pPr>
        <w:numPr>
          <w:ilvl w:val="0"/>
          <w:numId w:val="13"/>
        </w:numPr>
        <w:tabs>
          <w:tab w:val="clear" w:pos="850"/>
        </w:tabs>
        <w:ind w:left="360" w:hanging="360"/>
        <w:rPr>
          <w:noProof/>
        </w:rPr>
      </w:pPr>
      <w:r>
        <w:rPr>
          <w:noProof/>
        </w:rPr>
        <w:t xml:space="preserve">Konsolidoimaton tilinpäätös ei sisällä EU:n talousarviosta rahastoon vuonna 2019 maksettua 103,2 miljoonan euron rahoitusosuutta, koska tämä saaminen kompensoituu vastaavalla lyhytaikaisella velalla EU:n konsolidoidussa tilinpäätöksessä. </w:t>
      </w:r>
    </w:p>
    <w:p>
      <w:pPr>
        <w:numPr>
          <w:ilvl w:val="0"/>
          <w:numId w:val="13"/>
        </w:numPr>
        <w:tabs>
          <w:tab w:val="clear" w:pos="850"/>
        </w:tabs>
        <w:ind w:left="360" w:hanging="360"/>
        <w:rPr>
          <w:noProof/>
        </w:rPr>
      </w:pPr>
      <w:r>
        <w:rPr>
          <w:noProof/>
        </w:rPr>
        <w:t xml:space="preserve">Jäljellä olevien Syyrian lainojen tuleviin maksueriin liittyvät 209,9 miljoonan euron rahoitusvaraukset on otettu huomioon vuoden 2018 konsolidoimattomassa taseessa. </w:t>
      </w:r>
    </w:p>
    <w:p>
      <w:pPr>
        <w:pStyle w:val="ListBullet"/>
        <w:tabs>
          <w:tab w:val="clear" w:pos="283"/>
        </w:tabs>
        <w:ind w:left="360" w:hanging="360"/>
        <w:rPr>
          <w:noProof/>
        </w:rPr>
      </w:pPr>
      <w:r>
        <w:rPr>
          <w:noProof/>
        </w:rPr>
        <w:t>Rahastosta EIP:lle maksetut määrät (ja mahdolliset myöhemmät takaisinperinnät ja kertyneet viivästyskorot) merkitään EIP:n laatimaan tilinpäätökseen nettovarojen (EU:n rahoitusosuus) vähennyksinä (lisäyksinä). Konsolidoimattomassa tilinpäätöksessä EIP:lle takauksen nojalla maksettuja määriä ei vähennetä nettovaroista niiden muuttuessa siirtyneiksi määriksi. Määrät kirjataan joko tuotoiksi (kertyneet viivästyskorot ja sakot, valuuttakurssivoitot) tai kuluiksi (kertyneet EIP-takaisinperintämaksut, arvonalenemiset, valuuttakurssitappiot). Tämä johtaa pysyvään erotukseen EIP:n laatimaan tilipäätökseen merkittyjen nettovarojen (EU-rahoitusosuus ja kertyneet voittovarat) ja konsolidoimattomaan Euroopan komission laatimaan tilinpäätökseen merkittyjen nettovarojen välillä.</w:t>
      </w:r>
    </w:p>
    <w:p>
      <w:pPr>
        <w:pStyle w:val="ManualHeading2"/>
        <w:rPr>
          <w:noProof/>
        </w:rPr>
      </w:pPr>
      <w:r>
        <w:rPr>
          <w:noProof/>
        </w:rPr>
        <w:br w:type="page"/>
      </w:r>
      <w:bookmarkStart w:id="11" w:name="_Toc14792904"/>
      <w:r>
        <w:rPr>
          <w:noProof/>
        </w:rPr>
        <w:t>3.2.</w:t>
      </w:r>
      <w:r>
        <w:rPr>
          <w:noProof/>
        </w:rPr>
        <w:tab/>
        <w:t>Konsolidoimaton tuloslaskelma</w:t>
      </w:r>
      <w:bookmarkEnd w:id="11"/>
    </w:p>
    <w:p>
      <w:pPr>
        <w:rPr>
          <w:noProof/>
        </w:rPr>
      </w:pPr>
      <w:r>
        <w:rPr>
          <w:noProof/>
        </w:rPr>
        <w:t xml:space="preserve">Samaan tapaan kuin konsolidoimaton tase, konsolidoimaton tuloslaskelma on laadittu sitä varten, että se sisällytetään EU:n konsolidoituun tilinpäätökseen. </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68"/>
        <w:gridCol w:w="1776"/>
      </w:tblGrid>
      <w:tr>
        <w:tc>
          <w:tcPr>
            <w:tcW w:w="4786" w:type="dxa"/>
            <w:shd w:val="clear" w:color="auto" w:fill="auto"/>
          </w:tcPr>
          <w:p>
            <w:pPr>
              <w:jc w:val="center"/>
              <w:rPr>
                <w:noProof/>
              </w:rPr>
            </w:pPr>
          </w:p>
        </w:tc>
        <w:tc>
          <w:tcPr>
            <w:tcW w:w="1768" w:type="dxa"/>
            <w:shd w:val="clear" w:color="auto" w:fill="auto"/>
          </w:tcPr>
          <w:p>
            <w:pPr>
              <w:jc w:val="center"/>
              <w:rPr>
                <w:noProof/>
              </w:rPr>
            </w:pPr>
            <w:r>
              <w:rPr>
                <w:noProof/>
              </w:rPr>
              <w:t>2018</w:t>
            </w:r>
          </w:p>
        </w:tc>
        <w:tc>
          <w:tcPr>
            <w:tcW w:w="1776" w:type="dxa"/>
          </w:tcPr>
          <w:p>
            <w:pPr>
              <w:jc w:val="center"/>
              <w:rPr>
                <w:noProof/>
              </w:rPr>
            </w:pPr>
            <w:r>
              <w:rPr>
                <w:noProof/>
              </w:rPr>
              <w:t>2017</w:t>
            </w:r>
          </w:p>
        </w:tc>
      </w:tr>
      <w:tr>
        <w:tc>
          <w:tcPr>
            <w:tcW w:w="4786" w:type="dxa"/>
            <w:shd w:val="clear" w:color="auto" w:fill="auto"/>
          </w:tcPr>
          <w:p>
            <w:pPr>
              <w:rPr>
                <w:noProof/>
              </w:rPr>
            </w:pPr>
            <w:r>
              <w:rPr>
                <w:noProof/>
              </w:rPr>
              <w:t>Toiminnan tuotot</w:t>
            </w:r>
          </w:p>
        </w:tc>
        <w:tc>
          <w:tcPr>
            <w:tcW w:w="1768" w:type="dxa"/>
            <w:shd w:val="clear" w:color="auto" w:fill="auto"/>
          </w:tcPr>
          <w:p>
            <w:pPr>
              <w:jc w:val="right"/>
              <w:rPr>
                <w:noProof/>
              </w:rPr>
            </w:pPr>
            <w:r>
              <w:rPr>
                <w:noProof/>
              </w:rPr>
              <w:t>2 928 446</w:t>
            </w:r>
          </w:p>
        </w:tc>
        <w:tc>
          <w:tcPr>
            <w:tcW w:w="1776" w:type="dxa"/>
          </w:tcPr>
          <w:p>
            <w:pPr>
              <w:jc w:val="right"/>
              <w:rPr>
                <w:noProof/>
              </w:rPr>
            </w:pPr>
            <w:r>
              <w:rPr>
                <w:noProof/>
              </w:rPr>
              <w:t>939 062</w:t>
            </w:r>
          </w:p>
        </w:tc>
      </w:tr>
      <w:tr>
        <w:tc>
          <w:tcPr>
            <w:tcW w:w="4786" w:type="dxa"/>
            <w:tcBorders>
              <w:bottom w:val="single" w:sz="4" w:space="0" w:color="auto"/>
            </w:tcBorders>
            <w:shd w:val="clear" w:color="auto" w:fill="auto"/>
          </w:tcPr>
          <w:p>
            <w:pPr>
              <w:rPr>
                <w:noProof/>
              </w:rPr>
            </w:pPr>
            <w:r>
              <w:rPr>
                <w:noProof/>
              </w:rPr>
              <w:t>Toiminnan kulut</w:t>
            </w:r>
          </w:p>
        </w:tc>
        <w:tc>
          <w:tcPr>
            <w:tcW w:w="1768" w:type="dxa"/>
            <w:tcBorders>
              <w:bottom w:val="single" w:sz="4" w:space="0" w:color="auto"/>
            </w:tcBorders>
            <w:shd w:val="clear" w:color="auto" w:fill="auto"/>
          </w:tcPr>
          <w:p>
            <w:pPr>
              <w:jc w:val="right"/>
              <w:rPr>
                <w:noProof/>
              </w:rPr>
            </w:pPr>
            <w:r>
              <w:rPr>
                <w:noProof/>
              </w:rPr>
              <w:t>(4 876 241)</w:t>
            </w:r>
          </w:p>
        </w:tc>
        <w:tc>
          <w:tcPr>
            <w:tcW w:w="1776" w:type="dxa"/>
            <w:tcBorders>
              <w:bottom w:val="single" w:sz="4" w:space="0" w:color="auto"/>
            </w:tcBorders>
          </w:tcPr>
          <w:p>
            <w:pPr>
              <w:jc w:val="right"/>
              <w:rPr>
                <w:noProof/>
              </w:rPr>
            </w:pPr>
            <w:r>
              <w:rPr>
                <w:noProof/>
              </w:rPr>
              <w:t>(3 834 219)</w:t>
            </w:r>
          </w:p>
        </w:tc>
      </w:tr>
      <w:tr>
        <w:tc>
          <w:tcPr>
            <w:tcW w:w="4786" w:type="dxa"/>
            <w:shd w:val="pct20" w:color="auto" w:fill="auto"/>
          </w:tcPr>
          <w:p>
            <w:pPr>
              <w:rPr>
                <w:noProof/>
              </w:rPr>
            </w:pPr>
            <w:r>
              <w:rPr>
                <w:noProof/>
                <w14:shadow w14:blurRad="50800" w14:dist="38100" w14:dir="2700000" w14:sx="100000" w14:sy="100000" w14:kx="0" w14:ky="0" w14:algn="tl">
                  <w14:srgbClr w14:val="000000">
                    <w14:alpha w14:val="60000"/>
                  </w14:srgbClr>
                </w14:shadow>
              </w:rPr>
              <w:t>TOIMINNAN TULOS</w:t>
            </w:r>
          </w:p>
        </w:tc>
        <w:tc>
          <w:tcPr>
            <w:tcW w:w="1768" w:type="dxa"/>
            <w:shd w:val="pct20" w:color="auto" w:fill="auto"/>
          </w:tcPr>
          <w:p>
            <w:pPr>
              <w:jc w:val="right"/>
              <w:rPr>
                <w:noProof/>
              </w:rPr>
            </w:pPr>
            <w:r>
              <w:rPr>
                <w:noProof/>
              </w:rPr>
              <w:t>(1 947 795)</w:t>
            </w:r>
          </w:p>
        </w:tc>
        <w:tc>
          <w:tcPr>
            <w:tcW w:w="1776" w:type="dxa"/>
            <w:shd w:val="pct20" w:color="auto" w:fill="auto"/>
          </w:tcPr>
          <w:p>
            <w:pPr>
              <w:jc w:val="right"/>
              <w:rPr>
                <w:noProof/>
              </w:rPr>
            </w:pPr>
            <w:r>
              <w:rPr>
                <w:noProof/>
              </w:rPr>
              <w:t>(2 895 157)</w:t>
            </w:r>
          </w:p>
        </w:tc>
      </w:tr>
      <w:tr>
        <w:tc>
          <w:tcPr>
            <w:tcW w:w="4786" w:type="dxa"/>
            <w:shd w:val="clear" w:color="auto" w:fill="auto"/>
          </w:tcPr>
          <w:p>
            <w:pPr>
              <w:rPr>
                <w:noProof/>
              </w:rPr>
            </w:pPr>
            <w:r>
              <w:rPr>
                <w:noProof/>
              </w:rPr>
              <w:t>Rahoitustuotot</w:t>
            </w:r>
          </w:p>
        </w:tc>
        <w:tc>
          <w:tcPr>
            <w:tcW w:w="1768" w:type="dxa"/>
            <w:shd w:val="clear" w:color="auto" w:fill="auto"/>
          </w:tcPr>
          <w:p>
            <w:pPr>
              <w:jc w:val="right"/>
              <w:rPr>
                <w:noProof/>
              </w:rPr>
            </w:pPr>
            <w:r>
              <w:rPr>
                <w:noProof/>
              </w:rPr>
              <w:t>30 241 834</w:t>
            </w:r>
          </w:p>
        </w:tc>
        <w:tc>
          <w:tcPr>
            <w:tcW w:w="1776" w:type="dxa"/>
          </w:tcPr>
          <w:p>
            <w:pPr>
              <w:jc w:val="right"/>
              <w:rPr>
                <w:noProof/>
              </w:rPr>
            </w:pPr>
            <w:r>
              <w:rPr>
                <w:noProof/>
              </w:rPr>
              <w:t>29 913 694</w:t>
            </w:r>
          </w:p>
        </w:tc>
      </w:tr>
      <w:tr>
        <w:tc>
          <w:tcPr>
            <w:tcW w:w="4786" w:type="dxa"/>
            <w:tcBorders>
              <w:bottom w:val="single" w:sz="4" w:space="0" w:color="auto"/>
            </w:tcBorders>
            <w:shd w:val="clear" w:color="auto" w:fill="auto"/>
          </w:tcPr>
          <w:p>
            <w:pPr>
              <w:rPr>
                <w:noProof/>
              </w:rPr>
            </w:pPr>
            <w:r>
              <w:rPr>
                <w:noProof/>
              </w:rPr>
              <w:t>Rahoituskulut</w:t>
            </w:r>
          </w:p>
        </w:tc>
        <w:tc>
          <w:tcPr>
            <w:tcW w:w="1768" w:type="dxa"/>
            <w:tcBorders>
              <w:bottom w:val="single" w:sz="4" w:space="0" w:color="auto"/>
            </w:tcBorders>
            <w:shd w:val="clear" w:color="auto" w:fill="auto"/>
          </w:tcPr>
          <w:p>
            <w:pPr>
              <w:jc w:val="right"/>
              <w:rPr>
                <w:noProof/>
              </w:rPr>
            </w:pPr>
            <w:r>
              <w:rPr>
                <w:noProof/>
              </w:rPr>
              <w:t>(20 906 275)</w:t>
            </w:r>
          </w:p>
        </w:tc>
        <w:tc>
          <w:tcPr>
            <w:tcW w:w="1776" w:type="dxa"/>
            <w:tcBorders>
              <w:bottom w:val="single" w:sz="4" w:space="0" w:color="auto"/>
            </w:tcBorders>
          </w:tcPr>
          <w:p>
            <w:pPr>
              <w:jc w:val="right"/>
              <w:rPr>
                <w:noProof/>
              </w:rPr>
            </w:pPr>
            <w:r>
              <w:rPr>
                <w:noProof/>
              </w:rPr>
              <w:t>(51 793 999)</w:t>
            </w:r>
          </w:p>
        </w:tc>
      </w:tr>
      <w:tr>
        <w:tc>
          <w:tcPr>
            <w:tcW w:w="4786" w:type="dxa"/>
            <w:shd w:val="pct20" w:color="auto" w:fill="auto"/>
          </w:tcPr>
          <w:p>
            <w:pPr>
              <w:rPr>
                <w:noProof/>
              </w:rPr>
            </w:pPr>
            <w:r>
              <w:rPr>
                <w:noProof/>
              </w:rPr>
              <w:t>RAHOITUSTOIMINNAN TULOS</w:t>
            </w:r>
          </w:p>
        </w:tc>
        <w:tc>
          <w:tcPr>
            <w:tcW w:w="1768" w:type="dxa"/>
            <w:shd w:val="pct20" w:color="auto" w:fill="auto"/>
          </w:tcPr>
          <w:p>
            <w:pPr>
              <w:jc w:val="right"/>
              <w:rPr>
                <w:noProof/>
              </w:rPr>
            </w:pPr>
            <w:r>
              <w:rPr>
                <w:noProof/>
              </w:rPr>
              <w:t>9 335 559</w:t>
            </w:r>
          </w:p>
        </w:tc>
        <w:tc>
          <w:tcPr>
            <w:tcW w:w="1776" w:type="dxa"/>
            <w:shd w:val="pct20" w:color="auto" w:fill="auto"/>
          </w:tcPr>
          <w:p>
            <w:pPr>
              <w:jc w:val="right"/>
              <w:rPr>
                <w:noProof/>
              </w:rPr>
            </w:pPr>
            <w:r>
              <w:rPr>
                <w:noProof/>
              </w:rPr>
              <w:t>(21 880 305)</w:t>
            </w:r>
          </w:p>
        </w:tc>
      </w:tr>
      <w:tr>
        <w:tc>
          <w:tcPr>
            <w:tcW w:w="4786" w:type="dxa"/>
            <w:tcBorders>
              <w:bottom w:val="single" w:sz="4" w:space="0" w:color="auto"/>
            </w:tcBorders>
            <w:shd w:val="clear" w:color="auto" w:fill="auto"/>
          </w:tcPr>
          <w:p>
            <w:pPr>
              <w:rPr>
                <w:noProof/>
              </w:rPr>
            </w:pPr>
          </w:p>
        </w:tc>
        <w:tc>
          <w:tcPr>
            <w:tcW w:w="1768" w:type="dxa"/>
            <w:tcBorders>
              <w:bottom w:val="single" w:sz="4" w:space="0" w:color="auto"/>
            </w:tcBorders>
            <w:shd w:val="clear" w:color="auto" w:fill="auto"/>
          </w:tcPr>
          <w:p>
            <w:pPr>
              <w:jc w:val="right"/>
              <w:rPr>
                <w:noProof/>
              </w:rPr>
            </w:pPr>
          </w:p>
        </w:tc>
        <w:tc>
          <w:tcPr>
            <w:tcW w:w="1776" w:type="dxa"/>
            <w:tcBorders>
              <w:bottom w:val="single" w:sz="4" w:space="0" w:color="auto"/>
            </w:tcBorders>
          </w:tcPr>
          <w:p>
            <w:pPr>
              <w:jc w:val="right"/>
              <w:rPr>
                <w:noProof/>
              </w:rPr>
            </w:pPr>
          </w:p>
        </w:tc>
      </w:tr>
      <w:tr>
        <w:tc>
          <w:tcPr>
            <w:tcW w:w="4786" w:type="dxa"/>
            <w:shd w:val="pct20" w:color="auto" w:fill="auto"/>
          </w:tcPr>
          <w:p>
            <w:pPr>
              <w:rPr>
                <w:noProof/>
              </w:rPr>
            </w:pPr>
            <w:r>
              <w:rPr>
                <w:noProof/>
              </w:rPr>
              <w:t>VARAINHOITOVUODEN TALOUDELLINEN TULOS</w:t>
            </w:r>
          </w:p>
        </w:tc>
        <w:tc>
          <w:tcPr>
            <w:tcW w:w="1768" w:type="dxa"/>
            <w:shd w:val="pct20" w:color="auto" w:fill="auto"/>
          </w:tcPr>
          <w:p>
            <w:pPr>
              <w:jc w:val="right"/>
              <w:rPr>
                <w:noProof/>
              </w:rPr>
            </w:pPr>
            <w:r>
              <w:rPr>
                <w:noProof/>
              </w:rPr>
              <w:t>7 387 764</w:t>
            </w:r>
          </w:p>
        </w:tc>
        <w:tc>
          <w:tcPr>
            <w:tcW w:w="1776" w:type="dxa"/>
            <w:shd w:val="pct20" w:color="auto" w:fill="auto"/>
          </w:tcPr>
          <w:p>
            <w:pPr>
              <w:jc w:val="right"/>
              <w:rPr>
                <w:noProof/>
              </w:rPr>
            </w:pPr>
            <w:r>
              <w:rPr>
                <w:noProof/>
              </w:rPr>
              <w:t>(24 775 462)</w:t>
            </w:r>
          </w:p>
        </w:tc>
      </w:tr>
    </w:tbl>
    <w:p>
      <w:pPr>
        <w:pStyle w:val="ListBullet"/>
        <w:numPr>
          <w:ilvl w:val="0"/>
          <w:numId w:val="0"/>
        </w:numPr>
        <w:ind w:left="283" w:hanging="283"/>
        <w:rPr>
          <w:noProof/>
        </w:rPr>
      </w:pPr>
    </w:p>
    <w:p>
      <w:pPr>
        <w:pStyle w:val="ListBullet"/>
        <w:tabs>
          <w:tab w:val="clear" w:pos="283"/>
        </w:tabs>
        <w:ind w:left="360" w:hanging="360"/>
        <w:rPr>
          <w:noProof/>
        </w:rPr>
      </w:pPr>
      <w:r>
        <w:rPr>
          <w:noProof/>
        </w:rPr>
        <w:t xml:space="preserve">Toiminnan tuottoihin sisältyy valuuttakurssivoittoja ja vuonna 2018 allekirjoitetun uuden takaisinperintäsopimuksen ehtojen aiheuttama EIP:n vuoden 2017 kertyneiden takaisinperintämaksujen peruuntuminen. Uusi sopimus ei enää koske EIP:n sisäisten perintäkulujen maksuja. </w:t>
      </w:r>
    </w:p>
    <w:p>
      <w:pPr>
        <w:pStyle w:val="ListBullet"/>
        <w:tabs>
          <w:tab w:val="clear" w:pos="283"/>
        </w:tabs>
        <w:ind w:left="360" w:hanging="360"/>
        <w:rPr>
          <w:noProof/>
        </w:rPr>
      </w:pPr>
      <w:r>
        <w:rPr>
          <w:noProof/>
        </w:rPr>
        <w:t xml:space="preserve">Toiminnan kulut muodostuvat pääasiassa EIP:n varainhoitokuluista (0,9 miljoonaa euroa), EIP:n ulkoisista takaisinperintämaksuista (1,9 miljoonaa euroa) ja lisäyksestä Syyrian lainojen tulevien maksuerien rahoitusvarauksiin (1,9 miljoonaa euroa). </w:t>
      </w:r>
    </w:p>
    <w:p>
      <w:pPr>
        <w:pStyle w:val="ListBullet"/>
        <w:tabs>
          <w:tab w:val="clear" w:pos="283"/>
        </w:tabs>
        <w:ind w:left="360" w:hanging="360"/>
        <w:rPr>
          <w:noProof/>
        </w:rPr>
      </w:pPr>
      <w:r>
        <w:rPr>
          <w:noProof/>
        </w:rPr>
        <w:t>Rahoitustuotot muodostuvat lähinnä sijoitussalkun korkotuotoista (6,3 miljoonaa euroa), rahoitusvarojen toteutuneista myyntivoitoista (10,0 miljoonaa euroa) ja siirtyneille määrille kertyneistä viivästyskoroista (13,9 miljoonaa euroa).</w:t>
      </w:r>
    </w:p>
    <w:p>
      <w:pPr>
        <w:numPr>
          <w:ilvl w:val="0"/>
          <w:numId w:val="13"/>
        </w:numPr>
        <w:rPr>
          <w:noProof/>
        </w:rPr>
      </w:pPr>
      <w:r>
        <w:rPr>
          <w:noProof/>
        </w:rPr>
        <w:t xml:space="preserve">Rahoituskulut muodostuvat lähinnä EU:lle vuonna 2018 siirrettyjen varojen arvonalenemisesta (19,6 miljoonaa euroa, ks. kohta 5), käteisvarojen ja muiden rahavarojen korkokuluista (0,9 miljoonaa euroa) sekä rahoitusvarojen toteutuneista myyntitappioista (0,5 miljoonaa euroa). </w:t>
      </w:r>
    </w:p>
    <w:p>
      <w:pPr>
        <w:pStyle w:val="ManualHeading1"/>
        <w:rPr>
          <w:noProof/>
        </w:rPr>
      </w:pPr>
      <w:bookmarkStart w:id="12" w:name="_Toc14792905"/>
      <w:r>
        <w:rPr>
          <w:noProof/>
        </w:rPr>
        <w:t>4.</w:t>
      </w:r>
      <w:r>
        <w:rPr>
          <w:noProof/>
        </w:rPr>
        <w:tab/>
        <w:t>Rahaston varainhallinta</w:t>
      </w:r>
      <w:bookmarkEnd w:id="12"/>
      <w:r>
        <w:rPr>
          <w:noProof/>
        </w:rPr>
        <w:t xml:space="preserve"> </w:t>
      </w:r>
    </w:p>
    <w:p>
      <w:pPr>
        <w:pStyle w:val="ManualHeading2"/>
        <w:spacing w:before="360"/>
        <w:ind w:left="851" w:hanging="851"/>
        <w:rPr>
          <w:noProof/>
        </w:rPr>
      </w:pPr>
      <w:bookmarkStart w:id="13" w:name="_Toc14792906"/>
      <w:r>
        <w:rPr>
          <w:noProof/>
        </w:rPr>
        <w:t>4.1.</w:t>
      </w:r>
      <w:r>
        <w:rPr>
          <w:noProof/>
        </w:rPr>
        <w:tab/>
        <w:t>Sijoituspolitiikka</w:t>
      </w:r>
      <w:bookmarkEnd w:id="13"/>
      <w:r>
        <w:rPr>
          <w:noProof/>
        </w:rPr>
        <w:t xml:space="preserve"> </w:t>
      </w:r>
    </w:p>
    <w:p>
      <w:pPr>
        <w:rPr>
          <w:noProof/>
        </w:rPr>
      </w:pPr>
      <w:r>
        <w:rPr>
          <w:noProof/>
        </w:rPr>
        <w:t>Rahaston rahoitusomaisuus on sijoitettu hallinnointisopimuksen, sellaisena kuin se on muutettuna</w:t>
      </w:r>
      <w:r>
        <w:rPr>
          <w:rStyle w:val="FootnoteReference"/>
          <w:noProof/>
        </w:rPr>
        <w:footnoteReference w:id="3"/>
      </w:r>
      <w:r>
        <w:rPr>
          <w:noProof/>
        </w:rPr>
        <w:t xml:space="preserve">, liitteessä määrättyjen varainhoitoperiaatteiden mukaan. Näin ollen monetaarisiin varoihin on sijoitettava riittävästi varoja lyhytaikaisten (alle yhden vuoden) ulosvirtausten kattamiseksi suhteessa, joka määritetään vuotuisessa investointistrategiassa. Jäljelle jäävät varat voidaan kohdentaa keskipitkän ja pitkän aikavälin instrumentteihin, joiden erääntymisaika on enintään 10 vuotta ja 6 kuukautta maksupäivästä lukien (keskipitkän ja pitkän aikavälin salkku). </w:t>
      </w:r>
    </w:p>
    <w:p>
      <w:pPr>
        <w:pStyle w:val="ManualHeading2"/>
        <w:spacing w:before="360"/>
        <w:ind w:left="851" w:hanging="851"/>
        <w:rPr>
          <w:noProof/>
        </w:rPr>
      </w:pPr>
      <w:bookmarkStart w:id="14" w:name="_Toc14792907"/>
      <w:r>
        <w:rPr>
          <w:noProof/>
        </w:rPr>
        <w:t>4.2.</w:t>
      </w:r>
      <w:r>
        <w:rPr>
          <w:noProof/>
        </w:rPr>
        <w:tab/>
      </w:r>
      <w:r>
        <w:rPr>
          <w:noProof/>
        </w:rPr>
        <w:tab/>
        <w:t>Vuoden 2018 tulos ja markkinakehitys</w:t>
      </w:r>
      <w:bookmarkEnd w:id="14"/>
    </w:p>
    <w:p>
      <w:pPr>
        <w:rPr>
          <w:noProof/>
        </w:rPr>
      </w:pPr>
      <w:r>
        <w:rPr>
          <w:noProof/>
        </w:rPr>
        <w:t>Euroopan kiinteätuottoisilla markkinoilla tuotot vaihtelivat voimakkaasti vuoden aikana, ja korot nousivat vuoden ensimmäisellä neljänneksellä EKP:n määrällisen keventämisen politiikan päättymistä koskevien odotusten ansiosta. Korot laskivat alimmilleen vuoden lopussa, mikä aiheutui talouskasvun heikkenemisestä. Luottomarginaalit kasvoivat vuoden aikana ja kasvu nopeutui joulukuussa, kun osakemarkkinoiden kehitys heikkeni ja rahapolitiikan odotettiin tiukentuvan.</w:t>
      </w:r>
    </w:p>
    <w:p>
      <w:pPr>
        <w:autoSpaceDE w:val="0"/>
        <w:autoSpaceDN w:val="0"/>
        <w:adjustRightInd w:val="0"/>
        <w:rPr>
          <w:noProof/>
        </w:rPr>
      </w:pPr>
      <w:r>
        <w:rPr>
          <w:noProof/>
        </w:rPr>
        <w:t xml:space="preserve">Rahoitusmarkkinoihin vaikuttivat koko vuoden ajan seuraavat riskitekijät. Presidentti Trumpin asettamat tullitariffit hidastivat talouskasvua, ja inflaatio pysytteli keskuspankin tavoitteiden alapuolella, mikä johtui alhaisista hyödykehinnoista ja globalisaatiotekijöistä. Brexit-neuvottelujen epävarmat näkymät rasittivat Yhdistyneen kuningaskunnan rahoituslaitoksia ja yrityksiä. Maaliskuussa pidettyjen Italian vaalien seuraukset näkyivät toukokuussa, kun Italian valtion joukkolainojen tuottoero kasvoi Saksan valtion joukkolainoihin verrattuna yli 250 peruspisteeseen. </w:t>
      </w:r>
    </w:p>
    <w:p>
      <w:pPr>
        <w:rPr>
          <w:noProof/>
        </w:rPr>
      </w:pPr>
      <w:r>
        <w:rPr>
          <w:noProof/>
        </w:rPr>
        <w:t>Suurten keskuspankkien rahapolitiikka tiukentui vuonna 2018. Yhdysvaltain keskuspankki jatkoi 25 peruspisteen korotuksiaan vuoden jokaisella neljänneksellä, joten fed funds -tavoitekorko nousi 2,50–2,75 prosenttiin vuoden loppuun mennessä. EKP vähensi määrällisen keventämisen politiikkaansa kuuluvia kuukausittaisia omaisuuserien netto-ostoja 30 miljardista eurosta 15 miljardiin euroon syyskuussa ja lopetti netto-ostot vuoden 2018 lopussa. EKP:n taseessa olevista erääntyvistä joukkovelkakirjalainoista vapautuvien varojen uudelleensijoittaminen tukee markkinoita edelleen. Rahapolitiikka Atlantin kummallakin puolella on kuitenkin viime aikoina muuttunut maltillisemmaksi epävarmuuden kasvaessa. Markkinoilla ei enää odoteta Yhdysvaltain keskuspankilta uusia korotuksia, ja EKP:n ensimmäistä koronnostoa on lykätty vuoteen 2020. Talouskasvun odotetaan hidastuvan Yhdysvalloissa 2,9 prosentista (vuonna 2018) 2,5 prosenttiin vuonna 2019 ja euroalueella 1,9 prosentista 1,4 prosenttiin.</w:t>
      </w:r>
    </w:p>
    <w:p>
      <w:pPr>
        <w:rPr>
          <w:noProof/>
        </w:rPr>
      </w:pPr>
      <w:r>
        <w:rPr>
          <w:noProof/>
        </w:rPr>
        <w:t>Vuonna 2019 markkinoiden epävakauden odotetaan säilyvän, koska brexitin aiheuttama epävarmuus ja kasvun hidastuminen vaikuttavat markkinakorkoihin, jotka ovat tällä hetkellä ennätyksellisen alhaiset. Samalla luottomarginaaleilla on taipumus kasvaa, kun suhdannekierto Yhdysvalloissa etenee kypsään vaiheeseen ja EU:ssa keskuspankki on lopettanut omaisuuserien ostot.</w:t>
      </w:r>
    </w:p>
    <w:p>
      <w:pPr>
        <w:rPr>
          <w:noProof/>
        </w:rPr>
      </w:pPr>
      <w:r>
        <w:rPr>
          <w:noProof/>
        </w:rPr>
        <w:t xml:space="preserve">Rahaston arvopaperisijoitusten tulosta seurattiin markkinahintaan arvostettuna (käypä arvo). Salkun tuotto oli 0,1005 prosenttia vuoden 2018 aikana markkinahintaan arvostettuna, joten se ylitti vertailuarvonsa +13,5 peruspisteellä. </w:t>
      </w:r>
    </w:p>
    <w:p>
      <w:pPr>
        <w:pStyle w:val="ManualHeading1"/>
        <w:rPr>
          <w:noProof/>
        </w:rPr>
      </w:pPr>
      <w:bookmarkStart w:id="15" w:name="_Toc14792908"/>
      <w:r>
        <w:rPr>
          <w:noProof/>
        </w:rPr>
        <w:t>5.</w:t>
      </w:r>
      <w:r>
        <w:rPr>
          <w:noProof/>
        </w:rPr>
        <w:tab/>
        <w:t>Rahastolle esitetyt takausvaateet</w:t>
      </w:r>
      <w:bookmarkEnd w:id="15"/>
      <w:r>
        <w:rPr>
          <w:noProof/>
        </w:rPr>
        <w:t xml:space="preserve"> </w:t>
      </w:r>
    </w:p>
    <w:p>
      <w:pPr>
        <w:keepNext/>
        <w:spacing w:after="0"/>
        <w:rPr>
          <w:b/>
          <w:noProof/>
          <w:u w:val="single"/>
        </w:rPr>
      </w:pPr>
      <w:r>
        <w:rPr>
          <w:b/>
          <w:noProof/>
          <w:u w:val="single"/>
        </w:rPr>
        <w:t>Syyria</w:t>
      </w:r>
    </w:p>
    <w:p>
      <w:pPr>
        <w:rPr>
          <w:noProof/>
        </w:rPr>
      </w:pPr>
      <w:r>
        <w:rPr>
          <w:noProof/>
        </w:rPr>
        <w:t xml:space="preserve">EIP:llä on ollut marraskuusta 2011 lähtien maksamattomia erääntyneitä valtionlainaa koskevia saatavia Syyrialta. Tämän vuoksi EIP on sen ja EU:n välisen takuusopimusten mukaisesti turvautunut EU:n takuurahastoon 63 kertaa 31. joulukuuta 2018 mennessä. Rahastosta on maksettu kaikkiaan 421,05 miljoonaa euroa (mukaan lukien EIP:n asettamat sakot sekä takaisin perityt määrät). </w:t>
      </w:r>
    </w:p>
    <w:p>
      <w:pPr>
        <w:spacing w:after="0"/>
        <w:rPr>
          <w:b/>
          <w:noProof/>
          <w:u w:val="single"/>
        </w:rPr>
      </w:pPr>
      <w:r>
        <w:rPr>
          <w:b/>
          <w:noProof/>
          <w:u w:val="single"/>
        </w:rPr>
        <w:t>Enfidhan lentoasema (Tunisia)</w:t>
      </w:r>
    </w:p>
    <w:p>
      <w:pPr>
        <w:rPr>
          <w:noProof/>
        </w:rPr>
      </w:pPr>
      <w:r>
        <w:rPr>
          <w:noProof/>
        </w:rPr>
        <w:t>Tammikuussa 2018 EIP peri Enfidhan lentoaseman (Tunisia) lainasta takaisin 136 092,88 euroa, jotka talletettiin ulkosuhteisiin liittyvien hankkeiden takuurahaston pankkitilille.</w:t>
      </w:r>
    </w:p>
    <w:p>
      <w:pPr>
        <w:pStyle w:val="ManualHeading1"/>
        <w:rPr>
          <w:noProof/>
        </w:rPr>
      </w:pPr>
      <w:bookmarkStart w:id="16" w:name="_Toc14792909"/>
      <w:r>
        <w:rPr>
          <w:noProof/>
        </w:rPr>
        <w:t>6.</w:t>
      </w:r>
      <w:r>
        <w:rPr>
          <w:noProof/>
        </w:rPr>
        <w:tab/>
        <w:t>EIP:n palkkio</w:t>
      </w:r>
      <w:bookmarkEnd w:id="16"/>
      <w:r>
        <w:rPr>
          <w:noProof/>
        </w:rPr>
        <w:t xml:space="preserve"> </w:t>
      </w:r>
    </w:p>
    <w:p>
      <w:pPr>
        <w:rPr>
          <w:noProof/>
        </w:rPr>
      </w:pPr>
      <w:r>
        <w:rPr>
          <w:noProof/>
        </w:rPr>
        <w:t>EIP:n palkkio muodostuu hallinnointipalkkiosta ja takaisinperintämaksuista. Hallinnointipalkkio kattaa rahaston omaisuudenhoidon. Takaisinperintämaksut kattavat EIP:n ulkoiset perintäkulut, jotka koskevat EU:n takauksen piiriin kuuluvia takaisinmaksujen laiminlyöntejä unionin ulkopuolella toteutettavien EIP:n rahoitustoimien osalta.</w:t>
      </w:r>
    </w:p>
    <w:p>
      <w:pPr>
        <w:rPr>
          <w:noProof/>
        </w:rPr>
      </w:pPr>
      <w:r>
        <w:rPr>
          <w:noProof/>
        </w:rPr>
        <w:t>Sopimuksen toisessa täydennyksessä, joka on tehty 8. toukokuuta 2002, määrätään, että EIP:n hallinnointipalkkio lasketaan soveltamalla rahaston omaisuuden kuhunkin erään alenevaa vuosipalkkioprosenttia. Palkkio lasketaan rahaston vuotuisten varojen keskimääräisestä arvosta.</w:t>
      </w:r>
    </w:p>
    <w:p>
      <w:pPr>
        <w:rPr>
          <w:noProof/>
        </w:rPr>
      </w:pPr>
      <w:r>
        <w:rPr>
          <w:noProof/>
        </w:rPr>
        <w:t xml:space="preserve">Vuonna 2018 EIP:n hallinnointipalkkioksi vahvistettiin 894 626 euroa, joka merkittiin tuloslaskelmaan kuluihin ja kirjattiin taseeseen siirtovelkana. </w:t>
      </w:r>
    </w:p>
    <w:p>
      <w:pPr>
        <w:rPr>
          <w:rFonts w:ascii="Calibri" w:hAnsi="Calibri"/>
          <w:noProof/>
          <w:color w:val="000000"/>
          <w:sz w:val="22"/>
          <w:szCs w:val="22"/>
        </w:rPr>
      </w:pPr>
      <w:r>
        <w:rPr>
          <w:noProof/>
        </w:rPr>
        <w:t xml:space="preserve">Komission ja EIP:n välillä joulukuussa 2018 allekirjoitettu takaisinperintäsopimus koskee ainoastaan EIP:n ulkoisia (eikä enää sisäisiä) perintäkuluja. </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27896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360" w:hanging="360"/>
      </w:pPr>
      <w:r>
        <w:rPr>
          <w:rStyle w:val="FootnoteReference"/>
        </w:rPr>
        <w:footnoteRef/>
      </w:r>
      <w:r>
        <w:tab/>
        <w:t>EUVL L 145, 10.6.2009, s. 10. Asetuksella kodifioitiin ja kumottiin takuurahaston perustamisesta ulkosuhteisiin liittyville hankkeille 31 päivänä lokakuuta 1994 annettu asetus (EY, Euratom) N:o 2728/94. Sitä on muutettu 14.3.2018 Euroopan parlamentin ja neuvoston asetuksella (EU) 2018/409.</w:t>
      </w:r>
    </w:p>
  </w:footnote>
  <w:footnote w:id="2">
    <w:p>
      <w:pPr>
        <w:pStyle w:val="FootnoteText"/>
        <w:ind w:left="360" w:hanging="360"/>
      </w:pPr>
      <w:r>
        <w:rPr>
          <w:rStyle w:val="FootnoteReference"/>
        </w:rPr>
        <w:footnoteRef/>
      </w:r>
      <w:r>
        <w:tab/>
        <w:t>Täydennys N:o 5 Euroopan unionin ja Euroopan investointirahaston välisen takuurahaston hallinnointia koskevan sopimukseen – viite: Ares(2018)5207374, 10.10.2018.</w:t>
      </w:r>
    </w:p>
  </w:footnote>
  <w:footnote w:id="3">
    <w:p>
      <w:pPr>
        <w:pStyle w:val="FootnoteText"/>
        <w:ind w:left="360" w:hanging="360"/>
      </w:pPr>
      <w:r>
        <w:rPr>
          <w:rStyle w:val="FootnoteReference"/>
        </w:rPr>
        <w:footnoteRef/>
      </w:r>
      <w:r>
        <w:tab/>
        <w:t>Sopimusta on muutettu 23. syyskuuta 1996 tehdyllä täydennyksellä N:o 1, 8. toukokuuta 2002 tehdyllä täydennyksellä N:o 2, 25. helmikuuta 2008 tehdyllä täydennyksellä N:o 3, 9. lokakuuta 2010 tehdyllä täydennyksellä N:o 4 ja syyskuussa 2018 tehdyllä täydennyksellä N:o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33ABAE0"/>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8FFC5720"/>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EEC82E3C"/>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CDC48C4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634D4D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2F6906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1D6A4E8"/>
    <w:lvl w:ilvl="0">
      <w:start w:val="1"/>
      <w:numFmt w:val="decimal"/>
      <w:pStyle w:val="ListNumber"/>
      <w:lvlText w:val="%1."/>
      <w:lvlJc w:val="left"/>
      <w:pPr>
        <w:tabs>
          <w:tab w:val="num" w:pos="360"/>
        </w:tabs>
        <w:ind w:left="360" w:hanging="360"/>
      </w:pPr>
      <w:rPr>
        <w:rFonts w:cs="Times New Roman"/>
      </w:rPr>
    </w:lvl>
  </w:abstractNum>
  <w:abstractNum w:abstractNumId="7">
    <w:nsid w:val="00000003"/>
    <w:multiLevelType w:val="singleLevel"/>
    <w:tmpl w:val="00000003"/>
    <w:name w:val="WW8Num2"/>
    <w:lvl w:ilvl="0">
      <w:start w:val="1"/>
      <w:numFmt w:val="bullet"/>
      <w:lvlText w:val=""/>
      <w:lvlJc w:val="left"/>
      <w:pPr>
        <w:tabs>
          <w:tab w:val="num" w:pos="360"/>
        </w:tabs>
        <w:ind w:left="360" w:hanging="360"/>
      </w:pPr>
      <w:rPr>
        <w:rFonts w:ascii="Symbol" w:hAnsi="Symbol"/>
      </w:rPr>
    </w:lvl>
  </w:abstractNum>
  <w:abstractNum w:abstractNumId="8">
    <w:nsid w:val="0CB477BA"/>
    <w:multiLevelType w:val="multilevel"/>
    <w:tmpl w:val="9E247306"/>
    <w:lvl w:ilvl="0">
      <w:start w:val="1"/>
      <w:numFmt w:val="decimal"/>
      <w:lvlRestart w:val="0"/>
      <w:pStyle w:val="Heading1"/>
      <w:lvlText w:val="%1."/>
      <w:lvlJc w:val="left"/>
      <w:pPr>
        <w:tabs>
          <w:tab w:val="num" w:pos="850"/>
        </w:tabs>
        <w:ind w:left="850" w:hanging="850"/>
      </w:pPr>
      <w:rPr>
        <w:rFonts w:hint="default"/>
      </w:rPr>
    </w:lvl>
    <w:lvl w:ilvl="1">
      <w:start w:val="1"/>
      <w:numFmt w:val="decimal"/>
      <w:pStyle w:val="Heading2"/>
      <w:lvlText w:val="%1.%2."/>
      <w:lvlJc w:val="left"/>
      <w:pPr>
        <w:tabs>
          <w:tab w:val="num" w:pos="850"/>
        </w:tabs>
        <w:ind w:left="850" w:hanging="850"/>
      </w:pPr>
      <w:rPr>
        <w:rFonts w:hint="default"/>
      </w:rPr>
    </w:lvl>
    <w:lvl w:ilvl="2">
      <w:start w:val="1"/>
      <w:numFmt w:val="decimal"/>
      <w:pStyle w:val="Heading3"/>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F212747"/>
    <w:multiLevelType w:val="multilevel"/>
    <w:tmpl w:val="FBD0F488"/>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15592001"/>
    <w:multiLevelType w:val="singleLevel"/>
    <w:tmpl w:val="3C6C7C7E"/>
    <w:lvl w:ilvl="0">
      <w:start w:val="1"/>
      <w:numFmt w:val="bullet"/>
      <w:lvlRestart w:val="0"/>
      <w:lvlText w:val=""/>
      <w:lvlJc w:val="left"/>
      <w:pPr>
        <w:tabs>
          <w:tab w:val="num" w:pos="850"/>
        </w:tabs>
        <w:ind w:left="850" w:hanging="850"/>
      </w:pPr>
      <w:rPr>
        <w:rFonts w:ascii="Symbol" w:hAnsi="Symbol" w:hint="default"/>
      </w:rPr>
    </w:lvl>
  </w:abstractNum>
  <w:abstractNum w:abstractNumId="11">
    <w:nsid w:val="2AF76E7A"/>
    <w:multiLevelType w:val="singleLevel"/>
    <w:tmpl w:val="C74C5A32"/>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2">
    <w:nsid w:val="2F076C74"/>
    <w:multiLevelType w:val="multilevel"/>
    <w:tmpl w:val="72EA1244"/>
    <w:lvl w:ilvl="0">
      <w:start w:val="1"/>
      <w:numFmt w:val="bullet"/>
      <w:lvlText w:val=""/>
      <w:lvlJc w:val="left"/>
      <w:pPr>
        <w:tabs>
          <w:tab w:val="num" w:pos="850"/>
        </w:tabs>
        <w:ind w:left="850" w:hanging="850"/>
      </w:pPr>
      <w:rPr>
        <w:rFonts w:ascii="Symbol" w:hAnsi="Symbol" w:hint="default"/>
      </w:rPr>
    </w:lvl>
    <w:lvl w:ilvl="1">
      <w:start w:val="1"/>
      <w:numFmt w:val="lowerLetter"/>
      <w:lvlText w:val="(%2)"/>
      <w:lvlJc w:val="left"/>
      <w:pPr>
        <w:tabs>
          <w:tab w:val="num" w:pos="850"/>
        </w:tabs>
        <w:ind w:left="850" w:hanging="850"/>
      </w:pPr>
      <w:rPr>
        <w:rFonts w:cs="Times New Roman"/>
      </w:rPr>
    </w:lvl>
    <w:lvl w:ilvl="2">
      <w:start w:val="1"/>
      <w:numFmt w:val="decimal"/>
      <w:lvlText w:val="(%3)"/>
      <w:lvlJc w:val="left"/>
      <w:pPr>
        <w:tabs>
          <w:tab w:val="num" w:pos="1417"/>
        </w:tabs>
        <w:ind w:left="1417" w:hanging="567"/>
      </w:pPr>
      <w:rPr>
        <w:rFonts w:cs="Times New Roman"/>
      </w:rPr>
    </w:lvl>
    <w:lvl w:ilvl="3">
      <w:start w:val="1"/>
      <w:numFmt w:val="lowerLetter"/>
      <w:lvlText w:val="(%4)"/>
      <w:lvlJc w:val="left"/>
      <w:pPr>
        <w:tabs>
          <w:tab w:val="num" w:pos="1417"/>
        </w:tabs>
        <w:ind w:left="1417" w:hanging="567"/>
      </w:pPr>
      <w:rPr>
        <w:rFonts w:cs="Times New Roman"/>
      </w:rPr>
    </w:lvl>
    <w:lvl w:ilvl="4">
      <w:start w:val="1"/>
      <w:numFmt w:val="decimal"/>
      <w:lvlText w:val="(%5)"/>
      <w:lvlJc w:val="left"/>
      <w:pPr>
        <w:tabs>
          <w:tab w:val="num" w:pos="1984"/>
        </w:tabs>
        <w:ind w:left="1984" w:hanging="567"/>
      </w:pPr>
      <w:rPr>
        <w:rFonts w:cs="Times New Roman"/>
      </w:rPr>
    </w:lvl>
    <w:lvl w:ilvl="5">
      <w:start w:val="1"/>
      <w:numFmt w:val="lowerLetter"/>
      <w:lvlText w:val="(%6)"/>
      <w:lvlJc w:val="left"/>
      <w:pPr>
        <w:tabs>
          <w:tab w:val="num" w:pos="1984"/>
        </w:tabs>
        <w:ind w:left="1984" w:hanging="567"/>
      </w:pPr>
      <w:rPr>
        <w:rFonts w:cs="Times New Roman"/>
      </w:rPr>
    </w:lvl>
    <w:lvl w:ilvl="6">
      <w:start w:val="1"/>
      <w:numFmt w:val="decimal"/>
      <w:lvlText w:val="(%7)"/>
      <w:lvlJc w:val="left"/>
      <w:pPr>
        <w:tabs>
          <w:tab w:val="num" w:pos="2551"/>
        </w:tabs>
        <w:ind w:left="2551" w:hanging="567"/>
      </w:pPr>
      <w:rPr>
        <w:rFonts w:cs="Times New Roman"/>
      </w:rPr>
    </w:lvl>
    <w:lvl w:ilvl="7">
      <w:start w:val="1"/>
      <w:numFmt w:val="lowerLetter"/>
      <w:lvlText w:val="(%8)"/>
      <w:lvlJc w:val="left"/>
      <w:pPr>
        <w:tabs>
          <w:tab w:val="num" w:pos="2551"/>
        </w:tabs>
        <w:ind w:left="2551" w:hanging="567"/>
      </w:pPr>
      <w:rPr>
        <w:rFonts w:cs="Times New Roman"/>
      </w:rPr>
    </w:lvl>
    <w:lvl w:ilvl="8">
      <w:start w:val="1"/>
      <w:numFmt w:val="lowerLetter"/>
      <w:lvlText w:val="(%9)"/>
      <w:lvlJc w:val="left"/>
      <w:pPr>
        <w:tabs>
          <w:tab w:val="num" w:pos="3118"/>
        </w:tabs>
        <w:ind w:left="3118" w:hanging="567"/>
      </w:pPr>
      <w:rPr>
        <w:rFonts w:cs="Times New Roman"/>
      </w:rPr>
    </w:lvl>
  </w:abstractNum>
  <w:abstractNum w:abstractNumId="13">
    <w:nsid w:val="3A5459E8"/>
    <w:multiLevelType w:val="singleLevel"/>
    <w:tmpl w:val="2188C922"/>
    <w:name w:val="Tiret 1"/>
    <w:lvl w:ilvl="0">
      <w:start w:val="1"/>
      <w:numFmt w:val="bullet"/>
      <w:lvlRestart w:val="0"/>
      <w:pStyle w:val="Tiret1"/>
      <w:lvlText w:val="–"/>
      <w:lvlJc w:val="left"/>
      <w:pPr>
        <w:tabs>
          <w:tab w:val="num" w:pos="1417"/>
        </w:tabs>
        <w:ind w:left="1417" w:hanging="567"/>
      </w:pPr>
    </w:lvl>
  </w:abstractNum>
  <w:abstractNum w:abstractNumId="14">
    <w:nsid w:val="3BA736C9"/>
    <w:multiLevelType w:val="singleLevel"/>
    <w:tmpl w:val="F00A6C0C"/>
    <w:name w:val="Tiret 0"/>
    <w:lvl w:ilvl="0">
      <w:start w:val="1"/>
      <w:numFmt w:val="bullet"/>
      <w:lvlRestart w:val="0"/>
      <w:pStyle w:val="Tiret0"/>
      <w:lvlText w:val="–"/>
      <w:lvlJc w:val="left"/>
      <w:pPr>
        <w:tabs>
          <w:tab w:val="num" w:pos="850"/>
        </w:tabs>
        <w:ind w:left="850" w:hanging="850"/>
      </w:pPr>
    </w:lvl>
  </w:abstractNum>
  <w:abstractNum w:abstractNumId="15">
    <w:nsid w:val="3C90278F"/>
    <w:multiLevelType w:val="singleLevel"/>
    <w:tmpl w:val="0FE08974"/>
    <w:name w:val="Tiret 3"/>
    <w:lvl w:ilvl="0">
      <w:start w:val="1"/>
      <w:numFmt w:val="bullet"/>
      <w:lvlRestart w:val="0"/>
      <w:pStyle w:val="Tiret3"/>
      <w:lvlText w:val="–"/>
      <w:lvlJc w:val="left"/>
      <w:pPr>
        <w:tabs>
          <w:tab w:val="num" w:pos="2551"/>
        </w:tabs>
        <w:ind w:left="2551" w:hanging="567"/>
      </w:pPr>
    </w:lvl>
  </w:abstractNum>
  <w:abstractNum w:abstractNumId="16">
    <w:nsid w:val="40FF3500"/>
    <w:multiLevelType w:val="singleLevel"/>
    <w:tmpl w:val="84DA1EE8"/>
    <w:name w:val="Default"/>
    <w:lvl w:ilvl="0">
      <w:start w:val="1"/>
      <w:numFmt w:val="bullet"/>
      <w:lvlRestart w:val="0"/>
      <w:lvlText w:val=""/>
      <w:lvlJc w:val="left"/>
      <w:pPr>
        <w:tabs>
          <w:tab w:val="num" w:pos="1417"/>
        </w:tabs>
        <w:ind w:left="1417" w:hanging="567"/>
      </w:pPr>
      <w:rPr>
        <w:rFonts w:ascii="Symbol" w:hAnsi="Symbol" w:hint="default"/>
      </w:rPr>
    </w:lvl>
  </w:abstractNum>
  <w:abstractNum w:abstractNumId="17">
    <w:nsid w:val="43001DEE"/>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8842C30"/>
    <w:multiLevelType w:val="singleLevel"/>
    <w:tmpl w:val="4FA60B9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4593082"/>
    <w:multiLevelType w:val="singleLevel"/>
    <w:tmpl w:val="EDE069AC"/>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nsid w:val="568864DC"/>
    <w:multiLevelType w:val="singleLevel"/>
    <w:tmpl w:val="485EBDAC"/>
    <w:name w:val="Tiret 4"/>
    <w:lvl w:ilvl="0">
      <w:start w:val="1"/>
      <w:numFmt w:val="bullet"/>
      <w:lvlRestart w:val="0"/>
      <w:pStyle w:val="Tiret4"/>
      <w:lvlText w:val="–"/>
      <w:lvlJc w:val="left"/>
      <w:pPr>
        <w:tabs>
          <w:tab w:val="num" w:pos="3118"/>
        </w:tabs>
        <w:ind w:left="3118" w:hanging="567"/>
      </w:pPr>
    </w:lvl>
  </w:abstractNum>
  <w:abstractNum w:abstractNumId="21">
    <w:nsid w:val="5D432F82"/>
    <w:multiLevelType w:val="hybridMultilevel"/>
    <w:tmpl w:val="5F78F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342530"/>
    <w:multiLevelType w:val="singleLevel"/>
    <w:tmpl w:val="D5444702"/>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3">
    <w:nsid w:val="5F9C40AA"/>
    <w:multiLevelType w:val="singleLevel"/>
    <w:tmpl w:val="B89CB5A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62970F71"/>
    <w:multiLevelType w:val="singleLevel"/>
    <w:tmpl w:val="5AFA8C72"/>
    <w:name w:val="Tiret 2"/>
    <w:lvl w:ilvl="0">
      <w:start w:val="1"/>
      <w:numFmt w:val="bullet"/>
      <w:lvlRestart w:val="0"/>
      <w:pStyle w:val="Tiret2"/>
      <w:lvlText w:val="–"/>
      <w:lvlJc w:val="left"/>
      <w:pPr>
        <w:tabs>
          <w:tab w:val="num" w:pos="1984"/>
        </w:tabs>
        <w:ind w:left="1984" w:hanging="567"/>
      </w:pPr>
    </w:lvl>
  </w:abstractNum>
  <w:abstractNum w:abstractNumId="25">
    <w:nsid w:val="63B26268"/>
    <w:multiLevelType w:val="singleLevel"/>
    <w:tmpl w:val="491E6360"/>
    <w:name w:val="Heading"/>
    <w:lvl w:ilvl="0">
      <w:start w:val="1"/>
      <w:numFmt w:val="decimal"/>
      <w:lvlRestart w:val="0"/>
      <w:lvlText w:val="(%1)"/>
      <w:lvlJc w:val="left"/>
      <w:pPr>
        <w:tabs>
          <w:tab w:val="num" w:pos="709"/>
        </w:tabs>
        <w:ind w:left="709" w:hanging="709"/>
      </w:pPr>
      <w:rPr>
        <w:rFonts w:cs="Times New Roman"/>
      </w:rPr>
    </w:lvl>
  </w:abstractNum>
  <w:abstractNum w:abstractNumId="26">
    <w:nsid w:val="69995580"/>
    <w:multiLevelType w:val="singleLevel"/>
    <w:tmpl w:val="75CC7CBA"/>
    <w:name w:val="Considérant"/>
    <w:lvl w:ilvl="0">
      <w:start w:val="1"/>
      <w:numFmt w:val="decimal"/>
      <w:lvlRestart w:val="0"/>
      <w:pStyle w:val="Considrant"/>
      <w:lvlText w:val="(%1)"/>
      <w:lvlJc w:val="left"/>
      <w:pPr>
        <w:tabs>
          <w:tab w:val="num" w:pos="709"/>
        </w:tabs>
        <w:ind w:left="709" w:hanging="709"/>
      </w:pPr>
    </w:lvl>
  </w:abstractNum>
  <w:abstractNum w:abstractNumId="27">
    <w:nsid w:val="6D2B5511"/>
    <w:multiLevelType w:val="singleLevel"/>
    <w:tmpl w:val="74A09970"/>
    <w:name w:val="0.6452252"/>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28">
    <w:nsid w:val="7BE95D7F"/>
    <w:multiLevelType w:val="multilevel"/>
    <w:tmpl w:val="F126F780"/>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19"/>
  </w:num>
  <w:num w:numId="2">
    <w:abstractNumId w:val="11"/>
  </w:num>
  <w:num w:numId="3">
    <w:abstractNumId w:val="23"/>
  </w:num>
  <w:num w:numId="4">
    <w:abstractNumId w:val="22"/>
  </w:num>
  <w:num w:numId="5">
    <w:abstractNumId w:val="18"/>
  </w:num>
  <w:num w:numId="6">
    <w:abstractNumId w:val="26"/>
  </w:num>
  <w:num w:numId="7">
    <w:abstractNumId w:val="28"/>
  </w:num>
  <w:num w:numId="8">
    <w:abstractNumId w:val="14"/>
  </w:num>
  <w:num w:numId="9">
    <w:abstractNumId w:val="13"/>
  </w:num>
  <w:num w:numId="10">
    <w:abstractNumId w:val="24"/>
  </w:num>
  <w:num w:numId="11">
    <w:abstractNumId w:val="15"/>
  </w:num>
  <w:num w:numId="12">
    <w:abstractNumId w:val="20"/>
  </w:num>
  <w:num w:numId="13">
    <w:abstractNumId w:val="12"/>
  </w:num>
  <w:num w:numId="14">
    <w:abstractNumId w:val="10"/>
  </w:num>
  <w:num w:numId="15">
    <w:abstractNumId w:val="27"/>
  </w:num>
  <w:num w:numId="16">
    <w:abstractNumId w:val="5"/>
  </w:num>
  <w:num w:numId="17">
    <w:abstractNumId w:val="4"/>
  </w:num>
  <w:num w:numId="18">
    <w:abstractNumId w:val="3"/>
  </w:num>
  <w:num w:numId="19">
    <w:abstractNumId w:val="6"/>
  </w:num>
  <w:num w:numId="20">
    <w:abstractNumId w:val="2"/>
  </w:num>
  <w:num w:numId="21">
    <w:abstractNumId w:val="1"/>
  </w:num>
  <w:num w:numId="22">
    <w:abstractNumId w:val="0"/>
  </w:num>
  <w:num w:numId="23">
    <w:abstractNumId w:val="17"/>
  </w:num>
  <w:num w:numId="24">
    <w:abstractNumId w:val="8"/>
  </w:num>
  <w:num w:numId="25">
    <w:abstractNumId w:val="8"/>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1"/>
  </w:num>
  <w:num w:numId="28">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6C2A7AE-D2D4-4C26-9B80-2F4B14D31AB6"/>
    <w:docVar w:name="LW_COVERPAGE_TYPE" w:val="1"/>
    <w:docVar w:name="LW_CROSSREFERENCE" w:val="{SWD(2019) 314 final}"/>
    <w:docVar w:name="LW_DocType" w:val="NORMAL"/>
    <w:docVar w:name="LW_EMISSION" w:val="5.8.2019"/>
    <w:docVar w:name="LW_EMISSION_ISODATE" w:val="2019-08-05"/>
    <w:docVar w:name="LW_EMISSION_LOCATION" w:val="BRX"/>
    <w:docVar w:name="LW_EMISSION_PREFIX" w:val="Bryssel "/>
    <w:docVar w:name="LW_EMISSION_SUFFIX" w:val=" "/>
    <w:docVar w:name="LW_ID_DOCTYPE_NONLW" w:val="CP-006"/>
    <w:docVar w:name="LW_LANGUE" w:val="FI"/>
    <w:docVar w:name="LW_LEVEL_OF_SENSITIVITY" w:val="Standard treatment"/>
    <w:docVar w:name="LW_NOM.INST" w:val="EUROOPAN KOMISSIO"/>
    <w:docVar w:name="LW_NOM.INST_JOINTDOC" w:val="&lt;EMPTY&gt;"/>
    <w:docVar w:name="LW_PART_NBR" w:val="1"/>
    <w:docVar w:name="LW_PART_NBR_TOTAL" w:val="1"/>
    <w:docVar w:name="LW_REF.INST.NEW" w:val="COM"/>
    <w:docVar w:name="LW_REF.INST.NEW_ADOPTED" w:val="final"/>
    <w:docVar w:name="LW_REF.INST.NEW_TEXT" w:val="(2019) 36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ULKOSUHTEISIIN LIITTYVIEN HANKKEIDEN TAKUURAHASTO JA SEN HALLINNOINTI VUONNA 2018"/>
    <w:docVar w:name="LW_TYPE.DOC.CP" w:val="KOMISSION KERTOMUS EUROOPAN PARLAMENTILLE JA NEUVOSTOLL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sz w:val="24"/>
      <w:szCs w:val="24"/>
      <w:lang w:eastAsia="en-US"/>
    </w:rPr>
  </w:style>
  <w:style w:type="paragraph" w:styleId="Heading1">
    <w:name w:val="heading 1"/>
    <w:basedOn w:val="Normal"/>
    <w:next w:val="Normal"/>
    <w:qFormat/>
    <w:pPr>
      <w:keepNext/>
      <w:numPr>
        <w:numId w:val="24"/>
      </w:numPr>
      <w:spacing w:before="360"/>
      <w:outlineLvl w:val="0"/>
    </w:pPr>
    <w:rPr>
      <w:b/>
      <w:bCs/>
      <w:smallCaps/>
      <w:szCs w:val="32"/>
    </w:rPr>
  </w:style>
  <w:style w:type="paragraph" w:styleId="Heading2">
    <w:name w:val="heading 2"/>
    <w:basedOn w:val="Normal"/>
    <w:next w:val="Normal"/>
    <w:qFormat/>
    <w:pPr>
      <w:keepNext/>
      <w:numPr>
        <w:ilvl w:val="1"/>
        <w:numId w:val="24"/>
      </w:numPr>
      <w:outlineLvl w:val="1"/>
    </w:pPr>
    <w:rPr>
      <w:b/>
      <w:bCs/>
      <w:iCs/>
      <w:szCs w:val="28"/>
    </w:rPr>
  </w:style>
  <w:style w:type="paragraph" w:styleId="Heading3">
    <w:name w:val="heading 3"/>
    <w:basedOn w:val="Normal"/>
    <w:next w:val="Normal"/>
    <w:link w:val="Heading3Char"/>
    <w:autoRedefine/>
    <w:qFormat/>
    <w:pPr>
      <w:keepNext/>
      <w:numPr>
        <w:ilvl w:val="2"/>
        <w:numId w:val="24"/>
      </w:numPr>
      <w:outlineLvl w:val="2"/>
    </w:pPr>
    <w:rPr>
      <w:bCs/>
      <w:i/>
      <w:szCs w:val="26"/>
    </w:rPr>
  </w:style>
  <w:style w:type="paragraph" w:styleId="Heading4">
    <w:name w:val="heading 4"/>
    <w:basedOn w:val="Normal"/>
    <w:next w:val="Normal"/>
    <w:link w:val="Heading4Char"/>
    <w:qFormat/>
    <w:pPr>
      <w:keepNext/>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ompagnant">
    <w:name w:val="Accompagnant"/>
    <w:basedOn w:val="Normal"/>
    <w:next w:val="Normal"/>
    <w:pPr>
      <w:spacing w:before="0" w:after="240"/>
      <w:jc w:val="center"/>
    </w:pPr>
    <w:rPr>
      <w:b/>
      <w:i/>
    </w:rPr>
  </w:style>
  <w:style w:type="paragraph" w:customStyle="1" w:styleId="AccompagnantPagedecouverture">
    <w:name w:val="Accompagnant (Page de couverture)"/>
    <w:basedOn w:val="Accompagnant"/>
    <w:next w:val="Normal"/>
  </w:style>
  <w:style w:type="character" w:customStyle="1" w:styleId="Added">
    <w:name w:val="Added"/>
    <w:rPr>
      <w:b/>
      <w:u w:val="single"/>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Annexetitre">
    <w:name w:val="Annexe titre"/>
    <w:basedOn w:val="Normal"/>
    <w:next w:val="Normal"/>
    <w:pPr>
      <w:jc w:val="center"/>
    </w:pPr>
    <w:rPr>
      <w:b/>
      <w:u w:val="single"/>
    </w:rPr>
  </w:style>
  <w:style w:type="paragraph" w:customStyle="1" w:styleId="Annexetitreexpos">
    <w:name w:val="Annexe titre (exposé)"/>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Normal"/>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Bullet0">
    <w:name w:val="Bullet 0"/>
    <w:basedOn w:val="Normal"/>
    <w:pPr>
      <w:numPr>
        <w:numId w:val="1"/>
      </w:numPr>
    </w:pPr>
  </w:style>
  <w:style w:type="paragraph" w:customStyle="1" w:styleId="Bullet1">
    <w:name w:val="Bullet 1"/>
    <w:basedOn w:val="Normal"/>
    <w:pPr>
      <w:numPr>
        <w:numId w:val="2"/>
      </w:numPr>
    </w:pPr>
  </w:style>
  <w:style w:type="paragraph" w:customStyle="1" w:styleId="Bullet2">
    <w:name w:val="Bullet 2"/>
    <w:basedOn w:val="Normal"/>
    <w:pPr>
      <w:numPr>
        <w:numId w:val="3"/>
      </w:numPr>
    </w:pPr>
  </w:style>
  <w:style w:type="paragraph" w:customStyle="1" w:styleId="Bullet3">
    <w:name w:val="Bullet 3"/>
    <w:basedOn w:val="Normal"/>
    <w:pPr>
      <w:numPr>
        <w:numId w:val="4"/>
      </w:numPr>
    </w:pPr>
  </w:style>
  <w:style w:type="paragraph" w:customStyle="1" w:styleId="Bullet4">
    <w:name w:val="Bullet 4"/>
    <w:basedOn w:val="Normal"/>
    <w:pPr>
      <w:numPr>
        <w:numId w:val="5"/>
      </w:numPr>
    </w:pPr>
  </w:style>
  <w:style w:type="paragraph" w:customStyle="1" w:styleId="ChapterTitle">
    <w:name w:val="ChapterTitle"/>
    <w:basedOn w:val="Normal"/>
    <w:next w:val="Normal"/>
    <w:pPr>
      <w:keepNext/>
      <w:spacing w:after="360"/>
      <w:jc w:val="center"/>
    </w:pPr>
    <w:rPr>
      <w:b/>
      <w:sz w:val="32"/>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Normal"/>
    <w:pPr>
      <w:spacing w:before="240" w:after="240"/>
      <w:ind w:left="5103"/>
    </w:pPr>
    <w:rPr>
      <w:u w:val="single"/>
    </w:rPr>
  </w:style>
  <w:style w:type="paragraph" w:customStyle="1" w:styleId="Considrant">
    <w:name w:val="Considérant"/>
    <w:basedOn w:val="Normal"/>
    <w:pPr>
      <w:numPr>
        <w:numId w:val="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Normal"/>
    <w:pPr>
      <w:spacing w:before="360" w:after="0"/>
      <w:jc w:val="center"/>
    </w:pPr>
    <w:rPr>
      <w:b/>
    </w:rPr>
  </w:style>
  <w:style w:type="paragraph" w:customStyle="1" w:styleId="DatedadoptionPagedecouverture">
    <w:name w:val="Date d'adoption (Page de couverture)"/>
    <w:basedOn w:val="Datedadoption"/>
    <w:next w:val="Normal"/>
  </w:style>
  <w:style w:type="character" w:customStyle="1" w:styleId="Deleted">
    <w:name w:val="Deleted"/>
    <w:rPr>
      <w:strike/>
      <w:shd w:val="clear" w:color="auto" w:fill="auto"/>
    </w:rPr>
  </w:style>
  <w:style w:type="paragraph" w:customStyle="1" w:styleId="Emission">
    <w:name w:val="Emission"/>
    <w:basedOn w:val="Normal"/>
    <w:next w:val="Normal"/>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Normal"/>
    <w:pPr>
      <w:keepNext/>
      <w:spacing w:after="0"/>
    </w:pPr>
  </w:style>
  <w:style w:type="paragraph" w:customStyle="1" w:styleId="Fichefinanciretitre">
    <w:name w:val="Fiche financière titre"/>
    <w:basedOn w:val="Normal"/>
    <w:next w:val="Normal"/>
    <w:pPr>
      <w:jc w:val="center"/>
    </w:pPr>
    <w:rPr>
      <w:b/>
      <w:u w:val="singl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Calibri"/>
      <w:szCs w:val="2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Calibri"/>
      <w:szCs w:val="22"/>
    </w:rPr>
  </w:style>
  <w:style w:type="character" w:styleId="FootnoteReference">
    <w:name w:val="footnote reference"/>
    <w:uiPriority w:val="99"/>
    <w:rPr>
      <w:shd w:val="clear" w:color="auto" w:fill="auto"/>
      <w:vertAlign w:val="superscript"/>
    </w:rPr>
  </w:style>
  <w:style w:type="paragraph" w:styleId="FootnoteText">
    <w:name w:val="footnote text"/>
    <w:basedOn w:val="Normal"/>
    <w:link w:val="FootnoteTextChar"/>
    <w:uiPriority w:val="99"/>
    <w:pPr>
      <w:spacing w:before="0" w:after="0"/>
      <w:ind w:left="720" w:hanging="720"/>
    </w:pPr>
    <w:rPr>
      <w:sz w:val="20"/>
      <w:szCs w:val="20"/>
    </w:rPr>
  </w:style>
  <w:style w:type="paragraph" w:customStyle="1" w:styleId="Formuledadoption">
    <w:name w:val="Formule d'adoption"/>
    <w:basedOn w:val="Normal"/>
    <w:next w:val="Normal"/>
    <w:pPr>
      <w:keepNext/>
    </w:pPr>
  </w:style>
  <w:style w:type="paragraph" w:styleId="Header">
    <w:name w:val="header"/>
    <w:basedOn w:val="Normal"/>
    <w:link w:val="HeaderChar"/>
    <w:uiPriority w:val="99"/>
    <w:unhideWhenUsed/>
    <w:pPr>
      <w:tabs>
        <w:tab w:val="center" w:pos="4535"/>
        <w:tab w:val="right" w:pos="9071"/>
      </w:tabs>
      <w:spacing w:before="0"/>
    </w:pPr>
    <w:rPr>
      <w:rFonts w:eastAsia="Calibri"/>
      <w:szCs w:val="22"/>
    </w:rPr>
  </w:style>
  <w:style w:type="paragraph" w:customStyle="1" w:styleId="HeaderLandscape">
    <w:name w:val="HeaderLandscape"/>
    <w:basedOn w:val="Normal"/>
    <w:pPr>
      <w:tabs>
        <w:tab w:val="center" w:pos="7285"/>
        <w:tab w:val="right" w:pos="14003"/>
      </w:tabs>
      <w:spacing w:before="0"/>
    </w:pPr>
    <w:rPr>
      <w:rFonts w:eastAsia="Calibri"/>
      <w:szCs w:val="22"/>
    </w:r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Normal"/>
    <w:pPr>
      <w:keepNext/>
      <w:tabs>
        <w:tab w:val="left" w:pos="4252"/>
      </w:tabs>
      <w:spacing w:before="720" w:after="0"/>
    </w:pPr>
    <w:rPr>
      <w:i/>
    </w:rPr>
  </w:style>
  <w:style w:type="paragraph" w:customStyle="1" w:styleId="Languesfaisantfoi">
    <w:name w:val="Langues faisant foi"/>
    <w:basedOn w:val="Normal"/>
    <w:next w:val="Normal"/>
    <w:pPr>
      <w:spacing w:before="360" w:after="0"/>
      <w:jc w:val="center"/>
    </w:pPr>
  </w:style>
  <w:style w:type="paragraph" w:customStyle="1" w:styleId="IntrtEEE">
    <w:name w:val="Intérêt EEE"/>
    <w:basedOn w:val="Languesfaisantfoi"/>
    <w:next w:val="Normal"/>
    <w:pPr>
      <w:spacing w:after="240"/>
    </w:pPr>
  </w:style>
  <w:style w:type="paragraph" w:customStyle="1" w:styleId="IntrtEEEPagedecouverture">
    <w:name w:val="Intérêt EEE (Page de couverture)"/>
    <w:basedOn w:val="IntrtEEE"/>
    <w:next w:val="Normal"/>
  </w:style>
  <w:style w:type="paragraph" w:customStyle="1" w:styleId="Langue">
    <w:name w:val="Langue"/>
    <w:basedOn w:val="Normal"/>
    <w:next w:val="Normal"/>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pPr>
      <w:spacing w:before="360" w:after="0"/>
      <w:jc w:val="center"/>
    </w:pPr>
  </w:style>
  <w:style w:type="paragraph" w:customStyle="1" w:styleId="ManualConsidrant">
    <w:name w:val="Manual Considérant"/>
    <w:basedOn w:val="Normal"/>
    <w:pPr>
      <w:ind w:left="709" w:hanging="709"/>
    </w:pPr>
  </w:style>
  <w:style w:type="paragraph" w:customStyle="1" w:styleId="ManualHeading1">
    <w:name w:val="Manual Heading 1"/>
    <w:basedOn w:val="Normal"/>
    <w:next w:val="Normal"/>
    <w:pPr>
      <w:keepNext/>
      <w:tabs>
        <w:tab w:val="left" w:pos="850"/>
      </w:tabs>
      <w:spacing w:before="360"/>
      <w:ind w:left="850" w:hanging="850"/>
      <w:outlineLvl w:val="0"/>
    </w:pPr>
    <w:rPr>
      <w:b/>
      <w:smallCaps/>
    </w:rPr>
  </w:style>
  <w:style w:type="paragraph" w:customStyle="1" w:styleId="ManualHeading2">
    <w:name w:val="Manual Heading 2"/>
    <w:basedOn w:val="Normal"/>
    <w:next w:val="Normal"/>
    <w:pPr>
      <w:keepNext/>
      <w:tabs>
        <w:tab w:val="left" w:pos="850"/>
      </w:tabs>
      <w:ind w:left="850" w:hanging="850"/>
      <w:outlineLvl w:val="1"/>
    </w:pPr>
    <w:rPr>
      <w:b/>
    </w:rPr>
  </w:style>
  <w:style w:type="paragraph" w:customStyle="1" w:styleId="ManualHeading3">
    <w:name w:val="Manual Heading 3"/>
    <w:basedOn w:val="Normal"/>
    <w:next w:val="Normal"/>
    <w:pPr>
      <w:keepNext/>
      <w:tabs>
        <w:tab w:val="left" w:pos="850"/>
      </w:tabs>
      <w:ind w:left="850" w:hanging="850"/>
      <w:outlineLvl w:val="2"/>
    </w:pPr>
    <w:rPr>
      <w:i/>
    </w:rPr>
  </w:style>
  <w:style w:type="paragraph" w:customStyle="1" w:styleId="ManualHeading4">
    <w:name w:val="Manual Heading 4"/>
    <w:basedOn w:val="Normal"/>
    <w:next w:val="Normal"/>
    <w:pPr>
      <w:keepNext/>
      <w:tabs>
        <w:tab w:val="left" w:pos="850"/>
      </w:tabs>
      <w:ind w:left="850" w:hanging="850"/>
      <w:outlineLvl w:val="3"/>
    </w:pPr>
  </w:style>
  <w:style w:type="paragraph" w:customStyle="1" w:styleId="ManualNumPar1">
    <w:name w:val="Manual NumPar 1"/>
    <w:basedOn w:val="Normal"/>
    <w:next w:val="Normal"/>
    <w:pPr>
      <w:ind w:left="850" w:hanging="850"/>
    </w:pPr>
  </w:style>
  <w:style w:type="paragraph" w:customStyle="1" w:styleId="ManualNumPar2">
    <w:name w:val="Manual NumPar 2"/>
    <w:basedOn w:val="Normal"/>
    <w:next w:val="Normal"/>
    <w:pPr>
      <w:ind w:left="850" w:hanging="850"/>
    </w:pPr>
  </w:style>
  <w:style w:type="paragraph" w:customStyle="1" w:styleId="ManualNumPar3">
    <w:name w:val="Manual NumPar 3"/>
    <w:basedOn w:val="Normal"/>
    <w:next w:val="Normal"/>
    <w:pPr>
      <w:ind w:left="850" w:hanging="850"/>
    </w:pPr>
  </w:style>
  <w:style w:type="paragraph" w:customStyle="1" w:styleId="ManualNumPar4">
    <w:name w:val="Manual NumPar 4"/>
    <w:basedOn w:val="Normal"/>
    <w:next w:val="Normal"/>
    <w:pPr>
      <w:ind w:left="850" w:hanging="850"/>
    </w:p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NumPar1">
    <w:name w:val="NumPar 1"/>
    <w:basedOn w:val="Normal"/>
    <w:next w:val="Normal"/>
    <w:pPr>
      <w:numPr>
        <w:numId w:val="23"/>
      </w:numPr>
    </w:pPr>
  </w:style>
  <w:style w:type="paragraph" w:customStyle="1" w:styleId="NumPar2">
    <w:name w:val="NumPar 2"/>
    <w:basedOn w:val="Normal"/>
    <w:next w:val="Normal"/>
    <w:pPr>
      <w:numPr>
        <w:ilvl w:val="1"/>
        <w:numId w:val="23"/>
      </w:numPr>
    </w:pPr>
  </w:style>
  <w:style w:type="paragraph" w:customStyle="1" w:styleId="NumPar3">
    <w:name w:val="NumPar 3"/>
    <w:basedOn w:val="Normal"/>
    <w:next w:val="Normal"/>
    <w:pPr>
      <w:numPr>
        <w:ilvl w:val="2"/>
        <w:numId w:val="23"/>
      </w:numPr>
    </w:pPr>
  </w:style>
  <w:style w:type="paragraph" w:customStyle="1" w:styleId="NumPar4">
    <w:name w:val="NumPar 4"/>
    <w:basedOn w:val="Normal"/>
    <w:next w:val="Normal"/>
    <w:pPr>
      <w:numPr>
        <w:ilvl w:val="3"/>
        <w:numId w:val="23"/>
      </w:numPr>
    </w:pPr>
  </w:style>
  <w:style w:type="paragraph" w:customStyle="1" w:styleId="Objetacteprincipal">
    <w:name w:val="Objet acte principal"/>
    <w:basedOn w:val="Normal"/>
    <w:next w:val="Normal"/>
    <w:pPr>
      <w:spacing w:before="0" w:after="360"/>
      <w:jc w:val="center"/>
    </w:pPr>
    <w:rPr>
      <w:b/>
    </w:rPr>
  </w:style>
  <w:style w:type="paragraph" w:customStyle="1" w:styleId="ObjetacteprincipalPagedecouverture">
    <w:name w:val="Objet acte principal (Page de couverture)"/>
    <w:basedOn w:val="Objetacteprincipal"/>
    <w:next w:val="Normal"/>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style>
  <w:style w:type="paragraph" w:customStyle="1" w:styleId="PartTitle">
    <w:name w:val="PartTitle"/>
    <w:basedOn w:val="Normal"/>
    <w:next w:val="ChapterTitle"/>
    <w:pPr>
      <w:keepNext/>
      <w:pageBreakBefore/>
      <w:spacing w:after="360"/>
      <w:jc w:val="center"/>
    </w:pPr>
    <w:rPr>
      <w:b/>
      <w:sz w:val="36"/>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Point0">
    <w:name w:val="Point 0"/>
    <w:basedOn w:val="Normal"/>
    <w:pPr>
      <w:ind w:left="850" w:hanging="850"/>
    </w:pPr>
  </w:style>
  <w:style w:type="paragraph" w:customStyle="1" w:styleId="Point0letter">
    <w:name w:val="Point 0 (letter)"/>
    <w:basedOn w:val="Normal"/>
  </w:style>
  <w:style w:type="paragraph" w:customStyle="1" w:styleId="Point0number">
    <w:name w:val="Point 0 (number)"/>
    <w:basedOn w:val="Normal"/>
  </w:style>
  <w:style w:type="paragraph" w:customStyle="1" w:styleId="Point1">
    <w:name w:val="Point 1"/>
    <w:basedOn w:val="Normal"/>
    <w:pPr>
      <w:ind w:left="1417" w:hanging="567"/>
    </w:pPr>
  </w:style>
  <w:style w:type="paragraph" w:customStyle="1" w:styleId="Point1letter">
    <w:name w:val="Point 1 (letter)"/>
    <w:basedOn w:val="Normal"/>
  </w:style>
  <w:style w:type="paragraph" w:customStyle="1" w:styleId="Point1number">
    <w:name w:val="Point 1 (number)"/>
    <w:basedOn w:val="Normal"/>
  </w:style>
  <w:style w:type="paragraph" w:customStyle="1" w:styleId="Point2">
    <w:name w:val="Point 2"/>
    <w:basedOn w:val="Normal"/>
    <w:pPr>
      <w:ind w:left="1984" w:hanging="567"/>
    </w:pPr>
  </w:style>
  <w:style w:type="paragraph" w:customStyle="1" w:styleId="Point2letter">
    <w:name w:val="Point 2 (letter)"/>
    <w:basedOn w:val="Normal"/>
    <w:pPr>
      <w:numPr>
        <w:ilvl w:val="5"/>
        <w:numId w:val="7"/>
      </w:numPr>
    </w:pPr>
  </w:style>
  <w:style w:type="paragraph" w:customStyle="1" w:styleId="Point2number">
    <w:name w:val="Point 2 (number)"/>
    <w:basedOn w:val="Normal"/>
    <w:pPr>
      <w:numPr>
        <w:ilvl w:val="4"/>
        <w:numId w:val="7"/>
      </w:numPr>
    </w:pPr>
  </w:style>
  <w:style w:type="paragraph" w:customStyle="1" w:styleId="Point3">
    <w:name w:val="Point 3"/>
    <w:basedOn w:val="Normal"/>
    <w:pPr>
      <w:ind w:left="2551" w:hanging="567"/>
    </w:pPr>
  </w:style>
  <w:style w:type="paragraph" w:customStyle="1" w:styleId="Point3letter">
    <w:name w:val="Point 3 (letter)"/>
    <w:basedOn w:val="Normal"/>
    <w:pPr>
      <w:numPr>
        <w:ilvl w:val="7"/>
        <w:numId w:val="7"/>
      </w:numPr>
    </w:pPr>
  </w:style>
  <w:style w:type="paragraph" w:customStyle="1" w:styleId="Point3number">
    <w:name w:val="Point 3 (number)"/>
    <w:basedOn w:val="Normal"/>
    <w:pPr>
      <w:numPr>
        <w:ilvl w:val="6"/>
        <w:numId w:val="7"/>
      </w:numPr>
    </w:pPr>
  </w:style>
  <w:style w:type="paragraph" w:customStyle="1" w:styleId="Point4">
    <w:name w:val="Point 4"/>
    <w:basedOn w:val="Normal"/>
    <w:pPr>
      <w:ind w:left="3118" w:hanging="567"/>
    </w:pPr>
  </w:style>
  <w:style w:type="paragraph" w:customStyle="1" w:styleId="Point4letter">
    <w:name w:val="Point 4 (letter)"/>
    <w:basedOn w:val="Normal"/>
    <w:pPr>
      <w:numPr>
        <w:ilvl w:val="8"/>
        <w:numId w:val="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QuotedNumPar">
    <w:name w:val="Quoted NumPar"/>
    <w:basedOn w:val="Normal"/>
    <w:pPr>
      <w:ind w:left="1417" w:hanging="567"/>
    </w:pPr>
  </w:style>
  <w:style w:type="paragraph" w:customStyle="1" w:styleId="QuotedText">
    <w:name w:val="Quoted Text"/>
    <w:basedOn w:val="Normal"/>
    <w:pPr>
      <w:ind w:left="1417"/>
    </w:pPr>
  </w:style>
  <w:style w:type="paragraph" w:customStyle="1" w:styleId="Rfrencecroise">
    <w:name w:val="Référence croisée"/>
    <w:basedOn w:val="Normal"/>
    <w:pPr>
      <w:spacing w:before="0" w:after="0"/>
      <w:jc w:val="center"/>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Normal"/>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style>
  <w:style w:type="paragraph" w:customStyle="1" w:styleId="Rfrenceinterne">
    <w:name w:val="Référence interne"/>
    <w:basedOn w:val="Normal"/>
    <w:next w:val="Rfrenceinterinstitutionnelle"/>
    <w:pPr>
      <w:spacing w:before="0" w:after="0"/>
      <w:ind w:left="5103"/>
      <w:jc w:val="left"/>
    </w:pPr>
  </w:style>
  <w:style w:type="paragraph" w:customStyle="1" w:styleId="SectionTitle">
    <w:name w:val="SectionTitle"/>
    <w:basedOn w:val="Normal"/>
    <w:next w:val="Heading1"/>
    <w:pPr>
      <w:keepNext/>
      <w:spacing w:after="360"/>
      <w:jc w:val="center"/>
    </w:pPr>
    <w:rPr>
      <w:b/>
      <w:smallCaps/>
      <w:sz w:val="28"/>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Statut">
    <w:name w:val="Statut"/>
    <w:basedOn w:val="Normal"/>
    <w:next w:val="Normal"/>
    <w:pPr>
      <w:spacing w:before="360" w:after="0"/>
      <w:jc w:val="center"/>
    </w:pPr>
  </w:style>
  <w:style w:type="paragraph" w:customStyle="1" w:styleId="StatutPagedecouverture">
    <w:name w:val="Statut (Page de couverture)"/>
    <w:basedOn w:val="Statut"/>
    <w:next w:val="Normal"/>
  </w:style>
  <w:style w:type="paragraph" w:customStyle="1" w:styleId="Supertitre">
    <w:name w:val="Supertitre"/>
    <w:basedOn w:val="Normal"/>
    <w:next w:val="Normal"/>
    <w:pPr>
      <w:spacing w:before="0" w:after="600"/>
      <w:jc w:val="center"/>
    </w:pPr>
    <w:rPr>
      <w:b/>
    </w:rPr>
  </w:style>
  <w:style w:type="paragraph" w:customStyle="1" w:styleId="TableTitle">
    <w:name w:val="Table Title"/>
    <w:basedOn w:val="Normal"/>
    <w:next w:val="Normal"/>
    <w:pPr>
      <w:jc w:val="center"/>
    </w:pPr>
    <w:rPr>
      <w:b/>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iret0">
    <w:name w:val="Tiret 0"/>
    <w:basedOn w:val="Point0"/>
    <w:pPr>
      <w:numPr>
        <w:numId w:val="8"/>
      </w:numPr>
    </w:pPr>
  </w:style>
  <w:style w:type="paragraph" w:customStyle="1" w:styleId="Tiret1">
    <w:name w:val="Tiret 1"/>
    <w:basedOn w:val="Point1"/>
    <w:pPr>
      <w:numPr>
        <w:numId w:val="9"/>
      </w:numPr>
    </w:pPr>
  </w:style>
  <w:style w:type="paragraph" w:customStyle="1" w:styleId="Tiret2">
    <w:name w:val="Tiret 2"/>
    <w:basedOn w:val="Point2"/>
    <w:pPr>
      <w:numPr>
        <w:numId w:val="10"/>
      </w:numPr>
    </w:pPr>
  </w:style>
  <w:style w:type="paragraph" w:customStyle="1" w:styleId="Tiret3">
    <w:name w:val="Tiret 3"/>
    <w:basedOn w:val="Point3"/>
    <w:pPr>
      <w:numPr>
        <w:numId w:val="11"/>
      </w:numPr>
    </w:pPr>
  </w:style>
  <w:style w:type="paragraph" w:customStyle="1" w:styleId="Tiret4">
    <w:name w:val="Tiret 4"/>
    <w:basedOn w:val="Point4"/>
    <w:pPr>
      <w:numPr>
        <w:numId w:val="12"/>
      </w:numP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itreobjetPagedecouverture">
    <w:name w:val="Titre objet (Page de couverture)"/>
    <w:basedOn w:val="Titreobjet"/>
    <w:next w:val="Sous-titreobjetPagedecouverture"/>
  </w:style>
  <w:style w:type="paragraph" w:styleId="TOC1">
    <w:name w:val="toc 1"/>
    <w:basedOn w:val="Normal"/>
    <w:next w:val="Normal"/>
    <w:uiPriority w:val="39"/>
    <w:pPr>
      <w:tabs>
        <w:tab w:val="right" w:leader="dot" w:pos="9071"/>
      </w:tabs>
      <w:spacing w:before="60"/>
      <w:ind w:left="850" w:hanging="850"/>
      <w:jc w:val="left"/>
    </w:pPr>
  </w:style>
  <w:style w:type="paragraph" w:styleId="TOC2">
    <w:name w:val="toc 2"/>
    <w:basedOn w:val="Normal"/>
    <w:next w:val="Normal"/>
    <w:uiPriority w:val="39"/>
    <w:pPr>
      <w:tabs>
        <w:tab w:val="right" w:leader="dot" w:pos="9071"/>
      </w:tabs>
      <w:spacing w:before="60"/>
      <w:ind w:left="850" w:hanging="850"/>
      <w:jc w:val="left"/>
    </w:pPr>
  </w:style>
  <w:style w:type="paragraph" w:styleId="TOC3">
    <w:name w:val="toc 3"/>
    <w:basedOn w:val="Normal"/>
    <w:next w:val="Normal"/>
    <w:uiPriority w:val="39"/>
    <w:pPr>
      <w:tabs>
        <w:tab w:val="right" w:leader="dot" w:pos="9071"/>
      </w:tabs>
      <w:spacing w:before="60"/>
      <w:ind w:left="850" w:hanging="850"/>
      <w:jc w:val="left"/>
    </w:pPr>
  </w:style>
  <w:style w:type="paragraph" w:styleId="TOC4">
    <w:name w:val="toc 4"/>
    <w:basedOn w:val="Normal"/>
    <w:next w:val="Normal"/>
    <w:semiHidden/>
    <w:pPr>
      <w:tabs>
        <w:tab w:val="right" w:leader="dot" w:pos="9071"/>
      </w:tabs>
      <w:spacing w:before="60"/>
      <w:ind w:left="850" w:hanging="850"/>
      <w:jc w:val="left"/>
    </w:pPr>
  </w:style>
  <w:style w:type="paragraph" w:styleId="TOC5">
    <w:name w:val="toc 5"/>
    <w:basedOn w:val="Normal"/>
    <w:next w:val="Normal"/>
    <w:semiHidden/>
    <w:pPr>
      <w:tabs>
        <w:tab w:val="right" w:leader="dot" w:pos="9071"/>
      </w:tabs>
      <w:spacing w:before="300"/>
      <w:jc w:val="left"/>
    </w:pPr>
  </w:style>
  <w:style w:type="paragraph" w:styleId="TOC6">
    <w:name w:val="toc 6"/>
    <w:basedOn w:val="Normal"/>
    <w:next w:val="Normal"/>
    <w:semiHidden/>
    <w:pPr>
      <w:tabs>
        <w:tab w:val="right" w:leader="dot" w:pos="9071"/>
      </w:tabs>
      <w:spacing w:before="240"/>
      <w:jc w:val="left"/>
    </w:pPr>
  </w:style>
  <w:style w:type="paragraph" w:styleId="TOC7">
    <w:name w:val="toc 7"/>
    <w:basedOn w:val="Normal"/>
    <w:next w:val="Normal"/>
    <w:semiHidden/>
    <w:pPr>
      <w:tabs>
        <w:tab w:val="right" w:leader="dot" w:pos="9071"/>
      </w:tabs>
      <w:spacing w:before="180"/>
      <w:jc w:val="left"/>
    </w:pPr>
  </w:style>
  <w:style w:type="paragraph" w:styleId="TOC8">
    <w:name w:val="toc 8"/>
    <w:basedOn w:val="Normal"/>
    <w:next w:val="Normal"/>
    <w:semiHidden/>
    <w:pPr>
      <w:tabs>
        <w:tab w:val="right" w:leader="dot" w:pos="9071"/>
      </w:tabs>
      <w:jc w:val="left"/>
    </w:pPr>
  </w:style>
  <w:style w:type="paragraph" w:styleId="TOC9">
    <w:name w:val="toc 9"/>
    <w:basedOn w:val="Normal"/>
    <w:next w:val="Normal"/>
    <w:semiHidden/>
    <w:pPr>
      <w:tabs>
        <w:tab w:val="right" w:leader="dot" w:pos="9071"/>
      </w:tabs>
    </w:pPr>
  </w:style>
  <w:style w:type="paragraph" w:styleId="TOCHeading">
    <w:name w:val="TOC Heading"/>
    <w:basedOn w:val="Normal"/>
    <w:next w:val="Normal"/>
    <w:link w:val="TOCHeadingChar"/>
    <w:uiPriority w:val="39"/>
    <w:qFormat/>
    <w:pPr>
      <w:spacing w:after="240"/>
      <w:jc w:val="center"/>
    </w:pPr>
    <w:rPr>
      <w:b/>
      <w:sz w:val="28"/>
    </w:rPr>
  </w:style>
  <w:style w:type="paragraph" w:customStyle="1" w:styleId="Typeacteprincipal">
    <w:name w:val="Type acte principal"/>
    <w:basedOn w:val="Normal"/>
    <w:next w:val="Objetacteprincipal"/>
    <w:pPr>
      <w:spacing w:before="0" w:after="240"/>
      <w:jc w:val="center"/>
    </w:pPr>
    <w:rPr>
      <w:b/>
    </w:rPr>
  </w:style>
  <w:style w:type="paragraph" w:customStyle="1" w:styleId="TypeacteprincipalPagedecouverture">
    <w:name w:val="Type acte principal (Page de couverture)"/>
    <w:basedOn w:val="Typeacteprincipal"/>
    <w:next w:val="ObjetacteprincipalPagedecouverture"/>
  </w:style>
  <w:style w:type="paragraph" w:customStyle="1" w:styleId="Typedudocument">
    <w:name w:val="Type du document"/>
    <w:basedOn w:val="Normal"/>
    <w:next w:val="Titreobjet"/>
    <w:pPr>
      <w:spacing w:before="360" w:after="0"/>
      <w:jc w:val="center"/>
    </w:pPr>
    <w:rPr>
      <w:b/>
    </w:rPr>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styleId="ListBullet">
    <w:name w:val="List Bullet"/>
    <w:basedOn w:val="Normal"/>
    <w:pPr>
      <w:numPr>
        <w:numId w:val="15"/>
      </w:numPr>
    </w:pPr>
    <w:rPr>
      <w:lang w:eastAsia="de-DE"/>
    </w:rPr>
  </w:style>
  <w:style w:type="table" w:styleId="TableGrid">
    <w:name w:val="Table Grid"/>
    <w:basedOn w:val="TableNormal"/>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shd w:val="clear" w:color="auto" w:fill="auto"/>
      <w:lang w:eastAsia="en-US"/>
    </w:rPr>
  </w:style>
  <w:style w:type="paragraph" w:styleId="ListBullet2">
    <w:name w:val="List Bullet 2"/>
    <w:basedOn w:val="Normal"/>
    <w:pPr>
      <w:numPr>
        <w:numId w:val="16"/>
      </w:numPr>
    </w:pPr>
  </w:style>
  <w:style w:type="paragraph" w:styleId="ListBullet3">
    <w:name w:val="List Bullet 3"/>
    <w:basedOn w:val="Normal"/>
    <w:pPr>
      <w:numPr>
        <w:numId w:val="17"/>
      </w:numPr>
    </w:pPr>
  </w:style>
  <w:style w:type="paragraph" w:styleId="ListBullet4">
    <w:name w:val="List Bullet 4"/>
    <w:basedOn w:val="Normal"/>
    <w:pPr>
      <w:numPr>
        <w:numId w:val="18"/>
      </w:numPr>
    </w:pPr>
  </w:style>
  <w:style w:type="paragraph" w:styleId="Caption">
    <w:name w:val="caption"/>
    <w:basedOn w:val="Normal"/>
    <w:next w:val="Normal"/>
    <w:qFormat/>
    <w:rPr>
      <w:b/>
      <w:bCs/>
      <w:sz w:val="20"/>
      <w:szCs w:val="20"/>
    </w:rPr>
  </w:style>
  <w:style w:type="paragraph" w:styleId="TableofFigures">
    <w:name w:val="table of figures"/>
    <w:basedOn w:val="Normal"/>
    <w:next w:val="Normal"/>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character" w:styleId="CommentReference">
    <w:name w:val="annotation reference"/>
    <w:rPr>
      <w:rFonts w:cs="Times New Roman"/>
      <w:sz w:val="16"/>
      <w:szCs w:val="16"/>
      <w:shd w:val="clear" w:color="auto" w:fill="auto"/>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shd w:val="clear" w:color="auto" w:fill="auto"/>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hd w:val="clear" w:color="auto" w:fill="auto"/>
      <w:lang w:eastAsia="en-US"/>
    </w:rPr>
  </w:style>
  <w:style w:type="character" w:styleId="Hyperlink">
    <w:name w:val="Hyperlink"/>
    <w:uiPriority w:val="99"/>
    <w:rPr>
      <w:rFonts w:cs="Times New Roman"/>
      <w:color w:val="0000FF"/>
      <w:u w:val="single"/>
      <w:shd w:val="clear" w:color="auto" w:fill="auto"/>
    </w:rPr>
  </w:style>
  <w:style w:type="paragraph" w:customStyle="1" w:styleId="Default">
    <w:name w:val="Default"/>
    <w:pPr>
      <w:autoSpaceDE w:val="0"/>
      <w:autoSpaceDN w:val="0"/>
      <w:adjustRightInd w:val="0"/>
    </w:pPr>
    <w:rPr>
      <w:color w:val="000000"/>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link w:val="TOCHeading"/>
    <w:uiPriority w:val="39"/>
    <w:rPr>
      <w:b/>
      <w:sz w:val="28"/>
      <w:szCs w:val="24"/>
      <w:shd w:val="clear" w:color="auto" w:fill="auto"/>
      <w:lang w:eastAsia="en-US"/>
    </w:rPr>
  </w:style>
  <w:style w:type="character" w:customStyle="1" w:styleId="FooterCoverPageChar">
    <w:name w:val="Footer Cover Page Char"/>
    <w:link w:val="FooterCoverPage"/>
    <w:rPr>
      <w:sz w:val="24"/>
      <w:szCs w:val="24"/>
      <w:lang w:eastAsia="en-US"/>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link w:val="HeaderCoverPage"/>
    <w:rPr>
      <w:sz w:val="24"/>
      <w:szCs w:val="24"/>
      <w:lang w:eastAsia="en-US"/>
    </w:rPr>
  </w:style>
  <w:style w:type="character" w:customStyle="1" w:styleId="FootnoteTextChar">
    <w:name w:val="Footnote Text Char"/>
    <w:link w:val="FootnoteText"/>
    <w:uiPriority w:val="99"/>
    <w:rPr>
      <w:lang w:eastAsia="en-US"/>
    </w:rPr>
  </w:style>
  <w:style w:type="character" w:customStyle="1" w:styleId="Heading4Char">
    <w:name w:val="Heading 4 Char"/>
    <w:link w:val="Heading4"/>
    <w:rPr>
      <w:bCs/>
      <w:sz w:val="24"/>
      <w:szCs w:val="28"/>
      <w:lang w:eastAsia="en-US"/>
    </w:rPr>
  </w:style>
  <w:style w:type="character" w:customStyle="1" w:styleId="FooterChar">
    <w:name w:val="Footer Char"/>
    <w:link w:val="Footer"/>
    <w:uiPriority w:val="99"/>
    <w:rPr>
      <w:rFonts w:eastAsia="Calibri"/>
      <w:sz w:val="24"/>
      <w:szCs w:val="22"/>
      <w:lang w:eastAsia="en-US"/>
    </w:rPr>
  </w:style>
  <w:style w:type="paragraph" w:styleId="Revision">
    <w:name w:val="Revision"/>
    <w:hidden/>
    <w:uiPriority w:val="99"/>
    <w:semiHidden/>
    <w:rPr>
      <w:sz w:val="24"/>
      <w:szCs w:val="24"/>
      <w:lang w:eastAsia="en-US"/>
    </w:rPr>
  </w:style>
  <w:style w:type="character" w:customStyle="1" w:styleId="Heading3Char">
    <w:name w:val="Heading 3 Char"/>
    <w:link w:val="Heading3"/>
    <w:rPr>
      <w:bCs/>
      <w:i/>
      <w:sz w:val="24"/>
      <w:szCs w:val="26"/>
      <w:lang w:eastAsia="en-US"/>
    </w:rPr>
  </w:style>
  <w:style w:type="paragraph" w:customStyle="1" w:styleId="Declassification">
    <w:name w:val="Declassification"/>
    <w:basedOn w:val="Normal"/>
    <w:next w:val="Normal"/>
    <w:pPr>
      <w:spacing w:before="0" w:after="0"/>
    </w:pPr>
    <w:rPr>
      <w:rFonts w:eastAsia="Calibri"/>
      <w:szCs w:val="22"/>
    </w:rPr>
  </w:style>
  <w:style w:type="character" w:customStyle="1" w:styleId="HeaderChar">
    <w:name w:val="Header Char"/>
    <w:link w:val="Header"/>
    <w:uiPriority w:val="99"/>
    <w:rPr>
      <w:rFonts w:eastAsia="Calibri"/>
      <w:sz w:val="24"/>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sz w:val="24"/>
      <w:szCs w:val="24"/>
      <w:lang w:eastAsia="en-US"/>
    </w:rPr>
  </w:style>
  <w:style w:type="paragraph" w:styleId="Heading1">
    <w:name w:val="heading 1"/>
    <w:basedOn w:val="Normal"/>
    <w:next w:val="Normal"/>
    <w:qFormat/>
    <w:pPr>
      <w:keepNext/>
      <w:numPr>
        <w:numId w:val="24"/>
      </w:numPr>
      <w:spacing w:before="360"/>
      <w:outlineLvl w:val="0"/>
    </w:pPr>
    <w:rPr>
      <w:b/>
      <w:bCs/>
      <w:smallCaps/>
      <w:szCs w:val="32"/>
    </w:rPr>
  </w:style>
  <w:style w:type="paragraph" w:styleId="Heading2">
    <w:name w:val="heading 2"/>
    <w:basedOn w:val="Normal"/>
    <w:next w:val="Normal"/>
    <w:qFormat/>
    <w:pPr>
      <w:keepNext/>
      <w:numPr>
        <w:ilvl w:val="1"/>
        <w:numId w:val="24"/>
      </w:numPr>
      <w:outlineLvl w:val="1"/>
    </w:pPr>
    <w:rPr>
      <w:b/>
      <w:bCs/>
      <w:iCs/>
      <w:szCs w:val="28"/>
    </w:rPr>
  </w:style>
  <w:style w:type="paragraph" w:styleId="Heading3">
    <w:name w:val="heading 3"/>
    <w:basedOn w:val="Normal"/>
    <w:next w:val="Normal"/>
    <w:link w:val="Heading3Char"/>
    <w:autoRedefine/>
    <w:qFormat/>
    <w:pPr>
      <w:keepNext/>
      <w:numPr>
        <w:ilvl w:val="2"/>
        <w:numId w:val="24"/>
      </w:numPr>
      <w:outlineLvl w:val="2"/>
    </w:pPr>
    <w:rPr>
      <w:bCs/>
      <w:i/>
      <w:szCs w:val="26"/>
    </w:rPr>
  </w:style>
  <w:style w:type="paragraph" w:styleId="Heading4">
    <w:name w:val="heading 4"/>
    <w:basedOn w:val="Normal"/>
    <w:next w:val="Normal"/>
    <w:link w:val="Heading4Char"/>
    <w:qFormat/>
    <w:pPr>
      <w:keepNext/>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ompagnant">
    <w:name w:val="Accompagnant"/>
    <w:basedOn w:val="Normal"/>
    <w:next w:val="Normal"/>
    <w:pPr>
      <w:spacing w:before="0" w:after="240"/>
      <w:jc w:val="center"/>
    </w:pPr>
    <w:rPr>
      <w:b/>
      <w:i/>
    </w:rPr>
  </w:style>
  <w:style w:type="paragraph" w:customStyle="1" w:styleId="AccompagnantPagedecouverture">
    <w:name w:val="Accompagnant (Page de couverture)"/>
    <w:basedOn w:val="Accompagnant"/>
    <w:next w:val="Normal"/>
  </w:style>
  <w:style w:type="character" w:customStyle="1" w:styleId="Added">
    <w:name w:val="Added"/>
    <w:rPr>
      <w:b/>
      <w:u w:val="single"/>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Annexetitre">
    <w:name w:val="Annexe titre"/>
    <w:basedOn w:val="Normal"/>
    <w:next w:val="Normal"/>
    <w:pPr>
      <w:jc w:val="center"/>
    </w:pPr>
    <w:rPr>
      <w:b/>
      <w:u w:val="single"/>
    </w:rPr>
  </w:style>
  <w:style w:type="paragraph" w:customStyle="1" w:styleId="Annexetitreexpos">
    <w:name w:val="Annexe titre (exposé)"/>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Normal"/>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Bullet0">
    <w:name w:val="Bullet 0"/>
    <w:basedOn w:val="Normal"/>
    <w:pPr>
      <w:numPr>
        <w:numId w:val="1"/>
      </w:numPr>
    </w:pPr>
  </w:style>
  <w:style w:type="paragraph" w:customStyle="1" w:styleId="Bullet1">
    <w:name w:val="Bullet 1"/>
    <w:basedOn w:val="Normal"/>
    <w:pPr>
      <w:numPr>
        <w:numId w:val="2"/>
      </w:numPr>
    </w:pPr>
  </w:style>
  <w:style w:type="paragraph" w:customStyle="1" w:styleId="Bullet2">
    <w:name w:val="Bullet 2"/>
    <w:basedOn w:val="Normal"/>
    <w:pPr>
      <w:numPr>
        <w:numId w:val="3"/>
      </w:numPr>
    </w:pPr>
  </w:style>
  <w:style w:type="paragraph" w:customStyle="1" w:styleId="Bullet3">
    <w:name w:val="Bullet 3"/>
    <w:basedOn w:val="Normal"/>
    <w:pPr>
      <w:numPr>
        <w:numId w:val="4"/>
      </w:numPr>
    </w:pPr>
  </w:style>
  <w:style w:type="paragraph" w:customStyle="1" w:styleId="Bullet4">
    <w:name w:val="Bullet 4"/>
    <w:basedOn w:val="Normal"/>
    <w:pPr>
      <w:numPr>
        <w:numId w:val="5"/>
      </w:numPr>
    </w:pPr>
  </w:style>
  <w:style w:type="paragraph" w:customStyle="1" w:styleId="ChapterTitle">
    <w:name w:val="ChapterTitle"/>
    <w:basedOn w:val="Normal"/>
    <w:next w:val="Normal"/>
    <w:pPr>
      <w:keepNext/>
      <w:spacing w:after="360"/>
      <w:jc w:val="center"/>
    </w:pPr>
    <w:rPr>
      <w:b/>
      <w:sz w:val="32"/>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Normal"/>
    <w:pPr>
      <w:spacing w:before="240" w:after="240"/>
      <w:ind w:left="5103"/>
    </w:pPr>
    <w:rPr>
      <w:u w:val="single"/>
    </w:rPr>
  </w:style>
  <w:style w:type="paragraph" w:customStyle="1" w:styleId="Considrant">
    <w:name w:val="Considérant"/>
    <w:basedOn w:val="Normal"/>
    <w:pPr>
      <w:numPr>
        <w:numId w:val="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Normal"/>
    <w:pPr>
      <w:spacing w:before="360" w:after="0"/>
      <w:jc w:val="center"/>
    </w:pPr>
    <w:rPr>
      <w:b/>
    </w:rPr>
  </w:style>
  <w:style w:type="paragraph" w:customStyle="1" w:styleId="DatedadoptionPagedecouverture">
    <w:name w:val="Date d'adoption (Page de couverture)"/>
    <w:basedOn w:val="Datedadoption"/>
    <w:next w:val="Normal"/>
  </w:style>
  <w:style w:type="character" w:customStyle="1" w:styleId="Deleted">
    <w:name w:val="Deleted"/>
    <w:rPr>
      <w:strike/>
      <w:shd w:val="clear" w:color="auto" w:fill="auto"/>
    </w:rPr>
  </w:style>
  <w:style w:type="paragraph" w:customStyle="1" w:styleId="Emission">
    <w:name w:val="Emission"/>
    <w:basedOn w:val="Normal"/>
    <w:next w:val="Normal"/>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Normal"/>
    <w:pPr>
      <w:keepNext/>
      <w:spacing w:after="0"/>
    </w:pPr>
  </w:style>
  <w:style w:type="paragraph" w:customStyle="1" w:styleId="Fichefinanciretitre">
    <w:name w:val="Fiche financière titre"/>
    <w:basedOn w:val="Normal"/>
    <w:next w:val="Normal"/>
    <w:pPr>
      <w:jc w:val="center"/>
    </w:pPr>
    <w:rPr>
      <w:b/>
      <w:u w:val="singl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Calibri"/>
      <w:szCs w:val="2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Calibri"/>
      <w:szCs w:val="22"/>
    </w:rPr>
  </w:style>
  <w:style w:type="character" w:styleId="FootnoteReference">
    <w:name w:val="footnote reference"/>
    <w:uiPriority w:val="99"/>
    <w:rPr>
      <w:shd w:val="clear" w:color="auto" w:fill="auto"/>
      <w:vertAlign w:val="superscript"/>
    </w:rPr>
  </w:style>
  <w:style w:type="paragraph" w:styleId="FootnoteText">
    <w:name w:val="footnote text"/>
    <w:basedOn w:val="Normal"/>
    <w:link w:val="FootnoteTextChar"/>
    <w:uiPriority w:val="99"/>
    <w:pPr>
      <w:spacing w:before="0" w:after="0"/>
      <w:ind w:left="720" w:hanging="720"/>
    </w:pPr>
    <w:rPr>
      <w:sz w:val="20"/>
      <w:szCs w:val="20"/>
    </w:rPr>
  </w:style>
  <w:style w:type="paragraph" w:customStyle="1" w:styleId="Formuledadoption">
    <w:name w:val="Formule d'adoption"/>
    <w:basedOn w:val="Normal"/>
    <w:next w:val="Normal"/>
    <w:pPr>
      <w:keepNext/>
    </w:pPr>
  </w:style>
  <w:style w:type="paragraph" w:styleId="Header">
    <w:name w:val="header"/>
    <w:basedOn w:val="Normal"/>
    <w:link w:val="HeaderChar"/>
    <w:uiPriority w:val="99"/>
    <w:unhideWhenUsed/>
    <w:pPr>
      <w:tabs>
        <w:tab w:val="center" w:pos="4535"/>
        <w:tab w:val="right" w:pos="9071"/>
      </w:tabs>
      <w:spacing w:before="0"/>
    </w:pPr>
    <w:rPr>
      <w:rFonts w:eastAsia="Calibri"/>
      <w:szCs w:val="22"/>
    </w:rPr>
  </w:style>
  <w:style w:type="paragraph" w:customStyle="1" w:styleId="HeaderLandscape">
    <w:name w:val="HeaderLandscape"/>
    <w:basedOn w:val="Normal"/>
    <w:pPr>
      <w:tabs>
        <w:tab w:val="center" w:pos="7285"/>
        <w:tab w:val="right" w:pos="14003"/>
      </w:tabs>
      <w:spacing w:before="0"/>
    </w:pPr>
    <w:rPr>
      <w:rFonts w:eastAsia="Calibri"/>
      <w:szCs w:val="22"/>
    </w:r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Normal"/>
    <w:pPr>
      <w:keepNext/>
      <w:tabs>
        <w:tab w:val="left" w:pos="4252"/>
      </w:tabs>
      <w:spacing w:before="720" w:after="0"/>
    </w:pPr>
    <w:rPr>
      <w:i/>
    </w:rPr>
  </w:style>
  <w:style w:type="paragraph" w:customStyle="1" w:styleId="Languesfaisantfoi">
    <w:name w:val="Langues faisant foi"/>
    <w:basedOn w:val="Normal"/>
    <w:next w:val="Normal"/>
    <w:pPr>
      <w:spacing w:before="360" w:after="0"/>
      <w:jc w:val="center"/>
    </w:pPr>
  </w:style>
  <w:style w:type="paragraph" w:customStyle="1" w:styleId="IntrtEEE">
    <w:name w:val="Intérêt EEE"/>
    <w:basedOn w:val="Languesfaisantfoi"/>
    <w:next w:val="Normal"/>
    <w:pPr>
      <w:spacing w:after="240"/>
    </w:pPr>
  </w:style>
  <w:style w:type="paragraph" w:customStyle="1" w:styleId="IntrtEEEPagedecouverture">
    <w:name w:val="Intérêt EEE (Page de couverture)"/>
    <w:basedOn w:val="IntrtEEE"/>
    <w:next w:val="Normal"/>
  </w:style>
  <w:style w:type="paragraph" w:customStyle="1" w:styleId="Langue">
    <w:name w:val="Langue"/>
    <w:basedOn w:val="Normal"/>
    <w:next w:val="Normal"/>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pPr>
      <w:spacing w:before="360" w:after="0"/>
      <w:jc w:val="center"/>
    </w:pPr>
  </w:style>
  <w:style w:type="paragraph" w:customStyle="1" w:styleId="ManualConsidrant">
    <w:name w:val="Manual Considérant"/>
    <w:basedOn w:val="Normal"/>
    <w:pPr>
      <w:ind w:left="709" w:hanging="709"/>
    </w:pPr>
  </w:style>
  <w:style w:type="paragraph" w:customStyle="1" w:styleId="ManualHeading1">
    <w:name w:val="Manual Heading 1"/>
    <w:basedOn w:val="Normal"/>
    <w:next w:val="Normal"/>
    <w:pPr>
      <w:keepNext/>
      <w:tabs>
        <w:tab w:val="left" w:pos="850"/>
      </w:tabs>
      <w:spacing w:before="360"/>
      <w:ind w:left="850" w:hanging="850"/>
      <w:outlineLvl w:val="0"/>
    </w:pPr>
    <w:rPr>
      <w:b/>
      <w:smallCaps/>
    </w:rPr>
  </w:style>
  <w:style w:type="paragraph" w:customStyle="1" w:styleId="ManualHeading2">
    <w:name w:val="Manual Heading 2"/>
    <w:basedOn w:val="Normal"/>
    <w:next w:val="Normal"/>
    <w:pPr>
      <w:keepNext/>
      <w:tabs>
        <w:tab w:val="left" w:pos="850"/>
      </w:tabs>
      <w:ind w:left="850" w:hanging="850"/>
      <w:outlineLvl w:val="1"/>
    </w:pPr>
    <w:rPr>
      <w:b/>
    </w:rPr>
  </w:style>
  <w:style w:type="paragraph" w:customStyle="1" w:styleId="ManualHeading3">
    <w:name w:val="Manual Heading 3"/>
    <w:basedOn w:val="Normal"/>
    <w:next w:val="Normal"/>
    <w:pPr>
      <w:keepNext/>
      <w:tabs>
        <w:tab w:val="left" w:pos="850"/>
      </w:tabs>
      <w:ind w:left="850" w:hanging="850"/>
      <w:outlineLvl w:val="2"/>
    </w:pPr>
    <w:rPr>
      <w:i/>
    </w:rPr>
  </w:style>
  <w:style w:type="paragraph" w:customStyle="1" w:styleId="ManualHeading4">
    <w:name w:val="Manual Heading 4"/>
    <w:basedOn w:val="Normal"/>
    <w:next w:val="Normal"/>
    <w:pPr>
      <w:keepNext/>
      <w:tabs>
        <w:tab w:val="left" w:pos="850"/>
      </w:tabs>
      <w:ind w:left="850" w:hanging="850"/>
      <w:outlineLvl w:val="3"/>
    </w:pPr>
  </w:style>
  <w:style w:type="paragraph" w:customStyle="1" w:styleId="ManualNumPar1">
    <w:name w:val="Manual NumPar 1"/>
    <w:basedOn w:val="Normal"/>
    <w:next w:val="Normal"/>
    <w:pPr>
      <w:ind w:left="850" w:hanging="850"/>
    </w:pPr>
  </w:style>
  <w:style w:type="paragraph" w:customStyle="1" w:styleId="ManualNumPar2">
    <w:name w:val="Manual NumPar 2"/>
    <w:basedOn w:val="Normal"/>
    <w:next w:val="Normal"/>
    <w:pPr>
      <w:ind w:left="850" w:hanging="850"/>
    </w:pPr>
  </w:style>
  <w:style w:type="paragraph" w:customStyle="1" w:styleId="ManualNumPar3">
    <w:name w:val="Manual NumPar 3"/>
    <w:basedOn w:val="Normal"/>
    <w:next w:val="Normal"/>
    <w:pPr>
      <w:ind w:left="850" w:hanging="850"/>
    </w:pPr>
  </w:style>
  <w:style w:type="paragraph" w:customStyle="1" w:styleId="ManualNumPar4">
    <w:name w:val="Manual NumPar 4"/>
    <w:basedOn w:val="Normal"/>
    <w:next w:val="Normal"/>
    <w:pPr>
      <w:ind w:left="850" w:hanging="850"/>
    </w:p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NumPar1">
    <w:name w:val="NumPar 1"/>
    <w:basedOn w:val="Normal"/>
    <w:next w:val="Normal"/>
    <w:pPr>
      <w:numPr>
        <w:numId w:val="23"/>
      </w:numPr>
    </w:pPr>
  </w:style>
  <w:style w:type="paragraph" w:customStyle="1" w:styleId="NumPar2">
    <w:name w:val="NumPar 2"/>
    <w:basedOn w:val="Normal"/>
    <w:next w:val="Normal"/>
    <w:pPr>
      <w:numPr>
        <w:ilvl w:val="1"/>
        <w:numId w:val="23"/>
      </w:numPr>
    </w:pPr>
  </w:style>
  <w:style w:type="paragraph" w:customStyle="1" w:styleId="NumPar3">
    <w:name w:val="NumPar 3"/>
    <w:basedOn w:val="Normal"/>
    <w:next w:val="Normal"/>
    <w:pPr>
      <w:numPr>
        <w:ilvl w:val="2"/>
        <w:numId w:val="23"/>
      </w:numPr>
    </w:pPr>
  </w:style>
  <w:style w:type="paragraph" w:customStyle="1" w:styleId="NumPar4">
    <w:name w:val="NumPar 4"/>
    <w:basedOn w:val="Normal"/>
    <w:next w:val="Normal"/>
    <w:pPr>
      <w:numPr>
        <w:ilvl w:val="3"/>
        <w:numId w:val="23"/>
      </w:numPr>
    </w:pPr>
  </w:style>
  <w:style w:type="paragraph" w:customStyle="1" w:styleId="Objetacteprincipal">
    <w:name w:val="Objet acte principal"/>
    <w:basedOn w:val="Normal"/>
    <w:next w:val="Normal"/>
    <w:pPr>
      <w:spacing w:before="0" w:after="360"/>
      <w:jc w:val="center"/>
    </w:pPr>
    <w:rPr>
      <w:b/>
    </w:rPr>
  </w:style>
  <w:style w:type="paragraph" w:customStyle="1" w:styleId="ObjetacteprincipalPagedecouverture">
    <w:name w:val="Objet acte principal (Page de couverture)"/>
    <w:basedOn w:val="Objetacteprincipal"/>
    <w:next w:val="Normal"/>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style>
  <w:style w:type="paragraph" w:customStyle="1" w:styleId="PartTitle">
    <w:name w:val="PartTitle"/>
    <w:basedOn w:val="Normal"/>
    <w:next w:val="ChapterTitle"/>
    <w:pPr>
      <w:keepNext/>
      <w:pageBreakBefore/>
      <w:spacing w:after="360"/>
      <w:jc w:val="center"/>
    </w:pPr>
    <w:rPr>
      <w:b/>
      <w:sz w:val="36"/>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Point0">
    <w:name w:val="Point 0"/>
    <w:basedOn w:val="Normal"/>
    <w:pPr>
      <w:ind w:left="850" w:hanging="850"/>
    </w:pPr>
  </w:style>
  <w:style w:type="paragraph" w:customStyle="1" w:styleId="Point0letter">
    <w:name w:val="Point 0 (letter)"/>
    <w:basedOn w:val="Normal"/>
  </w:style>
  <w:style w:type="paragraph" w:customStyle="1" w:styleId="Point0number">
    <w:name w:val="Point 0 (number)"/>
    <w:basedOn w:val="Normal"/>
  </w:style>
  <w:style w:type="paragraph" w:customStyle="1" w:styleId="Point1">
    <w:name w:val="Point 1"/>
    <w:basedOn w:val="Normal"/>
    <w:pPr>
      <w:ind w:left="1417" w:hanging="567"/>
    </w:pPr>
  </w:style>
  <w:style w:type="paragraph" w:customStyle="1" w:styleId="Point1letter">
    <w:name w:val="Point 1 (letter)"/>
    <w:basedOn w:val="Normal"/>
  </w:style>
  <w:style w:type="paragraph" w:customStyle="1" w:styleId="Point1number">
    <w:name w:val="Point 1 (number)"/>
    <w:basedOn w:val="Normal"/>
  </w:style>
  <w:style w:type="paragraph" w:customStyle="1" w:styleId="Point2">
    <w:name w:val="Point 2"/>
    <w:basedOn w:val="Normal"/>
    <w:pPr>
      <w:ind w:left="1984" w:hanging="567"/>
    </w:pPr>
  </w:style>
  <w:style w:type="paragraph" w:customStyle="1" w:styleId="Point2letter">
    <w:name w:val="Point 2 (letter)"/>
    <w:basedOn w:val="Normal"/>
    <w:pPr>
      <w:numPr>
        <w:ilvl w:val="5"/>
        <w:numId w:val="7"/>
      </w:numPr>
    </w:pPr>
  </w:style>
  <w:style w:type="paragraph" w:customStyle="1" w:styleId="Point2number">
    <w:name w:val="Point 2 (number)"/>
    <w:basedOn w:val="Normal"/>
    <w:pPr>
      <w:numPr>
        <w:ilvl w:val="4"/>
        <w:numId w:val="7"/>
      </w:numPr>
    </w:pPr>
  </w:style>
  <w:style w:type="paragraph" w:customStyle="1" w:styleId="Point3">
    <w:name w:val="Point 3"/>
    <w:basedOn w:val="Normal"/>
    <w:pPr>
      <w:ind w:left="2551" w:hanging="567"/>
    </w:pPr>
  </w:style>
  <w:style w:type="paragraph" w:customStyle="1" w:styleId="Point3letter">
    <w:name w:val="Point 3 (letter)"/>
    <w:basedOn w:val="Normal"/>
    <w:pPr>
      <w:numPr>
        <w:ilvl w:val="7"/>
        <w:numId w:val="7"/>
      </w:numPr>
    </w:pPr>
  </w:style>
  <w:style w:type="paragraph" w:customStyle="1" w:styleId="Point3number">
    <w:name w:val="Point 3 (number)"/>
    <w:basedOn w:val="Normal"/>
    <w:pPr>
      <w:numPr>
        <w:ilvl w:val="6"/>
        <w:numId w:val="7"/>
      </w:numPr>
    </w:pPr>
  </w:style>
  <w:style w:type="paragraph" w:customStyle="1" w:styleId="Point4">
    <w:name w:val="Point 4"/>
    <w:basedOn w:val="Normal"/>
    <w:pPr>
      <w:ind w:left="3118" w:hanging="567"/>
    </w:pPr>
  </w:style>
  <w:style w:type="paragraph" w:customStyle="1" w:styleId="Point4letter">
    <w:name w:val="Point 4 (letter)"/>
    <w:basedOn w:val="Normal"/>
    <w:pPr>
      <w:numPr>
        <w:ilvl w:val="8"/>
        <w:numId w:val="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QuotedNumPar">
    <w:name w:val="Quoted NumPar"/>
    <w:basedOn w:val="Normal"/>
    <w:pPr>
      <w:ind w:left="1417" w:hanging="567"/>
    </w:pPr>
  </w:style>
  <w:style w:type="paragraph" w:customStyle="1" w:styleId="QuotedText">
    <w:name w:val="Quoted Text"/>
    <w:basedOn w:val="Normal"/>
    <w:pPr>
      <w:ind w:left="1417"/>
    </w:pPr>
  </w:style>
  <w:style w:type="paragraph" w:customStyle="1" w:styleId="Rfrencecroise">
    <w:name w:val="Référence croisée"/>
    <w:basedOn w:val="Normal"/>
    <w:pPr>
      <w:spacing w:before="0" w:after="0"/>
      <w:jc w:val="center"/>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Normal"/>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style>
  <w:style w:type="paragraph" w:customStyle="1" w:styleId="Rfrenceinterne">
    <w:name w:val="Référence interne"/>
    <w:basedOn w:val="Normal"/>
    <w:next w:val="Rfrenceinterinstitutionnelle"/>
    <w:pPr>
      <w:spacing w:before="0" w:after="0"/>
      <w:ind w:left="5103"/>
      <w:jc w:val="left"/>
    </w:pPr>
  </w:style>
  <w:style w:type="paragraph" w:customStyle="1" w:styleId="SectionTitle">
    <w:name w:val="SectionTitle"/>
    <w:basedOn w:val="Normal"/>
    <w:next w:val="Heading1"/>
    <w:pPr>
      <w:keepNext/>
      <w:spacing w:after="360"/>
      <w:jc w:val="center"/>
    </w:pPr>
    <w:rPr>
      <w:b/>
      <w:smallCaps/>
      <w:sz w:val="28"/>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Statut">
    <w:name w:val="Statut"/>
    <w:basedOn w:val="Normal"/>
    <w:next w:val="Normal"/>
    <w:pPr>
      <w:spacing w:before="360" w:after="0"/>
      <w:jc w:val="center"/>
    </w:pPr>
  </w:style>
  <w:style w:type="paragraph" w:customStyle="1" w:styleId="StatutPagedecouverture">
    <w:name w:val="Statut (Page de couverture)"/>
    <w:basedOn w:val="Statut"/>
    <w:next w:val="Normal"/>
  </w:style>
  <w:style w:type="paragraph" w:customStyle="1" w:styleId="Supertitre">
    <w:name w:val="Supertitre"/>
    <w:basedOn w:val="Normal"/>
    <w:next w:val="Normal"/>
    <w:pPr>
      <w:spacing w:before="0" w:after="600"/>
      <w:jc w:val="center"/>
    </w:pPr>
    <w:rPr>
      <w:b/>
    </w:rPr>
  </w:style>
  <w:style w:type="paragraph" w:customStyle="1" w:styleId="TableTitle">
    <w:name w:val="Table Title"/>
    <w:basedOn w:val="Normal"/>
    <w:next w:val="Normal"/>
    <w:pPr>
      <w:jc w:val="center"/>
    </w:pPr>
    <w:rPr>
      <w:b/>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iret0">
    <w:name w:val="Tiret 0"/>
    <w:basedOn w:val="Point0"/>
    <w:pPr>
      <w:numPr>
        <w:numId w:val="8"/>
      </w:numPr>
    </w:pPr>
  </w:style>
  <w:style w:type="paragraph" w:customStyle="1" w:styleId="Tiret1">
    <w:name w:val="Tiret 1"/>
    <w:basedOn w:val="Point1"/>
    <w:pPr>
      <w:numPr>
        <w:numId w:val="9"/>
      </w:numPr>
    </w:pPr>
  </w:style>
  <w:style w:type="paragraph" w:customStyle="1" w:styleId="Tiret2">
    <w:name w:val="Tiret 2"/>
    <w:basedOn w:val="Point2"/>
    <w:pPr>
      <w:numPr>
        <w:numId w:val="10"/>
      </w:numPr>
    </w:pPr>
  </w:style>
  <w:style w:type="paragraph" w:customStyle="1" w:styleId="Tiret3">
    <w:name w:val="Tiret 3"/>
    <w:basedOn w:val="Point3"/>
    <w:pPr>
      <w:numPr>
        <w:numId w:val="11"/>
      </w:numPr>
    </w:pPr>
  </w:style>
  <w:style w:type="paragraph" w:customStyle="1" w:styleId="Tiret4">
    <w:name w:val="Tiret 4"/>
    <w:basedOn w:val="Point4"/>
    <w:pPr>
      <w:numPr>
        <w:numId w:val="12"/>
      </w:numP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itreobjetPagedecouverture">
    <w:name w:val="Titre objet (Page de couverture)"/>
    <w:basedOn w:val="Titreobjet"/>
    <w:next w:val="Sous-titreobjetPagedecouverture"/>
  </w:style>
  <w:style w:type="paragraph" w:styleId="TOC1">
    <w:name w:val="toc 1"/>
    <w:basedOn w:val="Normal"/>
    <w:next w:val="Normal"/>
    <w:uiPriority w:val="39"/>
    <w:pPr>
      <w:tabs>
        <w:tab w:val="right" w:leader="dot" w:pos="9071"/>
      </w:tabs>
      <w:spacing w:before="60"/>
      <w:ind w:left="850" w:hanging="850"/>
      <w:jc w:val="left"/>
    </w:pPr>
  </w:style>
  <w:style w:type="paragraph" w:styleId="TOC2">
    <w:name w:val="toc 2"/>
    <w:basedOn w:val="Normal"/>
    <w:next w:val="Normal"/>
    <w:uiPriority w:val="39"/>
    <w:pPr>
      <w:tabs>
        <w:tab w:val="right" w:leader="dot" w:pos="9071"/>
      </w:tabs>
      <w:spacing w:before="60"/>
      <w:ind w:left="850" w:hanging="850"/>
      <w:jc w:val="left"/>
    </w:pPr>
  </w:style>
  <w:style w:type="paragraph" w:styleId="TOC3">
    <w:name w:val="toc 3"/>
    <w:basedOn w:val="Normal"/>
    <w:next w:val="Normal"/>
    <w:uiPriority w:val="39"/>
    <w:pPr>
      <w:tabs>
        <w:tab w:val="right" w:leader="dot" w:pos="9071"/>
      </w:tabs>
      <w:spacing w:before="60"/>
      <w:ind w:left="850" w:hanging="850"/>
      <w:jc w:val="left"/>
    </w:pPr>
  </w:style>
  <w:style w:type="paragraph" w:styleId="TOC4">
    <w:name w:val="toc 4"/>
    <w:basedOn w:val="Normal"/>
    <w:next w:val="Normal"/>
    <w:semiHidden/>
    <w:pPr>
      <w:tabs>
        <w:tab w:val="right" w:leader="dot" w:pos="9071"/>
      </w:tabs>
      <w:spacing w:before="60"/>
      <w:ind w:left="850" w:hanging="850"/>
      <w:jc w:val="left"/>
    </w:pPr>
  </w:style>
  <w:style w:type="paragraph" w:styleId="TOC5">
    <w:name w:val="toc 5"/>
    <w:basedOn w:val="Normal"/>
    <w:next w:val="Normal"/>
    <w:semiHidden/>
    <w:pPr>
      <w:tabs>
        <w:tab w:val="right" w:leader="dot" w:pos="9071"/>
      </w:tabs>
      <w:spacing w:before="300"/>
      <w:jc w:val="left"/>
    </w:pPr>
  </w:style>
  <w:style w:type="paragraph" w:styleId="TOC6">
    <w:name w:val="toc 6"/>
    <w:basedOn w:val="Normal"/>
    <w:next w:val="Normal"/>
    <w:semiHidden/>
    <w:pPr>
      <w:tabs>
        <w:tab w:val="right" w:leader="dot" w:pos="9071"/>
      </w:tabs>
      <w:spacing w:before="240"/>
      <w:jc w:val="left"/>
    </w:pPr>
  </w:style>
  <w:style w:type="paragraph" w:styleId="TOC7">
    <w:name w:val="toc 7"/>
    <w:basedOn w:val="Normal"/>
    <w:next w:val="Normal"/>
    <w:semiHidden/>
    <w:pPr>
      <w:tabs>
        <w:tab w:val="right" w:leader="dot" w:pos="9071"/>
      </w:tabs>
      <w:spacing w:before="180"/>
      <w:jc w:val="left"/>
    </w:pPr>
  </w:style>
  <w:style w:type="paragraph" w:styleId="TOC8">
    <w:name w:val="toc 8"/>
    <w:basedOn w:val="Normal"/>
    <w:next w:val="Normal"/>
    <w:semiHidden/>
    <w:pPr>
      <w:tabs>
        <w:tab w:val="right" w:leader="dot" w:pos="9071"/>
      </w:tabs>
      <w:jc w:val="left"/>
    </w:pPr>
  </w:style>
  <w:style w:type="paragraph" w:styleId="TOC9">
    <w:name w:val="toc 9"/>
    <w:basedOn w:val="Normal"/>
    <w:next w:val="Normal"/>
    <w:semiHidden/>
    <w:pPr>
      <w:tabs>
        <w:tab w:val="right" w:leader="dot" w:pos="9071"/>
      </w:tabs>
    </w:pPr>
  </w:style>
  <w:style w:type="paragraph" w:styleId="TOCHeading">
    <w:name w:val="TOC Heading"/>
    <w:basedOn w:val="Normal"/>
    <w:next w:val="Normal"/>
    <w:link w:val="TOCHeadingChar"/>
    <w:uiPriority w:val="39"/>
    <w:qFormat/>
    <w:pPr>
      <w:spacing w:after="240"/>
      <w:jc w:val="center"/>
    </w:pPr>
    <w:rPr>
      <w:b/>
      <w:sz w:val="28"/>
    </w:rPr>
  </w:style>
  <w:style w:type="paragraph" w:customStyle="1" w:styleId="Typeacteprincipal">
    <w:name w:val="Type acte principal"/>
    <w:basedOn w:val="Normal"/>
    <w:next w:val="Objetacteprincipal"/>
    <w:pPr>
      <w:spacing w:before="0" w:after="240"/>
      <w:jc w:val="center"/>
    </w:pPr>
    <w:rPr>
      <w:b/>
    </w:rPr>
  </w:style>
  <w:style w:type="paragraph" w:customStyle="1" w:styleId="TypeacteprincipalPagedecouverture">
    <w:name w:val="Type acte principal (Page de couverture)"/>
    <w:basedOn w:val="Typeacteprincipal"/>
    <w:next w:val="ObjetacteprincipalPagedecouverture"/>
  </w:style>
  <w:style w:type="paragraph" w:customStyle="1" w:styleId="Typedudocument">
    <w:name w:val="Type du document"/>
    <w:basedOn w:val="Normal"/>
    <w:next w:val="Titreobjet"/>
    <w:pPr>
      <w:spacing w:before="360" w:after="0"/>
      <w:jc w:val="center"/>
    </w:pPr>
    <w:rPr>
      <w:b/>
    </w:rPr>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styleId="ListBullet">
    <w:name w:val="List Bullet"/>
    <w:basedOn w:val="Normal"/>
    <w:pPr>
      <w:numPr>
        <w:numId w:val="15"/>
      </w:numPr>
    </w:pPr>
    <w:rPr>
      <w:lang w:eastAsia="de-DE"/>
    </w:rPr>
  </w:style>
  <w:style w:type="table" w:styleId="TableGrid">
    <w:name w:val="Table Grid"/>
    <w:basedOn w:val="TableNormal"/>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shd w:val="clear" w:color="auto" w:fill="auto"/>
      <w:lang w:eastAsia="en-US"/>
    </w:rPr>
  </w:style>
  <w:style w:type="paragraph" w:styleId="ListBullet2">
    <w:name w:val="List Bullet 2"/>
    <w:basedOn w:val="Normal"/>
    <w:pPr>
      <w:numPr>
        <w:numId w:val="16"/>
      </w:numPr>
    </w:pPr>
  </w:style>
  <w:style w:type="paragraph" w:styleId="ListBullet3">
    <w:name w:val="List Bullet 3"/>
    <w:basedOn w:val="Normal"/>
    <w:pPr>
      <w:numPr>
        <w:numId w:val="17"/>
      </w:numPr>
    </w:pPr>
  </w:style>
  <w:style w:type="paragraph" w:styleId="ListBullet4">
    <w:name w:val="List Bullet 4"/>
    <w:basedOn w:val="Normal"/>
    <w:pPr>
      <w:numPr>
        <w:numId w:val="18"/>
      </w:numPr>
    </w:pPr>
  </w:style>
  <w:style w:type="paragraph" w:styleId="Caption">
    <w:name w:val="caption"/>
    <w:basedOn w:val="Normal"/>
    <w:next w:val="Normal"/>
    <w:qFormat/>
    <w:rPr>
      <w:b/>
      <w:bCs/>
      <w:sz w:val="20"/>
      <w:szCs w:val="20"/>
    </w:rPr>
  </w:style>
  <w:style w:type="paragraph" w:styleId="TableofFigures">
    <w:name w:val="table of figures"/>
    <w:basedOn w:val="Normal"/>
    <w:next w:val="Normal"/>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character" w:styleId="CommentReference">
    <w:name w:val="annotation reference"/>
    <w:rPr>
      <w:rFonts w:cs="Times New Roman"/>
      <w:sz w:val="16"/>
      <w:szCs w:val="16"/>
      <w:shd w:val="clear" w:color="auto" w:fill="auto"/>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shd w:val="clear" w:color="auto" w:fill="auto"/>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hd w:val="clear" w:color="auto" w:fill="auto"/>
      <w:lang w:eastAsia="en-US"/>
    </w:rPr>
  </w:style>
  <w:style w:type="character" w:styleId="Hyperlink">
    <w:name w:val="Hyperlink"/>
    <w:uiPriority w:val="99"/>
    <w:rPr>
      <w:rFonts w:cs="Times New Roman"/>
      <w:color w:val="0000FF"/>
      <w:u w:val="single"/>
      <w:shd w:val="clear" w:color="auto" w:fill="auto"/>
    </w:rPr>
  </w:style>
  <w:style w:type="paragraph" w:customStyle="1" w:styleId="Default">
    <w:name w:val="Default"/>
    <w:pPr>
      <w:autoSpaceDE w:val="0"/>
      <w:autoSpaceDN w:val="0"/>
      <w:adjustRightInd w:val="0"/>
    </w:pPr>
    <w:rPr>
      <w:color w:val="000000"/>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link w:val="TOCHeading"/>
    <w:uiPriority w:val="39"/>
    <w:rPr>
      <w:b/>
      <w:sz w:val="28"/>
      <w:szCs w:val="24"/>
      <w:shd w:val="clear" w:color="auto" w:fill="auto"/>
      <w:lang w:eastAsia="en-US"/>
    </w:rPr>
  </w:style>
  <w:style w:type="character" w:customStyle="1" w:styleId="FooterCoverPageChar">
    <w:name w:val="Footer Cover Page Char"/>
    <w:link w:val="FooterCoverPage"/>
    <w:rPr>
      <w:sz w:val="24"/>
      <w:szCs w:val="24"/>
      <w:lang w:eastAsia="en-US"/>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link w:val="HeaderCoverPage"/>
    <w:rPr>
      <w:sz w:val="24"/>
      <w:szCs w:val="24"/>
      <w:lang w:eastAsia="en-US"/>
    </w:rPr>
  </w:style>
  <w:style w:type="character" w:customStyle="1" w:styleId="FootnoteTextChar">
    <w:name w:val="Footnote Text Char"/>
    <w:link w:val="FootnoteText"/>
    <w:uiPriority w:val="99"/>
    <w:rPr>
      <w:lang w:eastAsia="en-US"/>
    </w:rPr>
  </w:style>
  <w:style w:type="character" w:customStyle="1" w:styleId="Heading4Char">
    <w:name w:val="Heading 4 Char"/>
    <w:link w:val="Heading4"/>
    <w:rPr>
      <w:bCs/>
      <w:sz w:val="24"/>
      <w:szCs w:val="28"/>
      <w:lang w:eastAsia="en-US"/>
    </w:rPr>
  </w:style>
  <w:style w:type="character" w:customStyle="1" w:styleId="FooterChar">
    <w:name w:val="Footer Char"/>
    <w:link w:val="Footer"/>
    <w:uiPriority w:val="99"/>
    <w:rPr>
      <w:rFonts w:eastAsia="Calibri"/>
      <w:sz w:val="24"/>
      <w:szCs w:val="22"/>
      <w:lang w:eastAsia="en-US"/>
    </w:rPr>
  </w:style>
  <w:style w:type="paragraph" w:styleId="Revision">
    <w:name w:val="Revision"/>
    <w:hidden/>
    <w:uiPriority w:val="99"/>
    <w:semiHidden/>
    <w:rPr>
      <w:sz w:val="24"/>
      <w:szCs w:val="24"/>
      <w:lang w:eastAsia="en-US"/>
    </w:rPr>
  </w:style>
  <w:style w:type="character" w:customStyle="1" w:styleId="Heading3Char">
    <w:name w:val="Heading 3 Char"/>
    <w:link w:val="Heading3"/>
    <w:rPr>
      <w:bCs/>
      <w:i/>
      <w:sz w:val="24"/>
      <w:szCs w:val="26"/>
      <w:lang w:eastAsia="en-US"/>
    </w:rPr>
  </w:style>
  <w:style w:type="paragraph" w:customStyle="1" w:styleId="Declassification">
    <w:name w:val="Declassification"/>
    <w:basedOn w:val="Normal"/>
    <w:next w:val="Normal"/>
    <w:pPr>
      <w:spacing w:before="0" w:after="0"/>
    </w:pPr>
    <w:rPr>
      <w:rFonts w:eastAsia="Calibri"/>
      <w:szCs w:val="22"/>
    </w:rPr>
  </w:style>
  <w:style w:type="character" w:customStyle="1" w:styleId="HeaderChar">
    <w:name w:val="Header Char"/>
    <w:link w:val="Header"/>
    <w:uiPriority w:val="99"/>
    <w:rPr>
      <w:rFonts w:eastAsia="Calibri"/>
      <w:sz w:val="24"/>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2315">
      <w:bodyDiv w:val="1"/>
      <w:marLeft w:val="0"/>
      <w:marRight w:val="0"/>
      <w:marTop w:val="0"/>
      <w:marBottom w:val="0"/>
      <w:divBdr>
        <w:top w:val="none" w:sz="0" w:space="0" w:color="auto"/>
        <w:left w:val="none" w:sz="0" w:space="0" w:color="auto"/>
        <w:bottom w:val="none" w:sz="0" w:space="0" w:color="auto"/>
        <w:right w:val="none" w:sz="0" w:space="0" w:color="auto"/>
      </w:divBdr>
    </w:div>
    <w:div w:id="154536141">
      <w:bodyDiv w:val="1"/>
      <w:marLeft w:val="0"/>
      <w:marRight w:val="0"/>
      <w:marTop w:val="0"/>
      <w:marBottom w:val="0"/>
      <w:divBdr>
        <w:top w:val="none" w:sz="0" w:space="0" w:color="auto"/>
        <w:left w:val="none" w:sz="0" w:space="0" w:color="auto"/>
        <w:bottom w:val="none" w:sz="0" w:space="0" w:color="auto"/>
        <w:right w:val="none" w:sz="0" w:space="0" w:color="auto"/>
      </w:divBdr>
    </w:div>
    <w:div w:id="287206346">
      <w:bodyDiv w:val="1"/>
      <w:marLeft w:val="0"/>
      <w:marRight w:val="0"/>
      <w:marTop w:val="0"/>
      <w:marBottom w:val="0"/>
      <w:divBdr>
        <w:top w:val="none" w:sz="0" w:space="0" w:color="auto"/>
        <w:left w:val="none" w:sz="0" w:space="0" w:color="auto"/>
        <w:bottom w:val="none" w:sz="0" w:space="0" w:color="auto"/>
        <w:right w:val="none" w:sz="0" w:space="0" w:color="auto"/>
      </w:divBdr>
    </w:div>
    <w:div w:id="571963191">
      <w:bodyDiv w:val="1"/>
      <w:marLeft w:val="0"/>
      <w:marRight w:val="0"/>
      <w:marTop w:val="0"/>
      <w:marBottom w:val="0"/>
      <w:divBdr>
        <w:top w:val="none" w:sz="0" w:space="0" w:color="auto"/>
        <w:left w:val="none" w:sz="0" w:space="0" w:color="auto"/>
        <w:bottom w:val="none" w:sz="0" w:space="0" w:color="auto"/>
        <w:right w:val="none" w:sz="0" w:space="0" w:color="auto"/>
      </w:divBdr>
    </w:div>
    <w:div w:id="593324760">
      <w:bodyDiv w:val="1"/>
      <w:marLeft w:val="0"/>
      <w:marRight w:val="0"/>
      <w:marTop w:val="0"/>
      <w:marBottom w:val="0"/>
      <w:divBdr>
        <w:top w:val="none" w:sz="0" w:space="0" w:color="auto"/>
        <w:left w:val="none" w:sz="0" w:space="0" w:color="auto"/>
        <w:bottom w:val="none" w:sz="0" w:space="0" w:color="auto"/>
        <w:right w:val="none" w:sz="0" w:space="0" w:color="auto"/>
      </w:divBdr>
    </w:div>
    <w:div w:id="789208158">
      <w:bodyDiv w:val="1"/>
      <w:marLeft w:val="0"/>
      <w:marRight w:val="0"/>
      <w:marTop w:val="0"/>
      <w:marBottom w:val="0"/>
      <w:divBdr>
        <w:top w:val="none" w:sz="0" w:space="0" w:color="auto"/>
        <w:left w:val="none" w:sz="0" w:space="0" w:color="auto"/>
        <w:bottom w:val="none" w:sz="0" w:space="0" w:color="auto"/>
        <w:right w:val="none" w:sz="0" w:space="0" w:color="auto"/>
      </w:divBdr>
    </w:div>
    <w:div w:id="1042828534">
      <w:bodyDiv w:val="1"/>
      <w:marLeft w:val="0"/>
      <w:marRight w:val="0"/>
      <w:marTop w:val="0"/>
      <w:marBottom w:val="0"/>
      <w:divBdr>
        <w:top w:val="none" w:sz="0" w:space="0" w:color="auto"/>
        <w:left w:val="none" w:sz="0" w:space="0" w:color="auto"/>
        <w:bottom w:val="none" w:sz="0" w:space="0" w:color="auto"/>
        <w:right w:val="none" w:sz="0" w:space="0" w:color="auto"/>
      </w:divBdr>
    </w:div>
    <w:div w:id="1199899282">
      <w:bodyDiv w:val="1"/>
      <w:marLeft w:val="0"/>
      <w:marRight w:val="0"/>
      <w:marTop w:val="0"/>
      <w:marBottom w:val="0"/>
      <w:divBdr>
        <w:top w:val="none" w:sz="0" w:space="0" w:color="auto"/>
        <w:left w:val="none" w:sz="0" w:space="0" w:color="auto"/>
        <w:bottom w:val="none" w:sz="0" w:space="0" w:color="auto"/>
        <w:right w:val="none" w:sz="0" w:space="0" w:color="auto"/>
      </w:divBdr>
    </w:div>
    <w:div w:id="1219515736">
      <w:bodyDiv w:val="1"/>
      <w:marLeft w:val="0"/>
      <w:marRight w:val="0"/>
      <w:marTop w:val="0"/>
      <w:marBottom w:val="0"/>
      <w:divBdr>
        <w:top w:val="none" w:sz="0" w:space="0" w:color="auto"/>
        <w:left w:val="none" w:sz="0" w:space="0" w:color="auto"/>
        <w:bottom w:val="none" w:sz="0" w:space="0" w:color="auto"/>
        <w:right w:val="none" w:sz="0" w:space="0" w:color="auto"/>
      </w:divBdr>
    </w:div>
    <w:div w:id="1228687047">
      <w:bodyDiv w:val="1"/>
      <w:marLeft w:val="0"/>
      <w:marRight w:val="0"/>
      <w:marTop w:val="0"/>
      <w:marBottom w:val="0"/>
      <w:divBdr>
        <w:top w:val="none" w:sz="0" w:space="0" w:color="auto"/>
        <w:left w:val="none" w:sz="0" w:space="0" w:color="auto"/>
        <w:bottom w:val="none" w:sz="0" w:space="0" w:color="auto"/>
        <w:right w:val="none" w:sz="0" w:space="0" w:color="auto"/>
      </w:divBdr>
    </w:div>
    <w:div w:id="1236281064">
      <w:bodyDiv w:val="1"/>
      <w:marLeft w:val="0"/>
      <w:marRight w:val="0"/>
      <w:marTop w:val="0"/>
      <w:marBottom w:val="0"/>
      <w:divBdr>
        <w:top w:val="none" w:sz="0" w:space="0" w:color="auto"/>
        <w:left w:val="none" w:sz="0" w:space="0" w:color="auto"/>
        <w:bottom w:val="none" w:sz="0" w:space="0" w:color="auto"/>
        <w:right w:val="none" w:sz="0" w:space="0" w:color="auto"/>
      </w:divBdr>
    </w:div>
    <w:div w:id="1283414360">
      <w:bodyDiv w:val="1"/>
      <w:marLeft w:val="0"/>
      <w:marRight w:val="0"/>
      <w:marTop w:val="0"/>
      <w:marBottom w:val="0"/>
      <w:divBdr>
        <w:top w:val="none" w:sz="0" w:space="0" w:color="auto"/>
        <w:left w:val="none" w:sz="0" w:space="0" w:color="auto"/>
        <w:bottom w:val="none" w:sz="0" w:space="0" w:color="auto"/>
        <w:right w:val="none" w:sz="0" w:space="0" w:color="auto"/>
      </w:divBdr>
    </w:div>
    <w:div w:id="1452437525">
      <w:bodyDiv w:val="1"/>
      <w:marLeft w:val="0"/>
      <w:marRight w:val="0"/>
      <w:marTop w:val="0"/>
      <w:marBottom w:val="0"/>
      <w:divBdr>
        <w:top w:val="none" w:sz="0" w:space="0" w:color="auto"/>
        <w:left w:val="none" w:sz="0" w:space="0" w:color="auto"/>
        <w:bottom w:val="none" w:sz="0" w:space="0" w:color="auto"/>
        <w:right w:val="none" w:sz="0" w:space="0" w:color="auto"/>
      </w:divBdr>
    </w:div>
    <w:div w:id="1477989874">
      <w:bodyDiv w:val="1"/>
      <w:marLeft w:val="0"/>
      <w:marRight w:val="0"/>
      <w:marTop w:val="0"/>
      <w:marBottom w:val="0"/>
      <w:divBdr>
        <w:top w:val="none" w:sz="0" w:space="0" w:color="auto"/>
        <w:left w:val="none" w:sz="0" w:space="0" w:color="auto"/>
        <w:bottom w:val="none" w:sz="0" w:space="0" w:color="auto"/>
        <w:right w:val="none" w:sz="0" w:space="0" w:color="auto"/>
      </w:divBdr>
    </w:div>
    <w:div w:id="1576280807">
      <w:bodyDiv w:val="1"/>
      <w:marLeft w:val="0"/>
      <w:marRight w:val="0"/>
      <w:marTop w:val="0"/>
      <w:marBottom w:val="0"/>
      <w:divBdr>
        <w:top w:val="none" w:sz="0" w:space="0" w:color="auto"/>
        <w:left w:val="none" w:sz="0" w:space="0" w:color="auto"/>
        <w:bottom w:val="none" w:sz="0" w:space="0" w:color="auto"/>
        <w:right w:val="none" w:sz="0" w:space="0" w:color="auto"/>
      </w:divBdr>
    </w:div>
    <w:div w:id="1591739440">
      <w:bodyDiv w:val="1"/>
      <w:marLeft w:val="0"/>
      <w:marRight w:val="0"/>
      <w:marTop w:val="0"/>
      <w:marBottom w:val="0"/>
      <w:divBdr>
        <w:top w:val="none" w:sz="0" w:space="0" w:color="auto"/>
        <w:left w:val="none" w:sz="0" w:space="0" w:color="auto"/>
        <w:bottom w:val="none" w:sz="0" w:space="0" w:color="auto"/>
        <w:right w:val="none" w:sz="0" w:space="0" w:color="auto"/>
      </w:divBdr>
    </w:div>
    <w:div w:id="1611084318">
      <w:bodyDiv w:val="1"/>
      <w:marLeft w:val="0"/>
      <w:marRight w:val="0"/>
      <w:marTop w:val="0"/>
      <w:marBottom w:val="0"/>
      <w:divBdr>
        <w:top w:val="none" w:sz="0" w:space="0" w:color="auto"/>
        <w:left w:val="none" w:sz="0" w:space="0" w:color="auto"/>
        <w:bottom w:val="none" w:sz="0" w:space="0" w:color="auto"/>
        <w:right w:val="none" w:sz="0" w:space="0" w:color="auto"/>
      </w:divBdr>
    </w:div>
    <w:div w:id="1772168232">
      <w:bodyDiv w:val="1"/>
      <w:marLeft w:val="0"/>
      <w:marRight w:val="0"/>
      <w:marTop w:val="0"/>
      <w:marBottom w:val="0"/>
      <w:divBdr>
        <w:top w:val="none" w:sz="0" w:space="0" w:color="auto"/>
        <w:left w:val="none" w:sz="0" w:space="0" w:color="auto"/>
        <w:bottom w:val="none" w:sz="0" w:space="0" w:color="auto"/>
        <w:right w:val="none" w:sz="0" w:space="0" w:color="auto"/>
      </w:divBdr>
    </w:div>
    <w:div w:id="1784960793">
      <w:bodyDiv w:val="1"/>
      <w:marLeft w:val="0"/>
      <w:marRight w:val="0"/>
      <w:marTop w:val="0"/>
      <w:marBottom w:val="0"/>
      <w:divBdr>
        <w:top w:val="none" w:sz="0" w:space="0" w:color="auto"/>
        <w:left w:val="none" w:sz="0" w:space="0" w:color="auto"/>
        <w:bottom w:val="none" w:sz="0" w:space="0" w:color="auto"/>
        <w:right w:val="none" w:sz="0" w:space="0" w:color="auto"/>
      </w:divBdr>
    </w:div>
    <w:div w:id="1816411327">
      <w:bodyDiv w:val="1"/>
      <w:marLeft w:val="0"/>
      <w:marRight w:val="0"/>
      <w:marTop w:val="0"/>
      <w:marBottom w:val="0"/>
      <w:divBdr>
        <w:top w:val="none" w:sz="0" w:space="0" w:color="auto"/>
        <w:left w:val="none" w:sz="0" w:space="0" w:color="auto"/>
        <w:bottom w:val="none" w:sz="0" w:space="0" w:color="auto"/>
        <w:right w:val="none" w:sz="0" w:space="0" w:color="auto"/>
      </w:divBdr>
    </w:div>
    <w:div w:id="1877502957">
      <w:bodyDiv w:val="1"/>
      <w:marLeft w:val="0"/>
      <w:marRight w:val="0"/>
      <w:marTop w:val="0"/>
      <w:marBottom w:val="0"/>
      <w:divBdr>
        <w:top w:val="none" w:sz="0" w:space="0" w:color="auto"/>
        <w:left w:val="none" w:sz="0" w:space="0" w:color="auto"/>
        <w:bottom w:val="none" w:sz="0" w:space="0" w:color="auto"/>
        <w:right w:val="none" w:sz="0" w:space="0" w:color="auto"/>
      </w:divBdr>
    </w:div>
    <w:div w:id="1882089300">
      <w:bodyDiv w:val="1"/>
      <w:marLeft w:val="0"/>
      <w:marRight w:val="0"/>
      <w:marTop w:val="0"/>
      <w:marBottom w:val="0"/>
      <w:divBdr>
        <w:top w:val="none" w:sz="0" w:space="0" w:color="auto"/>
        <w:left w:val="none" w:sz="0" w:space="0" w:color="auto"/>
        <w:bottom w:val="none" w:sz="0" w:space="0" w:color="auto"/>
        <w:right w:val="none" w:sz="0" w:space="0" w:color="auto"/>
      </w:divBdr>
    </w:div>
    <w:div w:id="1965887953">
      <w:bodyDiv w:val="1"/>
      <w:marLeft w:val="0"/>
      <w:marRight w:val="0"/>
      <w:marTop w:val="0"/>
      <w:marBottom w:val="0"/>
      <w:divBdr>
        <w:top w:val="none" w:sz="0" w:space="0" w:color="auto"/>
        <w:left w:val="none" w:sz="0" w:space="0" w:color="auto"/>
        <w:bottom w:val="none" w:sz="0" w:space="0" w:color="auto"/>
        <w:right w:val="none" w:sz="0" w:space="0" w:color="auto"/>
      </w:divBdr>
    </w:div>
    <w:div w:id="214029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EF966-7238-4D19-9EF2-23ABCA5A9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1782</Words>
  <Characters>13745</Characters>
  <Application>Microsoft Office Word</Application>
  <DocSecurity>0</DocSecurity>
  <Lines>335</Lines>
  <Paragraphs>189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15338</CharactersWithSpaces>
  <SharedDoc>false</SharedDoc>
  <HLinks>
    <vt:vector size="78" baseType="variant">
      <vt:variant>
        <vt:i4>1376314</vt:i4>
      </vt:variant>
      <vt:variant>
        <vt:i4>74</vt:i4>
      </vt:variant>
      <vt:variant>
        <vt:i4>0</vt:i4>
      </vt:variant>
      <vt:variant>
        <vt:i4>5</vt:i4>
      </vt:variant>
      <vt:variant>
        <vt:lpwstr/>
      </vt:variant>
      <vt:variant>
        <vt:lpwstr>_Toc478625467</vt:lpwstr>
      </vt:variant>
      <vt:variant>
        <vt:i4>1376314</vt:i4>
      </vt:variant>
      <vt:variant>
        <vt:i4>68</vt:i4>
      </vt:variant>
      <vt:variant>
        <vt:i4>0</vt:i4>
      </vt:variant>
      <vt:variant>
        <vt:i4>5</vt:i4>
      </vt:variant>
      <vt:variant>
        <vt:lpwstr/>
      </vt:variant>
      <vt:variant>
        <vt:lpwstr>_Toc478625464</vt:lpwstr>
      </vt:variant>
      <vt:variant>
        <vt:i4>1441850</vt:i4>
      </vt:variant>
      <vt:variant>
        <vt:i4>62</vt:i4>
      </vt:variant>
      <vt:variant>
        <vt:i4>0</vt:i4>
      </vt:variant>
      <vt:variant>
        <vt:i4>5</vt:i4>
      </vt:variant>
      <vt:variant>
        <vt:lpwstr/>
      </vt:variant>
      <vt:variant>
        <vt:lpwstr>_Toc478625458</vt:lpwstr>
      </vt:variant>
      <vt:variant>
        <vt:i4>1441850</vt:i4>
      </vt:variant>
      <vt:variant>
        <vt:i4>56</vt:i4>
      </vt:variant>
      <vt:variant>
        <vt:i4>0</vt:i4>
      </vt:variant>
      <vt:variant>
        <vt:i4>5</vt:i4>
      </vt:variant>
      <vt:variant>
        <vt:lpwstr/>
      </vt:variant>
      <vt:variant>
        <vt:lpwstr>_Toc478625457</vt:lpwstr>
      </vt:variant>
      <vt:variant>
        <vt:i4>1507386</vt:i4>
      </vt:variant>
      <vt:variant>
        <vt:i4>50</vt:i4>
      </vt:variant>
      <vt:variant>
        <vt:i4>0</vt:i4>
      </vt:variant>
      <vt:variant>
        <vt:i4>5</vt:i4>
      </vt:variant>
      <vt:variant>
        <vt:lpwstr/>
      </vt:variant>
      <vt:variant>
        <vt:lpwstr>_Toc478625447</vt:lpwstr>
      </vt:variant>
      <vt:variant>
        <vt:i4>1507386</vt:i4>
      </vt:variant>
      <vt:variant>
        <vt:i4>44</vt:i4>
      </vt:variant>
      <vt:variant>
        <vt:i4>0</vt:i4>
      </vt:variant>
      <vt:variant>
        <vt:i4>5</vt:i4>
      </vt:variant>
      <vt:variant>
        <vt:lpwstr/>
      </vt:variant>
      <vt:variant>
        <vt:lpwstr>_Toc478625446</vt:lpwstr>
      </vt:variant>
      <vt:variant>
        <vt:i4>1507386</vt:i4>
      </vt:variant>
      <vt:variant>
        <vt:i4>38</vt:i4>
      </vt:variant>
      <vt:variant>
        <vt:i4>0</vt:i4>
      </vt:variant>
      <vt:variant>
        <vt:i4>5</vt:i4>
      </vt:variant>
      <vt:variant>
        <vt:lpwstr/>
      </vt:variant>
      <vt:variant>
        <vt:lpwstr>_Toc478625443</vt:lpwstr>
      </vt:variant>
      <vt:variant>
        <vt:i4>1048634</vt:i4>
      </vt:variant>
      <vt:variant>
        <vt:i4>32</vt:i4>
      </vt:variant>
      <vt:variant>
        <vt:i4>0</vt:i4>
      </vt:variant>
      <vt:variant>
        <vt:i4>5</vt:i4>
      </vt:variant>
      <vt:variant>
        <vt:lpwstr/>
      </vt:variant>
      <vt:variant>
        <vt:lpwstr>_Toc478625439</vt:lpwstr>
      </vt:variant>
      <vt:variant>
        <vt:i4>1048634</vt:i4>
      </vt:variant>
      <vt:variant>
        <vt:i4>26</vt:i4>
      </vt:variant>
      <vt:variant>
        <vt:i4>0</vt:i4>
      </vt:variant>
      <vt:variant>
        <vt:i4>5</vt:i4>
      </vt:variant>
      <vt:variant>
        <vt:lpwstr/>
      </vt:variant>
      <vt:variant>
        <vt:lpwstr>_Toc478625438</vt:lpwstr>
      </vt:variant>
      <vt:variant>
        <vt:i4>1048634</vt:i4>
      </vt:variant>
      <vt:variant>
        <vt:i4>20</vt:i4>
      </vt:variant>
      <vt:variant>
        <vt:i4>0</vt:i4>
      </vt:variant>
      <vt:variant>
        <vt:i4>5</vt:i4>
      </vt:variant>
      <vt:variant>
        <vt:lpwstr/>
      </vt:variant>
      <vt:variant>
        <vt:lpwstr>_Toc478625437</vt:lpwstr>
      </vt:variant>
      <vt:variant>
        <vt:i4>1048634</vt:i4>
      </vt:variant>
      <vt:variant>
        <vt:i4>14</vt:i4>
      </vt:variant>
      <vt:variant>
        <vt:i4>0</vt:i4>
      </vt:variant>
      <vt:variant>
        <vt:i4>5</vt:i4>
      </vt:variant>
      <vt:variant>
        <vt:lpwstr/>
      </vt:variant>
      <vt:variant>
        <vt:lpwstr>_Toc478625436</vt:lpwstr>
      </vt:variant>
      <vt:variant>
        <vt:i4>1048634</vt:i4>
      </vt:variant>
      <vt:variant>
        <vt:i4>8</vt:i4>
      </vt:variant>
      <vt:variant>
        <vt:i4>0</vt:i4>
      </vt:variant>
      <vt:variant>
        <vt:i4>5</vt:i4>
      </vt:variant>
      <vt:variant>
        <vt:lpwstr/>
      </vt:variant>
      <vt:variant>
        <vt:lpwstr>_Toc478625435</vt:lpwstr>
      </vt:variant>
      <vt:variant>
        <vt:i4>1048634</vt:i4>
      </vt:variant>
      <vt:variant>
        <vt:i4>2</vt:i4>
      </vt:variant>
      <vt:variant>
        <vt:i4>0</vt:i4>
      </vt:variant>
      <vt:variant>
        <vt:i4>5</vt:i4>
      </vt:variant>
      <vt:variant>
        <vt:lpwstr/>
      </vt:variant>
      <vt:variant>
        <vt:lpwstr>_Toc478625434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20</cp:revision>
  <cp:lastPrinted>2019-04-25T14:20:00Z</cp:lastPrinted>
  <dcterms:created xsi:type="dcterms:W3CDTF">2019-07-15T12:56:00Z</dcterms:created>
  <dcterms:modified xsi:type="dcterms:W3CDTF">2019-07-29T07:59:00Z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