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30A8BFC-A9AF-4AD9-9EBD-442F01FD8525" style="width:450.5pt;height:406.5pt">
            <v:imagedata r:id="rId9" o:title=""/>
          </v:shape>
        </w:pict>
      </w:r>
    </w:p>
    <w:bookmarkEnd w:id="0"/>
    <w:p>
      <w:pPr>
        <w:pStyle w:val="BodyA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134" w:left="1417" w:header="709" w:footer="709" w:gutter="0"/>
          <w:pgNumType w:start="2"/>
          <w:cols w:space="720"/>
          <w:docGrid w:linePitch="326"/>
        </w:sectPr>
      </w:pPr>
    </w:p>
    <w:p>
      <w:pPr>
        <w:pStyle w:val="Body"/>
        <w:keepNext/>
        <w:keepLines/>
        <w:widowControl w:val="0"/>
        <w:spacing w:after="0" w:line="240" w:lineRule="auto"/>
        <w:jc w:val="center"/>
        <w:rPr>
          <w:rStyle w:val="None"/>
          <w:rFonts w:ascii="Times New Roman" w:hAnsi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Style w:val="None"/>
          <w:rFonts w:ascii="Times New Roman" w:hAnsi="Times New Roman"/>
          <w:b/>
          <w:bCs/>
          <w:noProof/>
        </w:rPr>
        <w:lastRenderedPageBreak/>
        <w:t>ALLEGATO II</w:t>
      </w:r>
    </w:p>
    <w:p>
      <w:pPr>
        <w:pStyle w:val="Body"/>
        <w:keepNext/>
        <w:keepLines/>
        <w:widowControl w:val="0"/>
        <w:spacing w:after="0" w:line="240" w:lineRule="auto"/>
        <w:jc w:val="center"/>
        <w:rPr>
          <w:rStyle w:val="None"/>
          <w:rFonts w:ascii="Times New Roman" w:hAnsi="Times New Roman"/>
          <w:b/>
          <w:bCs/>
          <w:noProof/>
          <w:sz w:val="24"/>
          <w:szCs w:val="24"/>
        </w:rPr>
      </w:pPr>
    </w:p>
    <w:p>
      <w:pPr>
        <w:pStyle w:val="Body"/>
        <w:keepNext/>
        <w:keepLines/>
        <w:widowControl w:val="0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Style w:val="None"/>
          <w:rFonts w:ascii="Times New Roman" w:hAnsi="Times New Roman"/>
          <w:b/>
          <w:noProof/>
        </w:rPr>
        <w:t xml:space="preserve">Azioni raccomandate alle autorità degli Stati membri, al settore industriale e alla società civile </w:t>
      </w:r>
    </w:p>
    <w:p>
      <w:pPr>
        <w:pStyle w:val="Body"/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8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92"/>
      </w:tblGrid>
      <w:tr>
        <w:trPr>
          <w:trHeight w:val="5773"/>
          <w:jc w:val="center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rPr>
                <w:noProof/>
              </w:rPr>
            </w:pPr>
            <w: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Le autorità degli Stati membri sono invitate a: 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Elaborare e attuare strategie e piani d'azione nazionali in materia di deforestazione e degrado delle foreste, che comprendano: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campagne di sensibilizzazione e dialogo con le imprese interessate; 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impegni volontari a sostegno dell'obiettivo della presente comunicazione, in particolare per quanto riguarda la riduzione della domanda dell'UE di prodotti provenienti da catene di approvvigionamento associate alla deforestazione e al degrado delle foreste;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azioni volte a promuovere la trasparenza delle catene di approvvigionamento.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Sostenere i paesi partner nelle seguenti finalità: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migliorare le politiche e i quadri normativi pertinenti;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migliorare gli strumenti di finanziamento innovativi, quali le obbligazioni verdi;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migliorare i pagamenti per i servizi ecosistemici; 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incoraggiare i rispettivi settori bancari nazionali a sostenere gli investimenti nell'agricoltura, nella silvicoltura e nelle infrastrutture sostenibili.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Nel quadro della cooperazione allo sviluppo: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assicurare che i contributi finanziari non contribuiscano alla deforestazione e al degrado delle foreste;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aumentare il sostegno a favore dell'agricoltura sostenibile, dell'agrosilvicoltura, dell'agroecologia e di altri metodi agricoli resistenti ai cambiamenti climatici/ecologici, anche a favore dei piccoli coltivatori, al fine di garantire catene del valore agricole e forestali sostenibili;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sostenere la gestione delle aree forestali protette, la gestione sostenibile delle foreste e gli sforzi per il ripristino delle foreste degradate, compresi l'imboschimento e il rimboschimento;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sostenere la protezione dei diritti delle popolazioni indigene e delle comunità locali e il miglioramento della governance del territorio e dell'applicazione della normativa.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Continuare a impegnarsi attivamente con altri paesi e con i principali portatori di interessi nel contesto multilaterale, ad esempio nel quadro degli accordi multilaterali in materia di ambiente, nei processi politici e nelle sedi quali le agenzie e le commissioni delle Nazioni Unite, per sostenere l'adozione e l'attuazione di impegni risoluti e disposizioni volte ad arrestare la deforestazione e il degrado delle foreste.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Rafforzare ulteriormente l'inclusione di disposizioni sulle catene del valore sostenibili negli accordi commerciali, con particolare attenzione alla deforestazione, nel contesto dell'OCSE e di altre sedi pertinenti.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Contribuire alla ricerca e all'innovazione per arrestare la deforestazione e il degrado forestale mediante programmi di finanziamento nazionali e dell'UE.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Sostenere la cooperazione e la collaborazione a livello internazionale e bilaterale con gli istituti di ricerca e le organizzazioni competenti che operano in materia di deforestazione e degrado delle foreste.</w:t>
            </w:r>
          </w:p>
        </w:tc>
      </w:tr>
      <w:tr>
        <w:trPr>
          <w:trHeight w:val="903"/>
          <w:jc w:val="center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spacing w:after="0" w:line="240" w:lineRule="auto"/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  <w:t>Le imprese del settore industriale sono invitate a:</w:t>
            </w:r>
          </w:p>
          <w:p>
            <w:pPr>
              <w:pStyle w:val="Body"/>
              <w:widowControl w:val="0"/>
              <w:spacing w:after="0" w:line="240" w:lineRule="auto"/>
              <w:rPr>
                <w:noProof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Assumere impegni volontari a sostegno dell'obiettivo della presente comunicazione, in particolare per quanto riguarda la riduzione dell'uso di prodotti provenienti da catene di approvvigionamento associate alla deforestazione e al degrado forestale e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 promozione della trasparenza delle catene di approvvigionamento.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Integrare le considerazioni in materia di deforestazione nelle iniziative di responsabilità sociale d'impresa/condotta professionale responsabile.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Sostenere i progressi verso pratiche sostenibili di utilizzazione del suolo e una riduzione della pressione sulle foreste.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Sostenere gli investimenti per la gestione sostenibile delle foreste, il ripristino e il rimboschimento dei paesaggi e degli ecosistemi forestali degradati.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Intensificare gli sforzi per responsabilizzare e proteggere i diritti delle popolazioni indigene e delle comunità locali, compresi i diritti fondiari e di proprietà fondiaria e i diritti dei lavoratori.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Impegnarsi attivamente a favore di azioni transfrontaliere integrate miranti ad arrestare la deforestazione e il degrado delle foreste così come della loro attuazione.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Intensificare la cooperazione e i partenariati con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gli organismi internazionali </w:t>
            </w: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per i prodotti di base, le iniziative pertinenti e i principali portatori di interessi per contrastare la deforestazione e il degrado delle foreste.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Assicurare che gli investimenti non contribuiscano alla deforestazione e al degrado delle foreste e aumentare la trasparenza.</w:t>
            </w:r>
          </w:p>
          <w:p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Aumentare il sostegno e gli investimenti nella ricerca e nell’innovazione in settori di diretta pertinenza per conseguire gli obiettivi della presente comunicazione e incrementare l'uso di strumenti di tracciabilità e monitoraggio lungo tutta la catena di approvvigionamento.</w:t>
            </w:r>
          </w:p>
        </w:tc>
      </w:tr>
      <w:tr>
        <w:trPr>
          <w:trHeight w:val="3029"/>
          <w:jc w:val="center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spacing w:after="0" w:line="240" w:lineRule="auto"/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  <w:t>La società civile è invitata a:</w:t>
            </w:r>
          </w:p>
          <w:p>
            <w:pPr>
              <w:pStyle w:val="Body"/>
              <w:widowControl w:val="0"/>
              <w:spacing w:after="0" w:line="240" w:lineRule="auto"/>
              <w:rPr>
                <w:noProof/>
              </w:rPr>
            </w:pP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Mobilitare le proprie reti per sensibilizzare sul tema della deforestazione e del degrado forestale e promuovere gli obiettivi della presente comunicazione.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Sostenere la protezione dei diritti delle popolazioni indigene e delle comunità locali, compresi i diritti di proprietà fondiaria e forestale, fornendo sostegno ai difensori dei diritti umani e dei diritti fondiari, alle organizzazioni della società civile e alle strutture dedicate e sostenere i processi partecipativi, apportare competenze e condividere le migliori pratiche.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Svolgere un ruolo attivo in azioni transfrontaliere integrate volte ad arrestare la deforestazione e il degrado delle foreste.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Continuare a sensibilizzare in materia di deforestazione e degrado delle foreste in tutte le sedi internazionali pertinenti.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Contribuire ad accrescere la trasparenza in materia di investimenti.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Contribuire alla tracciabilità e alla trasparenza delle catene di approvvigionamento.</w:t>
            </w:r>
          </w:p>
        </w:tc>
      </w:tr>
    </w:tbl>
    <w:p>
      <w:pPr>
        <w:pStyle w:val="Body"/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0" w:h="16840"/>
      <w:pgMar w:top="1440" w:right="1440" w:bottom="1440" w:left="1440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07041" w16cid:durableId="20D33372"/>
  <w16cid:commentId w16cid:paraId="2A6C7E97" w16cid:durableId="20D33373"/>
  <w16cid:commentId w16cid:paraId="5BB57744" w16cid:durableId="20D33374"/>
  <w16cid:commentId w16cid:paraId="235E59A1" w16cid:durableId="20D33375"/>
  <w16cid:commentId w16cid:paraId="05B0E8FA" w16cid:durableId="20D33376"/>
  <w16cid:commentId w16cid:paraId="6AD3CF32" w16cid:durableId="20D33377"/>
  <w16cid:commentId w16cid:paraId="382D1EAA" w16cid:durableId="20D33378"/>
  <w16cid:commentId w16cid:paraId="7175550C" w16cid:durableId="20D33379"/>
  <w16cid:commentId w16cid:paraId="3D4C9C67" w16cid:durableId="20D3337A"/>
  <w16cid:commentId w16cid:paraId="041EB199" w16cid:durableId="20D3337B"/>
  <w16cid:commentId w16cid:paraId="5D2D30C5" w16cid:durableId="20D3337C"/>
  <w16cid:commentId w16cid:paraId="040A8C6B" w16cid:durableId="20D3337D"/>
  <w16cid:commentId w16cid:paraId="0840345A" w16cid:durableId="20D3337E"/>
  <w16cid:commentId w16cid:paraId="3E76387B" w16cid:durableId="20D3337F"/>
  <w16cid:commentId w16cid:paraId="52B6BC13" w16cid:durableId="20D33380"/>
  <w16cid:commentId w16cid:paraId="253810EE" w16cid:durableId="20D33381"/>
  <w16cid:commentId w16cid:paraId="28E71C7C" w16cid:durableId="20D33382"/>
  <w16cid:commentId w16cid:paraId="2FA58FCC" w16cid:durableId="20D33383"/>
  <w16cid:commentId w16cid:paraId="1BA2377E" w16cid:durableId="20D33384"/>
  <w16cid:commentId w16cid:paraId="08120792" w16cid:durableId="20D33385"/>
  <w16cid:commentId w16cid:paraId="4D8D69B2" w16cid:durableId="20D33386"/>
  <w16cid:commentId w16cid:paraId="036C8F70" w16cid:durableId="20D33387"/>
  <w16cid:commentId w16cid:paraId="5A39D256" w16cid:durableId="20D33388"/>
  <w16cid:commentId w16cid:paraId="71A04351" w16cid:durableId="20D33389"/>
  <w16cid:commentId w16cid:paraId="5AE99C79" w16cid:durableId="20D3338A"/>
  <w16cid:commentId w16cid:paraId="5EBC6F61" w16cid:durableId="20D3338B"/>
  <w16cid:commentId w16cid:paraId="5F1FD77A" w16cid:durableId="20D33832"/>
  <w16cid:commentId w16cid:paraId="2C74C516" w16cid:durableId="20D3338C"/>
  <w16cid:commentId w16cid:paraId="6C350BBB" w16cid:durableId="20D3338D"/>
  <w16cid:commentId w16cid:paraId="4A0FFF37" w16cid:durableId="20D3338E"/>
  <w16cid:commentId w16cid:paraId="62BECB9A" w16cid:durableId="20D3338F"/>
  <w16cid:commentId w16cid:paraId="488BF3A7" w16cid:durableId="20D3389F"/>
  <w16cid:commentId w16cid:paraId="4C95BEFE" w16cid:durableId="20D33390"/>
  <w16cid:commentId w16cid:paraId="27CCED44" w16cid:durableId="20D33391"/>
  <w16cid:commentId w16cid:paraId="7BB71F1E" w16cid:durableId="20D33392"/>
  <w16cid:commentId w16cid:paraId="53B4E4A1" w16cid:durableId="20D33393"/>
  <w16cid:commentId w16cid:paraId="14AAB9AD" w16cid:durableId="20D33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Foo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D0"/>
    <w:multiLevelType w:val="hybridMultilevel"/>
    <w:tmpl w:val="166A5EFE"/>
    <w:lvl w:ilvl="0" w:tplc="AB9866A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428E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3EB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AFF7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C100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2099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CE72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C0C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2038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582C81"/>
    <w:multiLevelType w:val="hybridMultilevel"/>
    <w:tmpl w:val="14183616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EE5"/>
    <w:multiLevelType w:val="hybridMultilevel"/>
    <w:tmpl w:val="C3E6EA9C"/>
    <w:numStyleLink w:val="ImportedStyle8"/>
  </w:abstractNum>
  <w:abstractNum w:abstractNumId="3">
    <w:nsid w:val="10653515"/>
    <w:multiLevelType w:val="hybridMultilevel"/>
    <w:tmpl w:val="45B4835A"/>
    <w:styleLink w:val="ImportedStyle3"/>
    <w:lvl w:ilvl="0" w:tplc="8996CA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6B39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8375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8A9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0876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A224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3AC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0358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A75F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94B57"/>
    <w:multiLevelType w:val="hybridMultilevel"/>
    <w:tmpl w:val="0ABAC628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F45D5"/>
    <w:multiLevelType w:val="hybridMultilevel"/>
    <w:tmpl w:val="630641D0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147"/>
    <w:multiLevelType w:val="hybridMultilevel"/>
    <w:tmpl w:val="EC2CE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F3AFA"/>
    <w:multiLevelType w:val="hybridMultilevel"/>
    <w:tmpl w:val="94CA9230"/>
    <w:styleLink w:val="ImportedStyle12"/>
    <w:lvl w:ilvl="0" w:tplc="B3A2B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A31E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6817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08AB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4DE8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D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4DDD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42BC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A169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A031D9"/>
    <w:multiLevelType w:val="hybridMultilevel"/>
    <w:tmpl w:val="3A042B38"/>
    <w:lvl w:ilvl="0" w:tplc="5B76325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0522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CE5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3E39E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6C00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6A16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E228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AF02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E598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9862D9"/>
    <w:multiLevelType w:val="hybridMultilevel"/>
    <w:tmpl w:val="BCD24CDE"/>
    <w:lvl w:ilvl="0" w:tplc="3B36E99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042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744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E177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05C9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C2F3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2593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2CBF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2E0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2B2271"/>
    <w:multiLevelType w:val="hybridMultilevel"/>
    <w:tmpl w:val="1B9CBA64"/>
    <w:lvl w:ilvl="0" w:tplc="1974E28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820F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AD8D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C5B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8571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4C0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C2D1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A240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07AB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3127D03"/>
    <w:multiLevelType w:val="hybridMultilevel"/>
    <w:tmpl w:val="639E271E"/>
    <w:lvl w:ilvl="0" w:tplc="26445706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895D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4673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8161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E0A3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037D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80DB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CB5E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EDE6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6B31D7A"/>
    <w:multiLevelType w:val="hybridMultilevel"/>
    <w:tmpl w:val="1E923D1C"/>
    <w:lvl w:ilvl="0" w:tplc="C9182306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270E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A2CC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0A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68B3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A19B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B70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24E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4A78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A743FA8"/>
    <w:multiLevelType w:val="hybridMultilevel"/>
    <w:tmpl w:val="B5261FFC"/>
    <w:styleLink w:val="ImportedStyle4"/>
    <w:lvl w:ilvl="0" w:tplc="5BF4FF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C344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C4BD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0C97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C3F4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AAE7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404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012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4985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E516C38"/>
    <w:multiLevelType w:val="hybridMultilevel"/>
    <w:tmpl w:val="59905DDA"/>
    <w:numStyleLink w:val="ImportedStyle6"/>
  </w:abstractNum>
  <w:abstractNum w:abstractNumId="15">
    <w:nsid w:val="3F0C02F3"/>
    <w:multiLevelType w:val="hybridMultilevel"/>
    <w:tmpl w:val="E8A6A86E"/>
    <w:numStyleLink w:val="ImportedStyle11"/>
  </w:abstractNum>
  <w:abstractNum w:abstractNumId="16">
    <w:nsid w:val="43EF751F"/>
    <w:multiLevelType w:val="hybridMultilevel"/>
    <w:tmpl w:val="E8A6A86E"/>
    <w:styleLink w:val="ImportedStyle11"/>
    <w:lvl w:ilvl="0" w:tplc="276264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81DF8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A3BC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4466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C5C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03F2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759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8B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A763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785D47"/>
    <w:multiLevelType w:val="hybridMultilevel"/>
    <w:tmpl w:val="65608BE8"/>
    <w:lvl w:ilvl="0" w:tplc="AC3E7CA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0A30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C658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6292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C448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4913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2108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AAF8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A632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391836"/>
    <w:multiLevelType w:val="hybridMultilevel"/>
    <w:tmpl w:val="00726394"/>
    <w:numStyleLink w:val="ImportedStyle1"/>
  </w:abstractNum>
  <w:abstractNum w:abstractNumId="19">
    <w:nsid w:val="486C1724"/>
    <w:multiLevelType w:val="hybridMultilevel"/>
    <w:tmpl w:val="F966810C"/>
    <w:lvl w:ilvl="0" w:tplc="4826559C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0FC0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EACD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C501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E268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A08D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78E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7A2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050B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9057ADA"/>
    <w:multiLevelType w:val="hybridMultilevel"/>
    <w:tmpl w:val="94CA9230"/>
    <w:numStyleLink w:val="ImportedStyle12"/>
  </w:abstractNum>
  <w:abstractNum w:abstractNumId="21">
    <w:nsid w:val="4B1F1729"/>
    <w:multiLevelType w:val="hybridMultilevel"/>
    <w:tmpl w:val="8850E2AE"/>
    <w:lvl w:ilvl="0" w:tplc="C378471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CD06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242F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A15F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0AD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2FA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C4B7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6F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CA4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CA87D6A"/>
    <w:multiLevelType w:val="hybridMultilevel"/>
    <w:tmpl w:val="3460D03C"/>
    <w:lvl w:ilvl="0" w:tplc="24902B9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0280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274E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2D98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86AA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46A3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519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067D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E04F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09D5629"/>
    <w:multiLevelType w:val="hybridMultilevel"/>
    <w:tmpl w:val="59905DDA"/>
    <w:styleLink w:val="ImportedStyle6"/>
    <w:lvl w:ilvl="0" w:tplc="D286EF2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2A12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2395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650D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27A3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81C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3EE4F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83B1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92D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4E64A50"/>
    <w:multiLevelType w:val="hybridMultilevel"/>
    <w:tmpl w:val="60AAB9EE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D0468"/>
    <w:multiLevelType w:val="hybridMultilevel"/>
    <w:tmpl w:val="45B4835A"/>
    <w:numStyleLink w:val="ImportedStyle3"/>
  </w:abstractNum>
  <w:abstractNum w:abstractNumId="26">
    <w:nsid w:val="55503187"/>
    <w:multiLevelType w:val="hybridMultilevel"/>
    <w:tmpl w:val="923A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33214"/>
    <w:multiLevelType w:val="hybridMultilevel"/>
    <w:tmpl w:val="C3E6EA9C"/>
    <w:styleLink w:val="ImportedStyle8"/>
    <w:lvl w:ilvl="0" w:tplc="05A005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39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0A3B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0780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6B36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0EB0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A208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A53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6312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87C49CF"/>
    <w:multiLevelType w:val="hybridMultilevel"/>
    <w:tmpl w:val="B35C4CAC"/>
    <w:lvl w:ilvl="0" w:tplc="B37C226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04FB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CFEE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A052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B3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C82F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994E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8488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EB73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BD30841"/>
    <w:multiLevelType w:val="hybridMultilevel"/>
    <w:tmpl w:val="B9E28292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317D4"/>
    <w:multiLevelType w:val="hybridMultilevel"/>
    <w:tmpl w:val="C11254C6"/>
    <w:lvl w:ilvl="0" w:tplc="B950A24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4AB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0D6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0191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6C2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AAC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8AA6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09A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E34F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33B2C0C"/>
    <w:multiLevelType w:val="hybridMultilevel"/>
    <w:tmpl w:val="F728415A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C3A75"/>
    <w:multiLevelType w:val="hybridMultilevel"/>
    <w:tmpl w:val="C9B84D20"/>
    <w:lvl w:ilvl="0" w:tplc="26BA285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E64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038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0C10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653E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42E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0F1C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9EE77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5A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4FD03A0"/>
    <w:multiLevelType w:val="hybridMultilevel"/>
    <w:tmpl w:val="8DF6B2F4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64A47"/>
    <w:multiLevelType w:val="hybridMultilevel"/>
    <w:tmpl w:val="A4446C20"/>
    <w:lvl w:ilvl="0" w:tplc="908E159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D14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C6D5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6D9E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C485C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03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83FA2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A8E9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4538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7FB4FD9"/>
    <w:multiLevelType w:val="hybridMultilevel"/>
    <w:tmpl w:val="0D966E2E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C2435"/>
    <w:multiLevelType w:val="hybridMultilevel"/>
    <w:tmpl w:val="B5261FFC"/>
    <w:numStyleLink w:val="ImportedStyle4"/>
  </w:abstractNum>
  <w:abstractNum w:abstractNumId="37">
    <w:nsid w:val="710F2E3E"/>
    <w:multiLevelType w:val="hybridMultilevel"/>
    <w:tmpl w:val="64CEB0C0"/>
    <w:lvl w:ilvl="0" w:tplc="4E1AA59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487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04C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EBC8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8C5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10CE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0C5A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43B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207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1784D40"/>
    <w:multiLevelType w:val="hybridMultilevel"/>
    <w:tmpl w:val="B07E85B2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9">
    <w:nsid w:val="71DB228A"/>
    <w:multiLevelType w:val="hybridMultilevel"/>
    <w:tmpl w:val="6618402E"/>
    <w:lvl w:ilvl="0" w:tplc="89A89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4B9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2B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4B3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33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2D2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A872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43B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E0A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4524140"/>
    <w:multiLevelType w:val="hybridMultilevel"/>
    <w:tmpl w:val="00726394"/>
    <w:styleLink w:val="ImportedStyle1"/>
    <w:lvl w:ilvl="0" w:tplc="B76427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AFBB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8E03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29F4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E03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EE736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09F7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602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CE82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C1A5353"/>
    <w:multiLevelType w:val="hybridMultilevel"/>
    <w:tmpl w:val="B21A24F2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CC1E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848F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6D4E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356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A6A7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A503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CE06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600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966275"/>
    <w:multiLevelType w:val="hybridMultilevel"/>
    <w:tmpl w:val="C5FA7E44"/>
    <w:lvl w:ilvl="0" w:tplc="75DAC5CE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0DA1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C3EEC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613C8">
      <w:start w:val="1"/>
      <w:numFmt w:val="bullet"/>
      <w:lvlText w:val="•"/>
      <w:lvlJc w:val="left"/>
      <w:pPr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8DB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8134A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E111E">
      <w:start w:val="1"/>
      <w:numFmt w:val="bullet"/>
      <w:lvlText w:val="•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0CB7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8FD7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250A20"/>
    <w:multiLevelType w:val="hybridMultilevel"/>
    <w:tmpl w:val="4F0AC17C"/>
    <w:lvl w:ilvl="0" w:tplc="2DC0AA6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C7D2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45E78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0681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8BCF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AC7C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C536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249B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ABAA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18"/>
  </w:num>
  <w:num w:numId="3">
    <w:abstractNumId w:val="42"/>
  </w:num>
  <w:num w:numId="4">
    <w:abstractNumId w:val="3"/>
  </w:num>
  <w:num w:numId="5">
    <w:abstractNumId w:val="25"/>
  </w:num>
  <w:num w:numId="6">
    <w:abstractNumId w:val="21"/>
  </w:num>
  <w:num w:numId="7">
    <w:abstractNumId w:val="13"/>
  </w:num>
  <w:num w:numId="8">
    <w:abstractNumId w:val="36"/>
  </w:num>
  <w:num w:numId="9">
    <w:abstractNumId w:val="39"/>
  </w:num>
  <w:num w:numId="10">
    <w:abstractNumId w:val="23"/>
  </w:num>
  <w:num w:numId="11">
    <w:abstractNumId w:val="14"/>
  </w:num>
  <w:num w:numId="12">
    <w:abstractNumId w:val="32"/>
  </w:num>
  <w:num w:numId="13">
    <w:abstractNumId w:val="27"/>
  </w:num>
  <w:num w:numId="14">
    <w:abstractNumId w:val="2"/>
  </w:num>
  <w:num w:numId="15">
    <w:abstractNumId w:val="37"/>
  </w:num>
  <w:num w:numId="16">
    <w:abstractNumId w:val="30"/>
  </w:num>
  <w:num w:numId="17">
    <w:abstractNumId w:val="16"/>
  </w:num>
  <w:num w:numId="18">
    <w:abstractNumId w:val="15"/>
  </w:num>
  <w:num w:numId="19">
    <w:abstractNumId w:val="7"/>
  </w:num>
  <w:num w:numId="20">
    <w:abstractNumId w:val="20"/>
  </w:num>
  <w:num w:numId="21">
    <w:abstractNumId w:val="10"/>
  </w:num>
  <w:num w:numId="22">
    <w:abstractNumId w:val="41"/>
  </w:num>
  <w:num w:numId="23">
    <w:abstractNumId w:val="34"/>
  </w:num>
  <w:num w:numId="24">
    <w:abstractNumId w:val="43"/>
  </w:num>
  <w:num w:numId="25">
    <w:abstractNumId w:val="22"/>
  </w:num>
  <w:num w:numId="26">
    <w:abstractNumId w:val="0"/>
  </w:num>
  <w:num w:numId="27">
    <w:abstractNumId w:val="17"/>
  </w:num>
  <w:num w:numId="28">
    <w:abstractNumId w:val="9"/>
  </w:num>
  <w:num w:numId="29">
    <w:abstractNumId w:val="8"/>
  </w:num>
  <w:num w:numId="30">
    <w:abstractNumId w:val="28"/>
  </w:num>
  <w:num w:numId="31">
    <w:abstractNumId w:val="12"/>
  </w:num>
  <w:num w:numId="32">
    <w:abstractNumId w:val="11"/>
  </w:num>
  <w:num w:numId="33">
    <w:abstractNumId w:val="19"/>
  </w:num>
  <w:num w:numId="34">
    <w:abstractNumId w:val="5"/>
  </w:num>
  <w:num w:numId="35">
    <w:abstractNumId w:val="1"/>
  </w:num>
  <w:num w:numId="36">
    <w:abstractNumId w:val="35"/>
  </w:num>
  <w:num w:numId="37">
    <w:abstractNumId w:val="24"/>
  </w:num>
  <w:num w:numId="38">
    <w:abstractNumId w:val="29"/>
  </w:num>
  <w:num w:numId="39">
    <w:abstractNumId w:val="33"/>
  </w:num>
  <w:num w:numId="40">
    <w:abstractNumId w:val="4"/>
  </w:num>
  <w:num w:numId="41">
    <w:abstractNumId w:val="31"/>
  </w:num>
  <w:num w:numId="42">
    <w:abstractNumId w:val="26"/>
  </w:num>
  <w:num w:numId="43">
    <w:abstractNumId w:val="32"/>
  </w:num>
  <w:num w:numId="44">
    <w:abstractNumId w:val="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it-IT" w:vendorID="64" w:dllVersion="131078" w:nlCheck="1" w:checkStyle="0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A30A8BFC-A9AF-4AD9-9EBD-442F01FD8525"/>
    <w:docVar w:name="LW_COVERPAGE_TYPE" w:val="1"/>
    <w:docVar w:name="LW_CROSSREFERENCE" w:val="{SWD(2019) 307 final}"/>
    <w:docVar w:name="LW_DocType" w:val="NORMAL"/>
    <w:docVar w:name="LW_EMISSION" w:val="23.7.2019"/>
    <w:docVar w:name="LW_EMISSION_ISODATE" w:val="2019-07-23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Intensificare l'azione dell'UE per proteggere e ripristinare le foreste del pianeta"/>
    <w:docVar w:name="LW_PART_NBR" w:val="1"/>
    <w:docVar w:name="LW_PART_NBR_TOTAL" w:val="1"/>
    <w:docVar w:name="LW_REF.INST.NEW" w:val="COM"/>
    <w:docVar w:name="LW_REF.INST.NEW_ADOPTED" w:val="final"/>
    <w:docVar w:name="LW_REF.INST.NEW_TEXT" w:val="(2019) 3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COMUNICAZIONE DELLA COMMISSIONE AL PARLAMENTO EUROPEO, AL CONSIGLIO, AL COMITATO ECONOMICO E SOCIALE EUROPEO E AL COMITATO DELLE REGIO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BodyA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76" w:lineRule="auto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dnoteText">
    <w:name w:val="endnote text"/>
    <w:link w:val="EndnoteTextChar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aption1">
    <w:name w:val="Caption1"/>
    <w:next w:val="Body"/>
    <w:pPr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it-IT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it-IT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Pr>
      <w:rFonts w:ascii="Calibri" w:eastAsia="Calibri" w:hAnsi="Calibri" w:cs="Calibri"/>
      <w:color w:val="000000"/>
      <w:u w:color="000000"/>
    </w:rPr>
  </w:style>
  <w:style w:type="numbering" w:customStyle="1" w:styleId="ImportedStyle41">
    <w:name w:val="Imported Style 41"/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SecurityMarking">
    <w:name w:val="Security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sz w:val="28"/>
      <w:szCs w:val="22"/>
      <w:bdr w:val="none" w:sz="0" w:space="0" w:color="auto"/>
    </w:rPr>
  </w:style>
  <w:style w:type="paragraph" w:customStyle="1" w:styleId="DateMarking">
    <w:name w:val="Date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ReleasableTo">
    <w:name w:val="ReleasableTo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HeaderSensitivityRight">
    <w:name w:val="Header Sensitivity Righ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BodyA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76" w:lineRule="auto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dnoteText">
    <w:name w:val="endnote text"/>
    <w:link w:val="EndnoteTextChar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aption1">
    <w:name w:val="Caption1"/>
    <w:next w:val="Body"/>
    <w:pPr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it-IT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it-IT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Pr>
      <w:rFonts w:ascii="Calibri" w:eastAsia="Calibri" w:hAnsi="Calibri" w:cs="Calibri"/>
      <w:color w:val="000000"/>
      <w:u w:color="000000"/>
    </w:rPr>
  </w:style>
  <w:style w:type="numbering" w:customStyle="1" w:styleId="ImportedStyle41">
    <w:name w:val="Imported Style 41"/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SecurityMarking">
    <w:name w:val="Security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sz w:val="28"/>
      <w:szCs w:val="22"/>
      <w:bdr w:val="none" w:sz="0" w:space="0" w:color="auto"/>
    </w:rPr>
  </w:style>
  <w:style w:type="paragraph" w:customStyle="1" w:styleId="DateMarking">
    <w:name w:val="Date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ReleasableTo">
    <w:name w:val="ReleasableTo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HeaderSensitivityRight">
    <w:name w:val="Header Sensitivity Righ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F4700D-38B1-43E9-95A8-59E11290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785</Words>
  <Characters>4905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AGOTHA Anthony (CAB-TIMMERMANS)</dc:creator>
  <cp:lastModifiedBy>WES PDFC Administrator</cp:lastModifiedBy>
  <cp:revision>14</cp:revision>
  <cp:lastPrinted>2019-07-19T12:48:00Z</cp:lastPrinted>
  <dcterms:created xsi:type="dcterms:W3CDTF">2019-07-19T14:58:00Z</dcterms:created>
  <dcterms:modified xsi:type="dcterms:W3CDTF">2019-08-08T14:13:00Z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First annex">
    <vt:lpwstr>2</vt:lpwstr>
  </property>
  <property fmtid="{D5CDD505-2E9C-101B-9397-08002B2CF9AE}" pid="9" name="Last annex">
    <vt:lpwstr>2</vt:lpwstr>
  </property>
  <property fmtid="{D5CDD505-2E9C-101B-9397-08002B2CF9AE}" pid="10" name="Unique annex">
    <vt:lpwstr>0</vt:lpwstr>
  </property>
  <property fmtid="{D5CDD505-2E9C-101B-9397-08002B2CF9AE}" pid="11" name="CPTemplateID">
    <vt:lpwstr>CP-039</vt:lpwstr>
  </property>
</Properties>
</file>