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9196DC46-4121-4E70-A755-052CEBE11F8F" style="width:450.8pt;height:437.9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spacing w:after="360"/>
        <w:rPr>
          <w:noProof/>
        </w:rPr>
      </w:pPr>
      <w:bookmarkStart w:id="0" w:name="_GoBack"/>
      <w:bookmarkEnd w:id="0"/>
      <w:r>
        <w:rPr>
          <w:noProof/>
        </w:rPr>
        <w:lastRenderedPageBreak/>
        <w:t>ACTO ADJUNTO</w:t>
      </w:r>
    </w:p>
    <w:p>
      <w:pPr>
        <w:spacing w:after="360"/>
        <w:jc w:val="center"/>
        <w:rPr>
          <w:noProof/>
        </w:rPr>
      </w:pPr>
      <w:r>
        <w:rPr>
          <w:noProof/>
        </w:rPr>
        <w:t>PROYECTO DE</w:t>
      </w:r>
    </w:p>
    <w:p>
      <w:pPr>
        <w:jc w:val="center"/>
        <w:rPr>
          <w:b/>
          <w:caps/>
          <w:noProof/>
        </w:rPr>
      </w:pPr>
      <w:r>
        <w:rPr>
          <w:b/>
          <w:caps/>
          <w:noProof/>
        </w:rPr>
        <w:t>Decisión n.º XX/XX del Comité de Asociación UE-REPÚBLICA DE ARMENIA</w:t>
      </w:r>
    </w:p>
    <w:p>
      <w:pPr>
        <w:jc w:val="center"/>
        <w:rPr>
          <w:b/>
          <w:noProof/>
        </w:rPr>
      </w:pPr>
      <w:r>
        <w:rPr>
          <w:b/>
          <w:noProof/>
        </w:rPr>
        <w:t>de XXXX</w:t>
      </w:r>
    </w:p>
    <w:p>
      <w:pPr>
        <w:spacing w:after="240"/>
        <w:jc w:val="center"/>
        <w:rPr>
          <w:b/>
          <w:noProof/>
          <w:szCs w:val="24"/>
        </w:rPr>
      </w:pPr>
      <w:r>
        <w:rPr>
          <w:b/>
          <w:noProof/>
        </w:rPr>
        <w:t>sobre el establecimiento de la lista de árbitros contemplada en el artículo 339, apartado 1, del Acuerdo de Asociación Global y Reforzado entre la Unión Europea y la Comunidad Europea de la Energía Atómica y sus Estados miembros, por una parte, y la República de Armenia, por otra</w:t>
      </w:r>
    </w:p>
    <w:p>
      <w:pPr>
        <w:spacing w:line="276" w:lineRule="auto"/>
        <w:rPr>
          <w:noProof/>
        </w:rPr>
      </w:pPr>
      <w:r>
        <w:rPr>
          <w:noProof/>
        </w:rPr>
        <w:t>EL COMITÉ DE ASOCIACIÓN,</w:t>
      </w:r>
    </w:p>
    <w:p>
      <w:pPr>
        <w:rPr>
          <w:noProof/>
        </w:rPr>
      </w:pPr>
      <w:r>
        <w:rPr>
          <w:noProof/>
        </w:rPr>
        <w:t>Visto el Acuerdo de Asociación Global y Reforzado entre la Unión Europea y la Comunidad Europea de la Energía Atómica y sus Estados miembros, por una parte, y la República de Armenia, por otra («el Acuerdo»), y en particular su artículo 339, apartado 1.</w:t>
      </w:r>
    </w:p>
    <w:p>
      <w:pPr>
        <w:rPr>
          <w:noProof/>
        </w:rPr>
      </w:pPr>
      <w:r>
        <w:rPr>
          <w:noProof/>
        </w:rPr>
        <w:t>Considerando lo siguiente: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De conformidad con el artículo 339, apartado 1, del Acuerdo, el Comité de Asociación debe establecer una lista de al menos quince personas con disposición y capacidad para ejercer de árbitro. 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El artículo 339, apartado 1, dispone que esta lista debe estar compuesta por tres sublistas, una sublista para las personas de cada Parte y una sublista de personas que no sean nacionales de ninguna de las Partes, y que ejercerán de presidentes de la comisión de arbitraje. Cada sublista debe estar compuesta al menos por cinco personas.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La Unión Europea y la República de Armenia han propuesto cinco candidatos a árbitros cada una, y se han puesto de acuerdo en cinco nacionales de terceros países que pueden ejercer como presidentes de una comisión arbitral. Todas las personas que figuran en la lista tienen disposición y capacidad para ejercer de árbitro.</w:t>
      </w:r>
    </w:p>
    <w:p>
      <w:pPr>
        <w:pStyle w:val="ManualConsidrant"/>
        <w:spacing w:after="360"/>
        <w:rPr>
          <w:noProof/>
        </w:rPr>
      </w:pPr>
      <w:r>
        <w:rPr>
          <w:noProof/>
        </w:rPr>
        <w:t>(4)</w:t>
      </w:r>
      <w:r>
        <w:rPr>
          <w:noProof/>
        </w:rPr>
        <w:tab/>
        <w:t>Con el fin de garantizar el correcto funcionamiento del Acuerdo, y más específicamente de su título VI, capítulo 13, la lista debe ser adoptada por el Comité de Asociación.</w:t>
      </w:r>
    </w:p>
    <w:p>
      <w:pPr>
        <w:spacing w:after="0"/>
        <w:rPr>
          <w:noProof/>
        </w:rPr>
      </w:pPr>
      <w:r>
        <w:rPr>
          <w:noProof/>
        </w:rPr>
        <w:t>HA ADOPTADO LA PRESENTE DECISIÓN:</w:t>
      </w:r>
    </w:p>
    <w:p>
      <w:pPr>
        <w:pStyle w:val="Titrearticle"/>
        <w:spacing w:before="240"/>
        <w:rPr>
          <w:noProof/>
        </w:rPr>
      </w:pPr>
      <w:r>
        <w:rPr>
          <w:noProof/>
        </w:rPr>
        <w:t>Artículo 1</w:t>
      </w:r>
    </w:p>
    <w:p>
      <w:pPr>
        <w:rPr>
          <w:noProof/>
        </w:rPr>
      </w:pPr>
      <w:r>
        <w:rPr>
          <w:noProof/>
        </w:rPr>
        <w:t>La lista de personas capaces y dispuestas a ejercer de árbitro con arreglo al artículo 339, apartado 1, del Acuerdo figura en el anexo de la presente Decisión.</w:t>
      </w:r>
    </w:p>
    <w:p>
      <w:pPr>
        <w:pStyle w:val="Titrearticle"/>
        <w:rPr>
          <w:i w:val="0"/>
          <w:noProof/>
        </w:rPr>
      </w:pPr>
      <w:r>
        <w:rPr>
          <w:noProof/>
        </w:rPr>
        <w:t>Artículo</w:t>
      </w:r>
      <w:r>
        <w:rPr>
          <w:i w:val="0"/>
          <w:noProof/>
        </w:rPr>
        <w:t xml:space="preserve"> 2</w:t>
      </w:r>
    </w:p>
    <w:p>
      <w:pPr>
        <w:pStyle w:val="ManualNumPar1"/>
        <w:rPr>
          <w:noProof/>
        </w:rPr>
      </w:pPr>
      <w:r>
        <w:rPr>
          <w:noProof/>
        </w:rPr>
        <w:t>La presente Decisión entrará en vigor el día de su adopción.</w:t>
      </w:r>
    </w:p>
    <w:p>
      <w:pPr>
        <w:rPr>
          <w:noProof/>
        </w:rPr>
      </w:pPr>
      <w:r>
        <w:rPr>
          <w:noProof/>
        </w:rPr>
        <w:t>Hecho en …, el</w:t>
      </w:r>
    </w:p>
    <w:tbl>
      <w:tblPr>
        <w:tblW w:w="10139" w:type="dxa"/>
        <w:tblLook w:val="04A0" w:firstRow="1" w:lastRow="0" w:firstColumn="1" w:lastColumn="0" w:noHBand="0" w:noVBand="1"/>
      </w:tblPr>
      <w:tblGrid>
        <w:gridCol w:w="5495"/>
        <w:gridCol w:w="4644"/>
      </w:tblGrid>
      <w:tr>
        <w:tc>
          <w:tcPr>
            <w:tcW w:w="5495" w:type="dxa"/>
            <w:shd w:val="clear" w:color="auto" w:fill="auto"/>
          </w:tcPr>
          <w:p>
            <w:pPr>
              <w:ind w:left="2160" w:firstLine="720"/>
              <w:jc w:val="center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>
            <w:pPr>
              <w:spacing w:before="0" w:after="0"/>
              <w:rPr>
                <w:i/>
                <w:noProof/>
              </w:rPr>
            </w:pPr>
            <w:r>
              <w:rPr>
                <w:i/>
                <w:noProof/>
              </w:rPr>
              <w:t xml:space="preserve">Por el Comité de Asociación </w:t>
            </w:r>
          </w:p>
          <w:p>
            <w:pPr>
              <w:spacing w:before="0" w:after="0"/>
              <w:rPr>
                <w:i/>
                <w:noProof/>
              </w:rPr>
            </w:pPr>
          </w:p>
        </w:tc>
      </w:tr>
      <w:tr>
        <w:tc>
          <w:tcPr>
            <w:tcW w:w="5495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i/>
                <w:noProof/>
                <w:szCs w:val="24"/>
              </w:rPr>
            </w:pPr>
            <w:r>
              <w:rPr>
                <w:i/>
                <w:noProof/>
              </w:rPr>
              <w:t>La Presidencia</w:t>
            </w:r>
          </w:p>
        </w:tc>
      </w:tr>
    </w:tbl>
    <w:p>
      <w:pPr>
        <w:jc w:val="center"/>
        <w:rPr>
          <w:noProof/>
        </w:rPr>
        <w:sectPr>
          <w:footerReference w:type="default" r:id="rId15"/>
          <w:footerReference w:type="first" r:id="rId16"/>
          <w:pgSz w:w="11907" w:h="16839" w:code="9"/>
          <w:pgMar w:top="851" w:right="851" w:bottom="1134" w:left="1134" w:header="284" w:footer="284" w:gutter="0"/>
          <w:pgNumType w:start="1"/>
          <w:cols w:space="720"/>
          <w:docGrid w:linePitch="326"/>
        </w:sectPr>
      </w:pP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ANEXO</w:t>
      </w:r>
    </w:p>
    <w:p>
      <w:pPr>
        <w:spacing w:after="360"/>
        <w:jc w:val="center"/>
        <w:rPr>
          <w:b/>
          <w:noProof/>
        </w:rPr>
      </w:pPr>
      <w:r>
        <w:rPr>
          <w:b/>
          <w:noProof/>
        </w:rPr>
        <w:t>LISTA DE ÁRBITROS CONTEMPLADA EN EL ARTÍCULO 339 DEL ACUERDO DE ASOCIACIÓN GLOBAL Y REFORZADO ENTRE LA UNIÓN EUROPEA Y LA COMUNIDAD EUROPEA DE ENERGÍA ATÓMICA Y SUS ESTADOS MIEMBROS, POR UNA PARTE, Y LA REPÚBLICA DE ARMENIA, POR OTRA</w:t>
      </w:r>
    </w:p>
    <w:p>
      <w:pPr>
        <w:rPr>
          <w:b/>
          <w:bCs/>
          <w:noProof/>
        </w:rPr>
      </w:pPr>
      <w:r>
        <w:rPr>
          <w:b/>
          <w:bCs/>
          <w:noProof/>
        </w:rPr>
        <w:t xml:space="preserve">Árbitros propuestos por la Unión Europea </w:t>
      </w:r>
    </w:p>
    <w:p>
      <w:pPr>
        <w:pStyle w:val="Point0"/>
        <w:rPr>
          <w:noProof/>
          <w:lang w:val="fr-BE"/>
        </w:rPr>
      </w:pPr>
      <w:r>
        <w:rPr>
          <w:noProof/>
          <w:lang w:val="fr-BE"/>
        </w:rPr>
        <w:t>1.</w:t>
      </w:r>
      <w:r>
        <w:rPr>
          <w:noProof/>
          <w:lang w:val="fr-BE"/>
        </w:rPr>
        <w:tab/>
        <w:t xml:space="preserve">Claus-Dieter EHLERMANN </w:t>
      </w:r>
    </w:p>
    <w:p>
      <w:pPr>
        <w:pStyle w:val="Point0"/>
        <w:rPr>
          <w:noProof/>
          <w:lang w:val="fr-BE"/>
        </w:rPr>
      </w:pPr>
      <w:r>
        <w:rPr>
          <w:noProof/>
          <w:lang w:val="fr-BE"/>
        </w:rPr>
        <w:t>2.</w:t>
      </w:r>
      <w:r>
        <w:rPr>
          <w:noProof/>
          <w:lang w:val="fr-BE"/>
        </w:rPr>
        <w:tab/>
        <w:t xml:space="preserve">Giorgio SACERDOTI </w:t>
      </w:r>
    </w:p>
    <w:p>
      <w:pPr>
        <w:pStyle w:val="Point0"/>
        <w:rPr>
          <w:noProof/>
          <w:lang w:val="fr-BE"/>
        </w:rPr>
      </w:pPr>
      <w:r>
        <w:rPr>
          <w:noProof/>
          <w:lang w:val="fr-BE"/>
        </w:rPr>
        <w:t>3.</w:t>
      </w:r>
      <w:r>
        <w:rPr>
          <w:noProof/>
          <w:lang w:val="fr-BE"/>
        </w:rPr>
        <w:tab/>
        <w:t>Jacques BOURGEOIS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Pieter Jan KUIJPER </w:t>
      </w:r>
    </w:p>
    <w:p>
      <w:pPr>
        <w:pStyle w:val="Point0"/>
        <w:spacing w:after="360"/>
        <w:rPr>
          <w:noProof/>
        </w:rPr>
      </w:pPr>
      <w:r>
        <w:rPr>
          <w:noProof/>
        </w:rPr>
        <w:t>5.</w:t>
      </w:r>
      <w:r>
        <w:rPr>
          <w:noProof/>
        </w:rPr>
        <w:tab/>
        <w:t>Ramón TORRENT</w:t>
      </w:r>
    </w:p>
    <w:p>
      <w:pPr>
        <w:rPr>
          <w:b/>
          <w:noProof/>
        </w:rPr>
      </w:pPr>
      <w:r>
        <w:rPr>
          <w:b/>
          <w:bCs/>
          <w:noProof/>
        </w:rPr>
        <w:t>Árbitros propuestos por Armenia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Nora SARGSYAN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Arman SARGSYAN </w:t>
      </w:r>
    </w:p>
    <w:p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Grigor BEKMEZYAN</w:t>
      </w:r>
    </w:p>
    <w:p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Levon GEVORGYAN</w:t>
      </w:r>
    </w:p>
    <w:p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>Mushegh MANUKYAN</w:t>
      </w:r>
    </w:p>
    <w:p>
      <w:pPr>
        <w:rPr>
          <w:b/>
          <w:bCs/>
          <w:noProof/>
        </w:rPr>
      </w:pPr>
      <w:r>
        <w:rPr>
          <w:b/>
          <w:bCs/>
          <w:noProof/>
        </w:rPr>
        <w:t xml:space="preserve">Presidentes </w:t>
      </w: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William Davey (Estados Unidos)</w:t>
      </w:r>
    </w:p>
    <w:p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Helge Seland (Noruega)</w:t>
      </w:r>
    </w:p>
    <w:p>
      <w:pPr>
        <w:pStyle w:val="Point0"/>
        <w:rPr>
          <w:bCs/>
          <w:noProof/>
        </w:rPr>
      </w:pPr>
      <w:r>
        <w:rPr>
          <w:noProof/>
        </w:rPr>
        <w:t>3.</w:t>
      </w:r>
      <w:r>
        <w:rPr>
          <w:noProof/>
        </w:rPr>
        <w:tab/>
        <w:t>Maryse Robert (Canadá)</w:t>
      </w:r>
    </w:p>
    <w:p>
      <w:pPr>
        <w:pStyle w:val="Point0"/>
        <w:rPr>
          <w:bCs/>
          <w:noProof/>
        </w:rPr>
      </w:pPr>
      <w:r>
        <w:rPr>
          <w:noProof/>
        </w:rPr>
        <w:t>4.</w:t>
      </w:r>
      <w:r>
        <w:rPr>
          <w:noProof/>
        </w:rPr>
        <w:tab/>
        <w:t xml:space="preserve">Christian Häberli (Suiza) </w:t>
      </w:r>
    </w:p>
    <w:p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>Merit Janow (Estados Unidos)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DC2D4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448A5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35A99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B5A23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11005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B36D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8FCA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C300E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8-19 11:26:2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 la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9196DC46-4121-4E70-A755-052CEBE11F8F"/>
    <w:docVar w:name="LW_COVERPAGE_TYPE" w:val="1"/>
    <w:docVar w:name="LW_CROSSREFERENCE" w:val="&lt;UNUSED&gt;"/>
    <w:docVar w:name="LW_DocType" w:val="ANNEX"/>
    <w:docVar w:name="LW_EMISSION" w:val="28.8.2019"/>
    <w:docVar w:name="LW_EMISSION_ISODATE" w:val="2019-08-28"/>
    <w:docVar w:name="LW_EMISSION_LOCATION" w:val="BRX"/>
    <w:docVar w:name="LW_EMISSION_PREFIX" w:val="Bruselas, "/>
    <w:docVar w:name="LW_EMISSION_SUFFIX" w:val=" "/>
    <w:docVar w:name="LW_ID_DOCSTRUCTURE" w:val="COM/ANNEX"/>
    <w:docVar w:name="LW_ID_DOCTYPE" w:val="SG-017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" w:val="relativa a la posición que debe adoptarse en nombre de la Unión Europea en el Comité de Asociación establecido por el Acuerdo de Asociación Global y Reforzado entre la Unión Europea y la Comunidad Europea de la Energía Atómica y sus Estados miembros, por una parte, y la República de Armenia, por otra, en relación con la lista de personas que ejercerán de árbitro en los procedimientos de solución de diferencias_x000b_"/>
    <w:docVar w:name="LW_OBJETACTEPRINCIPAL.CP" w:val="relativa a la posición que debe adoptarse en nombre de la Unión Europea en el Comité de Asociación establecido por el Acuerdo de Asociación Global y Reforzado entre la Unión Europea y la Comunidad Europea de la Energía Atómica y sus Estados miembros, por una parte, y la República de Armenia, por otra, en relación con la lista de personas que ejercerán de árbitro en los procedimientos de solución de diferencias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36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Decisión del Consejo"/>
    <w:docVar w:name="LW_TYPEACTEPRINCIPAL.CP" w:val="Decisión de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s-E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s-ES_trad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s-E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456</Words>
  <Characters>2299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DIGIT/C6</cp:lastModifiedBy>
  <cp:revision>8</cp:revision>
  <dcterms:created xsi:type="dcterms:W3CDTF">2019-07-31T13:24:00Z</dcterms:created>
  <dcterms:modified xsi:type="dcterms:W3CDTF">2019-08-19T09:26:00Z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