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E4A0B0C-E923-4F7A-A047-96F794CE146C" style="width:451.25pt;height:365.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t>1.</w:t>
      </w:r>
      <w:r>
        <w:tab/>
      </w:r>
      <w:r>
        <w:rPr>
          <w:noProof/>
        </w:rPr>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1"/>
      </w:r>
      <w:r>
        <w:rPr>
          <w:noProof/>
        </w:rPr>
        <w:t xml:space="preserve"> har Kommissionen ført forhandlinger med regeringen for Den Demokratiske Republik São Tomé og Príncipe (i det følgende benævnt "São Tomé og Príncipe") med henblik på at indgå en ny protokol til den eksisterende fiskeriaftale. Efter afslutningen af disse forhandlinger blev der den 17. april 2019 paraferet en ny protokol. Protokollen dækker en periode på fem år fra datoen for dens midlertidige anvendelse, dvs. fra den dato, hvor den er undertegnet, jf. artikel 15.</w:t>
      </w:r>
    </w:p>
    <w:p>
      <w:pPr>
        <w:pBdr>
          <w:top w:val="nil"/>
          <w:left w:val="nil"/>
          <w:bottom w:val="nil"/>
          <w:right w:val="nil"/>
          <w:between w:val="nil"/>
          <w:bar w:val="nil"/>
        </w:pBdr>
        <w:spacing w:before="0"/>
        <w:rPr>
          <w:noProof/>
        </w:rPr>
      </w:pPr>
      <w:r>
        <w:rPr>
          <w:noProof/>
        </w:rPr>
        <w:t>Protokollen giver EU-fartøjer følgende fiskerimuligheder:</w:t>
      </w:r>
    </w:p>
    <w:p>
      <w:pPr>
        <w:pStyle w:val="Tiret0"/>
        <w:numPr>
          <w:ilvl w:val="0"/>
          <w:numId w:val="3"/>
        </w:numPr>
        <w:rPr>
          <w:noProof/>
        </w:rPr>
      </w:pPr>
      <w:r>
        <w:rPr>
          <w:noProof/>
        </w:rPr>
        <w:t>28 notfartøjer med fryseanlæg til tunfiskeri</w:t>
      </w:r>
    </w:p>
    <w:p>
      <w:pPr>
        <w:pStyle w:val="Tiret0"/>
        <w:rPr>
          <w:noProof/>
        </w:rPr>
      </w:pPr>
      <w:r>
        <w:rPr>
          <w:noProof/>
        </w:rPr>
        <w:t>6 langlinefartøjer med flydeline.</w:t>
      </w:r>
    </w:p>
    <w:p>
      <w:pPr>
        <w:pBdr>
          <w:top w:val="nil"/>
          <w:left w:val="nil"/>
          <w:bottom w:val="nil"/>
          <w:right w:val="nil"/>
          <w:between w:val="nil"/>
          <w:bar w:val="nil"/>
        </w:pBdr>
        <w:spacing w:before="0" w:after="240"/>
        <w:rPr>
          <w:noProof/>
        </w:rPr>
      </w:pPr>
      <w:r>
        <w:rPr>
          <w:noProof/>
        </w:rPr>
        <w:t>Det bør fastsættes, hvordan fiskerimulighederne skal fordeles mellem medlemsstaterne.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rPr>
          <w:noProof/>
        </w:rPr>
      </w:pPr>
      <w:r>
        <w:rPr>
          <w:noProof/>
        </w:rPr>
        <w:t>I overensstemmelse med prioriteterne for reformen af fiskeripolitikken</w:t>
      </w:r>
      <w:r>
        <w:rPr>
          <w:rStyle w:val="FootnoteReference"/>
          <w:noProof/>
        </w:rPr>
        <w:footnoteReference w:id="2"/>
      </w:r>
      <w:r>
        <w:rPr>
          <w:noProof/>
        </w:rPr>
        <w:t xml:space="preserve"> skaber den nye protokol fiskerimuligheder for EU-fartøjer i São Tomé og Príncipes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São Tomé og Príncipe at arbejde tættere sammen om at fremme en ansvarlig udnyttelse af fiskeressourcerne i São Tomé og Príncipes farvande og støtte São Tomé og Príncipes bestræbelser på at udvikle sin fiskerisektor i begge parters interesse. </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São Tomé og Príncipe indgår som led i EU's optræden udadtil over for landene i Afrika, Vestindien og Stillehavet (AVS), og der tages navnlig hensyn til Unionens mål vedrørende respekt for de demokratiske principper og menneskerettighederne.</w:t>
      </w:r>
    </w:p>
    <w:p>
      <w:pPr>
        <w:pStyle w:val="ManualHeading1"/>
        <w:rPr>
          <w:noProof/>
        </w:rPr>
      </w:pPr>
      <w:r>
        <w:t>2.</w:t>
      </w:r>
      <w:r>
        <w:tab/>
      </w:r>
      <w:r>
        <w:rPr>
          <w:noProof/>
        </w:rPr>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spacing w:before="0" w:after="240"/>
        <w:rPr>
          <w:noProof/>
        </w:rPr>
      </w:pPr>
      <w:r>
        <w:rPr>
          <w:noProof/>
        </w:rPr>
        <w:t xml:space="preserve">Det valgte retsgrundlag er traktaten om Den Europæiske Unions funktionsmåde, hvori det i artikel 43, stk. 3, fastsættes, at Rådet vedtager fordelingen af fiskerimuligheder på forslag fra Kommissionen. </w:t>
      </w:r>
    </w:p>
    <w:p>
      <w:pPr>
        <w:pStyle w:val="ManualHeading2"/>
        <w:rPr>
          <w:rFonts w:eastAsia="Arial Unicode MS"/>
          <w:noProof/>
          <w:u w:color="000000"/>
          <w:bdr w:val="nil"/>
        </w:rPr>
      </w:pPr>
      <w:r>
        <w:rPr>
          <w:noProof/>
        </w:rPr>
        <w:t>•</w:t>
      </w:r>
      <w:r>
        <w:rPr>
          <w:noProof/>
        </w:rPr>
        <w:tab/>
        <w:t>Nærhedsprincippet (for områder, der ikke er omfattet af enekompetence)</w:t>
      </w:r>
    </w:p>
    <w:p>
      <w:pPr>
        <w:spacing w:before="0" w:after="240"/>
        <w:rPr>
          <w:noProof/>
        </w:rPr>
      </w:pPr>
      <w:r>
        <w:rPr>
          <w:noProof/>
        </w:rPr>
        <w:t xml:space="preserve">Unionen har enekompetence på området. </w:t>
      </w:r>
    </w:p>
    <w:p>
      <w:pPr>
        <w:pStyle w:val="ManualHeading1"/>
        <w:rPr>
          <w:noProof/>
        </w:rPr>
      </w:pPr>
      <w:r>
        <w:lastRenderedPageBreak/>
        <w:t>3.</w:t>
      </w:r>
      <w:r>
        <w:tab/>
      </w:r>
      <w:r>
        <w:rPr>
          <w:noProof/>
        </w:rPr>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De interesserede parter blev hørt i forbindelse med de forudgående og efterfølgende evalueringer af en eventuel ny protokol mellem Den Europæiske Union og Den Demokratiske Republik São Tomé og Príncipe. Medlemsstaternes og branchens eksperter blev også hørt på tekniske møder. Det er på baggrund af disse høringer konkluderet, at det er til fordel for Unionen og Den Demokratiske Republik São Tomé og Príncipe at indgå en ny protokol til fiskeripartnerskabsaftalen.</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São Tomé og Príncipes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t>4.</w:t>
      </w:r>
      <w:r>
        <w:tab/>
      </w:r>
      <w:r>
        <w:rPr>
          <w:noProof/>
        </w:rPr>
        <w:t>VIRKNINGER FOR BUDGETTET</w:t>
      </w:r>
    </w:p>
    <w:p>
      <w:pPr>
        <w:spacing w:before="0" w:after="240"/>
        <w:rPr>
          <w:noProof/>
        </w:rPr>
      </w:pPr>
      <w:r>
        <w:rPr>
          <w:noProof/>
        </w:rPr>
        <w:t>Den foreslåede forordning har ingen virkninger for Unionens budget.</w:t>
      </w:r>
    </w:p>
    <w:p>
      <w:pPr>
        <w:pStyle w:val="ManualHeading1"/>
        <w:rPr>
          <w:noProof/>
        </w:rPr>
      </w:pPr>
      <w:r>
        <w:t>5.</w:t>
      </w:r>
      <w:r>
        <w:tab/>
      </w:r>
      <w:r>
        <w:rPr>
          <w:noProof/>
        </w:rPr>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spacing w:before="0" w:after="240"/>
        <w:rPr>
          <w:noProof/>
        </w:rPr>
      </w:pPr>
      <w:r>
        <w:rPr>
          <w:noProof/>
        </w:rPr>
        <w:t xml:space="preserve">Denne procedure iværksættes sideløbende med procedurerne i forbindelse med Rådets afgørelse om undertegnelse på Unionens vegne af protokollen til fiskeripartnerskabsaftalen mellem Den Demokratiske Republik São Tomé og Príncipe og Det Europæiske Fællesskab og med Rådets afgørelse om dens indgåelse. Denne forordning finder anvendelse, så snart det er muligt at fiske i henhold til aftalen, dvs. fra datoen for den midlertidige anvendelse af protokollen.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2019/0171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 xml:space="preserve">om fordeling af fiskerimuligheder i medfør af protokollen til gennemførelse af fiskeripartnerskabsaftalen mellem Den Demokratiske Republik São Tomé og Príncipe og Det Europæiske Fællesskab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3,</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23. juli 2007 vedtog Rådet forordning (EF) nr. 894/2007</w:t>
      </w:r>
      <w:r>
        <w:rPr>
          <w:rStyle w:val="FootnoteReference"/>
          <w:noProof/>
        </w:rPr>
        <w:footnoteReference w:id="3"/>
      </w:r>
      <w:r>
        <w:rPr>
          <w:noProof/>
        </w:rPr>
        <w:t xml:space="preserve"> om indgåelse af en fiskeripartnerskabsaftale mellem Den Demokratiske Republik São Tomé og Príncipe og Det Europæiske Fællesskab (i det følgende benævnt "aftalen")</w:t>
      </w:r>
      <w:r>
        <w:rPr>
          <w:rStyle w:val="FootnoteReference"/>
          <w:noProof/>
        </w:rPr>
        <w:footnoteReference w:id="4"/>
      </w:r>
      <w:r>
        <w:rPr>
          <w:noProof/>
        </w:rPr>
        <w:t>. Denne aftale trådte i kraft den 29. august 2011 og er stadig i kraft.</w:t>
      </w:r>
    </w:p>
    <w:p>
      <w:pPr>
        <w:pStyle w:val="ManualConsidrant"/>
        <w:rPr>
          <w:noProof/>
        </w:rPr>
      </w:pPr>
      <w:r>
        <w:t>(2)</w:t>
      </w:r>
      <w:r>
        <w:tab/>
      </w:r>
      <w:r>
        <w:rPr>
          <w:noProof/>
        </w:rPr>
        <w:t>I overensstemmelse med Rådets afgørelse 2019/…/EU</w:t>
      </w:r>
      <w:r>
        <w:rPr>
          <w:rStyle w:val="FootnoteReference"/>
          <w:noProof/>
        </w:rPr>
        <w:footnoteReference w:id="5"/>
      </w:r>
      <w:r>
        <w:rPr>
          <w:noProof/>
        </w:rPr>
        <w:t xml:space="preserve"> blev en ny protokol til gennemførelse af aftalen (i det følgende benævnt "protokollen") undertegnet den [</w:t>
      </w:r>
      <w:r>
        <w:rPr>
          <w:i/>
          <w:noProof/>
        </w:rPr>
        <w:t>indsæt dato for undertegnelsen</w:t>
      </w:r>
      <w:r>
        <w:rPr>
          <w:noProof/>
        </w:rPr>
        <w:t>].</w:t>
      </w:r>
    </w:p>
    <w:p>
      <w:pPr>
        <w:pStyle w:val="ManualConsidrant"/>
        <w:rPr>
          <w:noProof/>
        </w:rPr>
      </w:pPr>
      <w:r>
        <w:t>(3)</w:t>
      </w:r>
      <w:r>
        <w:tab/>
      </w:r>
      <w:r>
        <w:rPr>
          <w:noProof/>
        </w:rPr>
        <w:t>De fiskerimuligheder, der er fastsat i protokollen, bør fordeles mellem medlemsstaterne i protokollens anvendelsesperiode.</w:t>
      </w:r>
    </w:p>
    <w:p>
      <w:pPr>
        <w:pStyle w:val="ManualConsidrant"/>
        <w:rPr>
          <w:noProof/>
        </w:rPr>
      </w:pPr>
      <w:r>
        <w:t>(4)</w:t>
      </w:r>
      <w:r>
        <w:tab/>
      </w:r>
      <w:r>
        <w:rPr>
          <w:noProof/>
        </w:rPr>
        <w:t>Protokollen anvendes midlertidigt fra datoen for dens undertegnelse. For at sikre, at EU-fartøjerne hurtigt kan påbegynde fiskeriet, bør nærværende forordning anvendes fra samme dato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De fiskerimuligheder, der er fastsat i protokollen til gennemførelse af fiskeripartnerskabsaftalen mellem Den Demokratiske Republik São Tomé og Príncipe og Det Europæiske Fællesskab (i det følgende benævnt "protokollen"), fordeles mellem medlemsstaterne som følger:</w:t>
      </w:r>
    </w:p>
    <w:p>
      <w:pPr>
        <w:rPr>
          <w:noProof/>
        </w:rPr>
      </w:pPr>
      <w:r>
        <w:rPr>
          <w:noProof/>
        </w:rPr>
        <w:t>a)</w:t>
      </w:r>
      <w:r>
        <w:rPr>
          <w:noProof/>
        </w:rPr>
        <w:tab/>
        <w:t>notfartøjer til tunfiskeri:</w:t>
      </w:r>
    </w:p>
    <w:p>
      <w:pPr>
        <w:rPr>
          <w:noProof/>
        </w:rPr>
      </w:pPr>
      <w:r>
        <w:rPr>
          <w:noProof/>
        </w:rPr>
        <w:t>Spanien:</w:t>
      </w:r>
      <w:r>
        <w:rPr>
          <w:noProof/>
        </w:rPr>
        <w:tab/>
        <w:t>[16]</w:t>
      </w:r>
      <w:r>
        <w:rPr>
          <w:noProof/>
        </w:rPr>
        <w:tab/>
        <w:t>fartøjer</w:t>
      </w:r>
    </w:p>
    <w:p>
      <w:pPr>
        <w:tabs>
          <w:tab w:val="left" w:pos="2160"/>
        </w:tabs>
        <w:rPr>
          <w:noProof/>
        </w:rPr>
      </w:pPr>
      <w:r>
        <w:rPr>
          <w:noProof/>
        </w:rPr>
        <w:t>Frankrig:</w:t>
      </w:r>
      <w:r>
        <w:rPr>
          <w:noProof/>
        </w:rPr>
        <w:tab/>
        <w:t>[12]</w:t>
      </w:r>
      <w:r>
        <w:rPr>
          <w:noProof/>
        </w:rPr>
        <w:tab/>
        <w:t>fartøjer</w:t>
      </w:r>
    </w:p>
    <w:p>
      <w:pPr>
        <w:rPr>
          <w:noProof/>
        </w:rPr>
      </w:pPr>
      <w:r>
        <w:rPr>
          <w:noProof/>
        </w:rPr>
        <w:t>b)</w:t>
      </w:r>
      <w:r>
        <w:rPr>
          <w:noProof/>
        </w:rPr>
        <w:tab/>
        <w:t>langlinefartøjer med flydeline:</w:t>
      </w:r>
    </w:p>
    <w:p>
      <w:pPr>
        <w:rPr>
          <w:noProof/>
        </w:rPr>
      </w:pPr>
      <w:r>
        <w:rPr>
          <w:noProof/>
        </w:rPr>
        <w:t>Spanien:</w:t>
      </w:r>
      <w:r>
        <w:rPr>
          <w:noProof/>
        </w:rPr>
        <w:tab/>
        <w:t>[5]</w:t>
      </w:r>
      <w:r>
        <w:rPr>
          <w:noProof/>
        </w:rPr>
        <w:tab/>
        <w:t>fartøjer</w:t>
      </w:r>
    </w:p>
    <w:p>
      <w:pPr>
        <w:rPr>
          <w:noProof/>
        </w:rPr>
      </w:pPr>
      <w:r>
        <w:rPr>
          <w:noProof/>
        </w:rPr>
        <w:t>Portugal:</w:t>
      </w:r>
      <w:r>
        <w:rPr>
          <w:noProof/>
        </w:rPr>
        <w:tab/>
        <w:t>[1]</w:t>
      </w:r>
      <w:r>
        <w:rPr>
          <w:noProof/>
        </w:rPr>
        <w:tab/>
        <w:t>fartøj[er]</w:t>
      </w:r>
    </w:p>
    <w:p>
      <w:pPr>
        <w:jc w:val="center"/>
        <w:rPr>
          <w:i/>
          <w:noProof/>
        </w:rPr>
      </w:pPr>
      <w:r>
        <w:rPr>
          <w:i/>
          <w:noProof/>
        </w:rPr>
        <w:t>Artikel 2</w:t>
      </w:r>
    </w:p>
    <w:p>
      <w:pPr>
        <w:rPr>
          <w:noProof/>
        </w:rPr>
      </w:pPr>
      <w:r>
        <w:rPr>
          <w:noProof/>
        </w:rPr>
        <w:t xml:space="preserve">Denne forordning træder i kraft dagen efter offentliggørelsen i </w:t>
      </w:r>
      <w:r>
        <w:rPr>
          <w:i/>
          <w:noProof/>
        </w:rPr>
        <w:t>Den Europæiske Unions Tidende</w:t>
      </w:r>
      <w:r>
        <w:rPr>
          <w:noProof/>
        </w:rPr>
        <w:t>.</w:t>
      </w:r>
    </w:p>
    <w:p>
      <w:pPr>
        <w:rPr>
          <w:noProof/>
        </w:rPr>
      </w:pPr>
      <w:r>
        <w:rPr>
          <w:noProof/>
        </w:rPr>
        <w:t>Den anvendes fra datoen for anvendelsen af protokollen.</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Vedtaget af Rådet (transport, telekommunikation og energi) den 18. december 2017.</w:t>
      </w:r>
    </w:p>
  </w:footnote>
  <w:footnote w:id="2">
    <w:p>
      <w:pPr>
        <w:pStyle w:val="FootnoteText"/>
        <w:rPr>
          <w:lang w:val="fr-BE"/>
        </w:rPr>
      </w:pPr>
      <w:r>
        <w:rPr>
          <w:rStyle w:val="FootnoteReference"/>
        </w:rPr>
        <w:footnoteRef/>
      </w:r>
      <w:r>
        <w:tab/>
        <w:t>EUT L 354 af 28.12.2013, s. 22.</w:t>
      </w:r>
    </w:p>
  </w:footnote>
  <w:footnote w:id="3">
    <w:p>
      <w:pPr>
        <w:pStyle w:val="FootnoteText"/>
        <w:rPr>
          <w:lang w:val="fr-BE"/>
        </w:rPr>
      </w:pPr>
      <w:r>
        <w:rPr>
          <w:rStyle w:val="FootnoteReference"/>
        </w:rPr>
        <w:footnoteRef/>
      </w:r>
      <w:r>
        <w:tab/>
        <w:t>Rådets forordning (EF) nr. 894/2007 om indgåelse af en fiskeripartnerskabsaftale mellem Den Demokratiske Republik São Tomé og Príncipe og Det Europæiske Fællesskab (EUT L 205 af 7.8.2007, s. 35).</w:t>
      </w:r>
    </w:p>
  </w:footnote>
  <w:footnote w:id="4">
    <w:p>
      <w:pPr>
        <w:pStyle w:val="FootnoteText"/>
        <w:rPr>
          <w:lang w:val="fr-BE"/>
        </w:rPr>
      </w:pPr>
      <w:r>
        <w:rPr>
          <w:rStyle w:val="FootnoteReference"/>
        </w:rPr>
        <w:footnoteRef/>
      </w:r>
      <w:r>
        <w:tab/>
        <w:t>EUT L 205 af 7.8.2007, s. 36.</w:t>
      </w:r>
    </w:p>
  </w:footnote>
  <w:footnote w:id="5">
    <w:p>
      <w:pPr>
        <w:pStyle w:val="FootnoteText"/>
        <w:rPr>
          <w:lang w:val="nb-NO"/>
        </w:rPr>
      </w:pPr>
      <w:r>
        <w:rPr>
          <w:rStyle w:val="FootnoteReference"/>
        </w:rPr>
        <w:footnoteRef/>
      </w:r>
      <w:r>
        <w:tab/>
      </w:r>
      <w:r>
        <w:rPr>
          <w:highlight w:val="yellow"/>
        </w:rPr>
        <w:t>EUT L ... af,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1"/>
    <w:lvlOverride w:ilvl="0">
      <w:startOverride w:val="1"/>
    </w:lvlOverride>
  </w:num>
  <w:num w:numId="5">
    <w:abstractNumId w:val="6"/>
  </w:num>
  <w:num w:numId="6">
    <w:abstractNumId w:val="4"/>
  </w:num>
  <w:num w:numId="7">
    <w:abstractNumId w:val="3"/>
  </w:num>
  <w:num w:numId="8">
    <w:abstractNumId w:val="5"/>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LJIC Robert (SJ)">
    <w15:presenceInfo w15:providerId="None" w15:userId="MRLJIC Robert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6: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E4A0B0C-E923-4F7A-A047-96F794CE146C"/>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xelles,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71"/>
    <w:docVar w:name="LW_REF.II.NEW.CP_YEAR" w:val="2019"/>
    <w:docVar w:name="LW_REF.INST.NEW" w:val="COM"/>
    <w:docVar w:name="LW_REF.INST.NEW_ADOPTED" w:val="final"/>
    <w:docVar w:name="LW_REF.INST.NEW_TEXT" w:val="(2019)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ordeling af fiskerimuligheder i medfør af protokollen til gennemførelse af fiskeripartnerskabsaftalen mellem Den Demokratiske Republik São Tomé og Príncipe og Det Europæiske Fællesskab "/>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878</Words>
  <Characters>5571</Characters>
  <Application>Microsoft Office Word</Application>
  <DocSecurity>0</DocSecurity>
  <Lines>113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2019-07-03T09:09:00Z</dcterms:created>
  <dcterms:modified xsi:type="dcterms:W3CDTF">2019-08-27T10:06:00Z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