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65FB10D9-1C85-40A9-A865-0C0DCEE4A9D4" style="width:450.8pt;height:365.9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  <w:t>Justificação e objetivos da 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O Acordo de Parceria no Domínio da Pesca entre a República Democrática de São Tomé e Príncipe e a Comunidade Europeia</w:t>
      </w:r>
      <w:r>
        <w:rPr>
          <w:rStyle w:val="FootnoteReference"/>
          <w:rFonts w:eastAsia="Arial Unicode MS"/>
          <w:noProof/>
        </w:rPr>
        <w:footnoteReference w:id="1"/>
      </w:r>
      <w:r>
        <w:rPr>
          <w:noProof/>
        </w:rPr>
        <w:t xml:space="preserve"> (a seguir designado por «acordo») entrou em vigor em 29 de agosto de 2011</w:t>
      </w:r>
      <w:r>
        <w:rPr>
          <w:rStyle w:val="FootnoteReference"/>
          <w:rFonts w:eastAsia="Arial Unicode MS"/>
          <w:noProof/>
        </w:rPr>
        <w:footnoteReference w:id="2"/>
      </w:r>
      <w:r>
        <w:rPr>
          <w:noProof/>
        </w:rPr>
        <w:t>, tendo sido renovado tacitamente desde então. O último protocolo do acordo entrou em vigor em 23 de maio de 2014 e caducou em 22 de maio de 2018.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Com base nas diretrizes de negociação</w:t>
      </w:r>
      <w:r>
        <w:rPr>
          <w:rStyle w:val="FootnoteReference"/>
          <w:rFonts w:eastAsia="Arial Unicode MS"/>
          <w:noProof/>
        </w:rPr>
        <w:footnoteReference w:id="3"/>
      </w:r>
      <w:r>
        <w:rPr>
          <w:noProof/>
        </w:rPr>
        <w:t>, a Comissão negociou com o Governo da República Democrática de São Tomé e Príncipe (a seguir designada por «São Tomé e Príncipe») um novo protocolo do referido acordo. Na sequência dessas negociações, foi rubricado um novo protocolo em 17 de abril de 2019. Este protocolo abrange um período de cinco anos a contar da data de início da sua aplicação provisória, ou seja, a contar da data da sua assinatura, como estipulado no seu artigo 15.º.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proposta visa a obtenção de autorização para a celebração do protocolo.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  <w:t>Coerência com as disposições existentes da mesma política setorial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De acordo com as prioridades da reforma da política da pesca</w:t>
      </w:r>
      <w:r>
        <w:rPr>
          <w:rStyle w:val="FootnoteReference"/>
          <w:noProof/>
        </w:rPr>
        <w:footnoteReference w:id="4"/>
      </w:r>
      <w:r>
        <w:rPr>
          <w:noProof/>
        </w:rPr>
        <w:t>, o novo protocolo proporciona possibilidades de pesca aos navios da União Europeia nas águas de São Tomé e Príncipe, com base nos melhores pareceres científicos disponíveis e no respeito das recomendações da Comissão Internacional para a Conservação dos Tunídeos do Atlântico (CICTA). O novo protocolo tem em conta os resultados de uma avaliação do protocolo anterior (2014</w:t>
      </w:r>
      <w:r>
        <w:rPr>
          <w:noProof/>
        </w:rPr>
        <w:noBreakHyphen/>
        <w:t>2018) e de uma avaliação prospetiva da oportunidade da celebração de um novo protocolo, ambas realizadas por peritos externos. O protocolo permitirá igualmente à União Europeia e a São Tomé e Príncipe colaborar mais estreitamente para promover a exploração responsável dos recursos haliêuticos nas águas são</w:t>
      </w:r>
      <w:r>
        <w:rPr>
          <w:noProof/>
        </w:rPr>
        <w:noBreakHyphen/>
        <w:t>tomenses e apoiar os esforços deste país para desenvolver o setor da pesca, no interesse de ambas as partes.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O protocolo prevê possibilidades de pesca nas seguintes categorias: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— 28 atuneiros cercadores congeladores;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noProof/>
        </w:rPr>
      </w:pPr>
      <w:r>
        <w:rPr>
          <w:noProof/>
        </w:rPr>
        <w:t>— 6 palangreiros de superfície.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  <w:t>Coerência com outras políticas da União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 negociação de um novo protocolo ao Acordo de Parceria no Domínio da Pesca com São Tomé e Príncipe inscreve</w:t>
      </w:r>
      <w:r>
        <w:rPr>
          <w:noProof/>
        </w:rPr>
        <w:noBreakHyphen/>
        <w:t>se no quadro da ação externa da UE para com os países de África, das Caraíbas e do Pacífico (ACP) e tem especialmente em consideração os objetivos da União respeitantes aos princípios democráticos e aos direitos humanos.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JURÍDICA, SUBSIDIARIEDADE E PROPORCIONALIDADE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Base jurídica</w:t>
      </w:r>
    </w:p>
    <w:p>
      <w:pPr>
        <w:spacing w:before="0" w:after="240"/>
        <w:rPr>
          <w:noProof/>
        </w:rPr>
      </w:pPr>
      <w:r>
        <w:rPr>
          <w:noProof/>
        </w:rPr>
        <w:t xml:space="preserve">A base jurídica escolhida é o Tratado sobre o Funcionamento da União Europeia, que estabelece, no artigo 43.º, n.º 2, a política comum das pescas, e no artigo 218.º, n.º 6, alínea a), </w:t>
      </w:r>
      <w:r>
        <w:rPr>
          <w:noProof/>
        </w:rPr>
        <w:lastRenderedPageBreak/>
        <w:t>subalínea v), a etapa da celebração de acordos entre a União e países terceiros, e, no n.º 7, as disposições sobre a autorização de alterações a introduzir no protocolo.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Subsidiariedade (no caso de competência não exclusiva)</w:t>
      </w:r>
    </w:p>
    <w:p>
      <w:pPr>
        <w:keepNext/>
        <w:rPr>
          <w:noProof/>
          <w:sz w:val="22"/>
        </w:rPr>
      </w:pPr>
      <w:r>
        <w:rPr>
          <w:noProof/>
        </w:rPr>
        <w:t>A proposta é da competência exclusiva da União Europeia.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Proporcionalidade</w:t>
      </w:r>
    </w:p>
    <w:p>
      <w:pPr>
        <w:keepNext/>
        <w:rPr>
          <w:noProof/>
        </w:rPr>
      </w:pPr>
      <w:r>
        <w:rPr>
          <w:noProof/>
        </w:rPr>
        <w:t>A proposta é proporcionada ao objetivo de estabelecer um quadro de governação jurídica, ambiental, económica e social para as atividades de pesca exercidas por navios da União em águas de países terceiros, fixado no artigo 31.º do regulamento relativo à política comum das pescas. A proposta respeita esta disposição, bem como as relativas à assistência financeira aos países terceiros, estabelecidas no artigo 32.º do mesmo regulamento.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RESULTADOS DAS AVALIAÇÕES </w:t>
      </w:r>
      <w:r>
        <w:rPr>
          <w:i/>
          <w:noProof/>
        </w:rPr>
        <w:t>EX POST</w:t>
      </w:r>
      <w:r>
        <w:rPr>
          <w:noProof/>
        </w:rPr>
        <w:t>, DAS CONSULTAS DAS PARTES INTERESSADAS E DAS AVALIAÇÕES DE IMPACTO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Avaliações </w:t>
      </w:r>
      <w:r>
        <w:rPr>
          <w:i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>/balanços de qualidade da legislação existente</w:t>
      </w:r>
    </w:p>
    <w:p>
      <w:pPr>
        <w:rPr>
          <w:noProof/>
        </w:rPr>
      </w:pPr>
      <w:r>
        <w:rPr>
          <w:noProof/>
        </w:rPr>
        <w:t xml:space="preserve">A Comissão realizou, em 2017, uma avaliação </w:t>
      </w:r>
      <w:r>
        <w:rPr>
          <w:i/>
          <w:noProof/>
        </w:rPr>
        <w:t>ex post</w:t>
      </w:r>
      <w:r>
        <w:rPr>
          <w:noProof/>
        </w:rPr>
        <w:t xml:space="preserve"> do atual protocolo ao Acordo de Parceria no Domínio da Pesca com São Tomé e Príncipe, bem como uma avaliação </w:t>
      </w:r>
      <w:r>
        <w:rPr>
          <w:i/>
          <w:noProof/>
        </w:rPr>
        <w:t>ex ante</w:t>
      </w:r>
      <w:r>
        <w:rPr>
          <w:noProof/>
        </w:rPr>
        <w:t xml:space="preserve"> de uma eventual renovação do protocolo. As conclusões da avaliação constam de um documento de trabalho separado</w:t>
      </w:r>
      <w:r>
        <w:rPr>
          <w:rStyle w:val="FootnoteReference"/>
          <w:rFonts w:eastAsia="Arial Unicode MS"/>
          <w:noProof/>
        </w:rPr>
        <w:footnoteReference w:id="5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Da avaliação concluiu</w:t>
      </w:r>
      <w:r>
        <w:rPr>
          <w:noProof/>
        </w:rPr>
        <w:noBreakHyphen/>
        <w:t>se que o setor da pesca atuneira da UE está fortemente interessado na pesca em São Tomé e Príncipe e que a renovação do protocolo contribuiria para reforçar o acompanhamento, o controlo e a vigilância, bem como para melhorar a governação das pescas na região. A importância da ZEE no golfo da Guiné contribui para a relevância do novo protocolo, tanto para os setores da pesca atuneira da UE como para o país parceiro.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Consulta das partes interessadas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No quadro da avaliação, foram consultados os Estados</w:t>
      </w:r>
      <w:r>
        <w:rPr>
          <w:noProof/>
        </w:rPr>
        <w:noBreakHyphen/>
        <w:t>Membros, os representantes do setor e as organizações internacionais da sociedade civil, bem como a administração das pescas e a sociedade civil de São Tomé e Príncipe. Realizaram</w:t>
      </w:r>
      <w:r>
        <w:rPr>
          <w:noProof/>
        </w:rPr>
        <w:noBreakHyphen/>
        <w:t>se também consultas no âmbito do Conselho Consultivo para a Frota de Longa Distância.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Obtenção e utilização de competências especializadas</w:t>
      </w:r>
    </w:p>
    <w:p>
      <w:pPr>
        <w:spacing w:before="0" w:after="240"/>
        <w:rPr>
          <w:noProof/>
        </w:rPr>
      </w:pPr>
      <w:r>
        <w:rPr>
          <w:noProof/>
        </w:rPr>
        <w:t xml:space="preserve">A Comissão recorreu a um consultor independente para as avaliações </w:t>
      </w:r>
      <w:r>
        <w:rPr>
          <w:i/>
          <w:noProof/>
        </w:rPr>
        <w:t>ex post</w:t>
      </w:r>
      <w:r>
        <w:rPr>
          <w:noProof/>
        </w:rPr>
        <w:t xml:space="preserve"> e </w:t>
      </w:r>
      <w:r>
        <w:rPr>
          <w:i/>
          <w:noProof/>
        </w:rPr>
        <w:t>ex ante</w:t>
      </w:r>
      <w:r>
        <w:rPr>
          <w:noProof/>
        </w:rPr>
        <w:t>, em conformidade com o disposto no artigo 31.º, n.º 10, do Regulamento Política Comum das Pescas.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INCIDÊNCIA ORÇAMENTAL</w:t>
      </w:r>
    </w:p>
    <w:p>
      <w:pPr>
        <w:rPr>
          <w:noProof/>
        </w:rPr>
      </w:pPr>
      <w:r>
        <w:rPr>
          <w:noProof/>
        </w:rPr>
        <w:t>A contrapartida financeira anual da União Europeia é de 840 000 EUR e tem por base:</w:t>
      </w:r>
    </w:p>
    <w:p>
      <w:pPr>
        <w:rPr>
          <w:noProof/>
        </w:rPr>
      </w:pPr>
      <w:r>
        <w:rPr>
          <w:noProof/>
        </w:rPr>
        <w:t>a) A tonelagem de referência de 8 000 toneladas por ano, para a qual foi fixado o montante anual de 400 000 EUR pelo acesso em todo o período de vigência do protocolo;</w:t>
      </w:r>
    </w:p>
    <w:p>
      <w:pPr>
        <w:rPr>
          <w:noProof/>
        </w:rPr>
      </w:pPr>
      <w:r>
        <w:rPr>
          <w:noProof/>
        </w:rPr>
        <w:t>b) O apoio ao desenvolvimento da política setorial da pesca de São Tomé e Príncipe durante todo o período de vigência do protocolo, para o qual foi fixado o montante anual de 440 000 EUR. Este apoio coaduna</w:t>
      </w:r>
      <w:r>
        <w:rPr>
          <w:noProof/>
        </w:rPr>
        <w:noBreakHyphen/>
        <w:t xml:space="preserve">se com os objetivos da política nacional no domínio da </w:t>
      </w:r>
      <w:r>
        <w:rPr>
          <w:noProof/>
        </w:rPr>
        <w:lastRenderedPageBreak/>
        <w:t>gestão sustentável dos recursos haliêuticos continentais e marítimos do país durante todo esse período.</w:t>
      </w:r>
    </w:p>
    <w:p>
      <w:pPr>
        <w:rPr>
          <w:noProof/>
        </w:rPr>
      </w:pPr>
      <w:r>
        <w:rPr>
          <w:noProof/>
        </w:rPr>
        <w:t>Os montantes anuais das autorizações e dos pagamentos são estabelecidos no âmbito do processo orçamental anual, incluindo a rubrica de reserva para os protocolos que não entraram em vigor no início do ano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OUTROS ELEMENTOS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Planos de execução e acompanhamento, avaliação e prestação de informações</w:t>
      </w:r>
    </w:p>
    <w:p>
      <w:pPr>
        <w:rPr>
          <w:noProof/>
        </w:rPr>
      </w:pPr>
      <w:r>
        <w:rPr>
          <w:noProof/>
        </w:rPr>
        <w:t>As modalidades do acompanhamento constam do protocolo.</w:t>
      </w:r>
    </w:p>
    <w:p>
      <w:pPr>
        <w:rPr>
          <w:noProof/>
        </w:rPr>
      </w:pPr>
      <w:r>
        <w:rPr>
          <w:noProof/>
        </w:rPr>
        <w:t>O presente procedimento é iniciado em conjunto com os procedimentos respeitantes à decisão do Conselho relativa à assinatura, em nome da União, do protocolo do acordo de parceria no domínio da pesca entre a República Democrática de São Tomé e Príncipe e a Comunidade Europeia.</w:t>
      </w:r>
    </w:p>
    <w:p>
      <w:pPr>
        <w:rPr>
          <w:noProof/>
        </w:rPr>
        <w:sectPr>
          <w:footerReference w:type="default" r:id="rId16"/>
          <w:footerReference w:type="first" r:id="rId17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2019/0173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celebração, em nome da União Europeia, do Protocolo de Aplicação do Acordo de Parceria no Domínio da Pesca entre a República Democrática de São Tomé e Príncipe e a Comunidade Europeia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 artigo 43.º, n.º 2, em conjugação com o artigo 218.º, n.º 6, alínea a), subalínea v), e n.º 7,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Tendo em conta a aprovação do Parlamento Europeu</w:t>
      </w:r>
      <w:r>
        <w:rPr>
          <w:rStyle w:val="FootnoteReference"/>
          <w:noProof/>
        </w:rPr>
        <w:footnoteReference w:id="7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Nos termos da Decisão 2019/.../UE do Conselho</w:t>
      </w:r>
      <w:r>
        <w:rPr>
          <w:rStyle w:val="FootnoteReference"/>
          <w:noProof/>
        </w:rPr>
        <w:footnoteReference w:id="8"/>
      </w:r>
      <w:r>
        <w:rPr>
          <w:noProof/>
        </w:rPr>
        <w:t>, o Protocolo de Aplicação do Acordo de Parceria no Domínio da Pesca entre a República Democrática de São Tomé e Príncipe e a Comunidade Europeia (a seguir designado por «protocolo») foi assinado em [inserir a data da assinatura], sob reserva da sua celebração em data ulterior.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O protocolo tem por objetivo permitir que a União e São Tomé e Príncipe colaborem mais estreitamente na promoção de uma política de pesca sustentável e da exploração responsável dos recursos haliêuticos nas águas de São Tomé e Príncipe e apoiar os esforços deste país para desenvolver o setor da pesca.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O presente protocolo deve ser aprovado em nome da União Europeia.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O artigo 9.º do acordo institui uma comissão mista incumbida de controlar a sua aplicação. Além disso, nos termos do artigo 6.º e do artigo 7.º, n.º 2, do protocolo, a comissão mista pode aprovar determinadas alterações do protocolo. A fim de facilitar a aprovação dessas alterações, a Comissão deve ser habilitada, sob reserva de condições materiais e processuais específicas, a aprová</w:t>
      </w:r>
      <w:r>
        <w:rPr>
          <w:noProof/>
        </w:rPr>
        <w:noBreakHyphen/>
        <w:t>las em nome da União segundo um procedimento simplificado.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A posição da União sobre as previstas alterações do protocolo deve ser estabelecida pelo Conselho. As alterações propostas deverão ser aprovadas, salvo se uma minoria de bloqueio dos Estados</w:t>
      </w:r>
      <w:r>
        <w:rPr>
          <w:noProof/>
        </w:rPr>
        <w:noBreakHyphen/>
        <w:t>Membros, na aceção do artigo 16.º, n.º 4, do Tratado da União Europeia, a isso se opuser.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 posição a adotar pela União na comissão mista sobre outras questões deverá ser determinada de acordo com os Tratados e as práticas estabelecidas,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>ADOTOU A PRESENTE DECISÃO: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rPr>
          <w:noProof/>
        </w:rPr>
      </w:pPr>
      <w:r>
        <w:rPr>
          <w:noProof/>
        </w:rPr>
        <w:t>É aprovado, em nome da União, o Protocolo de Aplicação do Acordo de Parceria no Domínio da Pesca entre a República Democrática de São Tomé e Príncipe e a Comunidade Europeia (a seguir designado por «protocolo»).</w:t>
      </w:r>
    </w:p>
    <w:p>
      <w:pPr>
        <w:rPr>
          <w:noProof/>
        </w:rPr>
      </w:pPr>
      <w:r>
        <w:rPr>
          <w:noProof/>
        </w:rPr>
        <w:t>O texto do protocolo acompanha a presente decisão, constando do anexo I.</w:t>
      </w:r>
    </w:p>
    <w:p>
      <w:pPr>
        <w:pStyle w:val="Titrearticle"/>
        <w:rPr>
          <w:noProof/>
        </w:rPr>
      </w:pPr>
      <w:r>
        <w:rPr>
          <w:noProof/>
        </w:rPr>
        <w:t>Artigo 2.º</w:t>
      </w:r>
    </w:p>
    <w:p>
      <w:pPr>
        <w:rPr>
          <w:noProof/>
        </w:rPr>
      </w:pPr>
      <w:r>
        <w:rPr>
          <w:noProof/>
        </w:rPr>
        <w:t>Em conformidade com o disposto no anexo II da presente decisão, e nas condições aí enunciadas, a Comissão fica habilitada a aprovar, em nome da União, as alterações do protocolo que venham a ser adotadas pela comissão mista instituída pelo artigo 9.º do Acordo de Parceria no Domínio da Pesca entre a República Democrática de São Tomé e Príncipe e a Comunidade Europeia.</w:t>
      </w:r>
    </w:p>
    <w:p>
      <w:pPr>
        <w:pStyle w:val="Titrearticle"/>
        <w:rPr>
          <w:noProof/>
        </w:rPr>
      </w:pPr>
      <w:r>
        <w:rPr>
          <w:noProof/>
        </w:rPr>
        <w:t>Artigo 3.º</w:t>
      </w:r>
    </w:p>
    <w:p>
      <w:pPr>
        <w:rPr>
          <w:noProof/>
        </w:rPr>
      </w:pPr>
      <w:r>
        <w:rPr>
          <w:noProof/>
        </w:rPr>
        <w:t>O presidente do Conselho designa as pessoas com poderes para proceder, em nome da União Europeia, à notificação prevista no artigo 16.º do protocolo, a fim de expressar o consentimento da União Europeia em ficar vinculada pelo protocolo.</w:t>
      </w:r>
    </w:p>
    <w:p>
      <w:pPr>
        <w:pStyle w:val="Titrearticle"/>
        <w:rPr>
          <w:noProof/>
        </w:rPr>
      </w:pPr>
      <w:r>
        <w:rPr>
          <w:noProof/>
        </w:rPr>
        <w:t>Artigo 4.º</w:t>
      </w:r>
    </w:p>
    <w:p>
      <w:pPr>
        <w:keepNext/>
        <w:rPr>
          <w:noProof/>
        </w:rPr>
      </w:pPr>
      <w:r>
        <w:rPr>
          <w:noProof/>
        </w:rPr>
        <w:t xml:space="preserve">A presente decisão entra em vigor no dia seguinte ao da sua publicação no </w:t>
      </w:r>
      <w:r>
        <w:rPr>
          <w:i/>
          <w:noProof/>
        </w:rPr>
        <w:t>Jornal Oficial da União Europeia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ab/>
        <w:t>JO L 205 de 7.8.2007, p. 36.</w:t>
      </w:r>
    </w:p>
  </w:footnote>
  <w:footnote w:id="2">
    <w:p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ab/>
        <w:t>JO L 31 de 31.1.2013, p. 1.</w:t>
      </w:r>
    </w:p>
  </w:footnote>
  <w:footnote w:id="3">
    <w:p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ab/>
        <w:t>Adotadas no Conselho (Transportes, Telecomunicações e Energia) de 18 de dezembro de 2017.</w:t>
      </w:r>
    </w:p>
  </w:footnote>
  <w:footnote w:id="4">
    <w:p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ab/>
        <w:t>JO L 354 de 28.12.2013, p. 22.</w:t>
      </w:r>
    </w:p>
  </w:footnote>
  <w:footnote w:id="5">
    <w:p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ab/>
        <w:t>SWD(2017) 434 final, de 1.12.2017.</w:t>
      </w:r>
    </w:p>
  </w:footnote>
  <w:footnote w:id="6">
    <w:p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ab/>
        <w:t>Em conformidade com o acordo interinstitucional sobre a cooperação em matéria orçamental (2013/C 373/01).</w:t>
      </w:r>
    </w:p>
  </w:footnote>
  <w:footnote w:id="7">
    <w:p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ab/>
        <w:t>JO C  de , p. .</w:t>
      </w:r>
    </w:p>
  </w:footnote>
  <w:footnote w:id="8">
    <w:p>
      <w:pPr>
        <w:pStyle w:val="FootnoteText"/>
        <w:ind w:left="0" w:firstLine="0"/>
        <w:rPr>
          <w:sz w:val="18"/>
          <w:szCs w:val="18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3203F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6E09E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DEC79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F5A6E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2DEF3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CF40D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C2EED7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5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6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0">
    <w:nsid w:val="73D73F7A"/>
    <w:multiLevelType w:val="singleLevel"/>
    <w:tmpl w:val="2636573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7"/>
  </w:num>
  <w:num w:numId="11">
    <w:abstractNumId w:val="11"/>
  </w:num>
  <w:num w:numId="12">
    <w:abstractNumId w:val="19"/>
  </w:num>
  <w:num w:numId="13">
    <w:abstractNumId w:val="10"/>
  </w:num>
  <w:num w:numId="14">
    <w:abstractNumId w:val="12"/>
  </w:num>
  <w:num w:numId="15">
    <w:abstractNumId w:val="8"/>
  </w:num>
  <w:num w:numId="16">
    <w:abstractNumId w:val="18"/>
  </w:num>
  <w:num w:numId="17">
    <w:abstractNumId w:val="7"/>
  </w:num>
  <w:num w:numId="18">
    <w:abstractNumId w:val="13"/>
  </w:num>
  <w:num w:numId="19">
    <w:abstractNumId w:val="15"/>
  </w:num>
  <w:num w:numId="20">
    <w:abstractNumId w:val="16"/>
  </w:num>
  <w:num w:numId="21">
    <w:abstractNumId w:val="9"/>
  </w:num>
  <w:num w:numId="22">
    <w:abstractNumId w:val="14"/>
  </w:num>
  <w:num w:numId="23">
    <w:abstractNumId w:val="21"/>
  </w:num>
  <w:num w:numId="24">
    <w:abstractNumId w:val="17"/>
  </w:num>
  <w:num w:numId="25">
    <w:abstractNumId w:val="11"/>
  </w:num>
  <w:num w:numId="26">
    <w:abstractNumId w:val="19"/>
  </w:num>
  <w:num w:numId="27">
    <w:abstractNumId w:val="10"/>
  </w:num>
  <w:num w:numId="28">
    <w:abstractNumId w:val="12"/>
  </w:num>
  <w:num w:numId="29">
    <w:abstractNumId w:val="8"/>
  </w:num>
  <w:num w:numId="30">
    <w:abstractNumId w:val="18"/>
  </w:num>
  <w:num w:numId="31">
    <w:abstractNumId w:val="7"/>
  </w:num>
  <w:num w:numId="32">
    <w:abstractNumId w:val="13"/>
  </w:num>
  <w:num w:numId="33">
    <w:abstractNumId w:val="15"/>
  </w:num>
  <w:num w:numId="34">
    <w:abstractNumId w:val="16"/>
  </w:num>
  <w:num w:numId="35">
    <w:abstractNumId w:val="9"/>
  </w:num>
  <w:num w:numId="36">
    <w:abstractNumId w:val="14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8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8-27 12:15:08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65FB10D9-1C85-40A9-A865-0C0DCEE4A9D4"/>
    <w:docVar w:name="LW_COVERPAGE_TYPE" w:val="1"/>
    <w:docVar w:name="LW_CROSSREFERENCE" w:val="&lt;UNUSED&gt;"/>
    <w:docVar w:name="LW_DocType" w:val="COM"/>
    <w:docVar w:name="LW_EMISSION" w:val="30.8.2019"/>
    <w:docVar w:name="LW_EMISSION_ISODATE" w:val="2019-08-30"/>
    <w:docVar w:name="LW_EMISSION_LOCATION" w:val="BRX"/>
    <w:docVar w:name="LW_EMISSION_PREFIX" w:val="Bruxelas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73"/>
    <w:docVar w:name="LW_REF.II.NEW.CP_YEAR" w:val="2019"/>
    <w:docVar w:name="LW_REF.INST.NEW" w:val="COM"/>
    <w:docVar w:name="LW_REF.INST.NEW_ADOPTED" w:val="final"/>
    <w:docVar w:name="LW_REF.INST.NEW_TEXT" w:val="(2019) 37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relativa à celebração, em nome da União Europeia, do Protocolo de Aplicação do Acordo de Parceria no Domínio da Pesca entre a República Democrática de São Tomé e Príncipe e a Comunidade Europeia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pPr>
      <w:numPr>
        <w:numId w:val="1"/>
      </w:numPr>
    </w:pPr>
    <w:rPr>
      <w:rFonts w:eastAsia="Times New Roman"/>
      <w:lang w:eastAsia="fr-FR" w:bidi="fr-FR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pPr>
      <w:numPr>
        <w:numId w:val="1"/>
      </w:numPr>
    </w:pPr>
    <w:rPr>
      <w:rFonts w:eastAsia="Times New Roman"/>
      <w:lang w:eastAsia="fr-FR" w:bidi="fr-FR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A322809-DD3F-4094-8E85-98E77596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1542</Words>
  <Characters>7926</Characters>
  <Application>Microsoft Office Word</Application>
  <DocSecurity>0</DocSecurity>
  <Lines>146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2019-08-22T16:37:00Z</dcterms:created>
  <dcterms:modified xsi:type="dcterms:W3CDTF">2019-08-27T10:15:00Z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