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51F736AD-532E-48AA-B20B-9E8F8CC46EFB" style="width:450.75pt;height:411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1 PRIEDAS</w:t>
      </w:r>
    </w:p>
    <w:p>
      <w:pPr>
        <w:jc w:val="center"/>
        <w:rPr>
          <w:b/>
          <w:noProof/>
        </w:rPr>
      </w:pPr>
      <w:r>
        <w:rPr>
          <w:b/>
          <w:noProof/>
        </w:rPr>
        <w:t>Ministrų deklaracija</w:t>
      </w:r>
    </w:p>
    <w:p>
      <w:pPr>
        <w:spacing w:after="200"/>
        <w:jc w:val="right"/>
        <w:rPr>
          <w:noProof/>
          <w:szCs w:val="24"/>
        </w:rPr>
      </w:pPr>
      <w:r>
        <w:rPr>
          <w:noProof/>
        </w:rPr>
        <w:t>2019 m. spalio 11 d., Bona, Vokietija</w:t>
      </w:r>
    </w:p>
    <w:p>
      <w:pPr>
        <w:spacing w:after="200"/>
        <w:rPr>
          <w:b/>
          <w:noProof/>
          <w:szCs w:val="24"/>
        </w:rPr>
      </w:pPr>
      <w:r>
        <w:rPr>
          <w:b/>
          <w:noProof/>
        </w:rPr>
        <w:t>MES, MINISTRAI IR EUROPOS KOMISIJOS NARYS, atsakingi už kovą su Didžiosios Šiaurės jūros ir jos prieigų tarša nafta ir kitomis kenksmingomis medžiagomis, 2019 m. spalio 11 d. susirinkome Bonoje, kur vyko antrasis Bonos susitarimo ministrų susitikimas, dalyvaujant tarpvyriausybinėms organizacijoms ir stebėtojams iš kaimyninių regionų,</w:t>
      </w:r>
    </w:p>
    <w:p>
      <w:pPr>
        <w:spacing w:after="200"/>
        <w:rPr>
          <w:noProof/>
          <w:szCs w:val="24"/>
        </w:rPr>
      </w:pPr>
      <w:r>
        <w:rPr>
          <w:noProof/>
        </w:rPr>
        <w:t>MINĖDAMI sėkmingą 50-ies metų bendradarbiavimą pagal Bonos susitarimą ir PRIPAŽINDAMI toliau stiprinamo mūsų bendradarbiavimo teikiamą bendrą naudą siekiant užkirsti kelią atsitiktinei ir neteisėtai jūros taršai, kurią lemia jūrinė veikla Didžiojoje Šiaurės jūroje ir jos prieigose, taip pat siekiant šiai taršai pasirengti ir į ją reaguoti,</w:t>
      </w:r>
    </w:p>
    <w:p>
      <w:pPr>
        <w:spacing w:after="200"/>
        <w:rPr>
          <w:noProof/>
          <w:szCs w:val="24"/>
        </w:rPr>
      </w:pPr>
      <w:r>
        <w:rPr>
          <w:noProof/>
        </w:rPr>
        <w:t>PALANKIAI VERTINDAMI Ispanijos prisijungimą prie Bonos susitarimo bei Prancūzijos ir Ispanijos atsakomybės zonos pertvarkymą, pagal kurį į jūrų zoną, kuriai taikomas Bonos susitarimas, bus įtraukta Biskajos įlanka,</w:t>
      </w:r>
    </w:p>
    <w:p>
      <w:pPr>
        <w:spacing w:after="200"/>
        <w:rPr>
          <w:noProof/>
          <w:szCs w:val="24"/>
        </w:rPr>
      </w:pPr>
      <w:r>
        <w:rPr>
          <w:noProof/>
        </w:rPr>
        <w:t>SIEKDAMI didinti savo pakrančių ir jūros aplinkos apsaugą nuo Didžiojoje Šiaurės jūroje ir jos prieigose vykdomos veiklos sukeliamos jūros taršos, taip pat stiprindami bendradarbiavimą taršos prevencijos, pasirengimo jai ir reagavimo į ją srityse,</w:t>
      </w:r>
    </w:p>
    <w:p>
      <w:pPr>
        <w:spacing w:after="200"/>
        <w:rPr>
          <w:noProof/>
          <w:szCs w:val="24"/>
        </w:rPr>
      </w:pPr>
      <w:r>
        <w:rPr>
          <w:noProof/>
        </w:rPr>
        <w:t>ATSIŽVELGDAMI Į Tarptautinės jūrų organizacijos (IMO) vaidmenį reguliuojant pasaulinę laivybą, kad būtų apsaugota jūros aplinka ir žmonių sveikata, taip pat rengiant Integruotą jūrų politiką Europos Sąjungai ir atitinkamus ES teisės aktus</w:t>
      </w:r>
      <w:r>
        <w:rPr>
          <w:rStyle w:val="FootnoteReference"/>
          <w:noProof/>
        </w:rPr>
        <w:footnoteReference w:id="1"/>
      </w:r>
      <w:r>
        <w:rPr>
          <w:noProof/>
        </w:rPr>
        <w:t xml:space="preserve">, susijusius su jūros tarša ir incidentais, </w:t>
      </w:r>
    </w:p>
    <w:p>
      <w:pPr>
        <w:spacing w:after="200"/>
        <w:rPr>
          <w:noProof/>
          <w:szCs w:val="24"/>
        </w:rPr>
      </w:pPr>
      <w:r>
        <w:rPr>
          <w:noProof/>
        </w:rPr>
        <w:t>TOLIAU koordinuodami nacionalines pastangas (sub)regionų lygmeniu visų labui ir atsižvelgiant į Susitariančiųjų Šalių pareigą teikti ataskaitas,</w:t>
      </w:r>
    </w:p>
    <w:p>
      <w:pPr>
        <w:spacing w:after="200"/>
        <w:rPr>
          <w:noProof/>
          <w:szCs w:val="24"/>
        </w:rPr>
      </w:pPr>
      <w:r>
        <w:rPr>
          <w:noProof/>
        </w:rPr>
        <w:t>NAUDODAMIESI plačiai pripažintomis informacinėmis sistemomis, kurios kompetentingose tarptautinėse organizacijose apibrėžiamos kaip standartinės,</w:t>
      </w:r>
    </w:p>
    <w:p>
      <w:pPr>
        <w:spacing w:after="200"/>
        <w:rPr>
          <w:noProof/>
          <w:szCs w:val="24"/>
        </w:rPr>
      </w:pPr>
      <w:r>
        <w:rPr>
          <w:noProof/>
        </w:rPr>
        <w:t>ATKREIPDAMI DĖMESĮ Į nuolatinį jūrų transporto ir kitos jūrinės veiklos, pvz., naftos ir dujų gavybos jūroje, plėtrą ir tai, kad nors pastaraisiais metais pastebėtų išsiliejimo atvejų skaičius ir sumažėjo, rizika visada išliks,</w:t>
      </w:r>
    </w:p>
    <w:p>
      <w:pPr>
        <w:spacing w:after="200"/>
        <w:rPr>
          <w:b/>
          <w:noProof/>
          <w:szCs w:val="24"/>
        </w:rPr>
      </w:pPr>
      <w:r>
        <w:rPr>
          <w:b/>
          <w:noProof/>
        </w:rPr>
        <w:t>PRIĖMĖME šią bendrą deklaraciją:</w:t>
      </w:r>
    </w:p>
    <w:p>
      <w:pPr>
        <w:spacing w:after="200"/>
        <w:rPr>
          <w:noProof/>
          <w:szCs w:val="24"/>
        </w:rPr>
      </w:pPr>
      <w:r>
        <w:rPr>
          <w:noProof/>
        </w:rPr>
        <w:t>1.</w:t>
      </w:r>
      <w:r>
        <w:rPr>
          <w:noProof/>
        </w:rPr>
        <w:tab/>
        <w:t>turime viziją dėl Didžiosios Šiaurės jūros ir jos prieigų apsaugos nuo atsitiktinės, išvengiamos ir tyčinės laivybos, naftos ir dujų operacijų jūroje bei kitos jūrinės veiklos sukeliamos taršos;</w:t>
      </w:r>
    </w:p>
    <w:p>
      <w:pPr>
        <w:spacing w:after="200"/>
        <w:rPr>
          <w:noProof/>
          <w:szCs w:val="24"/>
        </w:rPr>
      </w:pPr>
      <w:r>
        <w:rPr>
          <w:noProof/>
        </w:rPr>
        <w:t xml:space="preserve">2. </w:t>
      </w:r>
      <w:r>
        <w:rPr>
          <w:noProof/>
        </w:rPr>
        <w:tab/>
        <w:t>pritariame IMO taisyklėms, kurias taikant pavyko sumažinti jūros taršą. Nors per pastaruosius metus ir buvo imtasi įvairių priemonių, atsitiktinė ir neteisėta tarša kitomis medžiagomis nei nafta tebekelia didelį pavojų Didžiajai Šiaurės jūrai ir jos prieigoms;</w:t>
      </w:r>
    </w:p>
    <w:p>
      <w:pPr>
        <w:spacing w:after="200"/>
        <w:rPr>
          <w:noProof/>
          <w:szCs w:val="24"/>
        </w:rPr>
      </w:pPr>
      <w:r>
        <w:rPr>
          <w:noProof/>
        </w:rPr>
        <w:t>3.</w:t>
      </w:r>
      <w:r>
        <w:rPr>
          <w:noProof/>
        </w:rPr>
        <w:tab/>
      </w:r>
      <w:r>
        <w:rPr>
          <w:i/>
          <w:noProof/>
        </w:rPr>
        <w:t>puikiai</w:t>
      </w:r>
      <w:r>
        <w:rPr>
          <w:noProof/>
        </w:rPr>
        <w:t xml:space="preserve"> </w:t>
      </w:r>
      <w:r>
        <w:rPr>
          <w:i/>
          <w:noProof/>
        </w:rPr>
        <w:t>suprantame</w:t>
      </w:r>
      <w:r>
        <w:rPr>
          <w:noProof/>
        </w:rPr>
        <w:t xml:space="preserve"> jūros ir pakrantės aplinkos ekonominę ir socialinę vertę ir </w:t>
      </w:r>
      <w:r>
        <w:rPr>
          <w:i/>
          <w:noProof/>
        </w:rPr>
        <w:t>pripažįstame</w:t>
      </w:r>
      <w:r>
        <w:rPr>
          <w:noProof/>
        </w:rPr>
        <w:t>, kad išlaidos, susijusios su atitinkamais ištekliais, skirtais jūros taršos prevencijai, pasirengimui jūros taršai ir reagavimui į ją, yra nedidelės, palyginti su žalos ištaisymo išlaidomis, atsirandančiomis po didelių taršos incidentų;</w:t>
      </w:r>
    </w:p>
    <w:p>
      <w:pPr>
        <w:spacing w:after="200"/>
        <w:rPr>
          <w:noProof/>
          <w:szCs w:val="24"/>
        </w:rPr>
      </w:pPr>
      <w:r>
        <w:rPr>
          <w:noProof/>
        </w:rPr>
        <w:t>4.</w:t>
      </w:r>
      <w:r>
        <w:rPr>
          <w:noProof/>
        </w:rPr>
        <w:tab/>
      </w:r>
      <w:r>
        <w:rPr>
          <w:i/>
          <w:noProof/>
        </w:rPr>
        <w:t>pabrėžiame</w:t>
      </w:r>
      <w:r>
        <w:rPr>
          <w:noProof/>
        </w:rPr>
        <w:t xml:space="preserve">, kokia svarbi yra efektyvi nelaimių jūroje prevencija, pasirengimas joms ir reagavimas į jas; </w:t>
      </w:r>
      <w:r>
        <w:rPr>
          <w:i/>
          <w:noProof/>
        </w:rPr>
        <w:t>dar kartą patvirtiname</w:t>
      </w:r>
      <w:r>
        <w:rPr>
          <w:noProof/>
        </w:rPr>
        <w:t xml:space="preserve"> savo įsipareigojimą aktyviai bendradarbiauti pagal Bonos susitarimą dėl reagavimo į nelaimes sistemų planavimo, rengimo ir veikimo bandymų, įskaitant bendras operatyvinio reagavimo pratybas; </w:t>
      </w:r>
      <w:r>
        <w:rPr>
          <w:i/>
          <w:noProof/>
        </w:rPr>
        <w:t>pripažįstame</w:t>
      </w:r>
      <w:r>
        <w:rPr>
          <w:noProof/>
        </w:rPr>
        <w:t xml:space="preserve"> bendro Europos bendradarbiavimo, pasitelkiant Reagavimo į nelaimes koordinavimo centrą (RNKC) ir derinant veiklą su Europos jūrų saugumo agentūra (EMSA), svarbą;</w:t>
      </w:r>
    </w:p>
    <w:p>
      <w:pPr>
        <w:spacing w:after="200"/>
        <w:rPr>
          <w:noProof/>
          <w:szCs w:val="24"/>
        </w:rPr>
      </w:pPr>
      <w:r>
        <w:rPr>
          <w:noProof/>
        </w:rPr>
        <w:t>5.</w:t>
      </w:r>
      <w:r>
        <w:rPr>
          <w:noProof/>
        </w:rPr>
        <w:tab/>
      </w:r>
      <w:r>
        <w:rPr>
          <w:i/>
          <w:noProof/>
        </w:rPr>
        <w:t>palankiai vertiname</w:t>
      </w:r>
      <w:r>
        <w:rPr>
          <w:noProof/>
        </w:rPr>
        <w:t xml:space="preserve"> nusistovėjusią laivybos, naftos ir dujų operacijų jūroje, taip pat kitos jūrinės veiklos Didžiojoje Šiaurės jūroje ir jos prieigose stebėjimo iš oro ir palydovinės stebėsenos sistemą, kuri labai padeda nustatyti galimą taršą ir atgrasyti nuo neteisėto teršalų išmetimo į jūrą ir įgyvendinti mūsų įsipareigojimus pagal MARPOL konvenciją; </w:t>
      </w:r>
    </w:p>
    <w:p>
      <w:pPr>
        <w:spacing w:after="200"/>
        <w:rPr>
          <w:strike/>
          <w:noProof/>
          <w:szCs w:val="24"/>
        </w:rPr>
      </w:pPr>
      <w:r>
        <w:rPr>
          <w:noProof/>
        </w:rPr>
        <w:t>6.</w:t>
      </w:r>
      <w:r>
        <w:rPr>
          <w:noProof/>
        </w:rPr>
        <w:tab/>
      </w:r>
      <w:r>
        <w:rPr>
          <w:i/>
          <w:noProof/>
        </w:rPr>
        <w:t>palankiai vertiname</w:t>
      </w:r>
      <w:r>
        <w:rPr>
          <w:noProof/>
        </w:rPr>
        <w:t xml:space="preserve"> nuotoliniu būdu pilotuojamų orlaivių sistemų (RPAS), kurios sukurtos kaip naujos jūrų stebėjimo, jūrų transporto į orą išmetamų teršalų stebėsenos ir reagavimo į taršą paslaugos, naudojimą nacionaliniu ir regionų lygmenimis ir raginame Susitariančiąsias Šalis dalytis žiniomis ir patirtimi apie jų nacionalines RPAS sistemas ir jų reikšmę užtikrinant vykdymą;</w:t>
      </w:r>
    </w:p>
    <w:p>
      <w:pPr>
        <w:spacing w:after="200"/>
        <w:rPr>
          <w:noProof/>
          <w:szCs w:val="24"/>
        </w:rPr>
      </w:pPr>
      <w:r>
        <w:rPr>
          <w:noProof/>
        </w:rPr>
        <w:t>7.</w:t>
      </w:r>
      <w:r>
        <w:rPr>
          <w:noProof/>
        </w:rPr>
        <w:tab/>
      </w:r>
      <w:r>
        <w:rPr>
          <w:i/>
          <w:noProof/>
        </w:rPr>
        <w:t>dar kartą patvirtiname</w:t>
      </w:r>
      <w:r>
        <w:rPr>
          <w:noProof/>
        </w:rPr>
        <w:t xml:space="preserve"> savo įsipareigojimą tęsti nacionalines skrydžių programas ir vykdyti bendras operacijas, pvz., suderintas išplėstinės taršos kontrolės operacijas, ir </w:t>
      </w:r>
      <w:r>
        <w:rPr>
          <w:i/>
          <w:noProof/>
        </w:rPr>
        <w:t>palankiai vertiname</w:t>
      </w:r>
      <w:r>
        <w:rPr>
          <w:noProof/>
        </w:rPr>
        <w:t xml:space="preserve"> per „CleanSeaNet“ EMSA teikiamas palydovinių vaizdų paslaugas, kuriomis prisidedama prie geresnio pasirengimo ir taršos prevencijos;</w:t>
      </w:r>
    </w:p>
    <w:p>
      <w:pPr>
        <w:spacing w:after="200"/>
        <w:rPr>
          <w:noProof/>
          <w:szCs w:val="24"/>
        </w:rPr>
      </w:pPr>
      <w:r>
        <w:rPr>
          <w:noProof/>
        </w:rPr>
        <w:t>8.</w:t>
      </w:r>
      <w:r>
        <w:rPr>
          <w:noProof/>
        </w:rPr>
        <w:tab/>
      </w:r>
      <w:r>
        <w:rPr>
          <w:i/>
          <w:noProof/>
        </w:rPr>
        <w:t>palankiai vertiname</w:t>
      </w:r>
      <w:r>
        <w:rPr>
          <w:noProof/>
        </w:rPr>
        <w:t xml:space="preserve"> Bonos susitarimo vadovų ir kodeksų, įskaitant Kovos su tarša vadovą ir Bonos susitarimo kodeksą dėl naftos atsiradimo, kuriais teikiami išskirtiniai informacijos šaltiniai taršos prevencijos, pasirengimo taršai ir reagavimo į ją veiklos srityje ir kurie pripažinti visame pasaulyje pagal Tarptautinę konvenciją dėl pasirengimo, veiksmų ir bendradarbiavimo įvykus taršos nafta incidentams (angl. OPRC) ir jos Protokolą dėl pavojingų ir kenksmingų medžiagų (PKM), rengimą ir nuolatinį atnaujinimą;</w:t>
      </w:r>
    </w:p>
    <w:p>
      <w:pPr>
        <w:spacing w:after="200"/>
        <w:rPr>
          <w:noProof/>
          <w:szCs w:val="24"/>
        </w:rPr>
      </w:pPr>
      <w:r>
        <w:rPr>
          <w:noProof/>
        </w:rPr>
        <w:t>9.</w:t>
      </w:r>
      <w:r>
        <w:rPr>
          <w:noProof/>
        </w:rPr>
        <w:tab/>
      </w:r>
      <w:r>
        <w:rPr>
          <w:i/>
          <w:noProof/>
        </w:rPr>
        <w:t>dar kartą patvirtiname</w:t>
      </w:r>
      <w:r>
        <w:rPr>
          <w:noProof/>
        </w:rPr>
        <w:t xml:space="preserve"> savo įsipareigojimą toliau taikyti ir nuolat atnaujinti Bonos susitarimo bendrus reagavimo į incidentus jūroje planus (t. y. planą DENGERNETH, MANCHEPLAN, planą NORBRIT, Keturšalės zonos planą), kurie yra svarbi priemonė imtis tarpvalstybinių atsakomųjų veiksmų po incidento, neatsižvelgiant į nacionalinės atsakomybės zoną, kurioje išsiliejo nafta; </w:t>
      </w:r>
    </w:p>
    <w:p>
      <w:pPr>
        <w:spacing w:after="200"/>
        <w:rPr>
          <w:noProof/>
          <w:szCs w:val="24"/>
        </w:rPr>
      </w:pPr>
      <w:r>
        <w:rPr>
          <w:noProof/>
        </w:rPr>
        <w:t>10.</w:t>
      </w:r>
      <w:r>
        <w:rPr>
          <w:noProof/>
        </w:rPr>
        <w:tab/>
      </w:r>
      <w:r>
        <w:rPr>
          <w:i/>
          <w:noProof/>
        </w:rPr>
        <w:t>pripažindami</w:t>
      </w:r>
      <w:r>
        <w:rPr>
          <w:noProof/>
        </w:rPr>
        <w:t xml:space="preserve"> kintantį pavojų, susijusį su didėjančiu pavojingų ir kenksmingų medžiagų gabenimu, didesniais laivais, autonominiais laivais, nauju kuru, nuolatiniu dideliu eismo intensyvumu, naftos ir dujų operacijomis jūroje bei kita jūrine veikla, </w:t>
      </w:r>
      <w:r>
        <w:rPr>
          <w:i/>
          <w:noProof/>
        </w:rPr>
        <w:t>pažymime</w:t>
      </w:r>
      <w:r>
        <w:rPr>
          <w:noProof/>
        </w:rPr>
        <w:t xml:space="preserve">, jog svarbu išsaugoti tinkamą išteklių pusiausvyrą, kad būtų užtikrinta efektyvi taršos prevencija ir reagavimo veikla Didžiojoje Šiaurės jūroje ir jos prieigose; </w:t>
      </w:r>
      <w:r>
        <w:rPr>
          <w:i/>
          <w:noProof/>
        </w:rPr>
        <w:t>sutinkame</w:t>
      </w:r>
      <w:r>
        <w:rPr>
          <w:noProof/>
        </w:rPr>
        <w:t xml:space="preserve">, kad tolesnė reagavimo pajėgumų plėtra regione, kuriam taikomas Bonos susitarimas, turėtų būti grindžiama nacionaliniais ir bendrais rizikos vertinimais; </w:t>
      </w:r>
    </w:p>
    <w:p>
      <w:pPr>
        <w:spacing w:after="200"/>
        <w:rPr>
          <w:noProof/>
          <w:szCs w:val="24"/>
        </w:rPr>
      </w:pPr>
      <w:r>
        <w:rPr>
          <w:noProof/>
        </w:rPr>
        <w:t>11.</w:t>
      </w:r>
      <w:r>
        <w:rPr>
          <w:noProof/>
        </w:rPr>
        <w:tab/>
      </w:r>
      <w:r>
        <w:rPr>
          <w:i/>
          <w:noProof/>
        </w:rPr>
        <w:t>dar kartą patvirtiname</w:t>
      </w:r>
      <w:r>
        <w:rPr>
          <w:noProof/>
        </w:rPr>
        <w:t xml:space="preserve"> savo bendrą įsipareigojimą užkirsti kelią jūros taršai, kuri daro poveikį oro kokybei, bendradarbiaujant ir kartu prisidedant prie tarptautinių su jūros tarša susijusių taisyklių ir standartų įgyvendinimo bei vykdymo užtikrinimo, taip pat užtikrinant vienodas sąlygas ekonominės veiklos vykdytojams; </w:t>
      </w:r>
      <w:r>
        <w:rPr>
          <w:i/>
          <w:noProof/>
        </w:rPr>
        <w:t>pakartojame</w:t>
      </w:r>
      <w:r>
        <w:rPr>
          <w:noProof/>
        </w:rPr>
        <w:t>, kad Direktyva (ES) 2016/802</w:t>
      </w:r>
      <w:r>
        <w:rPr>
          <w:rStyle w:val="FootnoteReference"/>
          <w:noProof/>
        </w:rPr>
        <w:footnoteReference w:id="2"/>
      </w:r>
      <w:r>
        <w:rPr>
          <w:noProof/>
        </w:rPr>
        <w:t xml:space="preserve"> buvo sėkmingai įgyvendinama ir tai matyti iš žemų reikalavimų dėl sieros kiekio SOx išmetimo kontrolės rajonuose (nuo 2015 m. – 0,10 proc. didžiausio sieros kiekio), taip pat </w:t>
      </w:r>
      <w:r>
        <w:rPr>
          <w:i/>
          <w:noProof/>
        </w:rPr>
        <w:t>primename</w:t>
      </w:r>
      <w:r>
        <w:rPr>
          <w:noProof/>
        </w:rPr>
        <w:t xml:space="preserve"> naujausius IMO įsipareigojimus užtikrinti nuoseklų pasaulinės sieros kiekio ribos (nuo 2020 m. – 0,50 proc.) nustatymą pagal MARPOL konvencijos VI priedą. Dėl suderintos ir griežtos šių reikalavimų vykdymo užtikrinimo tvarkos, be kita ko, Šiaurės jūros SOx išmetimo kontrolės rajone, taip pat aukšto laivų atitikties reikalavimams lygio visoje ES, pakrančių regionuose ir miestuose smarkiai sumažinta tarša sieros dioksidu; </w:t>
      </w:r>
      <w:r>
        <w:rPr>
          <w:i/>
          <w:noProof/>
        </w:rPr>
        <w:t>palankiai vertiname</w:t>
      </w:r>
      <w:r>
        <w:rPr>
          <w:noProof/>
        </w:rPr>
        <w:t xml:space="preserve"> tai, kad plėtojamas mūsų bendras įsipareigojimas kartu prisidėti prie MARPOL konvencijos VI priedo vykdymo užtikrinimo priežiūros, ir tai, kad nuo 2021 m. Šiaurės jūra bus laikoma NOx (azoto oksidų) išmetimo kontrolės rajonu (angl. NECA). Susitariančiosios Šalys išsaugo teisę laisvai pasirinkti savo dalyvavimo būdus įgyvendinant priežiūros priemones; </w:t>
      </w:r>
    </w:p>
    <w:p>
      <w:pPr>
        <w:spacing w:after="200"/>
        <w:rPr>
          <w:noProof/>
          <w:szCs w:val="24"/>
        </w:rPr>
      </w:pPr>
      <w:r>
        <w:rPr>
          <w:noProof/>
        </w:rPr>
        <w:t>12.</w:t>
      </w:r>
      <w:r>
        <w:rPr>
          <w:noProof/>
        </w:rPr>
        <w:tab/>
      </w:r>
      <w:r>
        <w:rPr>
          <w:i/>
          <w:noProof/>
        </w:rPr>
        <w:t>pripažįstame</w:t>
      </w:r>
      <w:r>
        <w:rPr>
          <w:noProof/>
        </w:rPr>
        <w:t xml:space="preserve">, kad tokios nuostatos kaip Šiaurės jūros paskelbimas specialiąja teritorija pagal MARPOL konvencijos I ir V priedus bus veiksmingos tik užtikrinus tinkamą jų vykdymą; todėl </w:t>
      </w:r>
      <w:r>
        <w:rPr>
          <w:i/>
          <w:noProof/>
        </w:rPr>
        <w:t>palankiai vertiname</w:t>
      </w:r>
      <w:r>
        <w:rPr>
          <w:noProof/>
        </w:rPr>
        <w:t xml:space="preserve"> sėkmingą Šiaurės jūros tyrėjų ir prokurorų tinklo darbą skatinant su tarša susijusių taisyklių ir standartų vykdymo užtikrinimą ir </w:t>
      </w:r>
      <w:r>
        <w:rPr>
          <w:i/>
          <w:noProof/>
        </w:rPr>
        <w:t>pritariame</w:t>
      </w:r>
      <w:r>
        <w:rPr>
          <w:noProof/>
        </w:rPr>
        <w:t xml:space="preserve"> tam, kad būtų tęsiamas bendradarbiavimas su tinklu dėl visų atitinkamų MARPOL konvencijos priedų vykdymo užtikrinimo; </w:t>
      </w:r>
    </w:p>
    <w:p>
      <w:pPr>
        <w:spacing w:after="200"/>
        <w:rPr>
          <w:noProof/>
          <w:szCs w:val="24"/>
        </w:rPr>
      </w:pPr>
      <w:r>
        <w:rPr>
          <w:noProof/>
        </w:rPr>
        <w:t>13.</w:t>
      </w:r>
      <w:r>
        <w:rPr>
          <w:noProof/>
        </w:rPr>
        <w:tab/>
      </w:r>
      <w:r>
        <w:rPr>
          <w:i/>
          <w:noProof/>
        </w:rPr>
        <w:t>dar kartą patvirtiname</w:t>
      </w:r>
      <w:r>
        <w:rPr>
          <w:noProof/>
        </w:rPr>
        <w:t xml:space="preserve"> savo įsipareigojimą tinkamai įgyvendinti Direktyvą 2005/35/EB</w:t>
      </w:r>
      <w:r>
        <w:rPr>
          <w:noProof/>
        </w:rPr>
        <w:fldChar w:fldCharType="begin"/>
      </w:r>
      <w:r>
        <w:rPr>
          <w:noProof/>
        </w:rPr>
        <w:instrText xml:space="preserve"> NOTEREF _Ref13224541 \f  \* MERGEFORMAT </w:instrText>
      </w:r>
      <w:r>
        <w:rPr>
          <w:noProof/>
        </w:rPr>
        <w:fldChar w:fldCharType="separate"/>
      </w:r>
      <w:r>
        <w:rPr>
          <w:rStyle w:val="FootnoteReference"/>
          <w:noProof/>
        </w:rPr>
        <w:t>3</w:t>
      </w:r>
      <w:r>
        <w:rPr>
          <w:rStyle w:val="FootnoteReference"/>
          <w:noProof/>
        </w:rPr>
        <w:fldChar w:fldCharType="end"/>
      </w:r>
      <w:r>
        <w:rPr>
          <w:noProof/>
        </w:rPr>
        <w:t xml:space="preserve"> dėl taršos iš laivų ir pažeidimų (su pakeitimais) bei užtikrinti šios direktyvos vykdymą, visų pirma, kiek tai susiję su bendradarbiavimu stebėsenos ir vykdymo užtikrinimo srityje, pareigos teikti ataskaitas vykdymu ir veiksmingomis sankcijomis, įskaitant baudžiamąsias sankcijas, už pažeidimus taršos srityje; </w:t>
      </w:r>
    </w:p>
    <w:p>
      <w:pPr>
        <w:spacing w:after="200"/>
        <w:rPr>
          <w:noProof/>
          <w:szCs w:val="24"/>
        </w:rPr>
      </w:pPr>
      <w:r>
        <w:rPr>
          <w:noProof/>
        </w:rPr>
        <w:t>14.</w:t>
      </w:r>
      <w:r>
        <w:rPr>
          <w:noProof/>
        </w:rPr>
        <w:tab/>
      </w:r>
      <w:r>
        <w:rPr>
          <w:i/>
          <w:noProof/>
        </w:rPr>
        <w:t>palankiai vertiname</w:t>
      </w:r>
      <w:r>
        <w:rPr>
          <w:noProof/>
        </w:rPr>
        <w:t xml:space="preserve"> tai, kad Taryba ir Europos Parlamentas priėmė persvarstytą direktyvą dėl uosto priėmimo įrenginių</w:t>
      </w:r>
      <w:r>
        <w:rPr>
          <w:noProof/>
        </w:rPr>
        <w:fldChar w:fldCharType="begin"/>
      </w:r>
      <w:r>
        <w:rPr>
          <w:noProof/>
        </w:rPr>
        <w:instrText xml:space="preserve"> NOTEREF _Ref13224541 \f  \* MERGEFORMAT </w:instrText>
      </w:r>
      <w:r>
        <w:rPr>
          <w:noProof/>
        </w:rPr>
        <w:fldChar w:fldCharType="separate"/>
      </w:r>
      <w:r>
        <w:rPr>
          <w:rStyle w:val="FootnoteReference"/>
          <w:noProof/>
        </w:rPr>
        <w:t>3</w:t>
      </w:r>
      <w:r>
        <w:rPr>
          <w:rStyle w:val="FootnoteReference"/>
          <w:noProof/>
        </w:rPr>
        <w:fldChar w:fldCharType="end"/>
      </w:r>
      <w:r>
        <w:rPr>
          <w:noProof/>
        </w:rPr>
        <w:t>, ir įsipareigojame keistis informacija ir bendradarbiauti, kad užkirstume kelią neteisėtam atliekų išmetimui į jūrą;</w:t>
      </w:r>
    </w:p>
    <w:p>
      <w:pPr>
        <w:spacing w:after="200"/>
        <w:rPr>
          <w:noProof/>
          <w:szCs w:val="24"/>
        </w:rPr>
      </w:pPr>
      <w:r>
        <w:rPr>
          <w:noProof/>
        </w:rPr>
        <w:t>15.</w:t>
      </w:r>
      <w:r>
        <w:rPr>
          <w:noProof/>
        </w:rPr>
        <w:tab/>
      </w:r>
      <w:r>
        <w:rPr>
          <w:i/>
          <w:noProof/>
        </w:rPr>
        <w:t>palankiai vertiname</w:t>
      </w:r>
      <w:r>
        <w:rPr>
          <w:noProof/>
        </w:rPr>
        <w:t xml:space="preserve"> tai, kad IMO patvirtino naujus veiklos rezultatus dėl taisyklių ir gairių, susijusių su skystųjų nuotekų iš išmetamųjų dujų valymo sistemų išleidimu į vandenis, vertinimo ir derinimo, įskaitant sąlygas ir zonas, kaip svarbią priemonę, padedančią geriau suprasti plovimo vandens, išleidžiamo naudojant dujų plautuvus ir (arba) išmetamųjų dujų valymo sistemas, poveikį jūros aplinkai;</w:t>
      </w:r>
    </w:p>
    <w:p>
      <w:pPr>
        <w:spacing w:after="200"/>
        <w:rPr>
          <w:noProof/>
          <w:szCs w:val="24"/>
        </w:rPr>
      </w:pPr>
      <w:r>
        <w:rPr>
          <w:noProof/>
        </w:rPr>
        <w:t>16.</w:t>
      </w:r>
      <w:r>
        <w:rPr>
          <w:noProof/>
        </w:rPr>
        <w:tab/>
      </w:r>
      <w:r>
        <w:rPr>
          <w:i/>
          <w:noProof/>
        </w:rPr>
        <w:t>pabrėžiame</w:t>
      </w:r>
      <w:r>
        <w:rPr>
          <w:noProof/>
        </w:rPr>
        <w:t xml:space="preserve"> suderintų mokslinių tyrimų ir technologinės plėtros programų poreikį, siekiant užtikrinti, kad kovos su tarša priemonės būtų įgyvendinamos naudojant geriausius prieinamus gamybos būdus ir įrangą, kai sprendžiami esami ir būsimi uždaviniai, dėl kurių, atrodo, reikia taikyti novatoriškus reagavimo būdus, pvz., diegiant ir dažniau naudojant naują kurą, sukurtą taip, kad būtų laikomasi vis griežtesnių reikalavimų dėl teršalų išmetimo; </w:t>
      </w:r>
      <w:r>
        <w:rPr>
          <w:i/>
          <w:noProof/>
        </w:rPr>
        <w:t>dar kartą patvirtiname</w:t>
      </w:r>
      <w:r>
        <w:rPr>
          <w:noProof/>
        </w:rPr>
        <w:t xml:space="preserve">, kad sprendimų priėmimo procesai grindžiami geriausiomis turimomis žiniomis, metodais ir pagalbinėmis priemonėmis; </w:t>
      </w:r>
      <w:r>
        <w:rPr>
          <w:i/>
          <w:noProof/>
        </w:rPr>
        <w:t>pažymime</w:t>
      </w:r>
      <w:r>
        <w:rPr>
          <w:noProof/>
        </w:rPr>
        <w:t>, kad pagal 2019–2025 m. Bonos susitarimo strateginį veiksmų planą nustatomi mokslinių tyrimų ir technologinės plėtros prioritetai;</w:t>
      </w:r>
    </w:p>
    <w:p>
      <w:pPr>
        <w:spacing w:after="200"/>
        <w:rPr>
          <w:noProof/>
          <w:szCs w:val="24"/>
        </w:rPr>
      </w:pPr>
      <w:r>
        <w:rPr>
          <w:noProof/>
        </w:rPr>
        <w:t>17.</w:t>
      </w:r>
      <w:r>
        <w:rPr>
          <w:noProof/>
        </w:rPr>
        <w:tab/>
      </w:r>
      <w:r>
        <w:rPr>
          <w:i/>
          <w:noProof/>
        </w:rPr>
        <w:t>atkreipiame dėmesį į</w:t>
      </w:r>
      <w:r>
        <w:rPr>
          <w:noProof/>
        </w:rPr>
        <w:t xml:space="preserve"> integruoto požiūrio į jūrų valdymą raidą ir į tai, kaip svarbu stiprinti bendradarbiavimą su atitinkamais jūrų sektoriais ir įstaigomis, siekiant labiau holistinio mūsų jūrų valdymo, kad būtų užtikrinta gera jūrų vandenų aplinkos būklė pagal ES jūrų strategijos pagrindų direktyvą</w:t>
      </w:r>
      <w:r>
        <w:rPr>
          <w:rStyle w:val="FootnoteReference"/>
          <w:noProof/>
        </w:rPr>
        <w:footnoteReference w:id="3"/>
      </w:r>
      <w:r>
        <w:rPr>
          <w:noProof/>
        </w:rPr>
        <w:t xml:space="preserve">; </w:t>
      </w:r>
    </w:p>
    <w:p>
      <w:pPr>
        <w:spacing w:after="200"/>
        <w:rPr>
          <w:noProof/>
          <w:szCs w:val="24"/>
        </w:rPr>
      </w:pPr>
      <w:r>
        <w:rPr>
          <w:noProof/>
        </w:rPr>
        <w:t>18.</w:t>
      </w:r>
      <w:r>
        <w:rPr>
          <w:noProof/>
        </w:rPr>
        <w:tab/>
      </w:r>
      <w:r>
        <w:rPr>
          <w:i/>
          <w:noProof/>
        </w:rPr>
        <w:t>palankiai vertiname</w:t>
      </w:r>
      <w:r>
        <w:rPr>
          <w:noProof/>
        </w:rPr>
        <w:t xml:space="preserve"> IMO veiksmų planą, skirtą jūrų plastiko šiukšlių iš laivų problemai spręsti, kuriuo siekiama patobulinti esamas taisykles ir kuriuo nustatomos naujos paramos priemonės, skirtos rimtai problemai, kurią kelia jūros aplinkoje esantis jūrų plastikas, spręsti;</w:t>
      </w:r>
    </w:p>
    <w:p>
      <w:pPr>
        <w:spacing w:after="200"/>
        <w:rPr>
          <w:noProof/>
          <w:szCs w:val="24"/>
        </w:rPr>
      </w:pPr>
      <w:r>
        <w:rPr>
          <w:noProof/>
        </w:rPr>
        <w:t>19.</w:t>
      </w:r>
      <w:r>
        <w:rPr>
          <w:noProof/>
        </w:rPr>
        <w:tab/>
      </w:r>
      <w:r>
        <w:rPr>
          <w:i/>
          <w:noProof/>
        </w:rPr>
        <w:t>dar kartą patvirtiname</w:t>
      </w:r>
      <w:r>
        <w:rPr>
          <w:noProof/>
        </w:rPr>
        <w:t xml:space="preserve"> savo įsipareigojimą bendradarbiauti su kitomis kompetentingomis tarptautinėmis ir regioninėmis organizacijomis ir įstaigomis, visų pirma Tarptautine jūrų organizacija (IMO), OSPAR ir HELSINKI komisijomis, Lisabonos ir Kopenhagos susitarimų šalimis, </w:t>
      </w:r>
      <w:r>
        <w:rPr>
          <w:rStyle w:val="st"/>
          <w:noProof/>
        </w:rPr>
        <w:t>Viduržemio jūros regioniniu reagavimo į su jūrų tarša susijusias avarijas centru (</w:t>
      </w:r>
      <w:r>
        <w:rPr>
          <w:noProof/>
        </w:rPr>
        <w:t>angl. REMPEC), Ekonominio bendradarbiavimo ir plėtros organizacija (EBPO) ir Arkties taryba, kad būtų dalijamasi patirtimi bei gerosios praktikos pavyzdžiais ir būtų pasiekti bendri tikslai.</w:t>
      </w:r>
    </w:p>
    <w:p>
      <w:pPr>
        <w:spacing w:after="200"/>
        <w:rPr>
          <w:b/>
          <w:noProof/>
          <w:szCs w:val="24"/>
        </w:rPr>
      </w:pPr>
      <w:r>
        <w:rPr>
          <w:b/>
          <w:noProof/>
        </w:rPr>
        <w:t xml:space="preserve">Atsižvelgdami į tai, kas išdėstyta pirmiau, ir kaip tvirtą įsipareigojimą siekti savo vizijos </w:t>
      </w:r>
      <w:r>
        <w:rPr>
          <w:b/>
          <w:i/>
          <w:noProof/>
        </w:rPr>
        <w:t>pažymime</w:t>
      </w:r>
      <w:r>
        <w:rPr>
          <w:b/>
          <w:noProof/>
        </w:rPr>
        <w:t>, kad atnaujintos pastangos pasiekti sutartus tikslus ir užtikrinti geresnę jūros taršos prevenciją, pasirengimą jūros taršai ir reagavimą į ją Didžiojoje Šiaurės jūroje ir jos prieigose, ir PATVIRTINAME 1 priede pateiktą 2019–2025 m. Bonos susitarimo strateginį veiksmų planą, kuriame nustatyti plataus užmojo strateginiai tikslai, veiklos tikslai ir jų įgyvendinimo veiksmai 2019–2025 m. laikotarpiu.</w:t>
      </w:r>
    </w:p>
    <w:p>
      <w:pPr>
        <w:rPr>
          <w:noProof/>
          <w:szCs w:val="24"/>
        </w:rPr>
      </w:pP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t>2 PRIEDAS</w:t>
      </w:r>
    </w:p>
    <w:p>
      <w:pPr>
        <w:rPr>
          <w:noProof/>
        </w:rPr>
      </w:pPr>
    </w:p>
    <w:p>
      <w:pPr>
        <w:tabs>
          <w:tab w:val="left" w:pos="720"/>
        </w:tabs>
        <w:spacing w:after="0"/>
        <w:jc w:val="center"/>
        <w:rPr>
          <w:rFonts w:cs="Arial"/>
          <w:b/>
          <w:noProof/>
          <w:sz w:val="32"/>
          <w:szCs w:val="28"/>
        </w:rPr>
      </w:pPr>
      <w:r>
        <w:rPr>
          <w:b/>
          <w:noProof/>
          <w:sz w:val="32"/>
          <w:szCs w:val="28"/>
        </w:rPr>
        <w:t xml:space="preserve">Bonos susitarimo strateginis veiksmų planas (angl. BASAP) </w:t>
      </w:r>
    </w:p>
    <w:p>
      <w:pPr>
        <w:tabs>
          <w:tab w:val="left" w:pos="720"/>
        </w:tabs>
        <w:spacing w:after="0"/>
        <w:jc w:val="center"/>
        <w:rPr>
          <w:rFonts w:cs="Arial"/>
          <w:b/>
          <w:noProof/>
          <w:sz w:val="32"/>
          <w:szCs w:val="28"/>
        </w:rPr>
      </w:pPr>
      <w:r>
        <w:rPr>
          <w:b/>
          <w:noProof/>
          <w:sz w:val="32"/>
          <w:szCs w:val="28"/>
        </w:rPr>
        <w:t>2019–2025 m.</w:t>
      </w:r>
    </w:p>
    <w:p>
      <w:pPr>
        <w:tabs>
          <w:tab w:val="left" w:pos="720"/>
        </w:tabs>
        <w:spacing w:before="280"/>
        <w:jc w:val="left"/>
        <w:rPr>
          <w:rFonts w:cs="Arial"/>
          <w:b/>
          <w:noProof/>
        </w:rPr>
      </w:pPr>
      <w:r>
        <w:rPr>
          <w:b/>
          <w:noProof/>
        </w:rPr>
        <w:t>Įvadas</w:t>
      </w:r>
    </w:p>
    <w:p>
      <w:pPr>
        <w:rPr>
          <w:rFonts w:cs="Arial"/>
          <w:b/>
          <w:noProof/>
        </w:rPr>
      </w:pPr>
      <w:r>
        <w:rPr>
          <w:b/>
          <w:noProof/>
        </w:rPr>
        <w:t>Pagrindinis darbas pagal Bonos susitarimą – bendradarbiauti regionų lygmeniu, siekiant užtikrinti laivų ir jūroje veikiančių įrenginių sukeliamos jūros taršos Didžiojoje Šiaurės jūroje prevenciją ir kovą su ja; vykdyti priežiūrą siekiant padėti aptikti taršą jūroje ir kovoti su ja; užtikrinti valymą po nelaimių jūroje ir pažeidimų taršos srityje. Tai laimėjimai, susiję su moksliniu, techniniu ir operatyviniu darbu pagal 50 metų galiojantį Bonos susitarimą. Bonos susitarimo Susitariančiosios Šalys ėmėsi bendrų veiksmų, kad įgytų didelės patirties sprendžiant pavojaus jūros aplinkai klausimus, ir bendradarbiaudamos su Susitariančiosiomis Šalimis yra pasirengusios spręsti naujus uždavinius ir dalyvauti tarptautinės bendruomenės veikloje.</w:t>
      </w:r>
    </w:p>
    <w:p>
      <w:pPr>
        <w:rPr>
          <w:rFonts w:cs="Arial"/>
          <w:noProof/>
        </w:rPr>
      </w:pPr>
      <w:r>
        <w:rPr>
          <w:noProof/>
        </w:rPr>
        <w:t>Bonos susitarimas yra seniausias vyriausybių sudarytas regioninis susitarimas dėl reagavimo į taršos incidentus.  Susitarimas – tai mechanizmas, kuriuo remdamosi Šiaurės jūros valstybės ir Europos Sąjunga bendradarbiauja, kad padėtų vienos kitoms kovoti su nelaimių jūroje nulemta tarša ir nuolatine laivų ir jūroje veikiančių įrenginių sukeliama tarša Šiaurės jūros regione. 1969 m. Susitarimą pasirašė aštuonios su Šiaurės jūra besiribojančios valstybės – Belgija, Danija, Jungtinė Karalystė, Nyderlandai, Norvegija, Prancūzija, Švedija ir Vokietija – netrukus po 1967 m. įvykusios naftos tanklaivio „Torrey Canyon“ avarijos Kornvalyje, kai išsiliejo 117 000 tonų naftos. Tai buvo pirmoji didelė su tarša susijusi nelaimė Vakarų Europoje. Tačiau Bonos susitarimą pradėta taikyti tik XX a. 8-ojo dešimtmečio pabaigoje, kai įvyko du kiti dideli taršos incidentai: 1977 m. „Ekofisk“ sprogimas ir 1978 m. „Amoco Cadiz“ incidentas. Nuo tada Susitarimas buvo veiksmingai taikomas. 1983 m. jo taikymo sritis buvo išplėsta, kad apimtų kitas kenksmingas medžiagas, o</w:t>
      </w:r>
      <w:r>
        <w:rPr>
          <w:rFonts w:asciiTheme="minorHAnsi" w:hAnsiTheme="minorHAnsi"/>
          <w:noProof/>
          <w:sz w:val="18"/>
          <w:szCs w:val="18"/>
        </w:rPr>
        <w:t xml:space="preserve"> </w:t>
      </w:r>
      <w:r>
        <w:rPr>
          <w:noProof/>
        </w:rPr>
        <w:t>1987 m. į Susitarimą įtrauktas bendradarbiavimas priežiūros srityje. Tolesnė plėtra įvyko 2010 m., kai prie Susitarimo prisijungė Airija ir jo taikymo sritis buvo išplėsta – numatyta Susitarimo nuostatas taikyti Airijos vandenims ir susijusiems Norvegijos ir Jungtinės Karalystės vandenims.</w:t>
      </w:r>
    </w:p>
    <w:p>
      <w:pPr>
        <w:widowControl w:val="0"/>
        <w:autoSpaceDE w:val="0"/>
        <w:autoSpaceDN w:val="0"/>
        <w:adjustRightInd w:val="0"/>
        <w:rPr>
          <w:rFonts w:cs="Arial"/>
          <w:noProof/>
        </w:rPr>
      </w:pPr>
      <w:r>
        <w:rPr>
          <w:noProof/>
        </w:rPr>
        <w:t>Nors bendras atsitiktinio naftos išsiliejimo Europos vandenyse atvejų skaičius sumažėjo, kartais vis dar pasitaiko didelio atsitiktinio naftos išsiliejimo (t. y. kai išsilieja daugiau kaip 20 000 tonų naftos) atvejų. Nors sausumoje išleidžiama nafta sudaro didžiausią kasmet į vandenyną patenkančios naftos dalį, atsitiktinis naftos išsiliejimas vis dar yra pagrindinis taršos šaltinis ir lemia apie 10–15 proc. viso pasaulyje kasmet į vandenyną patenkančio naftos kiekio.</w:t>
      </w:r>
    </w:p>
    <w:p>
      <w:pPr>
        <w:rPr>
          <w:rFonts w:cs="Arial"/>
          <w:noProof/>
        </w:rPr>
      </w:pPr>
      <w:r>
        <w:rPr>
          <w:noProof/>
        </w:rPr>
        <w:t xml:space="preserve">2019–2025 m. BASAP siekiama palengvinti Bonos susitarimo įgyvendinimą, siekiant apskritai prisidėti prie jūros taršos prevencijos ir spręsti ateities uždavinius, kaip antai neišvengiamus esminius pokyčius energijos ir gamtos išteklių rinkose, 2015 m. Paryžiaus susitarime nustatytus aplinkos apsaugos uždavinius ir daromą spaudimą dėl jūrinių teritorijų planavimo, dėl kurių jūroje gali kilti kitų pavojų. Atsižvelgiant į šiuos pokyčius ir smarkiai sumažėjusį atsitiktinio naftos išsiliejimo Europos vandenyse atvejų skaičių per pastaruosius 30 metų, į naftos išsiliejimą reaguojantys subjektai turėjo išplėsti savo dėmesio centrą nuo taršos nafta iki visų rūšių jūros taršos, kurią galima išmatuoti ir (arba) išvalyti.  Svarbus naujas Bonos susitarimo uždavinys, nustatytas atlikus SSGG analizę, yra susijęs su oro tarša, kuri daro poveikį pakrantės teritorijų ekosistemoms ir piliečių sveikatai, esant dideliam gyventojų tankiui (MARPOL konvencijos VI priedas). </w:t>
      </w:r>
    </w:p>
    <w:p>
      <w:pPr>
        <w:tabs>
          <w:tab w:val="left" w:pos="720"/>
        </w:tabs>
        <w:rPr>
          <w:rFonts w:cs="Arial"/>
          <w:noProof/>
        </w:rPr>
      </w:pPr>
      <w:r>
        <w:rPr>
          <w:noProof/>
        </w:rPr>
        <w:t>Susitariančiosios Šalys įgyvendina 2019–2025 m. BASAP:</w:t>
      </w:r>
    </w:p>
    <w:p>
      <w:pPr>
        <w:pStyle w:val="Bullet1"/>
        <w:numPr>
          <w:ilvl w:val="0"/>
          <w:numId w:val="11"/>
        </w:numPr>
        <w:rPr>
          <w:noProof/>
        </w:rPr>
      </w:pPr>
      <w:r>
        <w:rPr>
          <w:noProof/>
        </w:rPr>
        <w:t>prižiūrėdamos savo atsakomybės zonas, kad apsaugotų jas nuo jūros taršos bei atitinkamos virš jūros esančios oro erdvės taršos pavojaus, įskaitant stebėjimo iš oro ir palydovinės stebėsenos koordinavimą;</w:t>
      </w:r>
    </w:p>
    <w:p>
      <w:pPr>
        <w:pStyle w:val="Bullet1"/>
        <w:rPr>
          <w:noProof/>
        </w:rPr>
      </w:pPr>
      <w:r>
        <w:rPr>
          <w:noProof/>
        </w:rPr>
        <w:t>įspėdamos viena kitą apie tokius pavojus;</w:t>
      </w:r>
    </w:p>
    <w:p>
      <w:pPr>
        <w:pStyle w:val="Bullet1"/>
        <w:rPr>
          <w:noProof/>
        </w:rPr>
      </w:pPr>
      <w:r>
        <w:rPr>
          <w:noProof/>
        </w:rPr>
        <w:t>patvirtindamos bendrus veiklos metodus, kad galėtų pasikliauti vienos kitomis, siekdamos užtikrinti būtinus prevencijos ir valymo standartus;</w:t>
      </w:r>
    </w:p>
    <w:p>
      <w:pPr>
        <w:pStyle w:val="Bullet1"/>
        <w:rPr>
          <w:noProof/>
        </w:rPr>
      </w:pPr>
      <w:r>
        <w:rPr>
          <w:noProof/>
        </w:rPr>
        <w:t>patvirtindamos bendrus ir suderintus veiklos metodus MARPOL konvencijos VI priedo laikymosi stebėsenos ir vykdymo užtikrinimo tikslais;</w:t>
      </w:r>
    </w:p>
    <w:p>
      <w:pPr>
        <w:pStyle w:val="Bullet1"/>
        <w:rPr>
          <w:noProof/>
        </w:rPr>
      </w:pPr>
      <w:r>
        <w:rPr>
          <w:noProof/>
        </w:rPr>
        <w:t>teikdamos paramą viena kitai (kai jos prašoma) vykdant reagavimo operacijas;</w:t>
      </w:r>
    </w:p>
    <w:p>
      <w:pPr>
        <w:pStyle w:val="Bullet1"/>
        <w:rPr>
          <w:noProof/>
        </w:rPr>
      </w:pPr>
      <w:r>
        <w:rPr>
          <w:noProof/>
        </w:rPr>
        <w:t>dalydamosi mokslinių tyrimų ir technologinės plėtros rezultatais bei gerosios patirties pavyzdžiais, taip pat</w:t>
      </w:r>
    </w:p>
    <w:p>
      <w:pPr>
        <w:pStyle w:val="Bullet1"/>
        <w:rPr>
          <w:noProof/>
        </w:rPr>
      </w:pPr>
      <w:r>
        <w:rPr>
          <w:noProof/>
        </w:rPr>
        <w:t>vykdydamos bendras pratybas.</w:t>
      </w:r>
    </w:p>
    <w:p>
      <w:pPr>
        <w:tabs>
          <w:tab w:val="left" w:pos="720"/>
        </w:tabs>
        <w:spacing w:before="280"/>
        <w:rPr>
          <w:rFonts w:cs="Arial"/>
          <w:b/>
          <w:noProof/>
          <w:u w:val="single"/>
        </w:rPr>
      </w:pPr>
      <w:r>
        <w:rPr>
          <w:b/>
          <w:noProof/>
          <w:u w:val="single"/>
        </w:rPr>
        <w:t>Vizija</w:t>
      </w:r>
    </w:p>
    <w:p>
      <w:pPr>
        <w:tabs>
          <w:tab w:val="left" w:pos="720"/>
        </w:tabs>
        <w:rPr>
          <w:rFonts w:cs="Arial"/>
          <w:noProof/>
        </w:rPr>
      </w:pPr>
      <w:r>
        <w:rPr>
          <w:noProof/>
        </w:rPr>
        <w:t>Bonos susitarimo vizija:</w:t>
      </w:r>
    </w:p>
    <w:p>
      <w:pPr>
        <w:tabs>
          <w:tab w:val="left" w:pos="720"/>
        </w:tabs>
        <w:rPr>
          <w:rFonts w:cs="Arial"/>
          <w:i/>
          <w:noProof/>
        </w:rPr>
      </w:pPr>
      <w:r>
        <w:rPr>
          <w:b/>
          <w:i/>
          <w:noProof/>
        </w:rPr>
        <w:t>Švari Didžioji Šiaurės jūra be atsitiktinės ir neteisėtos laivybos ir kitos jūrinės veiklos sukeliamos taršos</w:t>
      </w:r>
    </w:p>
    <w:p>
      <w:pPr>
        <w:tabs>
          <w:tab w:val="left" w:pos="720"/>
        </w:tabs>
        <w:rPr>
          <w:rFonts w:cs="Arial"/>
          <w:noProof/>
        </w:rPr>
      </w:pPr>
      <w:r>
        <w:rPr>
          <w:noProof/>
        </w:rPr>
        <w:t>Didžioji Šiaurės jūra padeda puoselėti įvairias produktyvias ekosistemas ir yra svarbi milijonų žmonių kasdieniam gyvenimui. Tam tikra Didžiosios Šiaurės jūros dalis apima keletą judriausių laivybos kelių pasaulyje. Todėl Bonos susitarimo vizija – kiek įmanoma labiau sumažinti taršos pavojų, kurį lemia atsitiktinė ir neteisėta laivų ir kitos jūrinės veiklos sukeliama tarša.</w:t>
      </w:r>
    </w:p>
    <w:p>
      <w:pPr>
        <w:tabs>
          <w:tab w:val="left" w:pos="720"/>
        </w:tabs>
        <w:spacing w:after="240"/>
        <w:rPr>
          <w:rFonts w:cs="Arial"/>
          <w:noProof/>
        </w:rPr>
      </w:pPr>
      <w:r>
        <w:rPr>
          <w:noProof/>
        </w:rPr>
        <w:t>Kad ši vizija būtų įgyvendinta, Bonos susitarime susitarta dėl šių strateginių tikslų:</w:t>
      </w:r>
    </w:p>
    <w:p>
      <w:pPr>
        <w:pStyle w:val="Point0letter"/>
        <w:numPr>
          <w:ilvl w:val="1"/>
          <w:numId w:val="12"/>
        </w:numPr>
        <w:rPr>
          <w:noProof/>
        </w:rPr>
      </w:pPr>
      <w:r>
        <w:rPr>
          <w:noProof/>
        </w:rPr>
        <w:t>apskritai nustatyti ir spręsti naujas jūrų sektoriuje kylančias problemas, susijusias su jūros aplinka, kuriai taikomas Bonos susitarimas;</w:t>
      </w:r>
    </w:p>
    <w:p>
      <w:pPr>
        <w:pStyle w:val="Point0letter"/>
        <w:rPr>
          <w:noProof/>
        </w:rPr>
      </w:pPr>
      <w:r>
        <w:rPr>
          <w:noProof/>
        </w:rPr>
        <w:t>nustatyti ir įvertinti naujas galimybes mažinti jūros aplinkai kylančią riziką, remiantis geriausiais prieinamais gamybos būdais (GPGB) ir geriausia aplinkos apsaugos praktika (GAAP);</w:t>
      </w:r>
    </w:p>
    <w:p>
      <w:pPr>
        <w:pStyle w:val="Point0letter"/>
        <w:rPr>
          <w:noProof/>
        </w:rPr>
      </w:pPr>
      <w:r>
        <w:rPr>
          <w:noProof/>
        </w:rPr>
        <w:t>nustatyti ir įvertinti naujus stebėsenos metodus, siekiant užtikrinti, kad būtų taikomi geriausi prieinami gamybos būdai ir geriausia aplinkos apsaugos praktika;</w:t>
      </w:r>
    </w:p>
    <w:p>
      <w:pPr>
        <w:pStyle w:val="Point0letter"/>
        <w:rPr>
          <w:noProof/>
        </w:rPr>
      </w:pPr>
      <w:r>
        <w:rPr>
          <w:noProof/>
        </w:rPr>
        <w:t>tinkamai reaguoti į naujai nustatytą jūros aplinkai kylančią riziką, atsižvelgiant į OTSOPA rekomendacijas, taip pat</w:t>
      </w:r>
    </w:p>
    <w:p>
      <w:pPr>
        <w:pStyle w:val="Point0letter"/>
        <w:rPr>
          <w:noProof/>
        </w:rPr>
      </w:pPr>
      <w:r>
        <w:rPr>
          <w:noProof/>
        </w:rPr>
        <w:t>visapusiškai naudotis I ir II BE-AWARE projektais, kad būtų galima nustatyti veiksmingiausias būsimas rizikos mažinimo ir reagavimo priemones.</w:t>
      </w:r>
    </w:p>
    <w:p>
      <w:pPr>
        <w:tabs>
          <w:tab w:val="left" w:pos="720"/>
        </w:tabs>
        <w:spacing w:after="240"/>
        <w:rPr>
          <w:rFonts w:cs="Arial"/>
          <w:noProof/>
        </w:rPr>
      </w:pPr>
    </w:p>
    <w:p>
      <w:pPr>
        <w:keepNext/>
        <w:tabs>
          <w:tab w:val="left" w:pos="720"/>
        </w:tabs>
        <w:rPr>
          <w:rFonts w:cs="Arial"/>
          <w:i/>
          <w:noProof/>
          <w:u w:val="single"/>
        </w:rPr>
      </w:pPr>
      <w:r>
        <w:rPr>
          <w:b/>
          <w:noProof/>
          <w:u w:val="single"/>
        </w:rPr>
        <w:t>Strateginiai tikslai</w:t>
      </w:r>
    </w:p>
    <w:p>
      <w:pPr>
        <w:tabs>
          <w:tab w:val="left" w:pos="720"/>
        </w:tabs>
        <w:ind w:left="540" w:hanging="540"/>
        <w:rPr>
          <w:rFonts w:cs="Arial"/>
          <w:b/>
          <w:i/>
          <w:noProof/>
        </w:rPr>
      </w:pPr>
      <w:r>
        <w:rPr>
          <w:b/>
          <w:i/>
          <w:noProof/>
        </w:rPr>
        <w:t xml:space="preserve">A. </w:t>
      </w:r>
      <w:r>
        <w:rPr>
          <w:b/>
          <w:i/>
          <w:noProof/>
        </w:rPr>
        <w:tab/>
        <w:t>Neteisėtos ir atsitiktinės taršos prevencija bendradarbiaujant ir kartu užtikrinant su jūros tarša susijusių tarptautinių taisyklių ir standartų vykdymą, įskaitant atitiktį MARPOL konvencijos priedams</w:t>
      </w:r>
    </w:p>
    <w:p>
      <w:pPr>
        <w:tabs>
          <w:tab w:val="left" w:pos="720"/>
        </w:tabs>
        <w:ind w:left="540"/>
        <w:rPr>
          <w:rFonts w:cs="Arial"/>
          <w:noProof/>
        </w:rPr>
      </w:pPr>
      <w:r>
        <w:rPr>
          <w:noProof/>
        </w:rPr>
        <w:t>Nors per pastaruosius metus ir buvo imtasi įvairių priemonių, neteisėta ir atsitiktinė tarša tebekelia didelį pavojų Didžiajai Šiaurės jūrai. Bendradarbiavimas jų veiksmingo ir efektyvaus vykdymo užtikrinimo srityje yra pagrindinė priemonė siekiant apsaugoti jūros aplinką.</w:t>
      </w:r>
    </w:p>
    <w:p>
      <w:pPr>
        <w:tabs>
          <w:tab w:val="left" w:pos="720"/>
        </w:tabs>
        <w:spacing w:before="300" w:after="300"/>
        <w:ind w:left="567"/>
        <w:rPr>
          <w:rFonts w:cs="Arial"/>
          <w:noProof/>
        </w:rPr>
      </w:pPr>
      <w:r>
        <w:rPr>
          <w:noProof/>
        </w:rPr>
        <w:t xml:space="preserve">Su jūros tarša susijusios tarptautinės taisyklės nustatytos 1973 m. Tarptautinėje konvencijoje dėl teršimo iš laivų prevencijos (MARPOL), kuri buvo atnaujinta 1978 m. MARPOL konvenciją parengė Tarptautinė jūrų organizacija (IMO) ir ja siekiama užkirsti kelią laivų sukeliamai taršai – vykdant tiek atsitiktines, tiek įprastas operacijas – bei ją sumažinti. Kartu pateikti toliau nurodyti šeši techniniai priedai, susiję su jūros tarša (žr. I priedą „Dabartiniai MARPOL konvencijos I–VI priedų tekstai“): </w:t>
      </w:r>
    </w:p>
    <w:p>
      <w:pPr>
        <w:tabs>
          <w:tab w:val="left" w:pos="720"/>
        </w:tabs>
        <w:spacing w:before="300" w:after="300"/>
        <w:ind w:left="567"/>
        <w:rPr>
          <w:rFonts w:cs="Arial"/>
          <w:noProof/>
        </w:rPr>
      </w:pPr>
      <w:r>
        <w:rPr>
          <w:noProof/>
        </w:rPr>
        <w:t>I priedas. Taršos nafta prevencijos taisyklės;</w:t>
      </w:r>
    </w:p>
    <w:p>
      <w:pPr>
        <w:tabs>
          <w:tab w:val="left" w:pos="720"/>
        </w:tabs>
        <w:spacing w:before="300" w:after="300"/>
        <w:ind w:left="567"/>
        <w:rPr>
          <w:rFonts w:cs="Arial"/>
          <w:noProof/>
        </w:rPr>
      </w:pPr>
      <w:r>
        <w:rPr>
          <w:noProof/>
        </w:rPr>
        <w:t>II priedas. Taršos skystomis kenksmingomis medžiagomis, kurios gabenamos nesupakuotos, prevencijos taisyklės;</w:t>
      </w:r>
    </w:p>
    <w:p>
      <w:pPr>
        <w:tabs>
          <w:tab w:val="left" w:pos="720"/>
        </w:tabs>
        <w:spacing w:before="300" w:after="300"/>
        <w:ind w:left="567"/>
        <w:rPr>
          <w:rFonts w:cs="Arial"/>
          <w:noProof/>
        </w:rPr>
      </w:pPr>
      <w:r>
        <w:rPr>
          <w:noProof/>
        </w:rPr>
        <w:t>III priedas. Taršos pavojingomis medžiagomis, kurios gabenamos jūra supakuotos, prevencijos taisyklės;</w:t>
      </w:r>
    </w:p>
    <w:p>
      <w:pPr>
        <w:tabs>
          <w:tab w:val="left" w:pos="720"/>
        </w:tabs>
        <w:spacing w:before="300" w:after="300"/>
        <w:ind w:left="567"/>
        <w:rPr>
          <w:rFonts w:cs="Arial"/>
          <w:noProof/>
        </w:rPr>
      </w:pPr>
      <w:r>
        <w:rPr>
          <w:noProof/>
        </w:rPr>
        <w:t>IV priedas. Taršos nuotekomis iš laivų prevencijos taisyklės;</w:t>
      </w:r>
    </w:p>
    <w:p>
      <w:pPr>
        <w:tabs>
          <w:tab w:val="left" w:pos="720"/>
        </w:tabs>
        <w:spacing w:before="300" w:after="300"/>
        <w:ind w:left="567"/>
        <w:rPr>
          <w:rFonts w:cs="Arial"/>
          <w:noProof/>
        </w:rPr>
      </w:pPr>
      <w:r>
        <w:rPr>
          <w:noProof/>
        </w:rPr>
        <w:t>V priedas. Taršos šiukšlėmis iš laivų prevencijos taisyklės;</w:t>
      </w:r>
    </w:p>
    <w:p>
      <w:pPr>
        <w:tabs>
          <w:tab w:val="left" w:pos="720"/>
        </w:tabs>
        <w:spacing w:before="300" w:after="300"/>
        <w:ind w:left="567"/>
        <w:rPr>
          <w:noProof/>
        </w:rPr>
      </w:pPr>
      <w:r>
        <w:rPr>
          <w:noProof/>
        </w:rPr>
        <w:t>VI priedas. Laivų sukeliamos oro taršos prevencijos taisyklės.</w:t>
      </w:r>
    </w:p>
    <w:p>
      <w:pPr>
        <w:tabs>
          <w:tab w:val="left" w:pos="720"/>
        </w:tabs>
        <w:spacing w:before="300" w:after="300"/>
        <w:ind w:left="567"/>
        <w:rPr>
          <w:rFonts w:cs="Arial"/>
          <w:noProof/>
        </w:rPr>
      </w:pPr>
      <w:r>
        <w:rPr>
          <w:noProof/>
        </w:rPr>
        <w:t>Siekiant užtikrinti vienodą ir nuoseklų MARPOL konvencijos priedų įgyvendinimą ir vykdymą, visų pirma nuostatų dėl Šiaurės jūros, kaip sieros ir azoto oksidų išmetimo kontrolės rajono, įgyvendinimą ir vykdymo užtikrinimą pagal MARPOL konvencijos VI priedą, taip pat atsižvelgiant į tai, kad 2020 m. bus pradėta taikyti pasaulinė sieros kiekio riba laivams, plaukiojantiems už išmetamųjų teršalų kontrolės rajono ribų, turi būti nustatyti bendri ir suderinti veiklos vykdymo metodai.</w:t>
      </w:r>
    </w:p>
    <w:p>
      <w:pPr>
        <w:tabs>
          <w:tab w:val="left" w:pos="720"/>
        </w:tabs>
        <w:ind w:left="540" w:hanging="540"/>
        <w:rPr>
          <w:rFonts w:cs="Arial"/>
          <w:b/>
          <w:i/>
          <w:noProof/>
        </w:rPr>
      </w:pPr>
      <w:r>
        <w:rPr>
          <w:b/>
          <w:i/>
          <w:noProof/>
        </w:rPr>
        <w:t xml:space="preserve">B. </w:t>
      </w:r>
      <w:r>
        <w:rPr>
          <w:b/>
          <w:i/>
          <w:noProof/>
        </w:rPr>
        <w:tab/>
        <w:t>Efektyvaus pasirengimo ekstremaliajai situacijai skatinimas ir nustatymas</w:t>
      </w:r>
    </w:p>
    <w:p>
      <w:pPr>
        <w:keepNext/>
        <w:tabs>
          <w:tab w:val="left" w:pos="720"/>
        </w:tabs>
        <w:ind w:left="540"/>
        <w:rPr>
          <w:rFonts w:cs="Arial"/>
          <w:noProof/>
        </w:rPr>
      </w:pPr>
      <w:r>
        <w:rPr>
          <w:noProof/>
        </w:rPr>
        <w:t>Siekiant užtikrinti, kad Didžiosios Šiaurės jūros valstybės būtų pasirengusios reaguoti į taršos incidentus, nustatyti tarptautiniai ir Europos lygmens įpareigojimai, įskaitant visuotinius protokolus ir regionines bendros atsakomybės zonas. Siekiant nustatyti sąveiką ir išvengti dubliavimosi, reikia bendradarbiauti su kitomis regioninėmis ir tarptautinėmis organizacijomis. Siekiant užtikrinti veiksmingą pasirengimą, reikalingos tinkamos žinios apie ekstremaliųjų situacijų sistemas, šių sistemų planavimas, rengimas ir veikimo bandymai. Planuojant kovos su tarša priemones reikėtų atsižvelgti į geriausias pateiktas rekomendacijas aplinkos apsaugos srityje.</w:t>
      </w:r>
    </w:p>
    <w:p>
      <w:pPr>
        <w:tabs>
          <w:tab w:val="left" w:pos="720"/>
        </w:tabs>
        <w:ind w:left="540" w:hanging="540"/>
        <w:rPr>
          <w:rFonts w:cs="Arial"/>
          <w:b/>
          <w:i/>
          <w:noProof/>
        </w:rPr>
      </w:pPr>
      <w:r>
        <w:rPr>
          <w:b/>
          <w:i/>
          <w:noProof/>
        </w:rPr>
        <w:t xml:space="preserve">C. </w:t>
      </w:r>
      <w:r>
        <w:rPr>
          <w:b/>
          <w:i/>
          <w:noProof/>
        </w:rPr>
        <w:tab/>
        <w:t>Tinkamiausių reagavimo pajėgumų organizavimas</w:t>
      </w:r>
    </w:p>
    <w:p>
      <w:pPr>
        <w:tabs>
          <w:tab w:val="left" w:pos="720"/>
        </w:tabs>
        <w:spacing w:after="240"/>
        <w:ind w:left="547" w:right="-82" w:hanging="547"/>
        <w:rPr>
          <w:rFonts w:cs="Arial"/>
          <w:noProof/>
        </w:rPr>
      </w:pPr>
      <w:r>
        <w:rPr>
          <w:b/>
          <w:i/>
          <w:noProof/>
        </w:rPr>
        <w:tab/>
      </w:r>
      <w:r>
        <w:rPr>
          <w:noProof/>
        </w:rPr>
        <w:t>Nepaisant visų pastangų didinti jūrų saugumą, incidentų rizika visada išlieka. Dėl didėjančio gabenimo jūra bei pavojingų ir kenksmingų krovinių vežimo lygio kyla vis didesnė rizika jūros aplinkai. Kad galėtų tinkamai reaguoti, Susitariančiosios Šalys jau panaudojo daug išteklių. Siekiant toliau didinti efektyvumą, visų pirma finansiniu požiūriu, tolesnis reagavimo pajėgumų stiprinimas turėtų būti grindžiamas rizikos vertinimais, trūkumų analize bei regioniniu ir subregioniniu požiūriu. Siekiant užtikrinti, kad kovos su tarša priemonės būtų įgyvendinamos taikant geriausius prieinamus gamybos būdus ir įrangą, reikalingos suderintos mokslinių tyrimų ir technologinės plėtros programos.</w:t>
      </w:r>
    </w:p>
    <w:p>
      <w:pPr>
        <w:tabs>
          <w:tab w:val="left" w:pos="720"/>
        </w:tabs>
        <w:spacing w:after="240"/>
        <w:rPr>
          <w:rFonts w:cs="Arial"/>
          <w:noProof/>
        </w:rPr>
      </w:pPr>
      <w:r>
        <w:rPr>
          <w:noProof/>
        </w:rPr>
        <w:t>Kad šie strateginiai tikslai būtų įgyvendinti, Bonos susitarime susitarta dėl šių veiklos tikslų:</w:t>
      </w:r>
    </w:p>
    <w:p>
      <w:pPr>
        <w:keepNext/>
        <w:tabs>
          <w:tab w:val="left" w:pos="720"/>
        </w:tabs>
        <w:spacing w:after="240"/>
        <w:rPr>
          <w:rFonts w:cs="Arial"/>
          <w:b/>
          <w:noProof/>
          <w:u w:val="single"/>
        </w:rPr>
      </w:pPr>
      <w:r>
        <w:rPr>
          <w:b/>
          <w:noProof/>
          <w:u w:val="single"/>
        </w:rPr>
        <w:t>Veiklos tikslai</w:t>
      </w:r>
    </w:p>
    <w:p>
      <w:pPr>
        <w:tabs>
          <w:tab w:val="left" w:pos="720"/>
        </w:tabs>
        <w:rPr>
          <w:rFonts w:cs="Arial"/>
          <w:b/>
          <w:i/>
          <w:noProof/>
        </w:rPr>
      </w:pPr>
      <w:r>
        <w:rPr>
          <w:b/>
          <w:i/>
          <w:noProof/>
        </w:rPr>
        <w:t>Veiklos tikslai, susiję su A strateginiu tikslu (prevencija):</w:t>
      </w:r>
    </w:p>
    <w:p>
      <w:pPr>
        <w:tabs>
          <w:tab w:val="left" w:pos="720"/>
        </w:tabs>
        <w:spacing w:after="80"/>
        <w:ind w:left="1454" w:hanging="907"/>
        <w:rPr>
          <w:rFonts w:cs="Arial"/>
          <w:noProof/>
        </w:rPr>
      </w:pPr>
      <w:r>
        <w:rPr>
          <w:noProof/>
        </w:rPr>
        <w:t>A.I.</w:t>
      </w:r>
      <w:r>
        <w:rPr>
          <w:noProof/>
        </w:rPr>
        <w:tab/>
        <w:t>vykdyti tinkamą laivybos ir jūrinės veiklos priežiūrą Didžiojoje Šiaurės jūroje ir užtikrinti efektyvų ataskaitų dėl pastabų, pateiktų Bonos susitarimo atsakomybės zonose, teikimą;</w:t>
      </w:r>
    </w:p>
    <w:p>
      <w:pPr>
        <w:tabs>
          <w:tab w:val="left" w:pos="720"/>
        </w:tabs>
        <w:spacing w:after="80"/>
        <w:ind w:left="1454" w:hanging="907"/>
        <w:rPr>
          <w:rFonts w:cs="Arial"/>
          <w:noProof/>
        </w:rPr>
      </w:pPr>
      <w:r>
        <w:rPr>
          <w:noProof/>
        </w:rPr>
        <w:t>A.II.</w:t>
      </w:r>
      <w:r>
        <w:rPr>
          <w:noProof/>
        </w:rPr>
        <w:tab/>
        <w:t>vadovybei ir orlaivių įgulos nariams teikti naujausią informaciją apie kovos su tarša skrydžių planavimą ir vykdymą Bonos susitarimo zonoje;</w:t>
      </w:r>
    </w:p>
    <w:p>
      <w:pPr>
        <w:tabs>
          <w:tab w:val="left" w:pos="720"/>
        </w:tabs>
        <w:ind w:left="1440" w:hanging="900"/>
        <w:rPr>
          <w:rFonts w:cs="Arial"/>
          <w:noProof/>
        </w:rPr>
      </w:pPr>
      <w:r>
        <w:rPr>
          <w:noProof/>
        </w:rPr>
        <w:t>A.III.</w:t>
      </w:r>
      <w:r>
        <w:rPr>
          <w:noProof/>
        </w:rPr>
        <w:tab/>
        <w:t>užtikrinti bendrus veiklos metodus vykdant atitikties MARPOL konvencijos priedams stebėseną;</w:t>
      </w:r>
    </w:p>
    <w:p>
      <w:pPr>
        <w:tabs>
          <w:tab w:val="left" w:pos="720"/>
        </w:tabs>
        <w:spacing w:after="60"/>
        <w:ind w:left="1454" w:hanging="907"/>
        <w:rPr>
          <w:rFonts w:cs="Arial"/>
          <w:noProof/>
        </w:rPr>
      </w:pPr>
      <w:r>
        <w:rPr>
          <w:noProof/>
        </w:rPr>
        <w:t>A.IV.</w:t>
      </w:r>
      <w:r>
        <w:rPr>
          <w:noProof/>
        </w:rPr>
        <w:tab/>
        <w:t>užtikrinti efektyvų su taršos incidentais susijusių įrodymų rinkimą ir glaudų bendradarbiavimą su tyrėjais ir prokurorais, įgyvendinant su jūrų tarša susijusias taisykles ir standartus Didžiojoje Šiaurės jūroje;</w:t>
      </w:r>
    </w:p>
    <w:p>
      <w:pPr>
        <w:tabs>
          <w:tab w:val="left" w:pos="720"/>
        </w:tabs>
        <w:spacing w:after="240"/>
        <w:ind w:left="1454" w:hanging="907"/>
        <w:rPr>
          <w:rFonts w:cs="Arial"/>
          <w:noProof/>
        </w:rPr>
      </w:pPr>
      <w:r>
        <w:rPr>
          <w:noProof/>
        </w:rPr>
        <w:t>A.V.</w:t>
      </w:r>
      <w:r>
        <w:rPr>
          <w:noProof/>
        </w:rPr>
        <w:tab/>
        <w:t>perduoti ir platinti informaciją apie neteisėtos ir atsitiktinės taršos prevenciją visuomenei ir ekspertams.</w:t>
      </w:r>
    </w:p>
    <w:p>
      <w:pPr>
        <w:tabs>
          <w:tab w:val="left" w:pos="720"/>
        </w:tabs>
        <w:ind w:left="1454" w:hanging="1454"/>
        <w:rPr>
          <w:rFonts w:cs="Arial"/>
          <w:b/>
          <w:i/>
          <w:noProof/>
        </w:rPr>
      </w:pPr>
      <w:r>
        <w:rPr>
          <w:b/>
          <w:i/>
          <w:noProof/>
        </w:rPr>
        <w:t>Tikslai, susiję su B strateginio tikslo įgyvendinimu (pasirengimas):</w:t>
      </w:r>
    </w:p>
    <w:p>
      <w:pPr>
        <w:tabs>
          <w:tab w:val="left" w:pos="720"/>
        </w:tabs>
        <w:spacing w:after="80"/>
        <w:ind w:left="1454" w:hanging="907"/>
        <w:rPr>
          <w:rFonts w:cs="Arial"/>
          <w:noProof/>
        </w:rPr>
      </w:pPr>
      <w:r>
        <w:rPr>
          <w:noProof/>
        </w:rPr>
        <w:t>B.I.</w:t>
      </w:r>
      <w:r>
        <w:rPr>
          <w:noProof/>
        </w:rPr>
        <w:tab/>
        <w:t>pasiekti bendrą supratimą apie tai, kaip derėtų reaguoti į ekstremaliąsias situacijas jūroje, ir užtikrinti informuotumą apie nacionalines nenumatytų atvejų sistemas ir strategijas;</w:t>
      </w:r>
    </w:p>
    <w:p>
      <w:pPr>
        <w:tabs>
          <w:tab w:val="left" w:pos="720"/>
        </w:tabs>
        <w:spacing w:after="80"/>
        <w:ind w:left="1454" w:hanging="907"/>
        <w:rPr>
          <w:rFonts w:cs="Arial"/>
          <w:noProof/>
        </w:rPr>
      </w:pPr>
      <w:r>
        <w:rPr>
          <w:noProof/>
        </w:rPr>
        <w:t>B.II.</w:t>
      </w:r>
      <w:r>
        <w:rPr>
          <w:noProof/>
        </w:rPr>
        <w:tab/>
        <w:t>išsaugoti tinkamą reagavimo srities darbuotojų mokymo ir Susitariančiųjų Šalių kovos su tarša padalinių bendradarbiavimo lygį bei skatinti pasirengimą efektyvioms daugiašalėms kovos su tarša operacijoms;</w:t>
      </w:r>
    </w:p>
    <w:p>
      <w:pPr>
        <w:tabs>
          <w:tab w:val="left" w:pos="720"/>
        </w:tabs>
        <w:spacing w:after="80"/>
        <w:ind w:left="1454" w:hanging="907"/>
        <w:rPr>
          <w:rFonts w:cs="Arial"/>
          <w:noProof/>
        </w:rPr>
      </w:pPr>
      <w:r>
        <w:rPr>
          <w:noProof/>
        </w:rPr>
        <w:t>B.III.</w:t>
      </w:r>
      <w:r>
        <w:rPr>
          <w:noProof/>
        </w:rPr>
        <w:tab/>
        <w:t>užtikrinti, kad Susitariančiųjų Šalių reagavimo veiksmai būtų tinkamai parengti, siekiant apsaugoti jūros aplinką, taip pat užtikrinti, kad prioritetai būtų nustatyti remiantis tinkamiausiu pagrindu;</w:t>
      </w:r>
    </w:p>
    <w:p>
      <w:pPr>
        <w:tabs>
          <w:tab w:val="left" w:pos="720"/>
        </w:tabs>
        <w:spacing w:after="240"/>
        <w:ind w:left="1454" w:hanging="907"/>
        <w:rPr>
          <w:rFonts w:cs="Arial"/>
          <w:noProof/>
        </w:rPr>
      </w:pPr>
      <w:r>
        <w:rPr>
          <w:noProof/>
        </w:rPr>
        <w:t>B.IV.</w:t>
      </w:r>
      <w:r>
        <w:rPr>
          <w:noProof/>
        </w:rPr>
        <w:tab/>
        <w:t>bendradarbiauti su kitomis tarptautinėmis ir Europos organizacijomis, taip pat su kaimyniniais jūrų regionais, siekiant nustatyti sąveiką ir išvengti dubliavimosi.</w:t>
      </w:r>
    </w:p>
    <w:p>
      <w:pPr>
        <w:keepNext/>
        <w:tabs>
          <w:tab w:val="left" w:pos="720"/>
        </w:tabs>
        <w:rPr>
          <w:rFonts w:cs="Arial"/>
          <w:b/>
          <w:i/>
          <w:noProof/>
          <w:color w:val="000000"/>
          <w:spacing w:val="-2"/>
        </w:rPr>
      </w:pPr>
      <w:r>
        <w:rPr>
          <w:b/>
          <w:i/>
          <w:noProof/>
        </w:rPr>
        <w:t>Tikslai, susiję su C strateginio tikslo įgyvendinimu (reagavimas):</w:t>
      </w:r>
    </w:p>
    <w:p>
      <w:pPr>
        <w:tabs>
          <w:tab w:val="left" w:pos="720"/>
        </w:tabs>
        <w:ind w:left="1454" w:hanging="907"/>
        <w:rPr>
          <w:rFonts w:cs="Arial"/>
          <w:noProof/>
        </w:rPr>
      </w:pPr>
      <w:r>
        <w:rPr>
          <w:noProof/>
        </w:rPr>
        <w:t>C.I.</w:t>
      </w:r>
      <w:r>
        <w:rPr>
          <w:noProof/>
        </w:rPr>
        <w:tab/>
        <w:t>užtikrinti, kad Susitariančiosios Šalys aiškiai suprastų kitų subjektų reagavimo į incidentus būdus, kad būtų skatinama geriausios patirties plėtra;</w:t>
      </w:r>
    </w:p>
    <w:p>
      <w:pPr>
        <w:tabs>
          <w:tab w:val="left" w:pos="720"/>
        </w:tabs>
        <w:ind w:left="1454" w:hanging="907"/>
        <w:rPr>
          <w:rFonts w:cs="Arial"/>
          <w:noProof/>
          <w:color w:val="000000"/>
          <w:spacing w:val="-2"/>
        </w:rPr>
      </w:pPr>
      <w:r>
        <w:rPr>
          <w:noProof/>
        </w:rPr>
        <w:t>C.II.</w:t>
      </w:r>
      <w:r>
        <w:rPr>
          <w:noProof/>
        </w:rPr>
        <w:tab/>
        <w:t>laikytis ir nuolat atnaujinti bendrus operatyvinius reagavimo į taršos incidentus metodus ir skatinti tinkamų reagavimo strategijų plėtrą ir bendrą supratimą apie jas;</w:t>
      </w:r>
    </w:p>
    <w:p>
      <w:pPr>
        <w:tabs>
          <w:tab w:val="left" w:pos="720"/>
        </w:tabs>
        <w:ind w:left="1454" w:hanging="907"/>
        <w:rPr>
          <w:rFonts w:cs="Arial"/>
          <w:noProof/>
          <w:color w:val="000000"/>
          <w:spacing w:val="-2"/>
        </w:rPr>
      </w:pPr>
      <w:r>
        <w:rPr>
          <w:noProof/>
        </w:rPr>
        <w:t>C.III.</w:t>
      </w:r>
      <w:r>
        <w:rPr>
          <w:noProof/>
        </w:rPr>
        <w:tab/>
        <w:t>skatinti suderintas mokslinių tyrimų ir technologinės plėtros programas, susijusias su reagavimo technologijomis, įranga ir kitomis veiklos priemonėmis;</w:t>
      </w:r>
    </w:p>
    <w:p>
      <w:pPr>
        <w:tabs>
          <w:tab w:val="left" w:pos="720"/>
        </w:tabs>
        <w:spacing w:after="240"/>
        <w:ind w:left="1440" w:hanging="893"/>
        <w:rPr>
          <w:rFonts w:cs="Arial"/>
          <w:noProof/>
        </w:rPr>
      </w:pPr>
      <w:r>
        <w:rPr>
          <w:noProof/>
        </w:rPr>
        <w:t>C.IV.</w:t>
      </w:r>
      <w:r>
        <w:rPr>
          <w:noProof/>
        </w:rPr>
        <w:tab/>
        <w:t>užtikrinti, kad visame Šiaurės rytų Atlanto regione būtų išsaugota tinkama reagavimo veiklai skirtų išteklių pusiausvyra, atsižvelgiant į subregioninius rizikos vertinimus.</w:t>
      </w:r>
    </w:p>
    <w:p>
      <w:pPr>
        <w:keepNext/>
        <w:tabs>
          <w:tab w:val="left" w:pos="720"/>
        </w:tabs>
        <w:spacing w:after="240"/>
        <w:rPr>
          <w:rFonts w:cs="Arial"/>
          <w:b/>
          <w:noProof/>
          <w:u w:val="single"/>
        </w:rPr>
      </w:pPr>
      <w:r>
        <w:rPr>
          <w:b/>
          <w:noProof/>
          <w:u w:val="single"/>
        </w:rPr>
        <w:t>Veiksmai</w:t>
      </w:r>
    </w:p>
    <w:p>
      <w:pPr>
        <w:tabs>
          <w:tab w:val="left" w:pos="720"/>
        </w:tabs>
        <w:rPr>
          <w:rFonts w:cs="Arial"/>
          <w:noProof/>
        </w:rPr>
      </w:pPr>
      <w:r>
        <w:rPr>
          <w:noProof/>
        </w:rPr>
        <w:t>Siekiant įgyvendinti viziją, strateginius tikslus ir veiklos tikslus, Bonos susitarimo strateginiame veiksmų plane (BASAP) nustatyti konkretūs išmatuojami veiksmai ir realūs tikslai 2019–2025 m. laikotarpiui, kad būtų nukreiptas ir sutelktas Susitariančiųjų Šalių darbas. BASAP pripažįstama, kad reikia išsaugoti nusistovėjusias sistemas ir toliau bendradarbiauti, kad būtų užtikrintas su veikla susijęs Susitarimo pobūdis. Kartu įvardijamos galimybės stiprinti šias pastangas ir kurti naujas kryptis.</w:t>
      </w:r>
    </w:p>
    <w:p>
      <w:pPr>
        <w:tabs>
          <w:tab w:val="left" w:pos="720"/>
        </w:tabs>
        <w:spacing w:after="240"/>
        <w:rPr>
          <w:rFonts w:cs="Arial"/>
          <w:noProof/>
        </w:rPr>
      </w:pPr>
      <w:r>
        <w:rPr>
          <w:noProof/>
        </w:rPr>
        <w:t>Bonos susitarime susitarta dėl šių veiksmų:</w:t>
      </w:r>
    </w:p>
    <w:p>
      <w:pPr>
        <w:tabs>
          <w:tab w:val="left" w:pos="720"/>
        </w:tabs>
        <w:rPr>
          <w:rFonts w:cs="Arial"/>
          <w:noProof/>
          <w:u w:val="single"/>
        </w:rPr>
      </w:pPr>
      <w:r>
        <w:rPr>
          <w:noProof/>
          <w:u w:val="single"/>
        </w:rPr>
        <w:t>Veiksmai, susiję su A strateginiu tikslu (prevencija):</w:t>
      </w:r>
    </w:p>
    <w:p>
      <w:pPr>
        <w:tabs>
          <w:tab w:val="left" w:pos="720"/>
        </w:tabs>
        <w:ind w:left="1454" w:hanging="907"/>
        <w:rPr>
          <w:rFonts w:cs="Arial"/>
          <w:noProof/>
          <w:highlight w:val="yellow"/>
        </w:rPr>
      </w:pPr>
      <w:r>
        <w:rPr>
          <w:noProof/>
        </w:rPr>
        <w:t>A.1.</w:t>
      </w:r>
      <w:r>
        <w:rPr>
          <w:noProof/>
        </w:rPr>
        <w:tab/>
        <w:t>vykdyti stebėjimo iš oro ir palydovinio sekimo operacijas, įskaitant nacionalinius skrydžius, regioninius skrydžius, „Tour d’Horizon“ ir CEPCO / „SuperCEPCO“ skrydžius, siekiant nustatyti, ištirti, surinkti įrodymus ir stebėti naftos ir kitų kenksmingų medžiagų išsiliejimą;</w:t>
      </w:r>
    </w:p>
    <w:p>
      <w:pPr>
        <w:tabs>
          <w:tab w:val="left" w:pos="720"/>
        </w:tabs>
        <w:ind w:left="1454" w:hanging="907"/>
        <w:rPr>
          <w:rFonts w:cs="Arial"/>
          <w:noProof/>
        </w:rPr>
      </w:pPr>
      <w:r>
        <w:rPr>
          <w:noProof/>
        </w:rPr>
        <w:t>A.2.</w:t>
      </w:r>
      <w:r>
        <w:rPr>
          <w:noProof/>
        </w:rPr>
        <w:tab/>
        <w:t>toliau taikyti efektyvią standartinę ataskaitų teikimo sistemą ir naudotis šia sistema pagal Direktyvą 2005/35/EB dėl taršos iš laivų pranešant apie aptiktą taršą Bonos susitarimo Susitariančiosioms Šalims ir Komisijai , taip pat IMO;</w:t>
      </w:r>
    </w:p>
    <w:p>
      <w:pPr>
        <w:ind w:left="1440" w:hanging="900"/>
        <w:rPr>
          <w:rFonts w:cs="Arial"/>
          <w:noProof/>
        </w:rPr>
      </w:pPr>
      <w:r>
        <w:rPr>
          <w:noProof/>
        </w:rPr>
        <w:t>A.3.</w:t>
      </w:r>
      <w:r>
        <w:rPr>
          <w:noProof/>
        </w:rPr>
        <w:tab/>
        <w:t>bendradarbiaujant su Europos jūrų saugumo agentūra, kuo geriau išnaudoti palydovinius vaizdus ir reaguoti į naujausius pokyčius, susijusius su aukštai esančiais fiktyviais palydovais (angl. HAPS) ir nuotoliniu būdu pilotuojamų orlaivių sistemomis (RPAS), kuriomis gali naudotis Didžiosios Šiaurės jūros valstybės, taip pat įdiegti suderintą sistemą visoje Didžiojoje Šiaurės jūroje, kad būtų galima geriau nustatyti taršos incidentus;</w:t>
      </w:r>
    </w:p>
    <w:p>
      <w:pPr>
        <w:tabs>
          <w:tab w:val="left" w:pos="720"/>
        </w:tabs>
        <w:spacing w:line="260" w:lineRule="exact"/>
        <w:ind w:left="1440" w:hanging="900"/>
        <w:rPr>
          <w:rFonts w:cs="Arial"/>
          <w:noProof/>
        </w:rPr>
      </w:pPr>
      <w:r>
        <w:rPr>
          <w:noProof/>
        </w:rPr>
        <w:t>A.4.</w:t>
      </w:r>
      <w:r>
        <w:rPr>
          <w:noProof/>
        </w:rPr>
        <w:tab/>
        <w:t xml:space="preserve">stiprinti bendradarbiavimą nustatant pažeidimus, susijusius su MARPOL konvencijos V priedu ir vykdymo užtikrinimu; </w:t>
      </w:r>
    </w:p>
    <w:p>
      <w:pPr>
        <w:tabs>
          <w:tab w:val="left" w:pos="720"/>
        </w:tabs>
        <w:spacing w:line="260" w:lineRule="exact"/>
        <w:ind w:left="1454" w:hanging="907"/>
        <w:rPr>
          <w:rFonts w:cs="Arial"/>
          <w:noProof/>
        </w:rPr>
      </w:pPr>
      <w:r>
        <w:rPr>
          <w:noProof/>
        </w:rPr>
        <w:t>A.5.</w:t>
      </w:r>
      <w:r>
        <w:rPr>
          <w:noProof/>
        </w:rPr>
        <w:tab/>
        <w:t>stiprinti bendradarbiavimą nustatant pažeidimus, susijusius su MARPOL konvencijos VI priedu ir vykdymo užtikrinimu, be kita ko, taikant esamą uosto valstybės kontrolės ir vykdymo užtikrinimo tvarką, taip pat diegiant pažangias atitikties stebėsenos tikslines priemones ir dalijantis vykdymo užtikrinimo veiksmų rezultatais bendrose informacinėse sistemose (pvz., THETIS-EU);</w:t>
      </w:r>
    </w:p>
    <w:p>
      <w:pPr>
        <w:ind w:left="1440" w:hanging="893"/>
        <w:rPr>
          <w:rFonts w:cs="Arial"/>
          <w:noProof/>
        </w:rPr>
      </w:pPr>
      <w:r>
        <w:rPr>
          <w:noProof/>
        </w:rPr>
        <w:t>A.6.</w:t>
      </w:r>
      <w:r>
        <w:rPr>
          <w:noProof/>
        </w:rPr>
        <w:tab/>
        <w:t>toliau taikyti ir nuolat atnaujinti Oro operacijų vykdymo vadovą ir „BAOAC Atlas“;</w:t>
      </w:r>
    </w:p>
    <w:p>
      <w:pPr>
        <w:tabs>
          <w:tab w:val="left" w:pos="720"/>
        </w:tabs>
        <w:ind w:left="1454" w:hanging="907"/>
        <w:rPr>
          <w:rFonts w:cs="Arial"/>
          <w:noProof/>
        </w:rPr>
      </w:pPr>
      <w:r>
        <w:rPr>
          <w:noProof/>
        </w:rPr>
        <w:t>A.7.</w:t>
      </w:r>
      <w:r>
        <w:rPr>
          <w:noProof/>
        </w:rPr>
        <w:tab/>
        <w:t>bendradarbiaujant su Šiaurės jūros tyrėjų ir prokurorų tinklu (angl. NSN), toliau taikyti ir nuolat atnaujinti Šiaurės jūros vadovą dėl pažeidimų jūros taršos nafta srityje;</w:t>
      </w:r>
    </w:p>
    <w:p>
      <w:pPr>
        <w:tabs>
          <w:tab w:val="left" w:pos="720"/>
        </w:tabs>
        <w:ind w:left="1454" w:hanging="907"/>
        <w:rPr>
          <w:rFonts w:cs="Arial"/>
          <w:noProof/>
        </w:rPr>
      </w:pPr>
      <w:r>
        <w:rPr>
          <w:noProof/>
        </w:rPr>
        <w:t>A.8.</w:t>
      </w:r>
      <w:r>
        <w:rPr>
          <w:noProof/>
        </w:rPr>
        <w:tab/>
        <w:t>užtikrinti bendradarbiavimą per OSINET naftos išsiliejimo nustatymo srityje, įskaitant laboratorijose atliekamą kalibravimą ir tolesnį bendrų naftos išsiliejimo nustatymo metodų vystymą;</w:t>
      </w:r>
    </w:p>
    <w:p>
      <w:pPr>
        <w:tabs>
          <w:tab w:val="left" w:pos="720"/>
        </w:tabs>
        <w:spacing w:after="40" w:line="260" w:lineRule="exact"/>
        <w:ind w:left="1440" w:hanging="900"/>
        <w:rPr>
          <w:rFonts w:cs="Arial"/>
          <w:noProof/>
        </w:rPr>
      </w:pPr>
      <w:r>
        <w:rPr>
          <w:noProof/>
        </w:rPr>
        <w:t>A.9.</w:t>
      </w:r>
      <w:r>
        <w:rPr>
          <w:noProof/>
        </w:rPr>
        <w:tab/>
        <w:t xml:space="preserve">stiprinti bendradarbiavimą su tyrėjais ir prokurorais: </w:t>
      </w:r>
    </w:p>
    <w:p>
      <w:pPr>
        <w:tabs>
          <w:tab w:val="left" w:pos="720"/>
        </w:tabs>
        <w:spacing w:after="40" w:line="260" w:lineRule="exact"/>
        <w:ind w:left="2160" w:hanging="720"/>
        <w:rPr>
          <w:rFonts w:cs="Arial"/>
          <w:noProof/>
        </w:rPr>
      </w:pPr>
      <w:r>
        <w:rPr>
          <w:noProof/>
        </w:rPr>
        <w:t>a.</w:t>
      </w:r>
      <w:r>
        <w:rPr>
          <w:noProof/>
        </w:rPr>
        <w:tab/>
        <w:t>iki 2022 m. – bendradarbiaujant su NSN, nustatyti galimybes paskelbti apkaltinamuosius nuosprendžius už pažeidimus jūros taršos srityje;</w:t>
      </w:r>
    </w:p>
    <w:p>
      <w:pPr>
        <w:tabs>
          <w:tab w:val="left" w:pos="720"/>
        </w:tabs>
        <w:spacing w:after="40" w:line="260" w:lineRule="exact"/>
        <w:ind w:left="2160" w:hanging="720"/>
        <w:rPr>
          <w:rFonts w:cs="Arial"/>
          <w:noProof/>
        </w:rPr>
      </w:pPr>
      <w:r>
        <w:rPr>
          <w:noProof/>
        </w:rPr>
        <w:t>b.</w:t>
      </w:r>
      <w:r>
        <w:rPr>
          <w:noProof/>
        </w:rPr>
        <w:tab/>
        <w:t>iki 2025 m. – bendradarbiaujant su NSN, nustatyti procedūras, pagal kurias atitinkamų laivybos ir laivus eksploatuojančių bendrovių veiklos rezultatai aplinkos srityje gali būti skelbiami viešai;</w:t>
      </w:r>
    </w:p>
    <w:p>
      <w:pPr>
        <w:tabs>
          <w:tab w:val="left" w:pos="720"/>
        </w:tabs>
        <w:spacing w:after="360"/>
        <w:ind w:left="1454" w:hanging="907"/>
        <w:rPr>
          <w:rFonts w:cs="Arial"/>
          <w:noProof/>
        </w:rPr>
      </w:pPr>
      <w:r>
        <w:rPr>
          <w:noProof/>
        </w:rPr>
        <w:t>A.10.</w:t>
      </w:r>
      <w:r>
        <w:rPr>
          <w:noProof/>
        </w:rPr>
        <w:tab/>
        <w:t>imtis bendrų veiksmų su IMO, siekiant nustatyti, kaip Bonos susitarimu galima toliau padėti laikytis MARPOL konvencijos VI priedo nuostatų, atsižvelgiant į naujausius IMO pokyčius, susijusius su 2020 m. pasaulinės sieros kiekio ribos nustatymu (pvz., griežtesnė uosto valstybės kontrolės tvarka, taip pat draudimas gabenti kurą deginimo tikslais, jeigu jame yra daugiau kaip 0,50 proc. sieros);</w:t>
      </w:r>
    </w:p>
    <w:p>
      <w:pPr>
        <w:tabs>
          <w:tab w:val="left" w:pos="720"/>
        </w:tabs>
        <w:spacing w:after="360"/>
        <w:ind w:left="1454" w:hanging="907"/>
        <w:rPr>
          <w:rFonts w:cs="Arial"/>
          <w:noProof/>
        </w:rPr>
      </w:pPr>
      <w:r>
        <w:rPr>
          <w:noProof/>
        </w:rPr>
        <w:t>A.11.</w:t>
      </w:r>
      <w:r>
        <w:rPr>
          <w:noProof/>
        </w:rPr>
        <w:tab/>
        <w:t>teikti paramą per IMO-MEPC, siekiant peržiūrėti MARPOL konvencijos II priedą dėl didelio klampumo ir kietinamųjų medžiagų išmetimo sąlygų;</w:t>
      </w:r>
    </w:p>
    <w:p>
      <w:pPr>
        <w:tabs>
          <w:tab w:val="left" w:pos="720"/>
        </w:tabs>
        <w:ind w:left="1454" w:hanging="907"/>
        <w:rPr>
          <w:rFonts w:cs="Arial"/>
          <w:noProof/>
        </w:rPr>
      </w:pPr>
      <w:r>
        <w:rPr>
          <w:noProof/>
        </w:rPr>
        <w:t>A.12.</w:t>
      </w:r>
      <w:r>
        <w:rPr>
          <w:noProof/>
        </w:rPr>
        <w:tab/>
        <w:t>palaikyti bei nuolat atnaujinti Bonos susitarimo interneto svetainę ir platinti elektroninius leidinius (t. y. žinynus, vadovus ir ataskaitas);</w:t>
      </w:r>
    </w:p>
    <w:p>
      <w:pPr>
        <w:tabs>
          <w:tab w:val="left" w:pos="720"/>
        </w:tabs>
        <w:ind w:left="1454" w:hanging="907"/>
        <w:rPr>
          <w:rFonts w:cs="Arial"/>
          <w:noProof/>
        </w:rPr>
      </w:pPr>
      <w:r>
        <w:rPr>
          <w:noProof/>
        </w:rPr>
        <w:t>A.13.</w:t>
      </w:r>
      <w:r>
        <w:rPr>
          <w:noProof/>
        </w:rPr>
        <w:tab/>
        <w:t>remti ir (arba) skatinti teikti rekomendacijas dėl BE-AWARE projektuose nurodytų prevencinių priemonių.</w:t>
      </w:r>
    </w:p>
    <w:p>
      <w:pPr>
        <w:tabs>
          <w:tab w:val="left" w:pos="720"/>
        </w:tabs>
        <w:ind w:left="1454" w:hanging="907"/>
        <w:rPr>
          <w:rFonts w:cs="Arial"/>
          <w:noProof/>
        </w:rPr>
      </w:pPr>
    </w:p>
    <w:p>
      <w:pPr>
        <w:tabs>
          <w:tab w:val="left" w:pos="720"/>
        </w:tabs>
        <w:spacing w:after="240"/>
        <w:rPr>
          <w:rFonts w:cs="Arial"/>
          <w:noProof/>
          <w:u w:val="single"/>
        </w:rPr>
      </w:pPr>
      <w:r>
        <w:rPr>
          <w:noProof/>
          <w:u w:val="single"/>
        </w:rPr>
        <w:t>Veiksmai, susiję su B strateginiu tikslu (pasirengimas):</w:t>
      </w:r>
    </w:p>
    <w:p>
      <w:pPr>
        <w:tabs>
          <w:tab w:val="left" w:pos="720"/>
        </w:tabs>
        <w:ind w:left="1454" w:hanging="907"/>
        <w:rPr>
          <w:rFonts w:cs="Arial"/>
          <w:noProof/>
        </w:rPr>
      </w:pPr>
      <w:r>
        <w:rPr>
          <w:noProof/>
        </w:rPr>
        <w:t>B.1.</w:t>
      </w:r>
      <w:r>
        <w:rPr>
          <w:noProof/>
        </w:rPr>
        <w:tab/>
        <w:t>išsaugoti ir atnaujinti Bonos susitarimo kovos su tarša vadovo skyrius, kad jie atitiktų poreikius;</w:t>
      </w:r>
    </w:p>
    <w:p>
      <w:pPr>
        <w:tabs>
          <w:tab w:val="left" w:pos="720"/>
        </w:tabs>
        <w:ind w:left="1440" w:hanging="907"/>
        <w:rPr>
          <w:rFonts w:cs="Arial"/>
          <w:noProof/>
        </w:rPr>
      </w:pPr>
      <w:r>
        <w:rPr>
          <w:noProof/>
        </w:rPr>
        <w:t>B.2.</w:t>
      </w:r>
      <w:r>
        <w:rPr>
          <w:noProof/>
        </w:rPr>
        <w:tab/>
        <w:t>skatinti keistis informacija apie galinčias teršti nuolaužas ir nacionalinių duomenų bazių kūrimą;</w:t>
      </w:r>
    </w:p>
    <w:p>
      <w:pPr>
        <w:tabs>
          <w:tab w:val="left" w:pos="720"/>
        </w:tabs>
        <w:ind w:left="1454" w:hanging="907"/>
        <w:rPr>
          <w:rFonts w:cs="Arial"/>
          <w:noProof/>
        </w:rPr>
      </w:pPr>
      <w:r>
        <w:rPr>
          <w:noProof/>
        </w:rPr>
        <w:t>B.3.</w:t>
      </w:r>
      <w:r>
        <w:rPr>
          <w:noProof/>
        </w:rPr>
        <w:tab/>
        <w:t>planuoti ir įgyvendinti regioninės ir subregioninės veiklos užduotis ir mokymą;</w:t>
      </w:r>
    </w:p>
    <w:p>
      <w:pPr>
        <w:tabs>
          <w:tab w:val="left" w:pos="720"/>
        </w:tabs>
        <w:ind w:left="1454" w:hanging="907"/>
        <w:rPr>
          <w:rFonts w:cs="Arial"/>
          <w:noProof/>
        </w:rPr>
      </w:pPr>
      <w:r>
        <w:rPr>
          <w:noProof/>
        </w:rPr>
        <w:t>B.4.</w:t>
      </w:r>
      <w:r>
        <w:rPr>
          <w:noProof/>
        </w:rPr>
        <w:tab/>
        <w:t>skatinti nacionalinių konsultacijų aplinkos apsaugos klausimais sistemų plėtrą ir susijusius informacijos mainus;</w:t>
      </w:r>
    </w:p>
    <w:p>
      <w:pPr>
        <w:tabs>
          <w:tab w:val="left" w:pos="720"/>
        </w:tabs>
        <w:spacing w:line="280" w:lineRule="exact"/>
        <w:ind w:left="1451" w:hanging="907"/>
        <w:rPr>
          <w:rFonts w:cs="Arial"/>
          <w:noProof/>
          <w:color w:val="000000"/>
          <w:spacing w:val="-2"/>
        </w:rPr>
      </w:pPr>
      <w:r>
        <w:rPr>
          <w:noProof/>
        </w:rPr>
        <w:t>B.5.</w:t>
      </w:r>
      <w:r>
        <w:rPr>
          <w:noProof/>
        </w:rPr>
        <w:tab/>
        <w:t>toliau keistis informacija su kitomis regioninėmis ir tarptautinėmis organizacijomis, visų pirma Sąjungos civilinės saugos mechanizmu (angl. UCPM), EMSA, EPPR (Arkties taryba), HELCOM, IMO, OSPAR komisija, Lisabonos sutarties šalimis ir REMPEC, dalyvaujant sekretoriatų posėdžiuose, ir, kai naudinga, stiprinti bendradarbiavimą su šiomis organizacijomis, pvz., atsižvelgiant į Reagavimo į pavojingas ir kenksmingas medžiagas (PKM) vadovo bendrą rengimą;</w:t>
      </w:r>
    </w:p>
    <w:p>
      <w:pPr>
        <w:tabs>
          <w:tab w:val="left" w:pos="720"/>
        </w:tabs>
        <w:spacing w:line="280" w:lineRule="exact"/>
        <w:ind w:left="1434" w:hanging="890"/>
        <w:rPr>
          <w:rFonts w:cs="Arial"/>
          <w:noProof/>
        </w:rPr>
      </w:pPr>
      <w:r>
        <w:rPr>
          <w:noProof/>
        </w:rPr>
        <w:t>B.6.</w:t>
      </w:r>
      <w:r>
        <w:rPr>
          <w:noProof/>
        </w:rPr>
        <w:tab/>
        <w:t>stiprinti bendradarbiavimą su OSPAR komisija ir kitomis tarptautinėmis organizacijomis, susijusiomis su jūros aplinkos apsauga nuo taršos ir jūroje veikiančių įrenginių;</w:t>
      </w:r>
    </w:p>
    <w:p>
      <w:pPr>
        <w:tabs>
          <w:tab w:val="left" w:pos="720"/>
        </w:tabs>
        <w:spacing w:line="280" w:lineRule="exact"/>
        <w:ind w:left="1434" w:hanging="890"/>
        <w:rPr>
          <w:rFonts w:cs="Arial"/>
          <w:noProof/>
        </w:rPr>
      </w:pPr>
      <w:r>
        <w:rPr>
          <w:noProof/>
        </w:rPr>
        <w:t>B.7.</w:t>
      </w:r>
      <w:r>
        <w:rPr>
          <w:noProof/>
        </w:rPr>
        <w:tab/>
        <w:t>bendradarbiaujant su kitomis tarptautinėmis organizacijomis, pvz., HELCOM, EMSA ir CTG, vystyti PKM strategiją, siekiant įgyvendinti su PKM susijusius Konvencijos dėl pasirengimo, veiksmų ir bendradarbiavimo įvykus taršos nafta incidentams (angl. OPRC) principus;</w:t>
      </w:r>
    </w:p>
    <w:p>
      <w:pPr>
        <w:tabs>
          <w:tab w:val="left" w:pos="720"/>
        </w:tabs>
        <w:spacing w:line="280" w:lineRule="exact"/>
        <w:ind w:left="1454" w:hanging="907"/>
        <w:rPr>
          <w:rFonts w:cs="Arial"/>
          <w:noProof/>
        </w:rPr>
      </w:pPr>
      <w:r>
        <w:rPr>
          <w:noProof/>
        </w:rPr>
        <w:t>B.8.</w:t>
      </w:r>
      <w:r>
        <w:rPr>
          <w:noProof/>
        </w:rPr>
        <w:tab/>
        <w:t>imtis bendrų veiksmų su IMO, siekiant nustatyti, kaip Bonos susitarimu galima toliau padėti stiprinti tarptautinių OPRC ir PKM protokolų įgyvendinimą;</w:t>
      </w:r>
    </w:p>
    <w:p>
      <w:pPr>
        <w:tabs>
          <w:tab w:val="left" w:pos="720"/>
        </w:tabs>
        <w:spacing w:line="280" w:lineRule="exact"/>
        <w:ind w:left="1454" w:hanging="907"/>
        <w:rPr>
          <w:rFonts w:cs="Arial"/>
          <w:noProof/>
        </w:rPr>
      </w:pPr>
      <w:r>
        <w:rPr>
          <w:noProof/>
        </w:rPr>
        <w:t>B.9.</w:t>
      </w:r>
      <w:r>
        <w:rPr>
          <w:noProof/>
        </w:rPr>
        <w:tab/>
        <w:t>toliau tobulinti reagavimo pajėgumus, grindžiamus rizikos aplinkai analize, siekiant prisitaikyti prie kintančio pavojaus jūroje.</w:t>
      </w:r>
    </w:p>
    <w:p>
      <w:pPr>
        <w:tabs>
          <w:tab w:val="left" w:pos="720"/>
        </w:tabs>
        <w:spacing w:after="360"/>
        <w:ind w:left="1454" w:hanging="907"/>
        <w:rPr>
          <w:rFonts w:cs="Arial"/>
          <w:noProof/>
        </w:rPr>
      </w:pPr>
    </w:p>
    <w:p>
      <w:pPr>
        <w:keepNext/>
        <w:tabs>
          <w:tab w:val="left" w:pos="720"/>
        </w:tabs>
        <w:spacing w:after="240"/>
        <w:rPr>
          <w:rFonts w:cs="Arial"/>
          <w:noProof/>
          <w:u w:val="single"/>
        </w:rPr>
      </w:pPr>
      <w:r>
        <w:rPr>
          <w:noProof/>
          <w:u w:val="single"/>
        </w:rPr>
        <w:t>Veiksmai, susiję su C strateginiu tikslu (reagavimas):</w:t>
      </w:r>
    </w:p>
    <w:p>
      <w:pPr>
        <w:tabs>
          <w:tab w:val="left" w:pos="720"/>
        </w:tabs>
        <w:spacing w:line="280" w:lineRule="exact"/>
        <w:ind w:left="1440" w:hanging="901"/>
        <w:rPr>
          <w:rFonts w:cs="Arial"/>
          <w:noProof/>
          <w:color w:val="000000"/>
          <w:spacing w:val="-2"/>
        </w:rPr>
      </w:pPr>
      <w:r>
        <w:rPr>
          <w:noProof/>
        </w:rPr>
        <w:t>C.1.</w:t>
      </w:r>
      <w:r>
        <w:rPr>
          <w:noProof/>
        </w:rPr>
        <w:tab/>
        <w:t>toliau taikyti pranešimų apie taršos incidentus sistemą ir nustatyti įgytą patirtį;</w:t>
      </w:r>
    </w:p>
    <w:p>
      <w:pPr>
        <w:tabs>
          <w:tab w:val="left" w:pos="720"/>
        </w:tabs>
        <w:spacing w:line="280" w:lineRule="exact"/>
        <w:ind w:left="1439" w:hanging="900"/>
        <w:rPr>
          <w:rFonts w:cs="Arial"/>
          <w:noProof/>
          <w:color w:val="000000"/>
          <w:spacing w:val="-2"/>
        </w:rPr>
      </w:pPr>
      <w:r>
        <w:rPr>
          <w:noProof/>
        </w:rPr>
        <w:t>C.2.</w:t>
      </w:r>
      <w:r>
        <w:rPr>
          <w:noProof/>
        </w:rPr>
        <w:tab/>
        <w:t>toliau taikyti ir nuolat atnaujinti bendrus reagavimo į incidentus jūroje planus (planą DENGERNETH, MANCHEPLAN, Keturšalės zonos planą, planą „NorBrit“ (Biskajos įlankos planą);</w:t>
      </w:r>
    </w:p>
    <w:p>
      <w:pPr>
        <w:tabs>
          <w:tab w:val="left" w:pos="720"/>
        </w:tabs>
        <w:spacing w:line="280" w:lineRule="exact"/>
        <w:ind w:left="1439" w:hanging="900"/>
        <w:rPr>
          <w:rFonts w:cs="Arial"/>
          <w:noProof/>
          <w:color w:val="000000"/>
          <w:spacing w:val="-2"/>
        </w:rPr>
      </w:pPr>
      <w:r>
        <w:rPr>
          <w:noProof/>
        </w:rPr>
        <w:t>C.3.</w:t>
      </w:r>
      <w:r>
        <w:rPr>
          <w:noProof/>
        </w:rPr>
        <w:tab/>
        <w:t xml:space="preserve">stiprinti bendrų metodų, susijusių su reagavimu į laukinės gamtos taršą, kūrimą, be kita ko, nustatyti geriausią patirtį ir informuoti visuomenę apie veiklą, susijusią su reagavimu į laukinės gamtos taršą; </w:t>
      </w:r>
    </w:p>
    <w:p>
      <w:pPr>
        <w:tabs>
          <w:tab w:val="left" w:pos="720"/>
        </w:tabs>
        <w:spacing w:line="280" w:lineRule="exact"/>
        <w:ind w:left="1439" w:hanging="900"/>
        <w:rPr>
          <w:rFonts w:cs="Arial"/>
          <w:noProof/>
          <w:color w:val="000000"/>
          <w:spacing w:val="-2"/>
        </w:rPr>
      </w:pPr>
      <w:r>
        <w:rPr>
          <w:noProof/>
        </w:rPr>
        <w:t>C.4.</w:t>
      </w:r>
      <w:r>
        <w:rPr>
          <w:noProof/>
        </w:rPr>
        <w:tab/>
        <w:t>dalytis nustatyta ir įgyta patirtimi, susijusia su reagavimu į taršą jūros vėjo elektrinių parkuose;</w:t>
      </w:r>
    </w:p>
    <w:p>
      <w:pPr>
        <w:tabs>
          <w:tab w:val="left" w:pos="720"/>
        </w:tabs>
        <w:spacing w:line="280" w:lineRule="exact"/>
        <w:ind w:left="1439" w:hanging="900"/>
        <w:rPr>
          <w:rFonts w:cs="Arial"/>
          <w:noProof/>
          <w:color w:val="000000"/>
          <w:spacing w:val="-2"/>
        </w:rPr>
      </w:pPr>
      <w:r>
        <w:rPr>
          <w:noProof/>
        </w:rPr>
        <w:t>C.5.</w:t>
      </w:r>
      <w:r>
        <w:rPr>
          <w:noProof/>
        </w:rPr>
        <w:tab/>
        <w:t>kurti sąsajas ir užtikrinti suderinamumą su reagavimu pakrantėje;</w:t>
      </w:r>
    </w:p>
    <w:p>
      <w:pPr>
        <w:tabs>
          <w:tab w:val="left" w:pos="720"/>
        </w:tabs>
        <w:spacing w:line="280" w:lineRule="exact"/>
        <w:ind w:left="1439" w:hanging="900"/>
        <w:rPr>
          <w:rFonts w:cs="Arial"/>
          <w:noProof/>
          <w:color w:val="000000"/>
          <w:spacing w:val="-2"/>
        </w:rPr>
      </w:pPr>
      <w:r>
        <w:rPr>
          <w:noProof/>
        </w:rPr>
        <w:t>C.6.</w:t>
      </w:r>
      <w:r>
        <w:rPr>
          <w:noProof/>
        </w:rPr>
        <w:tab/>
        <w:t>skatinti mokslinius tyrimus, technologinę plėtrą ir keitimąsi informacija apie reagavimo technologijas, įrangą ir kitas veiklos priemones, visų pirma apie integruotus priežiūros jutiklius, reagavimo į nelaimes technologiją, siekiant reaguoti į nelaimingus atsitikimus naktį ir esant prastam matomumui bei nepalankioms oro sąlygoms, taip pat jūroje prarastų talpyklų aptikimą ir surinkimą, nelaimingus atsitikimus, susijusius su rimtomis naftos ir cheminėmis avarijomis, ir nelaimingus atsitikimus, susijusius su naujos kartos kuru;</w:t>
      </w:r>
    </w:p>
    <w:p>
      <w:pPr>
        <w:tabs>
          <w:tab w:val="left" w:pos="720"/>
        </w:tabs>
        <w:spacing w:line="280" w:lineRule="exact"/>
        <w:ind w:left="1439" w:hanging="900"/>
        <w:rPr>
          <w:rFonts w:cs="Arial"/>
          <w:noProof/>
        </w:rPr>
      </w:pPr>
      <w:r>
        <w:rPr>
          <w:noProof/>
        </w:rPr>
        <w:t>C.7.</w:t>
      </w:r>
      <w:r>
        <w:rPr>
          <w:noProof/>
        </w:rPr>
        <w:tab/>
        <w:t>skatinti mokslinius tyrimus dėl bendrų mokslinių tyrimų prioritetų: iki 2019–2022 m. parengti bendrą mokslinių tyrimų pasiūlymą dėl naujos kartos kuro;</w:t>
      </w:r>
    </w:p>
    <w:p>
      <w:pPr>
        <w:tabs>
          <w:tab w:val="left" w:pos="720"/>
        </w:tabs>
        <w:spacing w:line="280" w:lineRule="exact"/>
        <w:ind w:left="1439" w:hanging="900"/>
        <w:rPr>
          <w:rFonts w:cs="Arial"/>
          <w:noProof/>
          <w:color w:val="000000"/>
          <w:spacing w:val="-2"/>
        </w:rPr>
      </w:pPr>
      <w:r>
        <w:rPr>
          <w:noProof/>
        </w:rPr>
        <w:t>C.8.</w:t>
      </w:r>
      <w:r>
        <w:rPr>
          <w:noProof/>
        </w:rPr>
        <w:tab/>
        <w:t>skatinti keistis informacija apie nacionalines rizikos vertinimo sistemas, įskaitant vilkimą esant ekstremaliajai situacijai.</w:t>
      </w:r>
    </w:p>
    <w:p>
      <w:pPr>
        <w:spacing w:after="0"/>
        <w:jc w:val="left"/>
        <w:rPr>
          <w:noProof/>
        </w:rPr>
        <w:sectPr>
          <w:pgSz w:w="11907" w:h="16840"/>
          <w:pgMar w:top="1134" w:right="1134" w:bottom="1134" w:left="1134" w:header="567" w:footer="281" w:gutter="0"/>
          <w:cols w:space="720"/>
          <w:docGrid w:linePitch="326"/>
        </w:sectPr>
      </w:pPr>
    </w:p>
    <w:p>
      <w:pPr>
        <w:jc w:val="right"/>
        <w:rPr>
          <w:noProof/>
        </w:rPr>
      </w:pPr>
      <w:r>
        <w:rPr>
          <w:noProof/>
        </w:rPr>
        <w:t>1 papildymas</w:t>
      </w:r>
    </w:p>
    <w:p>
      <w:pPr>
        <w:jc w:val="right"/>
        <w:rPr>
          <w:noProof/>
        </w:rPr>
      </w:pPr>
    </w:p>
    <w:p>
      <w:pPr>
        <w:jc w:val="right"/>
        <w:rPr>
          <w:noProof/>
        </w:rPr>
      </w:pPr>
    </w:p>
    <w:p>
      <w:pPr>
        <w:jc w:val="right"/>
        <w:rPr>
          <w:noProof/>
        </w:rPr>
      </w:pPr>
    </w:p>
    <w:p>
      <w:pPr>
        <w:tabs>
          <w:tab w:val="left" w:pos="720"/>
        </w:tabs>
        <w:spacing w:after="0"/>
        <w:rPr>
          <w:noProof/>
          <w:sz w:val="22"/>
        </w:rPr>
      </w:pPr>
      <w:r>
        <w:rPr>
          <w:noProof/>
          <w:sz w:val="22"/>
        </w:rPr>
        <w:t xml:space="preserve">1–18 užduotys, susijusios su A strateginiu tikslu (prevencija): </w:t>
      </w:r>
    </w:p>
    <w:p>
      <w:pPr>
        <w:jc w:val="left"/>
        <w:rPr>
          <w:noProof/>
        </w:rPr>
      </w:pPr>
    </w:p>
    <w:tbl>
      <w:tblPr>
        <w:tblW w:w="5000" w:type="pct"/>
        <w:tblBorders>
          <w:bottom w:val="dotted" w:sz="4" w:space="0" w:color="auto"/>
          <w:insideH w:val="dotted" w:sz="4" w:space="0" w:color="auto"/>
        </w:tblBorders>
        <w:tblCellMar>
          <w:left w:w="30" w:type="dxa"/>
          <w:right w:w="30" w:type="dxa"/>
        </w:tblCellMar>
        <w:tblLook w:val="04A0" w:firstRow="1" w:lastRow="0" w:firstColumn="1" w:lastColumn="0" w:noHBand="0" w:noVBand="1"/>
      </w:tblPr>
      <w:tblGrid>
        <w:gridCol w:w="741"/>
        <w:gridCol w:w="890"/>
        <w:gridCol w:w="2482"/>
        <w:gridCol w:w="4561"/>
        <w:gridCol w:w="1014"/>
        <w:gridCol w:w="1608"/>
        <w:gridCol w:w="1974"/>
        <w:gridCol w:w="1361"/>
      </w:tblGrid>
      <w:tr>
        <w:trPr>
          <w:cantSplit/>
          <w:tblHeader/>
        </w:trPr>
        <w:tc>
          <w:tcPr>
            <w:tcW w:w="215" w:type="pct"/>
            <w:tcBorders>
              <w:top w:val="dotted" w:sz="4" w:space="0" w:color="auto"/>
              <w:left w:val="nil"/>
              <w:bottom w:val="dotted" w:sz="4" w:space="0" w:color="auto"/>
              <w:right w:val="dotted" w:sz="4" w:space="0" w:color="auto"/>
            </w:tcBorders>
            <w:vAlign w:val="center"/>
            <w:hideMark/>
          </w:tcPr>
          <w:p>
            <w:pPr>
              <w:tabs>
                <w:tab w:val="left" w:pos="720"/>
              </w:tabs>
              <w:spacing w:before="20" w:after="20"/>
              <w:jc w:val="center"/>
              <w:rPr>
                <w:b/>
                <w:noProof/>
                <w:snapToGrid w:val="0"/>
                <w:color w:val="000000"/>
                <w:sz w:val="18"/>
                <w:szCs w:val="18"/>
              </w:rPr>
            </w:pPr>
            <w:r>
              <w:rPr>
                <w:b/>
                <w:noProof/>
                <w:sz w:val="18"/>
                <w:szCs w:val="18"/>
              </w:rPr>
              <w:t>Užduotis</w:t>
            </w:r>
          </w:p>
        </w:tc>
        <w:tc>
          <w:tcPr>
            <w:tcW w:w="280" w:type="pct"/>
            <w:tcBorders>
              <w:top w:val="dotted" w:sz="4" w:space="0" w:color="auto"/>
              <w:left w:val="nil"/>
              <w:bottom w:val="dotted" w:sz="4" w:space="0" w:color="auto"/>
              <w:right w:val="nil"/>
            </w:tcBorders>
            <w:hideMark/>
          </w:tcPr>
          <w:p>
            <w:pPr>
              <w:tabs>
                <w:tab w:val="left" w:pos="720"/>
              </w:tabs>
              <w:spacing w:before="20" w:after="20"/>
              <w:jc w:val="center"/>
              <w:rPr>
                <w:b/>
                <w:noProof/>
                <w:snapToGrid w:val="0"/>
                <w:color w:val="000000"/>
                <w:sz w:val="18"/>
                <w:szCs w:val="18"/>
              </w:rPr>
            </w:pPr>
            <w:r>
              <w:rPr>
                <w:b/>
                <w:noProof/>
                <w:sz w:val="18"/>
                <w:szCs w:val="18"/>
              </w:rPr>
              <w:t>Strateginis</w:t>
            </w:r>
          </w:p>
          <w:p>
            <w:pPr>
              <w:tabs>
                <w:tab w:val="left" w:pos="720"/>
              </w:tabs>
              <w:spacing w:before="20" w:after="20"/>
              <w:jc w:val="center"/>
              <w:rPr>
                <w:b/>
                <w:noProof/>
                <w:snapToGrid w:val="0"/>
                <w:color w:val="000000"/>
                <w:sz w:val="18"/>
                <w:szCs w:val="18"/>
              </w:rPr>
            </w:pPr>
            <w:r>
              <w:rPr>
                <w:b/>
                <w:noProof/>
                <w:sz w:val="18"/>
                <w:szCs w:val="18"/>
              </w:rPr>
              <w:t>veiksmas</w:t>
            </w:r>
          </w:p>
        </w:tc>
        <w:tc>
          <w:tcPr>
            <w:tcW w:w="2516" w:type="pct"/>
            <w:gridSpan w:val="2"/>
            <w:tcBorders>
              <w:top w:val="dotted" w:sz="4" w:space="0" w:color="auto"/>
              <w:left w:val="nil"/>
              <w:bottom w:val="dotted" w:sz="4" w:space="0" w:color="auto"/>
              <w:right w:val="dotted" w:sz="4" w:space="0" w:color="auto"/>
            </w:tcBorders>
            <w:vAlign w:val="center"/>
            <w:hideMark/>
          </w:tcPr>
          <w:p>
            <w:pPr>
              <w:tabs>
                <w:tab w:val="left" w:pos="720"/>
              </w:tabs>
              <w:spacing w:before="20" w:after="20"/>
              <w:jc w:val="center"/>
              <w:rPr>
                <w:b/>
                <w:noProof/>
                <w:snapToGrid w:val="0"/>
                <w:color w:val="000000"/>
                <w:sz w:val="18"/>
                <w:szCs w:val="18"/>
              </w:rPr>
            </w:pPr>
            <w:r>
              <w:rPr>
                <w:b/>
                <w:noProof/>
                <w:sz w:val="18"/>
                <w:szCs w:val="18"/>
              </w:rPr>
              <w:t>Aprašymas</w:t>
            </w:r>
          </w:p>
        </w:tc>
        <w:tc>
          <w:tcPr>
            <w:tcW w:w="314" w:type="pct"/>
            <w:tcBorders>
              <w:top w:val="dotted" w:sz="4" w:space="0" w:color="auto"/>
              <w:left w:val="dotted" w:sz="4" w:space="0" w:color="auto"/>
              <w:bottom w:val="dotted" w:sz="4" w:space="0" w:color="auto"/>
              <w:right w:val="dotted" w:sz="4" w:space="0" w:color="auto"/>
            </w:tcBorders>
            <w:vAlign w:val="center"/>
            <w:hideMark/>
          </w:tcPr>
          <w:p>
            <w:pPr>
              <w:tabs>
                <w:tab w:val="left" w:pos="720"/>
              </w:tabs>
              <w:spacing w:before="20" w:after="20"/>
              <w:jc w:val="center"/>
              <w:rPr>
                <w:b/>
                <w:noProof/>
                <w:snapToGrid w:val="0"/>
                <w:color w:val="000000"/>
                <w:sz w:val="18"/>
                <w:szCs w:val="18"/>
              </w:rPr>
            </w:pPr>
            <w:r>
              <w:rPr>
                <w:b/>
                <w:noProof/>
                <w:sz w:val="18"/>
                <w:szCs w:val="18"/>
              </w:rPr>
              <w:t>Planuojama data</w:t>
            </w:r>
          </w:p>
        </w:tc>
        <w:tc>
          <w:tcPr>
            <w:tcW w:w="604" w:type="pct"/>
            <w:tcBorders>
              <w:top w:val="dotted" w:sz="4" w:space="0" w:color="auto"/>
              <w:left w:val="dotted" w:sz="4" w:space="0" w:color="auto"/>
              <w:bottom w:val="dotted" w:sz="4" w:space="0" w:color="auto"/>
              <w:right w:val="dotted" w:sz="4" w:space="0" w:color="auto"/>
            </w:tcBorders>
            <w:vAlign w:val="center"/>
            <w:hideMark/>
          </w:tcPr>
          <w:p>
            <w:pPr>
              <w:tabs>
                <w:tab w:val="left" w:pos="720"/>
              </w:tabs>
              <w:spacing w:before="20" w:after="20"/>
              <w:jc w:val="center"/>
              <w:rPr>
                <w:b/>
                <w:noProof/>
                <w:snapToGrid w:val="0"/>
                <w:color w:val="000000"/>
                <w:sz w:val="18"/>
                <w:szCs w:val="18"/>
              </w:rPr>
            </w:pPr>
            <w:r>
              <w:rPr>
                <w:b/>
                <w:noProof/>
                <w:sz w:val="18"/>
                <w:szCs w:val="18"/>
              </w:rPr>
              <w:t>Vadovaujantis subjektas</w:t>
            </w:r>
          </w:p>
        </w:tc>
        <w:tc>
          <w:tcPr>
            <w:tcW w:w="729" w:type="pct"/>
            <w:tcBorders>
              <w:top w:val="dotted" w:sz="4" w:space="0" w:color="auto"/>
              <w:left w:val="dotted" w:sz="4" w:space="0" w:color="auto"/>
              <w:bottom w:val="dotted" w:sz="4" w:space="0" w:color="auto"/>
              <w:right w:val="nil"/>
            </w:tcBorders>
            <w:vAlign w:val="center"/>
            <w:hideMark/>
          </w:tcPr>
          <w:p>
            <w:pPr>
              <w:tabs>
                <w:tab w:val="left" w:pos="720"/>
              </w:tabs>
              <w:spacing w:before="20" w:after="20"/>
              <w:jc w:val="center"/>
              <w:rPr>
                <w:b/>
                <w:noProof/>
                <w:snapToGrid w:val="0"/>
                <w:color w:val="000000"/>
                <w:sz w:val="18"/>
                <w:szCs w:val="18"/>
              </w:rPr>
            </w:pPr>
            <w:r>
              <w:rPr>
                <w:b/>
                <w:noProof/>
                <w:sz w:val="18"/>
                <w:szCs w:val="18"/>
              </w:rPr>
              <w:t>Pažanga</w:t>
            </w:r>
          </w:p>
        </w:tc>
        <w:tc>
          <w:tcPr>
            <w:tcW w:w="342" w:type="pct"/>
            <w:tcBorders>
              <w:top w:val="dotted" w:sz="4" w:space="0" w:color="auto"/>
              <w:left w:val="dotted" w:sz="4" w:space="0" w:color="auto"/>
              <w:bottom w:val="dotted" w:sz="4" w:space="0" w:color="auto"/>
              <w:right w:val="nil"/>
            </w:tcBorders>
            <w:hideMark/>
          </w:tcPr>
          <w:p>
            <w:pPr>
              <w:tabs>
                <w:tab w:val="left" w:pos="720"/>
              </w:tabs>
              <w:spacing w:before="20" w:after="20"/>
              <w:jc w:val="center"/>
              <w:rPr>
                <w:b/>
                <w:noProof/>
                <w:snapToGrid w:val="0"/>
                <w:color w:val="000000"/>
                <w:sz w:val="18"/>
                <w:szCs w:val="18"/>
              </w:rPr>
            </w:pPr>
            <w:r>
              <w:rPr>
                <w:b/>
                <w:noProof/>
                <w:sz w:val="18"/>
                <w:szCs w:val="18"/>
              </w:rPr>
              <w:t>Būsena</w:t>
            </w:r>
          </w:p>
        </w:tc>
      </w:tr>
      <w:tr>
        <w:trPr>
          <w:cantSplit/>
        </w:trPr>
        <w:tc>
          <w:tcPr>
            <w:tcW w:w="1398" w:type="pct"/>
            <w:gridSpan w:val="3"/>
            <w:tcBorders>
              <w:top w:val="dotted" w:sz="4" w:space="0" w:color="auto"/>
              <w:left w:val="nil"/>
              <w:bottom w:val="dotted" w:sz="4" w:space="0" w:color="auto"/>
              <w:right w:val="nil"/>
            </w:tcBorders>
            <w:shd w:val="clear" w:color="auto" w:fill="E6E6E6"/>
          </w:tcPr>
          <w:p>
            <w:pPr>
              <w:tabs>
                <w:tab w:val="left" w:pos="720"/>
              </w:tabs>
              <w:spacing w:before="20" w:after="20"/>
              <w:jc w:val="left"/>
              <w:rPr>
                <w:noProof/>
                <w:snapToGrid w:val="0"/>
                <w:color w:val="000000"/>
                <w:sz w:val="18"/>
                <w:szCs w:val="18"/>
              </w:rPr>
            </w:pPr>
          </w:p>
        </w:tc>
        <w:tc>
          <w:tcPr>
            <w:tcW w:w="3602" w:type="pct"/>
            <w:gridSpan w:val="5"/>
            <w:tcBorders>
              <w:top w:val="dotted" w:sz="4" w:space="0" w:color="auto"/>
              <w:left w:val="nil"/>
              <w:bottom w:val="dotted" w:sz="4" w:space="0" w:color="auto"/>
              <w:right w:val="nil"/>
            </w:tcBorders>
            <w:shd w:val="clear" w:color="auto" w:fill="E6E6E6"/>
          </w:tcPr>
          <w:p>
            <w:pPr>
              <w:tabs>
                <w:tab w:val="left" w:pos="720"/>
              </w:tabs>
              <w:spacing w:before="20" w:after="20"/>
              <w:jc w:val="left"/>
              <w:rPr>
                <w:noProof/>
                <w:snapToGrid w:val="0"/>
                <w:color w:val="000000"/>
                <w:sz w:val="18"/>
                <w:szCs w:val="18"/>
              </w:rPr>
            </w:pPr>
          </w:p>
        </w:tc>
      </w:tr>
      <w:tr>
        <w:trPr>
          <w:cantSplit/>
        </w:trPr>
        <w:tc>
          <w:tcPr>
            <w:tcW w:w="215" w:type="pct"/>
            <w:tcBorders>
              <w:top w:val="dotted" w:sz="4" w:space="0" w:color="auto"/>
              <w:left w:val="single" w:sz="4" w:space="0" w:color="auto"/>
              <w:bottom w:val="dotted" w:sz="4" w:space="0" w:color="auto"/>
              <w:right w:val="single" w:sz="4" w:space="0" w:color="auto"/>
            </w:tcBorders>
            <w:shd w:val="clear" w:color="auto" w:fill="FFFFFF"/>
            <w:hideMark/>
          </w:tcPr>
          <w:p>
            <w:pPr>
              <w:tabs>
                <w:tab w:val="left" w:pos="720"/>
              </w:tabs>
              <w:spacing w:before="20" w:after="20"/>
              <w:rPr>
                <w:b/>
                <w:noProof/>
                <w:snapToGrid w:val="0"/>
                <w:color w:val="000000"/>
                <w:sz w:val="22"/>
              </w:rPr>
            </w:pPr>
            <w:r>
              <w:rPr>
                <w:b/>
                <w:noProof/>
                <w:sz w:val="22"/>
              </w:rPr>
              <w:t>1.</w:t>
            </w:r>
          </w:p>
        </w:tc>
        <w:tc>
          <w:tcPr>
            <w:tcW w:w="280" w:type="pct"/>
            <w:tcBorders>
              <w:top w:val="single" w:sz="4" w:space="0" w:color="auto"/>
              <w:left w:val="single" w:sz="4" w:space="0" w:color="auto"/>
              <w:bottom w:val="dotted" w:sz="4" w:space="0" w:color="auto"/>
              <w:right w:val="single" w:sz="4" w:space="0" w:color="auto"/>
            </w:tcBorders>
            <w:shd w:val="clear" w:color="auto" w:fill="FFFFFF"/>
            <w:hideMark/>
          </w:tcPr>
          <w:p>
            <w:pPr>
              <w:tabs>
                <w:tab w:val="left" w:pos="770"/>
              </w:tabs>
              <w:spacing w:before="20" w:after="20"/>
              <w:rPr>
                <w:b/>
                <w:noProof/>
                <w:sz w:val="22"/>
              </w:rPr>
            </w:pPr>
            <w:r>
              <w:rPr>
                <w:b/>
                <w:noProof/>
                <w:sz w:val="22"/>
              </w:rPr>
              <w:t>A.1.</w:t>
            </w:r>
          </w:p>
        </w:tc>
        <w:tc>
          <w:tcPr>
            <w:tcW w:w="2516" w:type="pct"/>
            <w:gridSpan w:val="2"/>
            <w:tcBorders>
              <w:top w:val="dotted" w:sz="4" w:space="0" w:color="auto"/>
              <w:left w:val="single" w:sz="4" w:space="0" w:color="auto"/>
              <w:bottom w:val="dotted" w:sz="4" w:space="0" w:color="auto"/>
              <w:right w:val="dotted" w:sz="4" w:space="0" w:color="auto"/>
            </w:tcBorders>
            <w:shd w:val="clear" w:color="auto" w:fill="FFFFFF"/>
            <w:hideMark/>
          </w:tcPr>
          <w:p>
            <w:pPr>
              <w:tabs>
                <w:tab w:val="left" w:pos="770"/>
              </w:tabs>
              <w:spacing w:before="20" w:after="20"/>
              <w:rPr>
                <w:b/>
                <w:noProof/>
                <w:snapToGrid w:val="0"/>
                <w:color w:val="000000"/>
                <w:sz w:val="22"/>
              </w:rPr>
            </w:pPr>
            <w:r>
              <w:rPr>
                <w:b/>
                <w:noProof/>
                <w:sz w:val="22"/>
              </w:rPr>
              <w:t>Vykdyti stebėjimo iš oro ir palydovinio sekimo operacijas, įskaitant nacionalinius skrydžius, regioninius skrydžius, „Tour d’Horizon“ ir CEPCO / „SuperCEPCO“ skrydžius, siekiant nustatyti, ištirti, surinkti įrodymus ir stebėti naftos ir kitų kenksmingų medžiagų išsiliejimą, atsižvelgiant į strateginius priežiūros poreikius.</w:t>
            </w:r>
          </w:p>
        </w:tc>
        <w:tc>
          <w:tcPr>
            <w:tcW w:w="314" w:type="pct"/>
            <w:tcBorders>
              <w:top w:val="dotted" w:sz="4" w:space="0" w:color="auto"/>
              <w:left w:val="dotted" w:sz="4" w:space="0" w:color="auto"/>
              <w:bottom w:val="dotted" w:sz="4" w:space="0" w:color="auto"/>
              <w:right w:val="dotted" w:sz="4" w:space="0" w:color="auto"/>
            </w:tcBorders>
            <w:shd w:val="clear" w:color="auto" w:fill="FFFFFF"/>
            <w:hideMark/>
          </w:tcPr>
          <w:p>
            <w:pPr>
              <w:tabs>
                <w:tab w:val="left" w:pos="720"/>
              </w:tabs>
              <w:spacing w:before="20" w:after="20"/>
              <w:jc w:val="center"/>
              <w:rPr>
                <w:noProof/>
                <w:snapToGrid w:val="0"/>
                <w:color w:val="000000"/>
                <w:sz w:val="22"/>
              </w:rPr>
            </w:pPr>
            <w:r>
              <w:rPr>
                <w:noProof/>
                <w:sz w:val="22"/>
              </w:rPr>
              <w:t>Visus metus vykdoma veikla</w:t>
            </w:r>
          </w:p>
        </w:tc>
        <w:tc>
          <w:tcPr>
            <w:tcW w:w="604" w:type="pct"/>
            <w:tcBorders>
              <w:top w:val="dotted" w:sz="4" w:space="0" w:color="auto"/>
              <w:left w:val="dotted" w:sz="4" w:space="0" w:color="auto"/>
              <w:bottom w:val="dotted" w:sz="4" w:space="0" w:color="auto"/>
              <w:right w:val="dotted" w:sz="4" w:space="0" w:color="auto"/>
            </w:tcBorders>
            <w:shd w:val="clear" w:color="auto" w:fill="FFFFFF"/>
            <w:hideMark/>
          </w:tcPr>
          <w:p>
            <w:pPr>
              <w:tabs>
                <w:tab w:val="left" w:pos="720"/>
              </w:tabs>
              <w:spacing w:before="20" w:after="20"/>
              <w:jc w:val="left"/>
              <w:rPr>
                <w:noProof/>
                <w:snapToGrid w:val="0"/>
                <w:color w:val="000000"/>
                <w:sz w:val="22"/>
              </w:rPr>
            </w:pPr>
            <w:r>
              <w:rPr>
                <w:noProof/>
                <w:sz w:val="22"/>
              </w:rPr>
              <w:t>Susitariančioji šalis</w:t>
            </w:r>
          </w:p>
        </w:tc>
        <w:tc>
          <w:tcPr>
            <w:tcW w:w="729" w:type="pct"/>
            <w:tcBorders>
              <w:top w:val="dotted" w:sz="4" w:space="0" w:color="auto"/>
              <w:left w:val="dotted" w:sz="4" w:space="0" w:color="auto"/>
              <w:bottom w:val="dotted" w:sz="4" w:space="0" w:color="auto"/>
              <w:right w:val="nil"/>
            </w:tcBorders>
            <w:shd w:val="clear" w:color="auto" w:fill="FFFFFF"/>
          </w:tcPr>
          <w:p>
            <w:pPr>
              <w:tabs>
                <w:tab w:val="left" w:pos="720"/>
              </w:tabs>
              <w:spacing w:before="20" w:after="20"/>
              <w:rPr>
                <w:noProof/>
                <w:snapToGrid w:val="0"/>
                <w:color w:val="000000"/>
                <w:sz w:val="22"/>
              </w:rPr>
            </w:pPr>
          </w:p>
        </w:tc>
        <w:tc>
          <w:tcPr>
            <w:tcW w:w="342" w:type="pct"/>
            <w:tcBorders>
              <w:top w:val="dotted" w:sz="4" w:space="0" w:color="auto"/>
              <w:left w:val="dotted" w:sz="4" w:space="0" w:color="auto"/>
              <w:bottom w:val="dotted" w:sz="4" w:space="0" w:color="auto"/>
              <w:right w:val="nil"/>
            </w:tcBorders>
            <w:shd w:val="clear" w:color="auto" w:fill="FFFFFF"/>
            <w:hideMark/>
          </w:tcPr>
          <w:p>
            <w:pPr>
              <w:tabs>
                <w:tab w:val="left" w:pos="720"/>
              </w:tabs>
              <w:spacing w:before="20" w:after="20"/>
              <w:rPr>
                <w:noProof/>
                <w:snapToGrid w:val="0"/>
                <w:color w:val="000000"/>
                <w:sz w:val="22"/>
              </w:rPr>
            </w:pPr>
            <w:r>
              <w:rPr>
                <w:noProof/>
                <w:sz w:val="22"/>
              </w:rPr>
              <w:t>Vykdomas</w:t>
            </w:r>
          </w:p>
        </w:tc>
      </w:tr>
      <w:tr>
        <w:trPr>
          <w:cantSplit/>
        </w:trPr>
        <w:tc>
          <w:tcPr>
            <w:tcW w:w="215" w:type="pct"/>
            <w:tcBorders>
              <w:top w:val="dotted" w:sz="4" w:space="0" w:color="auto"/>
              <w:left w:val="single" w:sz="4" w:space="0" w:color="auto"/>
              <w:bottom w:val="dotted" w:sz="4" w:space="0" w:color="auto"/>
              <w:right w:val="single" w:sz="4" w:space="0" w:color="auto"/>
            </w:tcBorders>
            <w:hideMark/>
          </w:tcPr>
          <w:p>
            <w:pPr>
              <w:tabs>
                <w:tab w:val="left" w:pos="720"/>
              </w:tabs>
              <w:spacing w:before="20" w:after="20"/>
              <w:rPr>
                <w:b/>
                <w:noProof/>
                <w:snapToGrid w:val="0"/>
                <w:color w:val="000000"/>
                <w:sz w:val="22"/>
              </w:rPr>
            </w:pPr>
            <w:r>
              <w:rPr>
                <w:b/>
                <w:noProof/>
                <w:sz w:val="22"/>
              </w:rPr>
              <w:t>2.</w:t>
            </w:r>
          </w:p>
        </w:tc>
        <w:tc>
          <w:tcPr>
            <w:tcW w:w="280" w:type="pct"/>
            <w:tcBorders>
              <w:top w:val="dotted" w:sz="4" w:space="0" w:color="auto"/>
              <w:left w:val="single" w:sz="4" w:space="0" w:color="auto"/>
              <w:bottom w:val="dotted" w:sz="4" w:space="0" w:color="auto"/>
              <w:right w:val="single" w:sz="4" w:space="0" w:color="auto"/>
            </w:tcBorders>
            <w:hideMark/>
          </w:tcPr>
          <w:p>
            <w:pPr>
              <w:spacing w:after="60"/>
              <w:ind w:hanging="21"/>
              <w:rPr>
                <w:b/>
                <w:noProof/>
                <w:sz w:val="22"/>
              </w:rPr>
            </w:pPr>
            <w:r>
              <w:rPr>
                <w:b/>
                <w:noProof/>
                <w:sz w:val="22"/>
              </w:rPr>
              <w:t>A.1.</w:t>
            </w:r>
          </w:p>
        </w:tc>
        <w:tc>
          <w:tcPr>
            <w:tcW w:w="2516" w:type="pct"/>
            <w:gridSpan w:val="2"/>
            <w:tcBorders>
              <w:top w:val="dotted" w:sz="4" w:space="0" w:color="auto"/>
              <w:left w:val="single" w:sz="4" w:space="0" w:color="auto"/>
              <w:bottom w:val="dotted" w:sz="4" w:space="0" w:color="auto"/>
              <w:right w:val="dotted" w:sz="4" w:space="0" w:color="auto"/>
            </w:tcBorders>
          </w:tcPr>
          <w:p>
            <w:pPr>
              <w:spacing w:after="60"/>
              <w:ind w:hanging="21"/>
              <w:rPr>
                <w:b/>
                <w:noProof/>
                <w:sz w:val="22"/>
                <w:u w:val="single"/>
              </w:rPr>
            </w:pPr>
            <w:r>
              <w:rPr>
                <w:b/>
                <w:noProof/>
                <w:sz w:val="22"/>
              </w:rPr>
              <w:t>Išsaugoti stebėjimo iš oro aprėptį bei efektyvumą ir išanalizuoti strateginius priežiūros poreikius, inter alia, remiantis turimų duomenų apie nustatytą taršą nafta ir kitomis medžiagomis rinkiniais.</w:t>
            </w:r>
          </w:p>
          <w:p>
            <w:pPr>
              <w:tabs>
                <w:tab w:val="left" w:pos="770"/>
              </w:tabs>
              <w:spacing w:before="20" w:after="20"/>
              <w:rPr>
                <w:noProof/>
                <w:snapToGrid w:val="0"/>
                <w:color w:val="000000"/>
                <w:sz w:val="22"/>
              </w:rPr>
            </w:pPr>
          </w:p>
        </w:tc>
        <w:tc>
          <w:tcPr>
            <w:tcW w:w="314" w:type="pct"/>
            <w:tcBorders>
              <w:top w:val="dotted" w:sz="4" w:space="0" w:color="auto"/>
              <w:left w:val="dotted" w:sz="4" w:space="0" w:color="auto"/>
              <w:bottom w:val="dotted" w:sz="4" w:space="0" w:color="auto"/>
              <w:right w:val="dotted" w:sz="4" w:space="0" w:color="auto"/>
            </w:tcBorders>
          </w:tcPr>
          <w:p>
            <w:pPr>
              <w:tabs>
                <w:tab w:val="left" w:pos="720"/>
              </w:tabs>
              <w:spacing w:before="20" w:after="20"/>
              <w:jc w:val="center"/>
              <w:rPr>
                <w:noProof/>
                <w:snapToGrid w:val="0"/>
                <w:color w:val="000000"/>
                <w:sz w:val="22"/>
              </w:rPr>
            </w:pPr>
          </w:p>
        </w:tc>
        <w:tc>
          <w:tcPr>
            <w:tcW w:w="604"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left"/>
              <w:rPr>
                <w:noProof/>
                <w:snapToGrid w:val="0"/>
                <w:color w:val="000000"/>
                <w:sz w:val="22"/>
              </w:rPr>
            </w:pPr>
            <w:r>
              <w:rPr>
                <w:noProof/>
                <w:sz w:val="22"/>
              </w:rPr>
              <w:t>Susitariančioji šalis</w:t>
            </w:r>
          </w:p>
        </w:tc>
        <w:tc>
          <w:tcPr>
            <w:tcW w:w="729" w:type="pct"/>
            <w:tcBorders>
              <w:top w:val="dotted" w:sz="4" w:space="0" w:color="auto"/>
              <w:left w:val="dotted" w:sz="4" w:space="0" w:color="auto"/>
              <w:bottom w:val="dotted" w:sz="4" w:space="0" w:color="auto"/>
              <w:right w:val="nil"/>
            </w:tcBorders>
            <w:hideMark/>
          </w:tcPr>
          <w:p>
            <w:pPr>
              <w:tabs>
                <w:tab w:val="left" w:pos="720"/>
              </w:tabs>
              <w:spacing w:before="20" w:after="20"/>
              <w:rPr>
                <w:noProof/>
                <w:snapToGrid w:val="0"/>
                <w:color w:val="000000"/>
                <w:sz w:val="22"/>
              </w:rPr>
            </w:pPr>
            <w:r>
              <w:rPr>
                <w:noProof/>
                <w:sz w:val="22"/>
              </w:rPr>
              <w:t>„CleanSeaNet“ – EMSA</w:t>
            </w:r>
          </w:p>
          <w:p>
            <w:pPr>
              <w:tabs>
                <w:tab w:val="left" w:pos="720"/>
              </w:tabs>
              <w:spacing w:before="20" w:after="20"/>
              <w:rPr>
                <w:noProof/>
                <w:snapToGrid w:val="0"/>
                <w:color w:val="000000"/>
                <w:sz w:val="22"/>
              </w:rPr>
            </w:pPr>
            <w:r>
              <w:rPr>
                <w:noProof/>
                <w:sz w:val="22"/>
              </w:rPr>
              <w:t>Žuvininkystė – Europos žuvininkystės kontrolės agentūra</w:t>
            </w:r>
          </w:p>
          <w:p>
            <w:pPr>
              <w:tabs>
                <w:tab w:val="left" w:pos="720"/>
              </w:tabs>
              <w:spacing w:before="20" w:after="20"/>
              <w:rPr>
                <w:noProof/>
                <w:snapToGrid w:val="0"/>
                <w:color w:val="000000"/>
                <w:sz w:val="22"/>
              </w:rPr>
            </w:pPr>
            <w:r>
              <w:rPr>
                <w:noProof/>
                <w:sz w:val="22"/>
              </w:rPr>
              <w:t>NL – užduoties vadovas su susitariančiąja šalimi</w:t>
            </w:r>
          </w:p>
          <w:p>
            <w:pPr>
              <w:tabs>
                <w:tab w:val="left" w:pos="720"/>
              </w:tabs>
              <w:spacing w:before="20" w:after="20"/>
              <w:rPr>
                <w:noProof/>
                <w:snapToGrid w:val="0"/>
                <w:color w:val="000000"/>
                <w:sz w:val="22"/>
              </w:rPr>
            </w:pPr>
            <w:r>
              <w:rPr>
                <w:noProof/>
                <w:sz w:val="22"/>
              </w:rPr>
              <w:t>NL turi parengti projektą ir išplatinti jį departamentų vadovams.</w:t>
            </w:r>
          </w:p>
          <w:p>
            <w:pPr>
              <w:tabs>
                <w:tab w:val="left" w:pos="720"/>
              </w:tabs>
              <w:spacing w:before="20" w:after="20"/>
              <w:rPr>
                <w:noProof/>
                <w:snapToGrid w:val="0"/>
                <w:color w:val="000000"/>
                <w:sz w:val="22"/>
                <w:highlight w:val="yellow"/>
              </w:rPr>
            </w:pPr>
            <w:r>
              <w:rPr>
                <w:noProof/>
                <w:sz w:val="22"/>
              </w:rPr>
              <w:t>BE – MARPOL konvencijos VI priedas</w:t>
            </w:r>
          </w:p>
        </w:tc>
        <w:tc>
          <w:tcPr>
            <w:tcW w:w="342" w:type="pct"/>
            <w:tcBorders>
              <w:top w:val="dotted" w:sz="4" w:space="0" w:color="auto"/>
              <w:left w:val="dotted" w:sz="4" w:space="0" w:color="auto"/>
              <w:bottom w:val="dotted" w:sz="4" w:space="0" w:color="auto"/>
              <w:right w:val="nil"/>
            </w:tcBorders>
          </w:tcPr>
          <w:p>
            <w:pPr>
              <w:tabs>
                <w:tab w:val="left" w:pos="720"/>
              </w:tabs>
              <w:spacing w:before="20" w:after="20"/>
              <w:rPr>
                <w:noProof/>
                <w:snapToGrid w:val="0"/>
                <w:color w:val="000000"/>
                <w:sz w:val="22"/>
                <w:highlight w:val="yellow"/>
              </w:rPr>
            </w:pPr>
          </w:p>
        </w:tc>
      </w:tr>
      <w:tr>
        <w:trPr>
          <w:cantSplit/>
        </w:trPr>
        <w:tc>
          <w:tcPr>
            <w:tcW w:w="215" w:type="pct"/>
            <w:tcBorders>
              <w:top w:val="dotted" w:sz="4" w:space="0" w:color="auto"/>
              <w:left w:val="single" w:sz="4" w:space="0" w:color="auto"/>
              <w:bottom w:val="dotted" w:sz="4" w:space="0" w:color="auto"/>
              <w:right w:val="single" w:sz="4" w:space="0" w:color="auto"/>
            </w:tcBorders>
            <w:hideMark/>
          </w:tcPr>
          <w:p>
            <w:pPr>
              <w:tabs>
                <w:tab w:val="left" w:pos="720"/>
              </w:tabs>
              <w:spacing w:before="20" w:after="20"/>
              <w:rPr>
                <w:b/>
                <w:noProof/>
                <w:snapToGrid w:val="0"/>
                <w:sz w:val="22"/>
              </w:rPr>
            </w:pPr>
            <w:r>
              <w:rPr>
                <w:b/>
                <w:noProof/>
                <w:sz w:val="22"/>
              </w:rPr>
              <w:t>3.</w:t>
            </w:r>
          </w:p>
        </w:tc>
        <w:tc>
          <w:tcPr>
            <w:tcW w:w="280" w:type="pct"/>
            <w:tcBorders>
              <w:top w:val="dotted" w:sz="4" w:space="0" w:color="auto"/>
              <w:left w:val="single" w:sz="4" w:space="0" w:color="auto"/>
              <w:bottom w:val="single" w:sz="4" w:space="0" w:color="auto"/>
              <w:right w:val="single" w:sz="4" w:space="0" w:color="auto"/>
            </w:tcBorders>
            <w:hideMark/>
          </w:tcPr>
          <w:p>
            <w:pPr>
              <w:spacing w:after="60"/>
              <w:ind w:hanging="21"/>
              <w:rPr>
                <w:b/>
                <w:noProof/>
                <w:sz w:val="22"/>
              </w:rPr>
            </w:pPr>
            <w:r>
              <w:rPr>
                <w:b/>
                <w:noProof/>
                <w:sz w:val="22"/>
              </w:rPr>
              <w:t>A.3.</w:t>
            </w:r>
          </w:p>
          <w:p>
            <w:pPr>
              <w:spacing w:after="60"/>
              <w:ind w:hanging="21"/>
              <w:rPr>
                <w:b/>
                <w:noProof/>
                <w:sz w:val="22"/>
              </w:rPr>
            </w:pPr>
            <w:r>
              <w:rPr>
                <w:b/>
                <w:noProof/>
                <w:sz w:val="22"/>
              </w:rPr>
              <w:t>A.4.</w:t>
            </w:r>
          </w:p>
          <w:p>
            <w:pPr>
              <w:spacing w:after="60"/>
              <w:ind w:hanging="21"/>
              <w:rPr>
                <w:b/>
                <w:noProof/>
                <w:sz w:val="22"/>
              </w:rPr>
            </w:pPr>
            <w:r>
              <w:rPr>
                <w:b/>
                <w:noProof/>
                <w:sz w:val="22"/>
              </w:rPr>
              <w:t>A.5.</w:t>
            </w:r>
          </w:p>
        </w:tc>
        <w:tc>
          <w:tcPr>
            <w:tcW w:w="2516" w:type="pct"/>
            <w:gridSpan w:val="2"/>
            <w:tcBorders>
              <w:top w:val="dotted" w:sz="4" w:space="0" w:color="auto"/>
              <w:left w:val="single" w:sz="4" w:space="0" w:color="auto"/>
              <w:bottom w:val="dotted" w:sz="4" w:space="0" w:color="auto"/>
              <w:right w:val="dotted" w:sz="4" w:space="0" w:color="auto"/>
            </w:tcBorders>
            <w:hideMark/>
          </w:tcPr>
          <w:p>
            <w:pPr>
              <w:spacing w:after="60"/>
              <w:ind w:hanging="21"/>
              <w:rPr>
                <w:b/>
                <w:noProof/>
                <w:sz w:val="22"/>
              </w:rPr>
            </w:pPr>
            <w:r>
              <w:rPr>
                <w:b/>
                <w:noProof/>
                <w:sz w:val="22"/>
              </w:rPr>
              <w:t xml:space="preserve">Apsvarstyti galimybę parengti būtiniausias rekomendacijas dėl stebėjimo operacijų, vykdomų regione, kuriam taikomas Bonos susitarimas, ir tikėtinų rezultatų (MARPOL konvencijos VI priedas, nuotoliniu būdu pilotuojamų orlaivių sistemos). </w:t>
            </w:r>
          </w:p>
        </w:tc>
        <w:tc>
          <w:tcPr>
            <w:tcW w:w="314" w:type="pct"/>
            <w:tcBorders>
              <w:top w:val="dotted" w:sz="4" w:space="0" w:color="auto"/>
              <w:left w:val="dotted" w:sz="4" w:space="0" w:color="auto"/>
              <w:bottom w:val="dotted" w:sz="4" w:space="0" w:color="auto"/>
              <w:right w:val="dotted" w:sz="4" w:space="0" w:color="auto"/>
            </w:tcBorders>
          </w:tcPr>
          <w:p>
            <w:pPr>
              <w:tabs>
                <w:tab w:val="left" w:pos="720"/>
              </w:tabs>
              <w:spacing w:before="20" w:after="20"/>
              <w:jc w:val="center"/>
              <w:rPr>
                <w:noProof/>
                <w:snapToGrid w:val="0"/>
                <w:color w:val="000000"/>
                <w:sz w:val="22"/>
              </w:rPr>
            </w:pPr>
          </w:p>
        </w:tc>
        <w:tc>
          <w:tcPr>
            <w:tcW w:w="604" w:type="pct"/>
            <w:tcBorders>
              <w:top w:val="dotted" w:sz="4" w:space="0" w:color="auto"/>
              <w:left w:val="dotted" w:sz="4" w:space="0" w:color="auto"/>
              <w:bottom w:val="dotted" w:sz="4" w:space="0" w:color="auto"/>
              <w:right w:val="dotted" w:sz="4" w:space="0" w:color="auto"/>
            </w:tcBorders>
          </w:tcPr>
          <w:p>
            <w:pPr>
              <w:tabs>
                <w:tab w:val="left" w:pos="720"/>
              </w:tabs>
              <w:spacing w:before="20" w:after="20"/>
              <w:jc w:val="left"/>
              <w:rPr>
                <w:noProof/>
                <w:snapToGrid w:val="0"/>
                <w:color w:val="000000"/>
                <w:sz w:val="22"/>
              </w:rPr>
            </w:pPr>
            <w:r>
              <w:rPr>
                <w:noProof/>
                <w:sz w:val="22"/>
              </w:rPr>
              <w:t>ES (dėl galimybių supaprastinti jūrų stebėjimą, pvz., žuvininkystės ir taršos srityse)</w:t>
            </w:r>
          </w:p>
          <w:p>
            <w:pPr>
              <w:tabs>
                <w:tab w:val="left" w:pos="720"/>
              </w:tabs>
              <w:spacing w:before="20" w:after="20"/>
              <w:jc w:val="left"/>
              <w:rPr>
                <w:noProof/>
                <w:snapToGrid w:val="0"/>
                <w:color w:val="000000"/>
                <w:sz w:val="22"/>
              </w:rPr>
            </w:pPr>
            <w:r>
              <w:rPr>
                <w:noProof/>
                <w:sz w:val="22"/>
              </w:rPr>
              <w:t>BE – vienas iš vadovų (VI priedas)</w:t>
            </w:r>
          </w:p>
          <w:p>
            <w:pPr>
              <w:tabs>
                <w:tab w:val="left" w:pos="720"/>
              </w:tabs>
              <w:spacing w:before="20" w:after="20"/>
              <w:jc w:val="left"/>
              <w:rPr>
                <w:noProof/>
                <w:snapToGrid w:val="0"/>
                <w:color w:val="000000"/>
                <w:sz w:val="22"/>
              </w:rPr>
            </w:pPr>
            <w:r>
              <w:rPr>
                <w:noProof/>
                <w:sz w:val="22"/>
              </w:rPr>
              <w:t>ES – dronai</w:t>
            </w:r>
          </w:p>
        </w:tc>
        <w:tc>
          <w:tcPr>
            <w:tcW w:w="729" w:type="pct"/>
            <w:tcBorders>
              <w:top w:val="dotted" w:sz="4" w:space="0" w:color="auto"/>
              <w:left w:val="dotted" w:sz="4" w:space="0" w:color="auto"/>
              <w:bottom w:val="dotted" w:sz="4" w:space="0" w:color="auto"/>
              <w:right w:val="nil"/>
            </w:tcBorders>
          </w:tcPr>
          <w:p>
            <w:pPr>
              <w:tabs>
                <w:tab w:val="left" w:pos="720"/>
              </w:tabs>
              <w:spacing w:before="20" w:after="20"/>
              <w:rPr>
                <w:noProof/>
                <w:snapToGrid w:val="0"/>
                <w:color w:val="000000"/>
                <w:sz w:val="22"/>
              </w:rPr>
            </w:pPr>
            <w:r>
              <w:rPr>
                <w:noProof/>
                <w:sz w:val="22"/>
              </w:rPr>
              <w:t>Pirminės diskusijos dėl MARPOL konvencijos VI priedo pradėtos 2019 m. OTSOPA susitikime.</w:t>
            </w:r>
          </w:p>
          <w:p>
            <w:pPr>
              <w:tabs>
                <w:tab w:val="left" w:pos="720"/>
              </w:tabs>
              <w:spacing w:before="20" w:after="20"/>
              <w:rPr>
                <w:noProof/>
                <w:snapToGrid w:val="0"/>
                <w:color w:val="000000"/>
                <w:sz w:val="22"/>
              </w:rPr>
            </w:pPr>
            <w:r>
              <w:rPr>
                <w:noProof/>
                <w:sz w:val="22"/>
              </w:rPr>
              <w:t>EMSA pradėjo teikti nuotoliniu būdu pilotuojamų orlaivių sistemų paslaugą.</w:t>
            </w:r>
          </w:p>
        </w:tc>
        <w:tc>
          <w:tcPr>
            <w:tcW w:w="342" w:type="pct"/>
            <w:tcBorders>
              <w:top w:val="dotted" w:sz="4" w:space="0" w:color="auto"/>
              <w:left w:val="dotted" w:sz="4" w:space="0" w:color="auto"/>
              <w:bottom w:val="dotted" w:sz="4" w:space="0" w:color="auto"/>
              <w:right w:val="nil"/>
            </w:tcBorders>
            <w:hideMark/>
          </w:tcPr>
          <w:p>
            <w:pPr>
              <w:tabs>
                <w:tab w:val="left" w:pos="720"/>
              </w:tabs>
              <w:spacing w:before="20" w:after="20"/>
              <w:rPr>
                <w:noProof/>
                <w:snapToGrid w:val="0"/>
                <w:color w:val="000000"/>
                <w:sz w:val="22"/>
              </w:rPr>
            </w:pPr>
            <w:r>
              <w:rPr>
                <w:noProof/>
                <w:sz w:val="22"/>
              </w:rPr>
              <w:t xml:space="preserve">Vykdomas </w:t>
            </w:r>
          </w:p>
        </w:tc>
      </w:tr>
      <w:tr>
        <w:trPr>
          <w:cantSplit/>
        </w:trPr>
        <w:tc>
          <w:tcPr>
            <w:tcW w:w="215" w:type="pct"/>
            <w:tcBorders>
              <w:top w:val="dotted" w:sz="4" w:space="0" w:color="auto"/>
              <w:left w:val="single" w:sz="4" w:space="0" w:color="auto"/>
              <w:bottom w:val="dotted" w:sz="4" w:space="0" w:color="auto"/>
              <w:right w:val="dotted" w:sz="4" w:space="0" w:color="auto"/>
            </w:tcBorders>
            <w:hideMark/>
          </w:tcPr>
          <w:p>
            <w:pPr>
              <w:tabs>
                <w:tab w:val="left" w:pos="720"/>
              </w:tabs>
              <w:spacing w:before="20" w:after="20"/>
              <w:rPr>
                <w:b/>
                <w:noProof/>
                <w:snapToGrid w:val="0"/>
                <w:color w:val="000000"/>
                <w:sz w:val="22"/>
              </w:rPr>
            </w:pPr>
            <w:r>
              <w:rPr>
                <w:b/>
                <w:noProof/>
                <w:sz w:val="22"/>
              </w:rPr>
              <w:t>4.</w:t>
            </w:r>
          </w:p>
        </w:tc>
        <w:tc>
          <w:tcPr>
            <w:tcW w:w="280" w:type="pct"/>
            <w:tcBorders>
              <w:top w:val="single" w:sz="4" w:space="0" w:color="auto"/>
              <w:left w:val="nil"/>
              <w:bottom w:val="dotted" w:sz="4" w:space="0" w:color="auto"/>
              <w:right w:val="nil"/>
            </w:tcBorders>
            <w:hideMark/>
          </w:tcPr>
          <w:p>
            <w:pPr>
              <w:tabs>
                <w:tab w:val="left" w:pos="770"/>
              </w:tabs>
              <w:spacing w:before="20" w:after="20"/>
              <w:rPr>
                <w:b/>
                <w:noProof/>
                <w:sz w:val="22"/>
              </w:rPr>
            </w:pPr>
            <w:r>
              <w:rPr>
                <w:b/>
                <w:noProof/>
                <w:sz w:val="22"/>
              </w:rPr>
              <w:t>A.2.</w:t>
            </w:r>
          </w:p>
        </w:tc>
        <w:tc>
          <w:tcPr>
            <w:tcW w:w="2516" w:type="pct"/>
            <w:gridSpan w:val="2"/>
            <w:tcBorders>
              <w:top w:val="dotted" w:sz="4" w:space="0" w:color="auto"/>
              <w:left w:val="nil"/>
              <w:bottom w:val="dotted" w:sz="4" w:space="0" w:color="auto"/>
              <w:right w:val="dotted" w:sz="4" w:space="0" w:color="auto"/>
            </w:tcBorders>
          </w:tcPr>
          <w:p>
            <w:pPr>
              <w:tabs>
                <w:tab w:val="left" w:pos="770"/>
              </w:tabs>
              <w:spacing w:before="20" w:after="20"/>
              <w:rPr>
                <w:b/>
                <w:noProof/>
                <w:sz w:val="22"/>
              </w:rPr>
            </w:pPr>
            <w:r>
              <w:rPr>
                <w:b/>
                <w:noProof/>
                <w:sz w:val="22"/>
              </w:rPr>
              <w:t>Toliau taikyti efektyvų stebėsenos ir ataskaitų teikimo standartą, pasinaudojant atitinkama sistema, skirta pranešti apie nustatytą taršą pagal Bonos susitarimą.</w:t>
            </w:r>
          </w:p>
          <w:p>
            <w:pPr>
              <w:tabs>
                <w:tab w:val="left" w:pos="770"/>
              </w:tabs>
              <w:spacing w:before="20" w:after="20"/>
              <w:rPr>
                <w:i/>
                <w:noProof/>
                <w:snapToGrid w:val="0"/>
                <w:color w:val="000000"/>
                <w:sz w:val="22"/>
              </w:rPr>
            </w:pPr>
          </w:p>
        </w:tc>
        <w:tc>
          <w:tcPr>
            <w:tcW w:w="314"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center"/>
              <w:rPr>
                <w:noProof/>
                <w:snapToGrid w:val="0"/>
                <w:color w:val="000000"/>
                <w:sz w:val="22"/>
              </w:rPr>
            </w:pPr>
            <w:r>
              <w:rPr>
                <w:noProof/>
                <w:sz w:val="22"/>
              </w:rPr>
              <w:t>Prireikus vykdoma veikla</w:t>
            </w:r>
          </w:p>
        </w:tc>
        <w:tc>
          <w:tcPr>
            <w:tcW w:w="604"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left"/>
              <w:rPr>
                <w:noProof/>
                <w:snapToGrid w:val="0"/>
                <w:color w:val="000000"/>
                <w:sz w:val="22"/>
              </w:rPr>
            </w:pPr>
            <w:r>
              <w:rPr>
                <w:noProof/>
                <w:sz w:val="22"/>
              </w:rPr>
              <w:t>Susitariančioji šalis</w:t>
            </w:r>
          </w:p>
        </w:tc>
        <w:tc>
          <w:tcPr>
            <w:tcW w:w="729" w:type="pct"/>
            <w:tcBorders>
              <w:top w:val="dotted" w:sz="4" w:space="0" w:color="auto"/>
              <w:left w:val="dotted" w:sz="4" w:space="0" w:color="auto"/>
              <w:bottom w:val="dotted" w:sz="4" w:space="0" w:color="auto"/>
              <w:right w:val="nil"/>
            </w:tcBorders>
          </w:tcPr>
          <w:p>
            <w:pPr>
              <w:tabs>
                <w:tab w:val="left" w:pos="720"/>
              </w:tabs>
              <w:spacing w:before="20" w:after="20"/>
              <w:rPr>
                <w:noProof/>
                <w:snapToGrid w:val="0"/>
                <w:color w:val="000000"/>
                <w:sz w:val="22"/>
              </w:rPr>
            </w:pPr>
          </w:p>
        </w:tc>
        <w:tc>
          <w:tcPr>
            <w:tcW w:w="342" w:type="pct"/>
            <w:tcBorders>
              <w:top w:val="dotted" w:sz="4" w:space="0" w:color="auto"/>
              <w:left w:val="dotted" w:sz="4" w:space="0" w:color="auto"/>
              <w:bottom w:val="dotted" w:sz="4" w:space="0" w:color="auto"/>
              <w:right w:val="nil"/>
            </w:tcBorders>
            <w:hideMark/>
          </w:tcPr>
          <w:p>
            <w:pPr>
              <w:tabs>
                <w:tab w:val="left" w:pos="720"/>
              </w:tabs>
              <w:spacing w:before="20" w:after="20"/>
              <w:rPr>
                <w:noProof/>
                <w:snapToGrid w:val="0"/>
                <w:color w:val="000000"/>
                <w:sz w:val="22"/>
              </w:rPr>
            </w:pPr>
            <w:r>
              <w:rPr>
                <w:noProof/>
                <w:sz w:val="22"/>
              </w:rPr>
              <w:t>Vykdomas</w:t>
            </w:r>
          </w:p>
        </w:tc>
      </w:tr>
      <w:tr>
        <w:trPr>
          <w:cantSplit/>
        </w:trPr>
        <w:tc>
          <w:tcPr>
            <w:tcW w:w="215" w:type="pct"/>
            <w:tcBorders>
              <w:top w:val="dotted" w:sz="4" w:space="0" w:color="auto"/>
              <w:left w:val="single" w:sz="4" w:space="0" w:color="auto"/>
              <w:bottom w:val="dotted" w:sz="4" w:space="0" w:color="auto"/>
              <w:right w:val="dotted" w:sz="4" w:space="0" w:color="auto"/>
            </w:tcBorders>
            <w:hideMark/>
          </w:tcPr>
          <w:p>
            <w:pPr>
              <w:tabs>
                <w:tab w:val="left" w:pos="720"/>
              </w:tabs>
              <w:spacing w:before="20" w:after="20"/>
              <w:rPr>
                <w:b/>
                <w:noProof/>
                <w:snapToGrid w:val="0"/>
                <w:color w:val="000000"/>
                <w:sz w:val="22"/>
              </w:rPr>
            </w:pPr>
            <w:r>
              <w:rPr>
                <w:b/>
                <w:noProof/>
                <w:sz w:val="22"/>
              </w:rPr>
              <w:t>5.</w:t>
            </w:r>
          </w:p>
        </w:tc>
        <w:tc>
          <w:tcPr>
            <w:tcW w:w="280" w:type="pct"/>
            <w:tcBorders>
              <w:top w:val="dotted" w:sz="4" w:space="0" w:color="auto"/>
              <w:left w:val="nil"/>
              <w:bottom w:val="dotted" w:sz="4" w:space="0" w:color="auto"/>
              <w:right w:val="nil"/>
            </w:tcBorders>
            <w:hideMark/>
          </w:tcPr>
          <w:p>
            <w:pPr>
              <w:tabs>
                <w:tab w:val="left" w:pos="770"/>
              </w:tabs>
              <w:spacing w:before="20" w:after="20"/>
              <w:rPr>
                <w:b/>
                <w:noProof/>
                <w:sz w:val="22"/>
              </w:rPr>
            </w:pPr>
            <w:r>
              <w:rPr>
                <w:b/>
                <w:noProof/>
                <w:sz w:val="22"/>
              </w:rPr>
              <w:t>A.3.</w:t>
            </w:r>
          </w:p>
        </w:tc>
        <w:tc>
          <w:tcPr>
            <w:tcW w:w="2516" w:type="pct"/>
            <w:gridSpan w:val="2"/>
            <w:tcBorders>
              <w:top w:val="dotted" w:sz="4" w:space="0" w:color="auto"/>
              <w:left w:val="nil"/>
              <w:bottom w:val="dotted" w:sz="4" w:space="0" w:color="auto"/>
              <w:right w:val="dotted" w:sz="4" w:space="0" w:color="auto"/>
            </w:tcBorders>
            <w:hideMark/>
          </w:tcPr>
          <w:p>
            <w:pPr>
              <w:tabs>
                <w:tab w:val="left" w:pos="770"/>
              </w:tabs>
              <w:spacing w:before="20" w:after="20"/>
              <w:rPr>
                <w:b/>
                <w:noProof/>
                <w:sz w:val="22"/>
              </w:rPr>
            </w:pPr>
            <w:r>
              <w:rPr>
                <w:b/>
                <w:noProof/>
                <w:sz w:val="22"/>
              </w:rPr>
              <w:t>Bendradarbiaujant su Europos jūrų saugumo agentūra, kuo geriau išnaudoti palydovinius vaizdus, pvz., per „CleanSeaNet“, kad būtų imtasi tolesnių veiksmų, susijusių su pirmuoju perspėjimu apie galimos taršos nustatymą stebint iš oro,</w:t>
            </w:r>
          </w:p>
          <w:p>
            <w:pPr>
              <w:tabs>
                <w:tab w:val="left" w:pos="770"/>
              </w:tabs>
              <w:spacing w:before="20" w:after="20"/>
              <w:rPr>
                <w:b/>
                <w:noProof/>
                <w:snapToGrid w:val="0"/>
                <w:color w:val="000000"/>
                <w:sz w:val="22"/>
              </w:rPr>
            </w:pPr>
            <w:r>
              <w:rPr>
                <w:b/>
                <w:noProof/>
                <w:sz w:val="22"/>
              </w:rPr>
              <w:t xml:space="preserve">taip pat </w:t>
            </w:r>
          </w:p>
        </w:tc>
        <w:tc>
          <w:tcPr>
            <w:tcW w:w="314"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center"/>
              <w:rPr>
                <w:noProof/>
                <w:snapToGrid w:val="0"/>
                <w:color w:val="000000"/>
                <w:sz w:val="22"/>
              </w:rPr>
            </w:pPr>
            <w:r>
              <w:rPr>
                <w:noProof/>
                <w:sz w:val="22"/>
              </w:rPr>
              <w:t>Prireikus vykdoma veikla</w:t>
            </w:r>
          </w:p>
        </w:tc>
        <w:tc>
          <w:tcPr>
            <w:tcW w:w="604"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left"/>
              <w:rPr>
                <w:noProof/>
                <w:snapToGrid w:val="0"/>
                <w:color w:val="000000"/>
                <w:sz w:val="22"/>
              </w:rPr>
            </w:pPr>
            <w:r>
              <w:rPr>
                <w:noProof/>
                <w:sz w:val="22"/>
              </w:rPr>
              <w:t xml:space="preserve">Susitariančioji šalis </w:t>
            </w:r>
          </w:p>
        </w:tc>
        <w:tc>
          <w:tcPr>
            <w:tcW w:w="729" w:type="pct"/>
            <w:tcBorders>
              <w:top w:val="dotted" w:sz="4" w:space="0" w:color="auto"/>
              <w:left w:val="dotted" w:sz="4" w:space="0" w:color="auto"/>
              <w:bottom w:val="dotted" w:sz="4" w:space="0" w:color="auto"/>
              <w:right w:val="nil"/>
            </w:tcBorders>
          </w:tcPr>
          <w:p>
            <w:pPr>
              <w:tabs>
                <w:tab w:val="left" w:pos="720"/>
              </w:tabs>
              <w:spacing w:before="20" w:after="20"/>
              <w:rPr>
                <w:noProof/>
                <w:snapToGrid w:val="0"/>
                <w:color w:val="000000"/>
                <w:sz w:val="22"/>
              </w:rPr>
            </w:pPr>
          </w:p>
        </w:tc>
        <w:tc>
          <w:tcPr>
            <w:tcW w:w="342" w:type="pct"/>
            <w:tcBorders>
              <w:top w:val="dotted" w:sz="4" w:space="0" w:color="auto"/>
              <w:left w:val="dotted" w:sz="4" w:space="0" w:color="auto"/>
              <w:bottom w:val="dotted" w:sz="4" w:space="0" w:color="auto"/>
              <w:right w:val="nil"/>
            </w:tcBorders>
            <w:hideMark/>
          </w:tcPr>
          <w:p>
            <w:pPr>
              <w:tabs>
                <w:tab w:val="left" w:pos="720"/>
              </w:tabs>
              <w:spacing w:before="20" w:after="20"/>
              <w:rPr>
                <w:noProof/>
                <w:snapToGrid w:val="0"/>
                <w:color w:val="000000"/>
                <w:sz w:val="22"/>
              </w:rPr>
            </w:pPr>
            <w:r>
              <w:rPr>
                <w:noProof/>
                <w:sz w:val="22"/>
              </w:rPr>
              <w:t>Vykdomas</w:t>
            </w:r>
          </w:p>
        </w:tc>
      </w:tr>
      <w:tr>
        <w:trPr>
          <w:cantSplit/>
        </w:trPr>
        <w:tc>
          <w:tcPr>
            <w:tcW w:w="215" w:type="pct"/>
            <w:tcBorders>
              <w:top w:val="dotted" w:sz="4" w:space="0" w:color="auto"/>
              <w:left w:val="single" w:sz="4" w:space="0" w:color="auto"/>
              <w:bottom w:val="dotted" w:sz="4" w:space="0" w:color="auto"/>
              <w:right w:val="dotted" w:sz="4" w:space="0" w:color="auto"/>
            </w:tcBorders>
            <w:shd w:val="clear" w:color="auto" w:fill="FFFFFF"/>
            <w:hideMark/>
          </w:tcPr>
          <w:p>
            <w:pPr>
              <w:tabs>
                <w:tab w:val="left" w:pos="720"/>
              </w:tabs>
              <w:spacing w:before="20" w:after="20"/>
              <w:rPr>
                <w:b/>
                <w:noProof/>
                <w:snapToGrid w:val="0"/>
                <w:color w:val="000000"/>
                <w:sz w:val="22"/>
              </w:rPr>
            </w:pPr>
            <w:r>
              <w:rPr>
                <w:b/>
                <w:noProof/>
                <w:sz w:val="22"/>
              </w:rPr>
              <w:t>6.</w:t>
            </w:r>
          </w:p>
        </w:tc>
        <w:tc>
          <w:tcPr>
            <w:tcW w:w="280" w:type="pct"/>
            <w:tcBorders>
              <w:top w:val="dotted" w:sz="4" w:space="0" w:color="auto"/>
              <w:left w:val="nil"/>
              <w:bottom w:val="dotted" w:sz="4" w:space="0" w:color="auto"/>
              <w:right w:val="nil"/>
            </w:tcBorders>
            <w:shd w:val="clear" w:color="auto" w:fill="FFFFFF"/>
            <w:hideMark/>
          </w:tcPr>
          <w:p>
            <w:pPr>
              <w:tabs>
                <w:tab w:val="left" w:pos="770"/>
              </w:tabs>
              <w:spacing w:before="20" w:after="20"/>
              <w:rPr>
                <w:b/>
                <w:noProof/>
                <w:sz w:val="22"/>
              </w:rPr>
            </w:pPr>
            <w:r>
              <w:rPr>
                <w:b/>
                <w:noProof/>
                <w:sz w:val="22"/>
              </w:rPr>
              <w:t>A.3.</w:t>
            </w:r>
          </w:p>
        </w:tc>
        <w:tc>
          <w:tcPr>
            <w:tcW w:w="2516" w:type="pct"/>
            <w:gridSpan w:val="2"/>
            <w:tcBorders>
              <w:top w:val="dotted" w:sz="4" w:space="0" w:color="auto"/>
              <w:left w:val="nil"/>
              <w:bottom w:val="dotted" w:sz="4" w:space="0" w:color="auto"/>
              <w:right w:val="dotted" w:sz="4" w:space="0" w:color="auto"/>
            </w:tcBorders>
            <w:shd w:val="clear" w:color="auto" w:fill="FFFFFF"/>
            <w:hideMark/>
          </w:tcPr>
          <w:p>
            <w:pPr>
              <w:tabs>
                <w:tab w:val="left" w:pos="770"/>
              </w:tabs>
              <w:spacing w:before="20" w:after="20"/>
              <w:rPr>
                <w:b/>
                <w:noProof/>
                <w:snapToGrid w:val="0"/>
                <w:color w:val="000000"/>
                <w:sz w:val="22"/>
              </w:rPr>
            </w:pPr>
            <w:r>
              <w:rPr>
                <w:b/>
                <w:noProof/>
                <w:sz w:val="22"/>
              </w:rPr>
              <w:t>teikti ataskaitas ir reaguoti į pokyčius, susijusius su aukštai esančiais fiktyviais palydovais (angl. HAPS) ir nuotoliniu būdu pilotuojamų orlaivių sistemomis (RPAS).</w:t>
            </w:r>
          </w:p>
        </w:tc>
        <w:tc>
          <w:tcPr>
            <w:tcW w:w="314" w:type="pct"/>
            <w:tcBorders>
              <w:top w:val="dotted" w:sz="4" w:space="0" w:color="auto"/>
              <w:left w:val="dotted" w:sz="4" w:space="0" w:color="auto"/>
              <w:bottom w:val="dotted" w:sz="4" w:space="0" w:color="auto"/>
              <w:right w:val="dotted" w:sz="4" w:space="0" w:color="auto"/>
            </w:tcBorders>
            <w:shd w:val="clear" w:color="auto" w:fill="FFFFFF"/>
            <w:hideMark/>
          </w:tcPr>
          <w:p>
            <w:pPr>
              <w:tabs>
                <w:tab w:val="left" w:pos="720"/>
              </w:tabs>
              <w:spacing w:before="20" w:after="20"/>
              <w:jc w:val="center"/>
              <w:rPr>
                <w:noProof/>
                <w:snapToGrid w:val="0"/>
                <w:color w:val="000000"/>
                <w:sz w:val="22"/>
              </w:rPr>
            </w:pPr>
            <w:r>
              <w:rPr>
                <w:noProof/>
                <w:sz w:val="22"/>
              </w:rPr>
              <w:t>Prireikus vykdoma veikla</w:t>
            </w:r>
          </w:p>
        </w:tc>
        <w:tc>
          <w:tcPr>
            <w:tcW w:w="604"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left"/>
              <w:rPr>
                <w:noProof/>
                <w:snapToGrid w:val="0"/>
                <w:color w:val="000000"/>
                <w:sz w:val="22"/>
              </w:rPr>
            </w:pPr>
            <w:r>
              <w:rPr>
                <w:noProof/>
                <w:sz w:val="22"/>
              </w:rPr>
              <w:t>Susitariančioji šalis</w:t>
            </w:r>
          </w:p>
        </w:tc>
        <w:tc>
          <w:tcPr>
            <w:tcW w:w="729" w:type="pct"/>
            <w:tcBorders>
              <w:top w:val="dotted" w:sz="4" w:space="0" w:color="auto"/>
              <w:left w:val="dotted" w:sz="4" w:space="0" w:color="auto"/>
              <w:bottom w:val="dotted" w:sz="4" w:space="0" w:color="auto"/>
              <w:right w:val="nil"/>
            </w:tcBorders>
            <w:shd w:val="clear" w:color="auto" w:fill="FFFFFF"/>
            <w:hideMark/>
          </w:tcPr>
          <w:p>
            <w:pPr>
              <w:tabs>
                <w:tab w:val="left" w:pos="720"/>
              </w:tabs>
              <w:spacing w:before="20" w:after="20"/>
              <w:rPr>
                <w:noProof/>
                <w:snapToGrid w:val="0"/>
                <w:color w:val="000000"/>
                <w:sz w:val="22"/>
              </w:rPr>
            </w:pPr>
            <w:r>
              <w:rPr>
                <w:noProof/>
                <w:sz w:val="22"/>
              </w:rPr>
              <w:t>ES / EMSA – HAPS ir RPAS</w:t>
            </w:r>
          </w:p>
        </w:tc>
        <w:tc>
          <w:tcPr>
            <w:tcW w:w="342" w:type="pct"/>
            <w:tcBorders>
              <w:top w:val="dotted" w:sz="4" w:space="0" w:color="auto"/>
              <w:left w:val="dotted" w:sz="4" w:space="0" w:color="auto"/>
              <w:bottom w:val="dotted" w:sz="4" w:space="0" w:color="auto"/>
              <w:right w:val="nil"/>
            </w:tcBorders>
            <w:shd w:val="clear" w:color="auto" w:fill="FFFFFF"/>
            <w:hideMark/>
          </w:tcPr>
          <w:p>
            <w:pPr>
              <w:tabs>
                <w:tab w:val="left" w:pos="720"/>
              </w:tabs>
              <w:spacing w:before="20" w:after="20"/>
              <w:rPr>
                <w:noProof/>
                <w:snapToGrid w:val="0"/>
                <w:color w:val="000000"/>
                <w:sz w:val="22"/>
              </w:rPr>
            </w:pPr>
            <w:r>
              <w:rPr>
                <w:noProof/>
                <w:sz w:val="22"/>
              </w:rPr>
              <w:t>Vykdomas</w:t>
            </w:r>
          </w:p>
        </w:tc>
      </w:tr>
      <w:tr>
        <w:trPr>
          <w:cantSplit/>
        </w:trPr>
        <w:tc>
          <w:tcPr>
            <w:tcW w:w="215" w:type="pct"/>
            <w:tcBorders>
              <w:top w:val="dotted" w:sz="4" w:space="0" w:color="auto"/>
              <w:left w:val="single" w:sz="4" w:space="0" w:color="auto"/>
              <w:bottom w:val="dotted" w:sz="4" w:space="0" w:color="auto"/>
              <w:right w:val="dotted" w:sz="4" w:space="0" w:color="auto"/>
            </w:tcBorders>
            <w:shd w:val="clear" w:color="auto" w:fill="FFFFFF"/>
          </w:tcPr>
          <w:p>
            <w:pPr>
              <w:tabs>
                <w:tab w:val="left" w:pos="720"/>
              </w:tabs>
              <w:spacing w:before="20" w:after="20"/>
              <w:rPr>
                <w:b/>
                <w:noProof/>
                <w:snapToGrid w:val="0"/>
                <w:color w:val="000000"/>
                <w:sz w:val="22"/>
              </w:rPr>
            </w:pPr>
          </w:p>
        </w:tc>
        <w:tc>
          <w:tcPr>
            <w:tcW w:w="280" w:type="pct"/>
            <w:tcBorders>
              <w:top w:val="dotted" w:sz="4" w:space="0" w:color="auto"/>
              <w:left w:val="nil"/>
              <w:bottom w:val="dotted" w:sz="4" w:space="0" w:color="auto"/>
              <w:right w:val="nil"/>
            </w:tcBorders>
            <w:shd w:val="clear" w:color="auto" w:fill="FFFFFF"/>
          </w:tcPr>
          <w:p>
            <w:pPr>
              <w:tabs>
                <w:tab w:val="left" w:pos="770"/>
              </w:tabs>
              <w:spacing w:before="20" w:after="20"/>
              <w:rPr>
                <w:b/>
                <w:noProof/>
                <w:color w:val="000000"/>
                <w:sz w:val="22"/>
              </w:rPr>
            </w:pPr>
          </w:p>
        </w:tc>
        <w:tc>
          <w:tcPr>
            <w:tcW w:w="2516" w:type="pct"/>
            <w:gridSpan w:val="2"/>
            <w:tcBorders>
              <w:top w:val="dotted" w:sz="4" w:space="0" w:color="auto"/>
              <w:left w:val="nil"/>
              <w:bottom w:val="dotted" w:sz="4" w:space="0" w:color="auto"/>
              <w:right w:val="dotted" w:sz="4" w:space="0" w:color="auto"/>
            </w:tcBorders>
            <w:shd w:val="clear" w:color="auto" w:fill="FFFFFF"/>
          </w:tcPr>
          <w:p>
            <w:pPr>
              <w:tabs>
                <w:tab w:val="left" w:pos="770"/>
              </w:tabs>
              <w:spacing w:before="20" w:after="20"/>
              <w:rPr>
                <w:b/>
                <w:noProof/>
                <w:color w:val="000000"/>
                <w:sz w:val="22"/>
              </w:rPr>
            </w:pPr>
          </w:p>
        </w:tc>
        <w:tc>
          <w:tcPr>
            <w:tcW w:w="314" w:type="pct"/>
            <w:tcBorders>
              <w:top w:val="dotted" w:sz="4" w:space="0" w:color="auto"/>
              <w:left w:val="dotted" w:sz="4" w:space="0" w:color="auto"/>
              <w:bottom w:val="dotted" w:sz="4" w:space="0" w:color="auto"/>
              <w:right w:val="dotted" w:sz="4" w:space="0" w:color="auto"/>
            </w:tcBorders>
          </w:tcPr>
          <w:p>
            <w:pPr>
              <w:tabs>
                <w:tab w:val="left" w:pos="720"/>
              </w:tabs>
              <w:spacing w:before="20" w:after="20"/>
              <w:jc w:val="center"/>
              <w:rPr>
                <w:noProof/>
                <w:snapToGrid w:val="0"/>
                <w:color w:val="000000"/>
                <w:sz w:val="22"/>
                <w:highlight w:val="yellow"/>
              </w:rPr>
            </w:pPr>
          </w:p>
        </w:tc>
        <w:tc>
          <w:tcPr>
            <w:tcW w:w="604" w:type="pct"/>
            <w:tcBorders>
              <w:top w:val="dotted" w:sz="4" w:space="0" w:color="auto"/>
              <w:left w:val="dotted" w:sz="4" w:space="0" w:color="auto"/>
              <w:bottom w:val="dotted" w:sz="4" w:space="0" w:color="auto"/>
              <w:right w:val="dotted" w:sz="4" w:space="0" w:color="auto"/>
            </w:tcBorders>
          </w:tcPr>
          <w:p>
            <w:pPr>
              <w:tabs>
                <w:tab w:val="left" w:pos="720"/>
              </w:tabs>
              <w:spacing w:before="20" w:after="20"/>
              <w:jc w:val="left"/>
              <w:rPr>
                <w:noProof/>
                <w:snapToGrid w:val="0"/>
                <w:color w:val="000000"/>
                <w:sz w:val="22"/>
              </w:rPr>
            </w:pPr>
          </w:p>
        </w:tc>
        <w:tc>
          <w:tcPr>
            <w:tcW w:w="729" w:type="pct"/>
            <w:tcBorders>
              <w:top w:val="dotted" w:sz="4" w:space="0" w:color="auto"/>
              <w:left w:val="dotted" w:sz="4" w:space="0" w:color="auto"/>
              <w:bottom w:val="dotted" w:sz="4" w:space="0" w:color="auto"/>
              <w:right w:val="nil"/>
            </w:tcBorders>
            <w:shd w:val="clear" w:color="auto" w:fill="FFFFFF"/>
          </w:tcPr>
          <w:p>
            <w:pPr>
              <w:tabs>
                <w:tab w:val="left" w:pos="720"/>
              </w:tabs>
              <w:spacing w:before="20" w:after="20"/>
              <w:rPr>
                <w:noProof/>
                <w:snapToGrid w:val="0"/>
                <w:color w:val="000000"/>
                <w:sz w:val="22"/>
                <w:highlight w:val="yellow"/>
              </w:rPr>
            </w:pPr>
          </w:p>
        </w:tc>
        <w:tc>
          <w:tcPr>
            <w:tcW w:w="342" w:type="pct"/>
            <w:tcBorders>
              <w:top w:val="dotted" w:sz="4" w:space="0" w:color="auto"/>
              <w:left w:val="dotted" w:sz="4" w:space="0" w:color="auto"/>
              <w:bottom w:val="dotted" w:sz="4" w:space="0" w:color="auto"/>
              <w:right w:val="nil"/>
            </w:tcBorders>
            <w:shd w:val="clear" w:color="auto" w:fill="FFFFFF"/>
          </w:tcPr>
          <w:p>
            <w:pPr>
              <w:tabs>
                <w:tab w:val="left" w:pos="720"/>
              </w:tabs>
              <w:spacing w:before="20" w:after="20"/>
              <w:jc w:val="left"/>
              <w:rPr>
                <w:noProof/>
                <w:snapToGrid w:val="0"/>
                <w:color w:val="000000"/>
                <w:sz w:val="22"/>
                <w:highlight w:val="yellow"/>
              </w:rPr>
            </w:pPr>
          </w:p>
        </w:tc>
      </w:tr>
      <w:tr>
        <w:trPr>
          <w:cantSplit/>
        </w:trPr>
        <w:tc>
          <w:tcPr>
            <w:tcW w:w="215" w:type="pct"/>
            <w:tcBorders>
              <w:top w:val="dotted" w:sz="4" w:space="0" w:color="auto"/>
              <w:left w:val="single" w:sz="4" w:space="0" w:color="auto"/>
              <w:bottom w:val="dotted" w:sz="4" w:space="0" w:color="auto"/>
              <w:right w:val="dotted" w:sz="4" w:space="0" w:color="auto"/>
            </w:tcBorders>
            <w:shd w:val="clear" w:color="auto" w:fill="FFFFFF"/>
            <w:hideMark/>
          </w:tcPr>
          <w:p>
            <w:pPr>
              <w:tabs>
                <w:tab w:val="left" w:pos="720"/>
              </w:tabs>
              <w:spacing w:before="20" w:after="20"/>
              <w:rPr>
                <w:b/>
                <w:noProof/>
                <w:snapToGrid w:val="0"/>
                <w:color w:val="000000"/>
                <w:sz w:val="22"/>
                <w:highlight w:val="yellow"/>
              </w:rPr>
            </w:pPr>
            <w:r>
              <w:rPr>
                <w:b/>
                <w:noProof/>
                <w:sz w:val="22"/>
              </w:rPr>
              <w:t>8.</w:t>
            </w:r>
          </w:p>
        </w:tc>
        <w:tc>
          <w:tcPr>
            <w:tcW w:w="280" w:type="pct"/>
            <w:tcBorders>
              <w:top w:val="dotted" w:sz="4" w:space="0" w:color="auto"/>
              <w:left w:val="nil"/>
              <w:bottom w:val="dotted" w:sz="4" w:space="0" w:color="auto"/>
              <w:right w:val="nil"/>
            </w:tcBorders>
            <w:shd w:val="clear" w:color="auto" w:fill="FFFFFF"/>
            <w:hideMark/>
          </w:tcPr>
          <w:p>
            <w:pPr>
              <w:tabs>
                <w:tab w:val="left" w:pos="770"/>
              </w:tabs>
              <w:spacing w:before="20" w:after="20"/>
              <w:rPr>
                <w:b/>
                <w:noProof/>
                <w:sz w:val="22"/>
              </w:rPr>
            </w:pPr>
            <w:r>
              <w:rPr>
                <w:b/>
                <w:noProof/>
                <w:sz w:val="22"/>
              </w:rPr>
              <w:t>A.13.</w:t>
            </w:r>
          </w:p>
        </w:tc>
        <w:tc>
          <w:tcPr>
            <w:tcW w:w="2516" w:type="pct"/>
            <w:gridSpan w:val="2"/>
            <w:tcBorders>
              <w:top w:val="dotted" w:sz="4" w:space="0" w:color="auto"/>
              <w:left w:val="nil"/>
              <w:bottom w:val="dotted" w:sz="4" w:space="0" w:color="auto"/>
              <w:right w:val="dotted" w:sz="4" w:space="0" w:color="auto"/>
            </w:tcBorders>
            <w:shd w:val="clear" w:color="auto" w:fill="FFFFFF"/>
            <w:hideMark/>
          </w:tcPr>
          <w:p>
            <w:pPr>
              <w:tabs>
                <w:tab w:val="left" w:pos="770"/>
              </w:tabs>
              <w:spacing w:before="20" w:after="20"/>
              <w:rPr>
                <w:b/>
                <w:noProof/>
                <w:color w:val="000000"/>
                <w:sz w:val="22"/>
              </w:rPr>
            </w:pPr>
            <w:r>
              <w:rPr>
                <w:b/>
                <w:noProof/>
                <w:sz w:val="22"/>
              </w:rPr>
              <w:t>Remti ir (arba) skatinti eismo atskyrimo sistemų įgyvendinimą ir atkreipti už rizikos mažinimo priemones atsakingų institucijų dėmesį į kitas BE-AWARE projektuose pateiktas rekomendacijas, susijusias su laivų eismo paslaugomis, automatinio identifikavimo sistemomis (AIS) vėjo elektrinėse ir e. navigacija.</w:t>
            </w:r>
          </w:p>
        </w:tc>
        <w:tc>
          <w:tcPr>
            <w:tcW w:w="314"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center"/>
              <w:rPr>
                <w:noProof/>
                <w:snapToGrid w:val="0"/>
                <w:color w:val="000000"/>
                <w:sz w:val="22"/>
                <w:highlight w:val="yellow"/>
              </w:rPr>
            </w:pPr>
            <w:r>
              <w:rPr>
                <w:noProof/>
                <w:sz w:val="22"/>
              </w:rPr>
              <w:t>Vykdomas</w:t>
            </w:r>
          </w:p>
        </w:tc>
        <w:tc>
          <w:tcPr>
            <w:tcW w:w="604"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left"/>
              <w:rPr>
                <w:noProof/>
                <w:snapToGrid w:val="0"/>
                <w:color w:val="000000"/>
                <w:sz w:val="22"/>
                <w:highlight w:val="yellow"/>
              </w:rPr>
            </w:pPr>
            <w:r>
              <w:rPr>
                <w:noProof/>
                <w:sz w:val="22"/>
              </w:rPr>
              <w:t>Susitariančioji šalis</w:t>
            </w:r>
          </w:p>
        </w:tc>
        <w:tc>
          <w:tcPr>
            <w:tcW w:w="729" w:type="pct"/>
            <w:tcBorders>
              <w:top w:val="dotted" w:sz="4" w:space="0" w:color="auto"/>
              <w:left w:val="dotted" w:sz="4" w:space="0" w:color="auto"/>
              <w:bottom w:val="dotted" w:sz="4" w:space="0" w:color="auto"/>
              <w:right w:val="nil"/>
            </w:tcBorders>
            <w:shd w:val="clear" w:color="auto" w:fill="FFFFFF"/>
            <w:hideMark/>
          </w:tcPr>
          <w:p>
            <w:pPr>
              <w:tabs>
                <w:tab w:val="left" w:pos="720"/>
              </w:tabs>
              <w:spacing w:before="20" w:after="20"/>
              <w:rPr>
                <w:noProof/>
                <w:snapToGrid w:val="0"/>
                <w:color w:val="000000"/>
                <w:sz w:val="22"/>
                <w:highlight w:val="yellow"/>
              </w:rPr>
            </w:pPr>
            <w:r>
              <w:rPr>
                <w:noProof/>
                <w:sz w:val="22"/>
              </w:rPr>
              <w:t>Airijoje, Norvegijoje ir Nyderlanduose buvo surengti praktiniai seminarai.</w:t>
            </w:r>
          </w:p>
        </w:tc>
        <w:tc>
          <w:tcPr>
            <w:tcW w:w="342" w:type="pct"/>
            <w:tcBorders>
              <w:top w:val="dotted" w:sz="4" w:space="0" w:color="auto"/>
              <w:left w:val="dotted" w:sz="4" w:space="0" w:color="auto"/>
              <w:bottom w:val="dotted" w:sz="4" w:space="0" w:color="auto"/>
              <w:right w:val="nil"/>
            </w:tcBorders>
            <w:shd w:val="clear" w:color="auto" w:fill="FFFFFF"/>
            <w:hideMark/>
          </w:tcPr>
          <w:p>
            <w:pPr>
              <w:tabs>
                <w:tab w:val="left" w:pos="720"/>
              </w:tabs>
              <w:spacing w:before="20" w:after="20"/>
              <w:jc w:val="left"/>
              <w:rPr>
                <w:noProof/>
                <w:snapToGrid w:val="0"/>
                <w:color w:val="000000"/>
                <w:sz w:val="22"/>
                <w:highlight w:val="yellow"/>
              </w:rPr>
            </w:pPr>
            <w:r>
              <w:rPr>
                <w:noProof/>
                <w:sz w:val="22"/>
              </w:rPr>
              <w:t>Už įgyvendinimą atsakingi skirtingi nacionaliniai departamentai.</w:t>
            </w:r>
          </w:p>
        </w:tc>
      </w:tr>
      <w:tr>
        <w:trPr>
          <w:cantSplit/>
        </w:trPr>
        <w:tc>
          <w:tcPr>
            <w:tcW w:w="215" w:type="pct"/>
            <w:tcBorders>
              <w:top w:val="dotted" w:sz="4" w:space="0" w:color="auto"/>
              <w:left w:val="single" w:sz="4" w:space="0" w:color="auto"/>
              <w:bottom w:val="dotted" w:sz="4" w:space="0" w:color="auto"/>
              <w:right w:val="single" w:sz="4" w:space="0" w:color="auto"/>
            </w:tcBorders>
            <w:shd w:val="clear" w:color="auto" w:fill="FFFFFF"/>
            <w:hideMark/>
          </w:tcPr>
          <w:p>
            <w:pPr>
              <w:tabs>
                <w:tab w:val="left" w:pos="720"/>
              </w:tabs>
              <w:spacing w:before="20" w:after="20"/>
              <w:rPr>
                <w:b/>
                <w:noProof/>
                <w:snapToGrid w:val="0"/>
                <w:color w:val="000000"/>
                <w:sz w:val="22"/>
              </w:rPr>
            </w:pPr>
            <w:r>
              <w:rPr>
                <w:b/>
                <w:noProof/>
                <w:sz w:val="22"/>
              </w:rPr>
              <w:t>9.</w:t>
            </w:r>
          </w:p>
        </w:tc>
        <w:tc>
          <w:tcPr>
            <w:tcW w:w="280" w:type="pct"/>
            <w:tcBorders>
              <w:top w:val="dotted" w:sz="4" w:space="0" w:color="auto"/>
              <w:left w:val="single" w:sz="4" w:space="0" w:color="auto"/>
              <w:bottom w:val="dotted" w:sz="4" w:space="0" w:color="auto"/>
              <w:right w:val="single" w:sz="4" w:space="0" w:color="auto"/>
            </w:tcBorders>
            <w:shd w:val="clear" w:color="auto" w:fill="FFFFFF"/>
            <w:hideMark/>
          </w:tcPr>
          <w:p>
            <w:pPr>
              <w:tabs>
                <w:tab w:val="left" w:pos="770"/>
              </w:tabs>
              <w:spacing w:before="20" w:after="20"/>
              <w:rPr>
                <w:b/>
                <w:noProof/>
                <w:sz w:val="22"/>
              </w:rPr>
            </w:pPr>
            <w:r>
              <w:rPr>
                <w:b/>
                <w:noProof/>
                <w:sz w:val="22"/>
              </w:rPr>
              <w:t>A.6.</w:t>
            </w:r>
          </w:p>
          <w:p>
            <w:pPr>
              <w:tabs>
                <w:tab w:val="left" w:pos="770"/>
              </w:tabs>
              <w:spacing w:before="20" w:after="20"/>
              <w:rPr>
                <w:b/>
                <w:noProof/>
                <w:sz w:val="22"/>
              </w:rPr>
            </w:pPr>
            <w:r>
              <w:rPr>
                <w:b/>
                <w:noProof/>
                <w:sz w:val="22"/>
              </w:rPr>
              <w:t>B.I.</w:t>
            </w:r>
          </w:p>
        </w:tc>
        <w:tc>
          <w:tcPr>
            <w:tcW w:w="2516" w:type="pct"/>
            <w:gridSpan w:val="2"/>
            <w:tcBorders>
              <w:top w:val="dotted" w:sz="4" w:space="0" w:color="auto"/>
              <w:left w:val="single" w:sz="4" w:space="0" w:color="auto"/>
              <w:bottom w:val="dotted" w:sz="4" w:space="0" w:color="auto"/>
              <w:right w:val="dotted" w:sz="4" w:space="0" w:color="auto"/>
            </w:tcBorders>
            <w:shd w:val="clear" w:color="auto" w:fill="FFFFFF"/>
          </w:tcPr>
          <w:p>
            <w:pPr>
              <w:tabs>
                <w:tab w:val="left" w:pos="770"/>
              </w:tabs>
              <w:spacing w:before="20" w:after="20"/>
              <w:rPr>
                <w:b/>
                <w:noProof/>
                <w:sz w:val="22"/>
              </w:rPr>
            </w:pPr>
            <w:r>
              <w:rPr>
                <w:b/>
                <w:noProof/>
                <w:sz w:val="22"/>
              </w:rPr>
              <w:t>Toliau taikyti ir nuolat atnaujinti Oro operacijų vykdymo vadovą.</w:t>
            </w:r>
          </w:p>
          <w:p>
            <w:pPr>
              <w:tabs>
                <w:tab w:val="left" w:pos="770"/>
              </w:tabs>
              <w:spacing w:before="20" w:after="20"/>
              <w:rPr>
                <w:b/>
                <w:noProof/>
                <w:sz w:val="22"/>
              </w:rPr>
            </w:pPr>
          </w:p>
          <w:p>
            <w:pPr>
              <w:tabs>
                <w:tab w:val="left" w:pos="770"/>
              </w:tabs>
              <w:spacing w:before="20" w:after="20"/>
              <w:rPr>
                <w:noProof/>
                <w:snapToGrid w:val="0"/>
                <w:color w:val="000000"/>
                <w:sz w:val="22"/>
              </w:rPr>
            </w:pPr>
          </w:p>
        </w:tc>
        <w:tc>
          <w:tcPr>
            <w:tcW w:w="314" w:type="pct"/>
            <w:tcBorders>
              <w:top w:val="dotted" w:sz="4" w:space="0" w:color="auto"/>
              <w:left w:val="dotted" w:sz="4" w:space="0" w:color="auto"/>
              <w:bottom w:val="dotted" w:sz="4" w:space="0" w:color="auto"/>
              <w:right w:val="dotted" w:sz="4" w:space="0" w:color="auto"/>
            </w:tcBorders>
            <w:shd w:val="clear" w:color="auto" w:fill="FFFFFF"/>
            <w:hideMark/>
          </w:tcPr>
          <w:p>
            <w:pPr>
              <w:tabs>
                <w:tab w:val="left" w:pos="720"/>
              </w:tabs>
              <w:spacing w:before="20" w:after="20"/>
              <w:jc w:val="center"/>
              <w:rPr>
                <w:noProof/>
                <w:snapToGrid w:val="0"/>
                <w:color w:val="000000"/>
                <w:sz w:val="22"/>
              </w:rPr>
            </w:pPr>
            <w:r>
              <w:rPr>
                <w:noProof/>
                <w:sz w:val="22"/>
              </w:rPr>
              <w:t xml:space="preserve">Kasmet OTSOPA </w:t>
            </w:r>
          </w:p>
        </w:tc>
        <w:tc>
          <w:tcPr>
            <w:tcW w:w="604" w:type="pct"/>
            <w:tcBorders>
              <w:top w:val="dotted" w:sz="4" w:space="0" w:color="auto"/>
              <w:left w:val="dotted" w:sz="4" w:space="0" w:color="auto"/>
              <w:bottom w:val="dotted" w:sz="4" w:space="0" w:color="auto"/>
              <w:right w:val="dotted" w:sz="4" w:space="0" w:color="auto"/>
            </w:tcBorders>
            <w:shd w:val="clear" w:color="auto" w:fill="FFFFFF"/>
            <w:hideMark/>
          </w:tcPr>
          <w:p>
            <w:pPr>
              <w:tabs>
                <w:tab w:val="left" w:pos="720"/>
              </w:tabs>
              <w:spacing w:before="20" w:after="20"/>
              <w:jc w:val="left"/>
              <w:rPr>
                <w:noProof/>
                <w:snapToGrid w:val="0"/>
                <w:color w:val="000000"/>
                <w:sz w:val="22"/>
              </w:rPr>
            </w:pPr>
            <w:r>
              <w:rPr>
                <w:noProof/>
                <w:sz w:val="22"/>
              </w:rPr>
              <w:t>NO ir susitariančioji šalis</w:t>
            </w:r>
          </w:p>
        </w:tc>
        <w:tc>
          <w:tcPr>
            <w:tcW w:w="729" w:type="pct"/>
            <w:tcBorders>
              <w:top w:val="dotted" w:sz="4" w:space="0" w:color="auto"/>
              <w:left w:val="dotted" w:sz="4" w:space="0" w:color="auto"/>
              <w:bottom w:val="dotted" w:sz="4" w:space="0" w:color="auto"/>
              <w:right w:val="nil"/>
            </w:tcBorders>
            <w:shd w:val="clear" w:color="auto" w:fill="FFFFFF"/>
          </w:tcPr>
          <w:p>
            <w:pPr>
              <w:tabs>
                <w:tab w:val="left" w:pos="720"/>
              </w:tabs>
              <w:spacing w:before="20" w:after="20"/>
              <w:rPr>
                <w:noProof/>
                <w:snapToGrid w:val="0"/>
                <w:color w:val="000000"/>
                <w:sz w:val="22"/>
              </w:rPr>
            </w:pPr>
          </w:p>
        </w:tc>
        <w:tc>
          <w:tcPr>
            <w:tcW w:w="342" w:type="pct"/>
            <w:tcBorders>
              <w:top w:val="dotted" w:sz="4" w:space="0" w:color="auto"/>
              <w:left w:val="dotted" w:sz="4" w:space="0" w:color="auto"/>
              <w:bottom w:val="dotted" w:sz="4" w:space="0" w:color="auto"/>
              <w:right w:val="nil"/>
            </w:tcBorders>
            <w:shd w:val="clear" w:color="auto" w:fill="FFFFFF"/>
            <w:hideMark/>
          </w:tcPr>
          <w:p>
            <w:pPr>
              <w:tabs>
                <w:tab w:val="left" w:pos="720"/>
              </w:tabs>
              <w:spacing w:before="20" w:after="20"/>
              <w:rPr>
                <w:noProof/>
                <w:snapToGrid w:val="0"/>
                <w:color w:val="000000"/>
                <w:sz w:val="22"/>
              </w:rPr>
            </w:pPr>
            <w:r>
              <w:rPr>
                <w:noProof/>
                <w:sz w:val="22"/>
              </w:rPr>
              <w:t>Vykdomas</w:t>
            </w:r>
          </w:p>
        </w:tc>
      </w:tr>
      <w:tr>
        <w:trPr>
          <w:cantSplit/>
        </w:trPr>
        <w:tc>
          <w:tcPr>
            <w:tcW w:w="215" w:type="pct"/>
            <w:tcBorders>
              <w:top w:val="dotted" w:sz="4" w:space="0" w:color="auto"/>
              <w:left w:val="single" w:sz="4" w:space="0" w:color="auto"/>
              <w:bottom w:val="dotted" w:sz="4" w:space="0" w:color="auto"/>
              <w:right w:val="dotted" w:sz="4" w:space="0" w:color="auto"/>
            </w:tcBorders>
            <w:hideMark/>
          </w:tcPr>
          <w:p>
            <w:pPr>
              <w:tabs>
                <w:tab w:val="left" w:pos="720"/>
              </w:tabs>
              <w:spacing w:before="20" w:after="20"/>
              <w:rPr>
                <w:b/>
                <w:noProof/>
                <w:snapToGrid w:val="0"/>
                <w:color w:val="000000"/>
                <w:sz w:val="22"/>
              </w:rPr>
            </w:pPr>
            <w:r>
              <w:rPr>
                <w:b/>
                <w:noProof/>
                <w:sz w:val="22"/>
              </w:rPr>
              <w:t>10.</w:t>
            </w:r>
          </w:p>
        </w:tc>
        <w:tc>
          <w:tcPr>
            <w:tcW w:w="280" w:type="pct"/>
            <w:tcBorders>
              <w:top w:val="dotted" w:sz="4" w:space="0" w:color="auto"/>
              <w:left w:val="nil"/>
              <w:bottom w:val="dotted" w:sz="4" w:space="0" w:color="auto"/>
              <w:right w:val="nil"/>
            </w:tcBorders>
            <w:hideMark/>
          </w:tcPr>
          <w:p>
            <w:pPr>
              <w:spacing w:after="60"/>
              <w:ind w:left="-21"/>
              <w:rPr>
                <w:b/>
                <w:noProof/>
                <w:sz w:val="22"/>
              </w:rPr>
            </w:pPr>
            <w:r>
              <w:rPr>
                <w:b/>
                <w:noProof/>
                <w:sz w:val="22"/>
              </w:rPr>
              <w:t>A.6.</w:t>
            </w:r>
          </w:p>
          <w:p>
            <w:pPr>
              <w:spacing w:after="60"/>
              <w:ind w:left="-21"/>
              <w:rPr>
                <w:b/>
                <w:noProof/>
                <w:sz w:val="22"/>
              </w:rPr>
            </w:pPr>
            <w:r>
              <w:rPr>
                <w:b/>
                <w:noProof/>
                <w:sz w:val="22"/>
              </w:rPr>
              <w:t>B.I.</w:t>
            </w:r>
          </w:p>
        </w:tc>
        <w:tc>
          <w:tcPr>
            <w:tcW w:w="2516" w:type="pct"/>
            <w:gridSpan w:val="2"/>
            <w:tcBorders>
              <w:top w:val="dotted" w:sz="4" w:space="0" w:color="auto"/>
              <w:left w:val="nil"/>
              <w:bottom w:val="dotted" w:sz="4" w:space="0" w:color="auto"/>
              <w:right w:val="dotted" w:sz="4" w:space="0" w:color="auto"/>
            </w:tcBorders>
          </w:tcPr>
          <w:p>
            <w:pPr>
              <w:spacing w:after="60"/>
              <w:ind w:left="-21"/>
              <w:rPr>
                <w:b/>
                <w:noProof/>
                <w:sz w:val="22"/>
                <w:highlight w:val="yellow"/>
              </w:rPr>
            </w:pPr>
            <w:r>
              <w:rPr>
                <w:b/>
                <w:noProof/>
                <w:sz w:val="22"/>
              </w:rPr>
              <w:t>Tvarkyti orlaivių įgulos nariams ir ekspertams skirtą Bonos susitarimo kodekso dėl naftos atsiradimo elektroninę versiją, įskaitant nuotraukų atlasą, kaip Bonos susitarimo interneto svetainės atnaujinimo dalį.</w:t>
            </w:r>
          </w:p>
          <w:p>
            <w:pPr>
              <w:tabs>
                <w:tab w:val="left" w:pos="770"/>
              </w:tabs>
              <w:spacing w:before="20" w:after="20"/>
              <w:rPr>
                <w:b/>
                <w:noProof/>
                <w:sz w:val="22"/>
              </w:rPr>
            </w:pPr>
          </w:p>
          <w:p>
            <w:pPr>
              <w:tabs>
                <w:tab w:val="left" w:pos="770"/>
              </w:tabs>
              <w:spacing w:before="20" w:after="20"/>
              <w:rPr>
                <w:noProof/>
                <w:snapToGrid w:val="0"/>
                <w:color w:val="000000"/>
                <w:sz w:val="22"/>
              </w:rPr>
            </w:pPr>
          </w:p>
        </w:tc>
        <w:tc>
          <w:tcPr>
            <w:tcW w:w="314"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center"/>
              <w:rPr>
                <w:noProof/>
                <w:snapToGrid w:val="0"/>
                <w:color w:val="000000"/>
                <w:sz w:val="22"/>
              </w:rPr>
            </w:pPr>
            <w:r>
              <w:rPr>
                <w:noProof/>
                <w:sz w:val="22"/>
              </w:rPr>
              <w:t>Prireikus vykdoma veikla</w:t>
            </w:r>
          </w:p>
        </w:tc>
        <w:tc>
          <w:tcPr>
            <w:tcW w:w="604"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left"/>
              <w:rPr>
                <w:noProof/>
                <w:snapToGrid w:val="0"/>
                <w:color w:val="000000"/>
                <w:sz w:val="22"/>
              </w:rPr>
            </w:pPr>
            <w:r>
              <w:rPr>
                <w:noProof/>
                <w:sz w:val="22"/>
              </w:rPr>
              <w:t>FR ir susitariančioji šalis</w:t>
            </w:r>
          </w:p>
        </w:tc>
        <w:tc>
          <w:tcPr>
            <w:tcW w:w="729" w:type="pct"/>
            <w:tcBorders>
              <w:top w:val="dotted" w:sz="4" w:space="0" w:color="auto"/>
              <w:left w:val="dotted" w:sz="4" w:space="0" w:color="auto"/>
              <w:bottom w:val="dotted" w:sz="4" w:space="0" w:color="auto"/>
              <w:right w:val="nil"/>
            </w:tcBorders>
          </w:tcPr>
          <w:p>
            <w:pPr>
              <w:tabs>
                <w:tab w:val="left" w:pos="720"/>
              </w:tabs>
              <w:spacing w:before="20" w:after="20"/>
              <w:rPr>
                <w:noProof/>
                <w:snapToGrid w:val="0"/>
                <w:color w:val="000000"/>
                <w:sz w:val="22"/>
              </w:rPr>
            </w:pPr>
          </w:p>
        </w:tc>
        <w:tc>
          <w:tcPr>
            <w:tcW w:w="342" w:type="pct"/>
            <w:tcBorders>
              <w:top w:val="dotted" w:sz="4" w:space="0" w:color="auto"/>
              <w:left w:val="dotted" w:sz="4" w:space="0" w:color="auto"/>
              <w:bottom w:val="dotted" w:sz="4" w:space="0" w:color="auto"/>
              <w:right w:val="nil"/>
            </w:tcBorders>
            <w:hideMark/>
          </w:tcPr>
          <w:p>
            <w:pPr>
              <w:tabs>
                <w:tab w:val="left" w:pos="720"/>
              </w:tabs>
              <w:spacing w:before="20" w:after="20"/>
              <w:rPr>
                <w:noProof/>
                <w:snapToGrid w:val="0"/>
                <w:color w:val="000000"/>
                <w:sz w:val="22"/>
              </w:rPr>
            </w:pPr>
            <w:r>
              <w:rPr>
                <w:noProof/>
                <w:sz w:val="22"/>
              </w:rPr>
              <w:t>Vykdomas</w:t>
            </w:r>
          </w:p>
        </w:tc>
      </w:tr>
      <w:tr>
        <w:trPr>
          <w:cantSplit/>
        </w:trPr>
        <w:tc>
          <w:tcPr>
            <w:tcW w:w="215" w:type="pct"/>
            <w:tcBorders>
              <w:top w:val="dotted" w:sz="4" w:space="0" w:color="auto"/>
              <w:left w:val="single" w:sz="4" w:space="0" w:color="auto"/>
              <w:bottom w:val="dotted" w:sz="4" w:space="0" w:color="auto"/>
              <w:right w:val="dotted" w:sz="4" w:space="0" w:color="auto"/>
            </w:tcBorders>
            <w:hideMark/>
          </w:tcPr>
          <w:p>
            <w:pPr>
              <w:tabs>
                <w:tab w:val="left" w:pos="720"/>
              </w:tabs>
              <w:spacing w:before="20" w:after="20"/>
              <w:rPr>
                <w:b/>
                <w:noProof/>
                <w:snapToGrid w:val="0"/>
                <w:color w:val="000000"/>
                <w:sz w:val="22"/>
              </w:rPr>
            </w:pPr>
            <w:r>
              <w:rPr>
                <w:b/>
                <w:noProof/>
                <w:sz w:val="22"/>
              </w:rPr>
              <w:t>11.</w:t>
            </w:r>
          </w:p>
        </w:tc>
        <w:tc>
          <w:tcPr>
            <w:tcW w:w="280" w:type="pct"/>
            <w:tcBorders>
              <w:top w:val="dotted" w:sz="4" w:space="0" w:color="auto"/>
              <w:left w:val="nil"/>
              <w:bottom w:val="dotted" w:sz="4" w:space="0" w:color="auto"/>
              <w:right w:val="nil"/>
            </w:tcBorders>
          </w:tcPr>
          <w:p>
            <w:pPr>
              <w:tabs>
                <w:tab w:val="left" w:pos="-21"/>
              </w:tabs>
              <w:spacing w:after="60"/>
              <w:rPr>
                <w:b/>
                <w:noProof/>
                <w:sz w:val="22"/>
              </w:rPr>
            </w:pPr>
            <w:r>
              <w:rPr>
                <w:b/>
                <w:noProof/>
                <w:sz w:val="22"/>
              </w:rPr>
              <w:t>A.4.</w:t>
            </w:r>
          </w:p>
          <w:p>
            <w:pPr>
              <w:tabs>
                <w:tab w:val="left" w:pos="-21"/>
              </w:tabs>
              <w:spacing w:after="60"/>
              <w:rPr>
                <w:b/>
                <w:noProof/>
                <w:sz w:val="22"/>
              </w:rPr>
            </w:pPr>
            <w:r>
              <w:rPr>
                <w:b/>
                <w:noProof/>
                <w:sz w:val="22"/>
              </w:rPr>
              <w:t>A.5.</w:t>
            </w:r>
          </w:p>
          <w:p>
            <w:pPr>
              <w:tabs>
                <w:tab w:val="left" w:pos="-21"/>
              </w:tabs>
              <w:spacing w:after="60"/>
              <w:rPr>
                <w:b/>
                <w:noProof/>
                <w:sz w:val="22"/>
              </w:rPr>
            </w:pPr>
            <w:r>
              <w:rPr>
                <w:b/>
                <w:noProof/>
                <w:sz w:val="22"/>
              </w:rPr>
              <w:t>A.10.</w:t>
            </w:r>
          </w:p>
          <w:p>
            <w:pPr>
              <w:tabs>
                <w:tab w:val="left" w:pos="-21"/>
              </w:tabs>
              <w:spacing w:after="60"/>
              <w:rPr>
                <w:b/>
                <w:noProof/>
                <w:sz w:val="22"/>
              </w:rPr>
            </w:pPr>
          </w:p>
        </w:tc>
        <w:tc>
          <w:tcPr>
            <w:tcW w:w="2516" w:type="pct"/>
            <w:gridSpan w:val="2"/>
            <w:tcBorders>
              <w:top w:val="dotted" w:sz="4" w:space="0" w:color="auto"/>
              <w:left w:val="nil"/>
              <w:bottom w:val="dotted" w:sz="4" w:space="0" w:color="auto"/>
              <w:right w:val="dotted" w:sz="4" w:space="0" w:color="auto"/>
            </w:tcBorders>
            <w:hideMark/>
          </w:tcPr>
          <w:p>
            <w:pPr>
              <w:tabs>
                <w:tab w:val="left" w:pos="-21"/>
              </w:tabs>
              <w:spacing w:after="60"/>
              <w:rPr>
                <w:b/>
                <w:noProof/>
                <w:sz w:val="22"/>
              </w:rPr>
            </w:pPr>
            <w:r>
              <w:rPr>
                <w:b/>
                <w:noProof/>
                <w:sz w:val="22"/>
              </w:rPr>
              <w:t>Stiprinti ir plėsti bendradarbiavimą pažeidimų nustatymo ir stebėjimo srityje, atsižvelgiant į MARPOL konvencijos priedus ir indėlį užtikrinant vykdymą ir palaikant ryšius su IMO.</w:t>
            </w:r>
          </w:p>
        </w:tc>
        <w:tc>
          <w:tcPr>
            <w:tcW w:w="314"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center"/>
              <w:rPr>
                <w:noProof/>
                <w:snapToGrid w:val="0"/>
                <w:color w:val="000000"/>
                <w:sz w:val="22"/>
              </w:rPr>
            </w:pPr>
            <w:r>
              <w:rPr>
                <w:noProof/>
                <w:sz w:val="22"/>
              </w:rPr>
              <w:t>Vykdomas</w:t>
            </w:r>
          </w:p>
        </w:tc>
        <w:tc>
          <w:tcPr>
            <w:tcW w:w="604"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left"/>
              <w:rPr>
                <w:noProof/>
                <w:snapToGrid w:val="0"/>
                <w:color w:val="000000"/>
                <w:sz w:val="22"/>
              </w:rPr>
            </w:pPr>
            <w:r>
              <w:rPr>
                <w:noProof/>
                <w:sz w:val="22"/>
              </w:rPr>
              <w:t>Susitariančioji šalis / NSN / sekretoriatas</w:t>
            </w:r>
          </w:p>
        </w:tc>
        <w:tc>
          <w:tcPr>
            <w:tcW w:w="729" w:type="pct"/>
            <w:tcBorders>
              <w:top w:val="dotted" w:sz="4" w:space="0" w:color="auto"/>
              <w:left w:val="dotted" w:sz="4" w:space="0" w:color="auto"/>
              <w:bottom w:val="dotted" w:sz="4" w:space="0" w:color="auto"/>
              <w:right w:val="nil"/>
            </w:tcBorders>
          </w:tcPr>
          <w:p>
            <w:pPr>
              <w:tabs>
                <w:tab w:val="left" w:pos="720"/>
              </w:tabs>
              <w:spacing w:before="20" w:after="20"/>
              <w:rPr>
                <w:noProof/>
                <w:snapToGrid w:val="0"/>
                <w:color w:val="000000"/>
                <w:sz w:val="22"/>
              </w:rPr>
            </w:pPr>
          </w:p>
        </w:tc>
        <w:tc>
          <w:tcPr>
            <w:tcW w:w="342" w:type="pct"/>
            <w:tcBorders>
              <w:top w:val="dotted" w:sz="4" w:space="0" w:color="auto"/>
              <w:left w:val="dotted" w:sz="4" w:space="0" w:color="auto"/>
              <w:bottom w:val="dotted" w:sz="4" w:space="0" w:color="auto"/>
              <w:right w:val="nil"/>
            </w:tcBorders>
            <w:hideMark/>
          </w:tcPr>
          <w:p>
            <w:pPr>
              <w:tabs>
                <w:tab w:val="left" w:pos="505"/>
              </w:tabs>
              <w:spacing w:before="20" w:after="20"/>
              <w:ind w:left="80" w:right="135"/>
              <w:rPr>
                <w:noProof/>
                <w:snapToGrid w:val="0"/>
                <w:color w:val="000000"/>
                <w:sz w:val="22"/>
              </w:rPr>
            </w:pPr>
            <w:r>
              <w:rPr>
                <w:noProof/>
                <w:sz w:val="22"/>
              </w:rPr>
              <w:t xml:space="preserve">Vykdomas </w:t>
            </w:r>
          </w:p>
        </w:tc>
      </w:tr>
      <w:tr>
        <w:trPr>
          <w:cantSplit/>
        </w:trPr>
        <w:tc>
          <w:tcPr>
            <w:tcW w:w="215" w:type="pct"/>
            <w:tcBorders>
              <w:top w:val="dotted" w:sz="4" w:space="0" w:color="auto"/>
              <w:left w:val="single" w:sz="4" w:space="0" w:color="auto"/>
              <w:bottom w:val="dotted" w:sz="4" w:space="0" w:color="auto"/>
              <w:right w:val="dotted" w:sz="4" w:space="0" w:color="auto"/>
            </w:tcBorders>
            <w:hideMark/>
          </w:tcPr>
          <w:p>
            <w:pPr>
              <w:tabs>
                <w:tab w:val="left" w:pos="720"/>
              </w:tabs>
              <w:spacing w:before="20" w:after="20"/>
              <w:rPr>
                <w:b/>
                <w:noProof/>
                <w:snapToGrid w:val="0"/>
                <w:color w:val="000000"/>
                <w:sz w:val="22"/>
              </w:rPr>
            </w:pPr>
            <w:r>
              <w:rPr>
                <w:b/>
                <w:noProof/>
                <w:sz w:val="22"/>
              </w:rPr>
              <w:t>12.</w:t>
            </w:r>
          </w:p>
        </w:tc>
        <w:tc>
          <w:tcPr>
            <w:tcW w:w="280" w:type="pct"/>
            <w:tcBorders>
              <w:top w:val="dotted" w:sz="4" w:space="0" w:color="auto"/>
              <w:left w:val="nil"/>
              <w:bottom w:val="dotted" w:sz="4" w:space="0" w:color="auto"/>
              <w:right w:val="nil"/>
            </w:tcBorders>
            <w:hideMark/>
          </w:tcPr>
          <w:p>
            <w:pPr>
              <w:tabs>
                <w:tab w:val="left" w:pos="-21"/>
              </w:tabs>
              <w:spacing w:after="60"/>
              <w:rPr>
                <w:b/>
                <w:noProof/>
                <w:color w:val="000000"/>
                <w:sz w:val="21"/>
                <w:szCs w:val="21"/>
              </w:rPr>
            </w:pPr>
            <w:r>
              <w:rPr>
                <w:b/>
                <w:noProof/>
                <w:sz w:val="21"/>
                <w:szCs w:val="21"/>
              </w:rPr>
              <w:t>A.5.</w:t>
            </w:r>
          </w:p>
          <w:p>
            <w:pPr>
              <w:tabs>
                <w:tab w:val="left" w:pos="-21"/>
              </w:tabs>
              <w:spacing w:after="60"/>
              <w:rPr>
                <w:b/>
                <w:noProof/>
                <w:color w:val="000000"/>
                <w:sz w:val="21"/>
                <w:szCs w:val="21"/>
              </w:rPr>
            </w:pPr>
            <w:r>
              <w:rPr>
                <w:b/>
                <w:noProof/>
                <w:sz w:val="21"/>
                <w:szCs w:val="21"/>
              </w:rPr>
              <w:t>A.10.</w:t>
            </w:r>
          </w:p>
        </w:tc>
        <w:tc>
          <w:tcPr>
            <w:tcW w:w="2516" w:type="pct"/>
            <w:gridSpan w:val="2"/>
            <w:tcBorders>
              <w:top w:val="dotted" w:sz="4" w:space="0" w:color="auto"/>
              <w:left w:val="nil"/>
              <w:bottom w:val="dotted" w:sz="4" w:space="0" w:color="auto"/>
              <w:right w:val="dotted" w:sz="4" w:space="0" w:color="auto"/>
            </w:tcBorders>
            <w:hideMark/>
          </w:tcPr>
          <w:p>
            <w:pPr>
              <w:tabs>
                <w:tab w:val="left" w:pos="-21"/>
              </w:tabs>
              <w:spacing w:after="60"/>
              <w:rPr>
                <w:b/>
                <w:noProof/>
                <w:sz w:val="22"/>
              </w:rPr>
            </w:pPr>
            <w:r>
              <w:rPr>
                <w:b/>
                <w:noProof/>
                <w:color w:val="212121"/>
                <w:sz w:val="21"/>
                <w:szCs w:val="21"/>
              </w:rPr>
              <w:t>Apsvarstyti galimybę parengti bendrą techninę strategiją ir veiklos metodą, kad būtų galima stebėti, kaip laikomasi reikalavimų dėl NO</w:t>
            </w:r>
            <w:r>
              <w:rPr>
                <w:b/>
                <w:noProof/>
                <w:color w:val="212121"/>
                <w:sz w:val="21"/>
                <w:szCs w:val="21"/>
                <w:vertAlign w:val="subscript"/>
              </w:rPr>
              <w:t>x</w:t>
            </w:r>
            <w:r>
              <w:rPr>
                <w:b/>
                <w:noProof/>
                <w:color w:val="212121"/>
                <w:sz w:val="21"/>
                <w:szCs w:val="21"/>
              </w:rPr>
              <w:t xml:space="preserve"> ir SO</w:t>
            </w:r>
            <w:r>
              <w:rPr>
                <w:b/>
                <w:noProof/>
                <w:color w:val="212121"/>
                <w:sz w:val="21"/>
                <w:szCs w:val="21"/>
                <w:vertAlign w:val="subscript"/>
              </w:rPr>
              <w:t>x</w:t>
            </w:r>
            <w:r>
              <w:rPr>
                <w:b/>
                <w:noProof/>
                <w:sz w:val="21"/>
                <w:szCs w:val="21"/>
              </w:rPr>
              <w:t>.</w:t>
            </w:r>
          </w:p>
        </w:tc>
        <w:tc>
          <w:tcPr>
            <w:tcW w:w="314" w:type="pct"/>
            <w:tcBorders>
              <w:top w:val="dotted" w:sz="4" w:space="0" w:color="auto"/>
              <w:left w:val="dotted" w:sz="4" w:space="0" w:color="auto"/>
              <w:bottom w:val="dotted" w:sz="4" w:space="0" w:color="auto"/>
              <w:right w:val="dotted" w:sz="4" w:space="0" w:color="auto"/>
            </w:tcBorders>
          </w:tcPr>
          <w:p>
            <w:pPr>
              <w:tabs>
                <w:tab w:val="left" w:pos="720"/>
              </w:tabs>
              <w:spacing w:before="20" w:after="20"/>
              <w:jc w:val="center"/>
              <w:rPr>
                <w:noProof/>
                <w:snapToGrid w:val="0"/>
                <w:color w:val="000000"/>
                <w:sz w:val="22"/>
              </w:rPr>
            </w:pPr>
          </w:p>
        </w:tc>
        <w:tc>
          <w:tcPr>
            <w:tcW w:w="604"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left"/>
              <w:rPr>
                <w:noProof/>
                <w:snapToGrid w:val="0"/>
                <w:color w:val="000000"/>
                <w:sz w:val="22"/>
              </w:rPr>
            </w:pPr>
            <w:r>
              <w:rPr>
                <w:noProof/>
                <w:sz w:val="22"/>
              </w:rPr>
              <w:t>BE, DK (dar nepatvirtinta), FR</w:t>
            </w:r>
            <w:r>
              <w:rPr>
                <w:noProof/>
                <w:sz w:val="22"/>
              </w:rPr>
              <w:br/>
              <w:t>NL?  EMSA (dar nepatvirtinta)</w:t>
            </w:r>
          </w:p>
        </w:tc>
        <w:tc>
          <w:tcPr>
            <w:tcW w:w="729" w:type="pct"/>
            <w:tcBorders>
              <w:top w:val="dotted" w:sz="4" w:space="0" w:color="auto"/>
              <w:left w:val="dotted" w:sz="4" w:space="0" w:color="auto"/>
              <w:bottom w:val="dotted" w:sz="4" w:space="0" w:color="auto"/>
              <w:right w:val="nil"/>
            </w:tcBorders>
          </w:tcPr>
          <w:p>
            <w:pPr>
              <w:tabs>
                <w:tab w:val="left" w:pos="720"/>
              </w:tabs>
              <w:spacing w:before="20" w:after="20"/>
              <w:rPr>
                <w:noProof/>
                <w:snapToGrid w:val="0"/>
                <w:color w:val="000000"/>
                <w:sz w:val="22"/>
              </w:rPr>
            </w:pPr>
          </w:p>
        </w:tc>
        <w:tc>
          <w:tcPr>
            <w:tcW w:w="342" w:type="pct"/>
            <w:tcBorders>
              <w:top w:val="dotted" w:sz="4" w:space="0" w:color="auto"/>
              <w:left w:val="dotted" w:sz="4" w:space="0" w:color="auto"/>
              <w:bottom w:val="dotted" w:sz="4" w:space="0" w:color="auto"/>
              <w:right w:val="nil"/>
            </w:tcBorders>
            <w:hideMark/>
          </w:tcPr>
          <w:p>
            <w:pPr>
              <w:tabs>
                <w:tab w:val="left" w:pos="505"/>
              </w:tabs>
              <w:spacing w:before="20" w:after="20"/>
              <w:ind w:left="80" w:right="135"/>
              <w:rPr>
                <w:noProof/>
                <w:snapToGrid w:val="0"/>
                <w:color w:val="000000"/>
                <w:sz w:val="22"/>
              </w:rPr>
            </w:pPr>
            <w:r>
              <w:rPr>
                <w:noProof/>
                <w:sz w:val="22"/>
              </w:rPr>
              <w:t>Naujas</w:t>
            </w:r>
          </w:p>
        </w:tc>
      </w:tr>
      <w:tr>
        <w:trPr>
          <w:cantSplit/>
        </w:trPr>
        <w:tc>
          <w:tcPr>
            <w:tcW w:w="215" w:type="pct"/>
            <w:tcBorders>
              <w:top w:val="dotted" w:sz="4" w:space="0" w:color="auto"/>
              <w:left w:val="single" w:sz="4" w:space="0" w:color="auto"/>
              <w:bottom w:val="dotted" w:sz="4" w:space="0" w:color="auto"/>
              <w:right w:val="dotted" w:sz="4" w:space="0" w:color="auto"/>
            </w:tcBorders>
            <w:hideMark/>
          </w:tcPr>
          <w:p>
            <w:pPr>
              <w:tabs>
                <w:tab w:val="left" w:pos="720"/>
              </w:tabs>
              <w:spacing w:before="20" w:after="20"/>
              <w:rPr>
                <w:b/>
                <w:noProof/>
                <w:snapToGrid w:val="0"/>
                <w:color w:val="000000"/>
                <w:sz w:val="22"/>
              </w:rPr>
            </w:pPr>
            <w:r>
              <w:rPr>
                <w:b/>
                <w:noProof/>
                <w:sz w:val="22"/>
              </w:rPr>
              <w:t>13.</w:t>
            </w:r>
          </w:p>
        </w:tc>
        <w:tc>
          <w:tcPr>
            <w:tcW w:w="280" w:type="pct"/>
            <w:tcBorders>
              <w:top w:val="dotted" w:sz="4" w:space="0" w:color="auto"/>
              <w:left w:val="nil"/>
              <w:bottom w:val="dotted" w:sz="4" w:space="0" w:color="auto"/>
              <w:right w:val="nil"/>
            </w:tcBorders>
            <w:hideMark/>
          </w:tcPr>
          <w:p>
            <w:pPr>
              <w:tabs>
                <w:tab w:val="left" w:pos="-21"/>
              </w:tabs>
              <w:spacing w:after="60"/>
              <w:rPr>
                <w:b/>
                <w:noProof/>
                <w:sz w:val="22"/>
              </w:rPr>
            </w:pPr>
            <w:r>
              <w:rPr>
                <w:b/>
                <w:noProof/>
                <w:sz w:val="22"/>
              </w:rPr>
              <w:t>A.7.</w:t>
            </w:r>
          </w:p>
          <w:p>
            <w:pPr>
              <w:tabs>
                <w:tab w:val="left" w:pos="-21"/>
              </w:tabs>
              <w:spacing w:after="60"/>
              <w:rPr>
                <w:b/>
                <w:noProof/>
                <w:sz w:val="22"/>
              </w:rPr>
            </w:pPr>
            <w:r>
              <w:rPr>
                <w:b/>
                <w:noProof/>
                <w:sz w:val="22"/>
              </w:rPr>
              <w:t>A.9.</w:t>
            </w:r>
          </w:p>
        </w:tc>
        <w:tc>
          <w:tcPr>
            <w:tcW w:w="2516" w:type="pct"/>
            <w:gridSpan w:val="2"/>
            <w:tcBorders>
              <w:top w:val="dotted" w:sz="4" w:space="0" w:color="auto"/>
              <w:left w:val="nil"/>
              <w:bottom w:val="dotted" w:sz="4" w:space="0" w:color="auto"/>
              <w:right w:val="dotted" w:sz="4" w:space="0" w:color="auto"/>
            </w:tcBorders>
          </w:tcPr>
          <w:p>
            <w:pPr>
              <w:tabs>
                <w:tab w:val="left" w:pos="-21"/>
              </w:tabs>
              <w:spacing w:after="60"/>
              <w:rPr>
                <w:b/>
                <w:noProof/>
                <w:sz w:val="22"/>
              </w:rPr>
            </w:pPr>
            <w:r>
              <w:rPr>
                <w:b/>
                <w:noProof/>
                <w:sz w:val="22"/>
              </w:rPr>
              <w:t>Stiprinti bendradarbiavimą su Šiaurės jūros tyrėjų ir prokurorų tinklu (NSN) ir kartu:</w:t>
            </w:r>
          </w:p>
          <w:p>
            <w:pPr>
              <w:spacing w:after="60"/>
              <w:ind w:left="546" w:hanging="567"/>
              <w:rPr>
                <w:b/>
                <w:noProof/>
                <w:sz w:val="22"/>
              </w:rPr>
            </w:pPr>
            <w:r>
              <w:rPr>
                <w:b/>
                <w:noProof/>
                <w:sz w:val="22"/>
              </w:rPr>
              <w:t>a.</w:t>
            </w:r>
            <w:r>
              <w:rPr>
                <w:b/>
                <w:noProof/>
                <w:sz w:val="22"/>
              </w:rPr>
              <w:tab/>
              <w:t>toliau taikyti ir nuolat atnaujinti Šiaurės jūros vadovą dėl pažeidimų jūros taršos nafta srityje;</w:t>
            </w:r>
          </w:p>
          <w:p>
            <w:pPr>
              <w:spacing w:after="60"/>
              <w:ind w:left="546" w:hanging="567"/>
              <w:rPr>
                <w:b/>
                <w:noProof/>
                <w:sz w:val="22"/>
              </w:rPr>
            </w:pPr>
            <w:r>
              <w:rPr>
                <w:b/>
                <w:noProof/>
                <w:sz w:val="22"/>
              </w:rPr>
              <w:t>b.</w:t>
            </w:r>
            <w:r>
              <w:rPr>
                <w:b/>
                <w:noProof/>
                <w:sz w:val="22"/>
              </w:rPr>
              <w:tab/>
              <w:t>rengti praktinius seminarus abiem šalims svarbiais klausimais;</w:t>
            </w:r>
          </w:p>
          <w:p>
            <w:pPr>
              <w:spacing w:after="60"/>
              <w:ind w:left="546" w:hanging="567"/>
              <w:rPr>
                <w:b/>
                <w:noProof/>
                <w:sz w:val="22"/>
              </w:rPr>
            </w:pPr>
            <w:r>
              <w:rPr>
                <w:b/>
                <w:noProof/>
                <w:sz w:val="22"/>
              </w:rPr>
              <w:t xml:space="preserve">c. </w:t>
            </w:r>
            <w:r>
              <w:rPr>
                <w:b/>
                <w:noProof/>
                <w:sz w:val="22"/>
              </w:rPr>
              <w:tab/>
              <w:t>padėti, kai tai naudinga, skelbti apkaltinamuosius nuosprendžius ir nustatyti laivybos bendrovių veiklos rezultatus aplinkos srityje.</w:t>
            </w:r>
          </w:p>
          <w:p>
            <w:pPr>
              <w:tabs>
                <w:tab w:val="left" w:pos="770"/>
              </w:tabs>
              <w:spacing w:before="20" w:after="20"/>
              <w:rPr>
                <w:noProof/>
                <w:snapToGrid w:val="0"/>
                <w:color w:val="000000"/>
                <w:sz w:val="22"/>
              </w:rPr>
            </w:pPr>
          </w:p>
        </w:tc>
        <w:tc>
          <w:tcPr>
            <w:tcW w:w="314" w:type="pct"/>
            <w:tcBorders>
              <w:top w:val="dotted" w:sz="4" w:space="0" w:color="auto"/>
              <w:left w:val="dotted" w:sz="4" w:space="0" w:color="auto"/>
              <w:bottom w:val="dotted" w:sz="4" w:space="0" w:color="auto"/>
              <w:right w:val="dotted" w:sz="4" w:space="0" w:color="auto"/>
            </w:tcBorders>
          </w:tcPr>
          <w:p>
            <w:pPr>
              <w:tabs>
                <w:tab w:val="left" w:pos="720"/>
              </w:tabs>
              <w:spacing w:before="20" w:after="20"/>
              <w:jc w:val="center"/>
              <w:rPr>
                <w:noProof/>
                <w:snapToGrid w:val="0"/>
                <w:color w:val="000000"/>
                <w:sz w:val="22"/>
              </w:rPr>
            </w:pPr>
          </w:p>
          <w:p>
            <w:pPr>
              <w:tabs>
                <w:tab w:val="left" w:pos="720"/>
              </w:tabs>
              <w:spacing w:before="20" w:after="20"/>
              <w:jc w:val="center"/>
              <w:rPr>
                <w:noProof/>
                <w:snapToGrid w:val="0"/>
                <w:color w:val="000000"/>
                <w:sz w:val="22"/>
              </w:rPr>
            </w:pPr>
          </w:p>
        </w:tc>
        <w:tc>
          <w:tcPr>
            <w:tcW w:w="604"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left"/>
              <w:rPr>
                <w:noProof/>
                <w:snapToGrid w:val="0"/>
                <w:color w:val="000000"/>
                <w:sz w:val="22"/>
              </w:rPr>
            </w:pPr>
            <w:r>
              <w:rPr>
                <w:noProof/>
                <w:sz w:val="22"/>
              </w:rPr>
              <w:t>NL / sekretoriatas</w:t>
            </w:r>
          </w:p>
        </w:tc>
        <w:tc>
          <w:tcPr>
            <w:tcW w:w="729" w:type="pct"/>
            <w:tcBorders>
              <w:top w:val="dotted" w:sz="4" w:space="0" w:color="auto"/>
              <w:left w:val="dotted" w:sz="4" w:space="0" w:color="auto"/>
              <w:bottom w:val="dotted" w:sz="4" w:space="0" w:color="auto"/>
              <w:right w:val="nil"/>
            </w:tcBorders>
            <w:hideMark/>
          </w:tcPr>
          <w:p>
            <w:pPr>
              <w:tabs>
                <w:tab w:val="left" w:pos="720"/>
              </w:tabs>
              <w:spacing w:before="20" w:after="20"/>
              <w:rPr>
                <w:noProof/>
                <w:snapToGrid w:val="0"/>
                <w:color w:val="000000"/>
                <w:sz w:val="22"/>
              </w:rPr>
            </w:pPr>
            <w:r>
              <w:rPr>
                <w:noProof/>
                <w:sz w:val="22"/>
              </w:rPr>
              <w:t>Galimos 2019–2025 m. seminarų temos:</w:t>
            </w:r>
          </w:p>
          <w:p>
            <w:pPr>
              <w:tabs>
                <w:tab w:val="left" w:pos="720"/>
              </w:tabs>
              <w:spacing w:before="20" w:after="20"/>
              <w:rPr>
                <w:noProof/>
                <w:snapToGrid w:val="0"/>
                <w:color w:val="000000"/>
                <w:sz w:val="22"/>
              </w:rPr>
            </w:pPr>
            <w:r>
              <w:rPr>
                <w:noProof/>
                <w:sz w:val="22"/>
              </w:rPr>
              <w:t>Pavojingos ir kenksmingos medžiagos</w:t>
            </w:r>
          </w:p>
          <w:p>
            <w:pPr>
              <w:tabs>
                <w:tab w:val="left" w:pos="720"/>
              </w:tabs>
              <w:spacing w:before="20" w:after="20"/>
              <w:rPr>
                <w:noProof/>
                <w:snapToGrid w:val="0"/>
                <w:color w:val="000000"/>
                <w:sz w:val="22"/>
              </w:rPr>
            </w:pPr>
            <w:r>
              <w:rPr>
                <w:noProof/>
                <w:sz w:val="22"/>
              </w:rPr>
              <w:t>Į jūrą išmestos šiukšlės</w:t>
            </w:r>
          </w:p>
        </w:tc>
        <w:tc>
          <w:tcPr>
            <w:tcW w:w="342" w:type="pct"/>
            <w:tcBorders>
              <w:top w:val="dotted" w:sz="4" w:space="0" w:color="auto"/>
              <w:left w:val="dotted" w:sz="4" w:space="0" w:color="auto"/>
              <w:bottom w:val="dotted" w:sz="4" w:space="0" w:color="auto"/>
              <w:right w:val="nil"/>
            </w:tcBorders>
          </w:tcPr>
          <w:p>
            <w:pPr>
              <w:tabs>
                <w:tab w:val="left" w:pos="505"/>
              </w:tabs>
              <w:spacing w:before="20" w:after="20"/>
              <w:ind w:left="80" w:right="135"/>
              <w:rPr>
                <w:noProof/>
                <w:snapToGrid w:val="0"/>
                <w:color w:val="000000"/>
                <w:sz w:val="22"/>
              </w:rPr>
            </w:pPr>
            <w:r>
              <w:rPr>
                <w:noProof/>
                <w:sz w:val="22"/>
              </w:rPr>
              <w:t>Vykdomas</w:t>
            </w:r>
          </w:p>
          <w:p>
            <w:pPr>
              <w:tabs>
                <w:tab w:val="left" w:pos="505"/>
              </w:tabs>
              <w:spacing w:before="20" w:after="20"/>
              <w:ind w:left="80" w:right="135"/>
              <w:rPr>
                <w:noProof/>
                <w:snapToGrid w:val="0"/>
                <w:color w:val="000000"/>
                <w:sz w:val="22"/>
              </w:rPr>
            </w:pPr>
          </w:p>
          <w:p>
            <w:pPr>
              <w:tabs>
                <w:tab w:val="left" w:pos="505"/>
              </w:tabs>
              <w:spacing w:before="20" w:after="20"/>
              <w:ind w:left="80" w:right="135"/>
              <w:rPr>
                <w:noProof/>
                <w:snapToGrid w:val="0"/>
                <w:color w:val="000000"/>
                <w:sz w:val="22"/>
              </w:rPr>
            </w:pPr>
          </w:p>
          <w:p>
            <w:pPr>
              <w:tabs>
                <w:tab w:val="left" w:pos="505"/>
              </w:tabs>
              <w:spacing w:before="20" w:after="20"/>
              <w:ind w:left="80" w:right="135"/>
              <w:rPr>
                <w:noProof/>
                <w:snapToGrid w:val="0"/>
                <w:color w:val="000000"/>
                <w:sz w:val="22"/>
              </w:rPr>
            </w:pPr>
          </w:p>
          <w:p>
            <w:pPr>
              <w:tabs>
                <w:tab w:val="left" w:pos="505"/>
              </w:tabs>
              <w:spacing w:before="20" w:after="20"/>
              <w:ind w:left="80" w:right="135"/>
              <w:rPr>
                <w:noProof/>
                <w:snapToGrid w:val="0"/>
                <w:color w:val="000000"/>
                <w:sz w:val="22"/>
              </w:rPr>
            </w:pPr>
          </w:p>
        </w:tc>
      </w:tr>
      <w:tr>
        <w:trPr>
          <w:cantSplit/>
        </w:trPr>
        <w:tc>
          <w:tcPr>
            <w:tcW w:w="215" w:type="pct"/>
            <w:tcBorders>
              <w:top w:val="dotted" w:sz="4" w:space="0" w:color="auto"/>
              <w:left w:val="single" w:sz="4" w:space="0" w:color="auto"/>
              <w:bottom w:val="dotted" w:sz="4" w:space="0" w:color="auto"/>
              <w:right w:val="dotted" w:sz="4" w:space="0" w:color="auto"/>
            </w:tcBorders>
            <w:hideMark/>
          </w:tcPr>
          <w:p>
            <w:pPr>
              <w:tabs>
                <w:tab w:val="left" w:pos="720"/>
              </w:tabs>
              <w:spacing w:before="20" w:after="20"/>
              <w:rPr>
                <w:b/>
                <w:noProof/>
                <w:snapToGrid w:val="0"/>
                <w:color w:val="000000"/>
                <w:sz w:val="22"/>
              </w:rPr>
            </w:pPr>
            <w:r>
              <w:rPr>
                <w:b/>
                <w:noProof/>
                <w:sz w:val="22"/>
              </w:rPr>
              <w:t>14.</w:t>
            </w:r>
          </w:p>
        </w:tc>
        <w:tc>
          <w:tcPr>
            <w:tcW w:w="280" w:type="pct"/>
            <w:tcBorders>
              <w:top w:val="dotted" w:sz="4" w:space="0" w:color="auto"/>
              <w:left w:val="nil"/>
              <w:bottom w:val="dotted" w:sz="4" w:space="0" w:color="auto"/>
              <w:right w:val="nil"/>
            </w:tcBorders>
            <w:hideMark/>
          </w:tcPr>
          <w:p>
            <w:pPr>
              <w:spacing w:after="60"/>
              <w:ind w:left="-21" w:firstLine="21"/>
              <w:rPr>
                <w:b/>
                <w:noProof/>
                <w:sz w:val="22"/>
              </w:rPr>
            </w:pPr>
            <w:r>
              <w:rPr>
                <w:b/>
                <w:noProof/>
                <w:sz w:val="22"/>
              </w:rPr>
              <w:t>A.8.</w:t>
            </w:r>
          </w:p>
        </w:tc>
        <w:tc>
          <w:tcPr>
            <w:tcW w:w="2516" w:type="pct"/>
            <w:gridSpan w:val="2"/>
            <w:tcBorders>
              <w:top w:val="dotted" w:sz="4" w:space="0" w:color="auto"/>
              <w:left w:val="nil"/>
              <w:bottom w:val="dotted" w:sz="4" w:space="0" w:color="auto"/>
              <w:right w:val="dotted" w:sz="4" w:space="0" w:color="auto"/>
            </w:tcBorders>
            <w:hideMark/>
          </w:tcPr>
          <w:p>
            <w:pPr>
              <w:spacing w:after="60"/>
              <w:ind w:left="-21" w:firstLine="21"/>
              <w:rPr>
                <w:b/>
                <w:noProof/>
                <w:sz w:val="22"/>
              </w:rPr>
            </w:pPr>
            <w:r>
              <w:rPr>
                <w:b/>
                <w:noProof/>
                <w:sz w:val="22"/>
              </w:rPr>
              <w:t>Tęsti OSINET veiklą, siekiant:</w:t>
            </w:r>
          </w:p>
          <w:p>
            <w:pPr>
              <w:spacing w:after="60"/>
              <w:ind w:left="546" w:hanging="546"/>
              <w:rPr>
                <w:b/>
                <w:noProof/>
                <w:sz w:val="22"/>
              </w:rPr>
            </w:pPr>
            <w:r>
              <w:rPr>
                <w:b/>
                <w:noProof/>
                <w:sz w:val="22"/>
              </w:rPr>
              <w:t xml:space="preserve">a. </w:t>
            </w:r>
            <w:r>
              <w:rPr>
                <w:b/>
                <w:noProof/>
                <w:sz w:val="22"/>
              </w:rPr>
              <w:tab/>
              <w:t>gerinti atitinkamų laboratorijų žinias ir patirtį teismo ekspertizės dėl naftos išsiliejimo srityje, be kita ko, atliekant kalibravimą, taip pat</w:t>
            </w:r>
          </w:p>
          <w:p>
            <w:pPr>
              <w:spacing w:after="60"/>
              <w:ind w:left="546" w:hanging="546"/>
              <w:rPr>
                <w:b/>
                <w:noProof/>
                <w:sz w:val="22"/>
                <w:highlight w:val="yellow"/>
              </w:rPr>
            </w:pPr>
            <w:r>
              <w:rPr>
                <w:b/>
                <w:noProof/>
                <w:sz w:val="22"/>
              </w:rPr>
              <w:t>b.</w:t>
            </w:r>
            <w:r>
              <w:rPr>
                <w:b/>
                <w:noProof/>
                <w:sz w:val="22"/>
              </w:rPr>
              <w:tab/>
              <w:t xml:space="preserve">atnaujinti ir (arba) tobulinti analizės procedūras ir pamatinius metodus, įskaitant naftos ėminių ėmimą jūroje. </w:t>
            </w:r>
          </w:p>
        </w:tc>
        <w:tc>
          <w:tcPr>
            <w:tcW w:w="314" w:type="pct"/>
            <w:tcBorders>
              <w:top w:val="dotted" w:sz="4" w:space="0" w:color="auto"/>
              <w:left w:val="dotted" w:sz="4" w:space="0" w:color="auto"/>
              <w:bottom w:val="dotted" w:sz="4" w:space="0" w:color="auto"/>
              <w:right w:val="dotted" w:sz="4" w:space="0" w:color="auto"/>
            </w:tcBorders>
          </w:tcPr>
          <w:p>
            <w:pPr>
              <w:tabs>
                <w:tab w:val="left" w:pos="720"/>
              </w:tabs>
              <w:spacing w:before="20" w:after="20"/>
              <w:rPr>
                <w:noProof/>
                <w:snapToGrid w:val="0"/>
                <w:color w:val="000000"/>
                <w:sz w:val="22"/>
              </w:rPr>
            </w:pPr>
            <w:r>
              <w:rPr>
                <w:noProof/>
                <w:sz w:val="22"/>
              </w:rPr>
              <w:t xml:space="preserve">       </w:t>
            </w:r>
          </w:p>
          <w:p>
            <w:pPr>
              <w:tabs>
                <w:tab w:val="left" w:pos="720"/>
              </w:tabs>
              <w:spacing w:before="20" w:after="20"/>
              <w:jc w:val="center"/>
              <w:rPr>
                <w:noProof/>
                <w:snapToGrid w:val="0"/>
                <w:color w:val="000000"/>
                <w:sz w:val="22"/>
              </w:rPr>
            </w:pPr>
          </w:p>
        </w:tc>
        <w:tc>
          <w:tcPr>
            <w:tcW w:w="604"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left"/>
              <w:rPr>
                <w:noProof/>
                <w:snapToGrid w:val="0"/>
                <w:color w:val="000000"/>
                <w:sz w:val="22"/>
              </w:rPr>
            </w:pPr>
            <w:r>
              <w:rPr>
                <w:noProof/>
                <w:sz w:val="22"/>
              </w:rPr>
              <w:t>DE / OSINET</w:t>
            </w:r>
          </w:p>
        </w:tc>
        <w:tc>
          <w:tcPr>
            <w:tcW w:w="729" w:type="pct"/>
            <w:tcBorders>
              <w:top w:val="dotted" w:sz="4" w:space="0" w:color="auto"/>
              <w:left w:val="dotted" w:sz="4" w:space="0" w:color="auto"/>
              <w:bottom w:val="dotted" w:sz="4" w:space="0" w:color="auto"/>
              <w:right w:val="nil"/>
            </w:tcBorders>
          </w:tcPr>
          <w:p>
            <w:pPr>
              <w:tabs>
                <w:tab w:val="left" w:pos="720"/>
              </w:tabs>
              <w:spacing w:before="20" w:after="20"/>
              <w:rPr>
                <w:noProof/>
                <w:snapToGrid w:val="0"/>
                <w:color w:val="000000"/>
                <w:sz w:val="22"/>
              </w:rPr>
            </w:pPr>
          </w:p>
        </w:tc>
        <w:tc>
          <w:tcPr>
            <w:tcW w:w="342" w:type="pct"/>
            <w:tcBorders>
              <w:top w:val="dotted" w:sz="4" w:space="0" w:color="auto"/>
              <w:left w:val="dotted" w:sz="4" w:space="0" w:color="auto"/>
              <w:bottom w:val="dotted" w:sz="4" w:space="0" w:color="auto"/>
              <w:right w:val="nil"/>
            </w:tcBorders>
            <w:hideMark/>
          </w:tcPr>
          <w:p>
            <w:pPr>
              <w:tabs>
                <w:tab w:val="left" w:pos="720"/>
              </w:tabs>
              <w:spacing w:before="20" w:after="20"/>
              <w:rPr>
                <w:noProof/>
                <w:snapToGrid w:val="0"/>
                <w:color w:val="000000"/>
                <w:sz w:val="22"/>
              </w:rPr>
            </w:pPr>
            <w:r>
              <w:rPr>
                <w:noProof/>
                <w:sz w:val="22"/>
              </w:rPr>
              <w:t>Vykdomas</w:t>
            </w:r>
          </w:p>
        </w:tc>
      </w:tr>
      <w:tr>
        <w:trPr>
          <w:cantSplit/>
        </w:trPr>
        <w:tc>
          <w:tcPr>
            <w:tcW w:w="215" w:type="pct"/>
            <w:tcBorders>
              <w:top w:val="dotted" w:sz="4" w:space="0" w:color="auto"/>
              <w:left w:val="single" w:sz="4" w:space="0" w:color="auto"/>
              <w:bottom w:val="dotted" w:sz="4" w:space="0" w:color="auto"/>
              <w:right w:val="dotted" w:sz="4" w:space="0" w:color="auto"/>
            </w:tcBorders>
            <w:hideMark/>
          </w:tcPr>
          <w:p>
            <w:pPr>
              <w:tabs>
                <w:tab w:val="left" w:pos="720"/>
              </w:tabs>
              <w:spacing w:before="20" w:after="20"/>
              <w:rPr>
                <w:b/>
                <w:noProof/>
                <w:snapToGrid w:val="0"/>
                <w:color w:val="000000"/>
                <w:sz w:val="22"/>
              </w:rPr>
            </w:pPr>
            <w:r>
              <w:rPr>
                <w:b/>
                <w:noProof/>
                <w:sz w:val="22"/>
              </w:rPr>
              <w:t>15.</w:t>
            </w:r>
          </w:p>
        </w:tc>
        <w:tc>
          <w:tcPr>
            <w:tcW w:w="280" w:type="pct"/>
            <w:tcBorders>
              <w:top w:val="dotted" w:sz="4" w:space="0" w:color="auto"/>
              <w:left w:val="nil"/>
              <w:bottom w:val="dotted" w:sz="4" w:space="0" w:color="auto"/>
              <w:right w:val="nil"/>
            </w:tcBorders>
            <w:hideMark/>
          </w:tcPr>
          <w:p>
            <w:pPr>
              <w:tabs>
                <w:tab w:val="left" w:pos="770"/>
              </w:tabs>
              <w:spacing w:before="20" w:after="20"/>
              <w:rPr>
                <w:b/>
                <w:noProof/>
                <w:sz w:val="22"/>
              </w:rPr>
            </w:pPr>
            <w:r>
              <w:rPr>
                <w:b/>
                <w:noProof/>
                <w:sz w:val="22"/>
              </w:rPr>
              <w:t>A.12.</w:t>
            </w:r>
          </w:p>
          <w:p>
            <w:pPr>
              <w:tabs>
                <w:tab w:val="left" w:pos="770"/>
              </w:tabs>
              <w:spacing w:before="20" w:after="20"/>
              <w:rPr>
                <w:b/>
                <w:noProof/>
                <w:sz w:val="22"/>
              </w:rPr>
            </w:pPr>
            <w:r>
              <w:rPr>
                <w:b/>
                <w:noProof/>
                <w:sz w:val="22"/>
              </w:rPr>
              <w:t>B.1.</w:t>
            </w:r>
          </w:p>
        </w:tc>
        <w:tc>
          <w:tcPr>
            <w:tcW w:w="2516" w:type="pct"/>
            <w:gridSpan w:val="2"/>
            <w:tcBorders>
              <w:top w:val="dotted" w:sz="4" w:space="0" w:color="auto"/>
              <w:left w:val="nil"/>
              <w:bottom w:val="dotted" w:sz="4" w:space="0" w:color="auto"/>
              <w:right w:val="dotted" w:sz="4" w:space="0" w:color="auto"/>
            </w:tcBorders>
          </w:tcPr>
          <w:p>
            <w:pPr>
              <w:tabs>
                <w:tab w:val="left" w:pos="770"/>
              </w:tabs>
              <w:spacing w:before="20" w:after="20"/>
              <w:rPr>
                <w:b/>
                <w:noProof/>
                <w:sz w:val="22"/>
              </w:rPr>
            </w:pPr>
            <w:r>
              <w:rPr>
                <w:b/>
                <w:noProof/>
                <w:sz w:val="22"/>
              </w:rPr>
              <w:t>Palaikyti bei nuolat atnaujinti Bonos susitarimo interneto svetainę ir platinti elektroninius leidinius (t. y. žinynus, vadovus ir ataskaitas).</w:t>
            </w:r>
          </w:p>
          <w:p>
            <w:pPr>
              <w:tabs>
                <w:tab w:val="left" w:pos="770"/>
              </w:tabs>
              <w:spacing w:before="20" w:after="20"/>
              <w:rPr>
                <w:b/>
                <w:noProof/>
                <w:sz w:val="22"/>
              </w:rPr>
            </w:pPr>
          </w:p>
        </w:tc>
        <w:tc>
          <w:tcPr>
            <w:tcW w:w="314"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center"/>
              <w:rPr>
                <w:noProof/>
                <w:snapToGrid w:val="0"/>
                <w:color w:val="000000"/>
                <w:sz w:val="22"/>
              </w:rPr>
            </w:pPr>
            <w:r>
              <w:rPr>
                <w:noProof/>
                <w:sz w:val="22"/>
              </w:rPr>
              <w:t>Prireikus vykdoma veikla</w:t>
            </w:r>
          </w:p>
        </w:tc>
        <w:tc>
          <w:tcPr>
            <w:tcW w:w="604"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left"/>
              <w:rPr>
                <w:noProof/>
                <w:snapToGrid w:val="0"/>
                <w:color w:val="000000"/>
                <w:sz w:val="22"/>
              </w:rPr>
            </w:pPr>
            <w:r>
              <w:rPr>
                <w:noProof/>
                <w:sz w:val="22"/>
              </w:rPr>
              <w:t>Sekretoriatas / susitariančioji šalis</w:t>
            </w:r>
          </w:p>
        </w:tc>
        <w:tc>
          <w:tcPr>
            <w:tcW w:w="729"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rPr>
                <w:noProof/>
                <w:snapToGrid w:val="0"/>
                <w:color w:val="000000"/>
                <w:sz w:val="22"/>
              </w:rPr>
            </w:pPr>
            <w:r>
              <w:rPr>
                <w:noProof/>
                <w:sz w:val="22"/>
              </w:rPr>
              <w:t>Sekretoriatas išnagrinės galimybę išsaugoti sprendimų ir (arba) veiksmų šaltinį.</w:t>
            </w:r>
          </w:p>
        </w:tc>
        <w:tc>
          <w:tcPr>
            <w:tcW w:w="342" w:type="pct"/>
            <w:tcBorders>
              <w:top w:val="dotted" w:sz="4" w:space="0" w:color="auto"/>
              <w:left w:val="dotted" w:sz="4" w:space="0" w:color="auto"/>
              <w:bottom w:val="dotted" w:sz="4" w:space="0" w:color="auto"/>
              <w:right w:val="nil"/>
            </w:tcBorders>
            <w:hideMark/>
          </w:tcPr>
          <w:p>
            <w:pPr>
              <w:tabs>
                <w:tab w:val="left" w:pos="720"/>
              </w:tabs>
              <w:spacing w:before="20" w:after="20"/>
              <w:rPr>
                <w:noProof/>
                <w:snapToGrid w:val="0"/>
                <w:color w:val="000000"/>
                <w:sz w:val="22"/>
              </w:rPr>
            </w:pPr>
            <w:r>
              <w:rPr>
                <w:noProof/>
                <w:sz w:val="22"/>
              </w:rPr>
              <w:t>Vykdomas</w:t>
            </w:r>
          </w:p>
        </w:tc>
      </w:tr>
      <w:tr>
        <w:trPr>
          <w:cantSplit/>
        </w:trPr>
        <w:tc>
          <w:tcPr>
            <w:tcW w:w="215" w:type="pct"/>
            <w:tcBorders>
              <w:top w:val="dotted" w:sz="4" w:space="0" w:color="auto"/>
              <w:left w:val="single" w:sz="4" w:space="0" w:color="auto"/>
              <w:bottom w:val="dotted" w:sz="4" w:space="0" w:color="auto"/>
              <w:right w:val="dotted" w:sz="4" w:space="0" w:color="auto"/>
            </w:tcBorders>
          </w:tcPr>
          <w:p>
            <w:pPr>
              <w:tabs>
                <w:tab w:val="left" w:pos="720"/>
              </w:tabs>
              <w:spacing w:before="20" w:after="20"/>
              <w:rPr>
                <w:b/>
                <w:noProof/>
                <w:snapToGrid w:val="0"/>
                <w:color w:val="000000"/>
                <w:sz w:val="22"/>
              </w:rPr>
            </w:pPr>
          </w:p>
        </w:tc>
        <w:tc>
          <w:tcPr>
            <w:tcW w:w="280" w:type="pct"/>
            <w:tcBorders>
              <w:top w:val="dotted" w:sz="4" w:space="0" w:color="auto"/>
              <w:left w:val="nil"/>
              <w:bottom w:val="dotted" w:sz="4" w:space="0" w:color="auto"/>
              <w:right w:val="nil"/>
            </w:tcBorders>
          </w:tcPr>
          <w:p>
            <w:pPr>
              <w:tabs>
                <w:tab w:val="left" w:pos="770"/>
              </w:tabs>
              <w:spacing w:before="20" w:after="20"/>
              <w:rPr>
                <w:b/>
                <w:noProof/>
                <w:sz w:val="22"/>
              </w:rPr>
            </w:pPr>
          </w:p>
        </w:tc>
        <w:tc>
          <w:tcPr>
            <w:tcW w:w="2516" w:type="pct"/>
            <w:gridSpan w:val="2"/>
            <w:tcBorders>
              <w:top w:val="dotted" w:sz="4" w:space="0" w:color="auto"/>
              <w:left w:val="nil"/>
              <w:bottom w:val="dotted" w:sz="4" w:space="0" w:color="auto"/>
              <w:right w:val="dotted" w:sz="4" w:space="0" w:color="auto"/>
            </w:tcBorders>
          </w:tcPr>
          <w:p>
            <w:pPr>
              <w:rPr>
                <w:b/>
                <w:noProof/>
                <w:sz w:val="22"/>
              </w:rPr>
            </w:pPr>
          </w:p>
        </w:tc>
        <w:tc>
          <w:tcPr>
            <w:tcW w:w="314" w:type="pct"/>
            <w:tcBorders>
              <w:top w:val="dotted" w:sz="4" w:space="0" w:color="auto"/>
              <w:left w:val="dotted" w:sz="4" w:space="0" w:color="auto"/>
              <w:bottom w:val="dotted" w:sz="4" w:space="0" w:color="auto"/>
              <w:right w:val="dotted" w:sz="4" w:space="0" w:color="auto"/>
            </w:tcBorders>
            <w:shd w:val="clear" w:color="auto" w:fill="FFFFFF"/>
          </w:tcPr>
          <w:p>
            <w:pPr>
              <w:tabs>
                <w:tab w:val="left" w:pos="720"/>
              </w:tabs>
              <w:spacing w:before="20" w:after="20"/>
              <w:jc w:val="center"/>
              <w:rPr>
                <w:noProof/>
                <w:snapToGrid w:val="0"/>
                <w:color w:val="000000"/>
                <w:sz w:val="22"/>
              </w:rPr>
            </w:pPr>
          </w:p>
        </w:tc>
        <w:tc>
          <w:tcPr>
            <w:tcW w:w="604" w:type="pct"/>
            <w:tcBorders>
              <w:top w:val="dotted" w:sz="4" w:space="0" w:color="auto"/>
              <w:left w:val="dotted" w:sz="4" w:space="0" w:color="auto"/>
              <w:bottom w:val="dotted" w:sz="4" w:space="0" w:color="auto"/>
              <w:right w:val="dotted" w:sz="4" w:space="0" w:color="auto"/>
            </w:tcBorders>
            <w:shd w:val="clear" w:color="auto" w:fill="FFFFFF"/>
          </w:tcPr>
          <w:p>
            <w:pPr>
              <w:tabs>
                <w:tab w:val="left" w:pos="720"/>
              </w:tabs>
              <w:spacing w:before="20" w:after="20"/>
              <w:jc w:val="left"/>
              <w:rPr>
                <w:noProof/>
                <w:snapToGrid w:val="0"/>
                <w:color w:val="000000"/>
                <w:sz w:val="22"/>
              </w:rPr>
            </w:pPr>
          </w:p>
        </w:tc>
        <w:tc>
          <w:tcPr>
            <w:tcW w:w="729" w:type="pct"/>
            <w:tcBorders>
              <w:top w:val="dotted" w:sz="4" w:space="0" w:color="auto"/>
              <w:left w:val="dotted" w:sz="4" w:space="0" w:color="auto"/>
              <w:bottom w:val="dotted" w:sz="4" w:space="0" w:color="auto"/>
              <w:right w:val="dotted" w:sz="4" w:space="0" w:color="auto"/>
            </w:tcBorders>
          </w:tcPr>
          <w:p>
            <w:pPr>
              <w:tabs>
                <w:tab w:val="left" w:pos="720"/>
              </w:tabs>
              <w:spacing w:before="20" w:after="20"/>
              <w:rPr>
                <w:noProof/>
                <w:snapToGrid w:val="0"/>
                <w:color w:val="000000"/>
                <w:sz w:val="22"/>
              </w:rPr>
            </w:pPr>
          </w:p>
        </w:tc>
        <w:tc>
          <w:tcPr>
            <w:tcW w:w="342" w:type="pct"/>
            <w:tcBorders>
              <w:top w:val="dotted" w:sz="4" w:space="0" w:color="auto"/>
              <w:left w:val="dotted" w:sz="4" w:space="0" w:color="auto"/>
              <w:bottom w:val="dotted" w:sz="4" w:space="0" w:color="auto"/>
              <w:right w:val="nil"/>
            </w:tcBorders>
          </w:tcPr>
          <w:p>
            <w:pPr>
              <w:tabs>
                <w:tab w:val="left" w:pos="720"/>
              </w:tabs>
              <w:spacing w:before="20" w:after="20"/>
              <w:rPr>
                <w:noProof/>
                <w:snapToGrid w:val="0"/>
                <w:color w:val="000000"/>
                <w:sz w:val="22"/>
              </w:rPr>
            </w:pPr>
          </w:p>
        </w:tc>
      </w:tr>
      <w:tr>
        <w:trPr>
          <w:cantSplit/>
        </w:trPr>
        <w:tc>
          <w:tcPr>
            <w:tcW w:w="215" w:type="pct"/>
            <w:tcBorders>
              <w:top w:val="dotted" w:sz="4" w:space="0" w:color="auto"/>
              <w:left w:val="single" w:sz="4" w:space="0" w:color="auto"/>
              <w:bottom w:val="dotted" w:sz="4" w:space="0" w:color="auto"/>
              <w:right w:val="dotted" w:sz="4" w:space="0" w:color="auto"/>
            </w:tcBorders>
          </w:tcPr>
          <w:p>
            <w:pPr>
              <w:tabs>
                <w:tab w:val="left" w:pos="720"/>
              </w:tabs>
              <w:spacing w:before="20" w:after="20"/>
              <w:rPr>
                <w:b/>
                <w:noProof/>
                <w:snapToGrid w:val="0"/>
                <w:color w:val="000000"/>
                <w:sz w:val="22"/>
              </w:rPr>
            </w:pPr>
            <w:r>
              <w:rPr>
                <w:b/>
                <w:noProof/>
                <w:sz w:val="22"/>
              </w:rPr>
              <w:t>17.</w:t>
            </w:r>
          </w:p>
        </w:tc>
        <w:tc>
          <w:tcPr>
            <w:tcW w:w="280" w:type="pct"/>
            <w:tcBorders>
              <w:top w:val="dotted" w:sz="4" w:space="0" w:color="auto"/>
              <w:left w:val="nil"/>
              <w:bottom w:val="dotted" w:sz="4" w:space="0" w:color="auto"/>
              <w:right w:val="nil"/>
            </w:tcBorders>
          </w:tcPr>
          <w:p>
            <w:pPr>
              <w:tabs>
                <w:tab w:val="left" w:pos="770"/>
              </w:tabs>
              <w:spacing w:before="20" w:after="20"/>
              <w:rPr>
                <w:b/>
                <w:noProof/>
                <w:sz w:val="22"/>
              </w:rPr>
            </w:pPr>
            <w:r>
              <w:rPr>
                <w:b/>
                <w:noProof/>
                <w:sz w:val="22"/>
              </w:rPr>
              <w:t>A.2.</w:t>
            </w:r>
          </w:p>
        </w:tc>
        <w:tc>
          <w:tcPr>
            <w:tcW w:w="2516" w:type="pct"/>
            <w:gridSpan w:val="2"/>
            <w:tcBorders>
              <w:top w:val="dotted" w:sz="4" w:space="0" w:color="auto"/>
              <w:left w:val="nil"/>
              <w:bottom w:val="dotted" w:sz="4" w:space="0" w:color="auto"/>
              <w:right w:val="dotted" w:sz="4" w:space="0" w:color="auto"/>
            </w:tcBorders>
          </w:tcPr>
          <w:p>
            <w:pPr>
              <w:tabs>
                <w:tab w:val="left" w:pos="770"/>
              </w:tabs>
              <w:spacing w:before="20" w:after="20"/>
              <w:rPr>
                <w:b/>
                <w:noProof/>
                <w:sz w:val="22"/>
              </w:rPr>
            </w:pPr>
            <w:r>
              <w:rPr>
                <w:b/>
                <w:noProof/>
                <w:sz w:val="22"/>
              </w:rPr>
              <w:t xml:space="preserve">Peržiūrėti esamas rekomendacijas dėl pranešimų ir prireikus atlikti reikiamus patikslinimus. </w:t>
            </w:r>
          </w:p>
        </w:tc>
        <w:tc>
          <w:tcPr>
            <w:tcW w:w="314" w:type="pct"/>
            <w:tcBorders>
              <w:top w:val="dotted" w:sz="4" w:space="0" w:color="auto"/>
              <w:left w:val="dotted" w:sz="4" w:space="0" w:color="auto"/>
              <w:bottom w:val="dotted" w:sz="4" w:space="0" w:color="auto"/>
              <w:right w:val="dotted" w:sz="4" w:space="0" w:color="auto"/>
            </w:tcBorders>
            <w:shd w:val="clear" w:color="auto" w:fill="FFFFFF"/>
          </w:tcPr>
          <w:p>
            <w:pPr>
              <w:tabs>
                <w:tab w:val="left" w:pos="720"/>
              </w:tabs>
              <w:spacing w:before="20" w:after="20"/>
              <w:jc w:val="center"/>
              <w:rPr>
                <w:noProof/>
                <w:snapToGrid w:val="0"/>
                <w:color w:val="000000"/>
                <w:sz w:val="22"/>
              </w:rPr>
            </w:pPr>
            <w:r>
              <w:rPr>
                <w:noProof/>
                <w:sz w:val="22"/>
              </w:rPr>
              <w:t>Prireikus vykdoma veikla</w:t>
            </w:r>
          </w:p>
        </w:tc>
        <w:tc>
          <w:tcPr>
            <w:tcW w:w="604" w:type="pct"/>
            <w:tcBorders>
              <w:top w:val="dotted" w:sz="4" w:space="0" w:color="auto"/>
              <w:left w:val="dotted" w:sz="4" w:space="0" w:color="auto"/>
              <w:bottom w:val="dotted" w:sz="4" w:space="0" w:color="auto"/>
              <w:right w:val="dotted" w:sz="4" w:space="0" w:color="auto"/>
            </w:tcBorders>
            <w:shd w:val="clear" w:color="auto" w:fill="FFFFFF"/>
          </w:tcPr>
          <w:p>
            <w:pPr>
              <w:tabs>
                <w:tab w:val="left" w:pos="720"/>
              </w:tabs>
              <w:spacing w:before="20" w:after="20"/>
              <w:jc w:val="left"/>
              <w:rPr>
                <w:noProof/>
                <w:snapToGrid w:val="0"/>
                <w:color w:val="000000"/>
                <w:sz w:val="22"/>
              </w:rPr>
            </w:pPr>
            <w:r>
              <w:rPr>
                <w:noProof/>
                <w:sz w:val="22"/>
              </w:rPr>
              <w:t>Susitariančioji šalis</w:t>
            </w:r>
          </w:p>
        </w:tc>
        <w:tc>
          <w:tcPr>
            <w:tcW w:w="729" w:type="pct"/>
            <w:tcBorders>
              <w:top w:val="dotted" w:sz="4" w:space="0" w:color="auto"/>
              <w:left w:val="dotted" w:sz="4" w:space="0" w:color="auto"/>
              <w:bottom w:val="dotted" w:sz="4" w:space="0" w:color="auto"/>
              <w:right w:val="dotted" w:sz="4" w:space="0" w:color="auto"/>
            </w:tcBorders>
          </w:tcPr>
          <w:p>
            <w:pPr>
              <w:tabs>
                <w:tab w:val="left" w:pos="720"/>
              </w:tabs>
              <w:spacing w:before="20" w:after="20"/>
              <w:rPr>
                <w:noProof/>
                <w:snapToGrid w:val="0"/>
                <w:color w:val="000000"/>
                <w:sz w:val="22"/>
              </w:rPr>
            </w:pPr>
          </w:p>
        </w:tc>
        <w:tc>
          <w:tcPr>
            <w:tcW w:w="342" w:type="pct"/>
            <w:tcBorders>
              <w:top w:val="dotted" w:sz="4" w:space="0" w:color="auto"/>
              <w:left w:val="dotted" w:sz="4" w:space="0" w:color="auto"/>
              <w:bottom w:val="dotted" w:sz="4" w:space="0" w:color="auto"/>
              <w:right w:val="nil"/>
            </w:tcBorders>
          </w:tcPr>
          <w:p>
            <w:pPr>
              <w:tabs>
                <w:tab w:val="left" w:pos="720"/>
              </w:tabs>
              <w:spacing w:before="20" w:after="20"/>
              <w:rPr>
                <w:noProof/>
                <w:snapToGrid w:val="0"/>
                <w:color w:val="000000"/>
                <w:sz w:val="22"/>
              </w:rPr>
            </w:pPr>
            <w:r>
              <w:rPr>
                <w:noProof/>
                <w:sz w:val="22"/>
              </w:rPr>
              <w:t>Naujas</w:t>
            </w:r>
          </w:p>
        </w:tc>
      </w:tr>
      <w:tr>
        <w:trPr>
          <w:cantSplit/>
        </w:trPr>
        <w:tc>
          <w:tcPr>
            <w:tcW w:w="215" w:type="pct"/>
            <w:tcBorders>
              <w:top w:val="dotted" w:sz="4" w:space="0" w:color="auto"/>
              <w:left w:val="single" w:sz="4" w:space="0" w:color="auto"/>
              <w:bottom w:val="dotted" w:sz="4" w:space="0" w:color="auto"/>
              <w:right w:val="dotted" w:sz="4" w:space="0" w:color="auto"/>
            </w:tcBorders>
            <w:hideMark/>
          </w:tcPr>
          <w:p>
            <w:pPr>
              <w:tabs>
                <w:tab w:val="left" w:pos="720"/>
              </w:tabs>
              <w:spacing w:before="20" w:after="20"/>
              <w:rPr>
                <w:b/>
                <w:noProof/>
                <w:snapToGrid w:val="0"/>
                <w:color w:val="000000"/>
                <w:sz w:val="22"/>
              </w:rPr>
            </w:pPr>
            <w:r>
              <w:rPr>
                <w:b/>
                <w:noProof/>
                <w:sz w:val="22"/>
              </w:rPr>
              <w:t>18.</w:t>
            </w:r>
          </w:p>
        </w:tc>
        <w:tc>
          <w:tcPr>
            <w:tcW w:w="280" w:type="pct"/>
            <w:tcBorders>
              <w:top w:val="dotted" w:sz="4" w:space="0" w:color="auto"/>
              <w:left w:val="nil"/>
              <w:bottom w:val="dotted" w:sz="4" w:space="0" w:color="auto"/>
              <w:right w:val="nil"/>
            </w:tcBorders>
            <w:hideMark/>
          </w:tcPr>
          <w:p>
            <w:pPr>
              <w:tabs>
                <w:tab w:val="left" w:pos="770"/>
              </w:tabs>
              <w:spacing w:before="20" w:after="20"/>
              <w:rPr>
                <w:b/>
                <w:noProof/>
                <w:sz w:val="22"/>
              </w:rPr>
            </w:pPr>
            <w:r>
              <w:rPr>
                <w:b/>
                <w:noProof/>
                <w:sz w:val="22"/>
              </w:rPr>
              <w:t>A.12.</w:t>
            </w:r>
          </w:p>
        </w:tc>
        <w:tc>
          <w:tcPr>
            <w:tcW w:w="2516" w:type="pct"/>
            <w:gridSpan w:val="2"/>
            <w:tcBorders>
              <w:top w:val="dotted" w:sz="4" w:space="0" w:color="auto"/>
              <w:left w:val="nil"/>
              <w:bottom w:val="dotted" w:sz="4" w:space="0" w:color="auto"/>
              <w:right w:val="dotted" w:sz="4" w:space="0" w:color="auto"/>
            </w:tcBorders>
            <w:hideMark/>
          </w:tcPr>
          <w:p>
            <w:pPr>
              <w:tabs>
                <w:tab w:val="left" w:pos="770"/>
              </w:tabs>
              <w:spacing w:before="20" w:after="20"/>
              <w:rPr>
                <w:b/>
                <w:noProof/>
                <w:sz w:val="22"/>
              </w:rPr>
            </w:pPr>
            <w:r>
              <w:rPr>
                <w:b/>
                <w:noProof/>
                <w:sz w:val="22"/>
              </w:rPr>
              <w:t>Įgyvendinti Bonos susitarimo komunikacijos strategiją.</w:t>
            </w:r>
          </w:p>
        </w:tc>
        <w:tc>
          <w:tcPr>
            <w:tcW w:w="314" w:type="pct"/>
            <w:tcBorders>
              <w:top w:val="dotted" w:sz="4" w:space="0" w:color="auto"/>
              <w:left w:val="dotted" w:sz="4" w:space="0" w:color="auto"/>
              <w:bottom w:val="dotted" w:sz="4" w:space="0" w:color="auto"/>
              <w:right w:val="dotted" w:sz="4" w:space="0" w:color="auto"/>
            </w:tcBorders>
          </w:tcPr>
          <w:p>
            <w:pPr>
              <w:tabs>
                <w:tab w:val="left" w:pos="720"/>
              </w:tabs>
              <w:spacing w:before="20" w:after="20"/>
              <w:jc w:val="center"/>
              <w:rPr>
                <w:noProof/>
                <w:snapToGrid w:val="0"/>
                <w:color w:val="000000"/>
                <w:sz w:val="22"/>
              </w:rPr>
            </w:pPr>
          </w:p>
        </w:tc>
        <w:tc>
          <w:tcPr>
            <w:tcW w:w="604"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left"/>
              <w:rPr>
                <w:noProof/>
                <w:snapToGrid w:val="0"/>
                <w:color w:val="000000"/>
                <w:sz w:val="22"/>
              </w:rPr>
            </w:pPr>
            <w:r>
              <w:rPr>
                <w:noProof/>
                <w:sz w:val="22"/>
              </w:rPr>
              <w:t>Sekretoriatas</w:t>
            </w:r>
          </w:p>
        </w:tc>
        <w:tc>
          <w:tcPr>
            <w:tcW w:w="729" w:type="pct"/>
            <w:tcBorders>
              <w:top w:val="dotted" w:sz="4" w:space="0" w:color="auto"/>
              <w:left w:val="dotted" w:sz="4" w:space="0" w:color="auto"/>
              <w:bottom w:val="dotted" w:sz="4" w:space="0" w:color="auto"/>
              <w:right w:val="dotted" w:sz="4" w:space="0" w:color="auto"/>
            </w:tcBorders>
          </w:tcPr>
          <w:p>
            <w:pPr>
              <w:tabs>
                <w:tab w:val="left" w:pos="720"/>
              </w:tabs>
              <w:spacing w:before="20" w:after="20"/>
              <w:rPr>
                <w:noProof/>
                <w:snapToGrid w:val="0"/>
                <w:color w:val="000000"/>
                <w:sz w:val="22"/>
              </w:rPr>
            </w:pPr>
          </w:p>
        </w:tc>
        <w:tc>
          <w:tcPr>
            <w:tcW w:w="342" w:type="pct"/>
            <w:tcBorders>
              <w:top w:val="dotted" w:sz="4" w:space="0" w:color="auto"/>
              <w:left w:val="dotted" w:sz="4" w:space="0" w:color="auto"/>
              <w:bottom w:val="dotted" w:sz="4" w:space="0" w:color="auto"/>
              <w:right w:val="nil"/>
            </w:tcBorders>
            <w:hideMark/>
          </w:tcPr>
          <w:p>
            <w:pPr>
              <w:tabs>
                <w:tab w:val="left" w:pos="720"/>
              </w:tabs>
              <w:spacing w:before="20" w:after="20"/>
              <w:rPr>
                <w:noProof/>
                <w:snapToGrid w:val="0"/>
                <w:color w:val="000000"/>
                <w:sz w:val="22"/>
              </w:rPr>
            </w:pPr>
            <w:r>
              <w:rPr>
                <w:noProof/>
                <w:sz w:val="22"/>
              </w:rPr>
              <w:t>Vykdomas</w:t>
            </w:r>
          </w:p>
        </w:tc>
      </w:tr>
    </w:tbl>
    <w:p>
      <w:pPr>
        <w:tabs>
          <w:tab w:val="left" w:pos="720"/>
        </w:tabs>
        <w:spacing w:after="0"/>
        <w:rPr>
          <w:noProof/>
          <w:sz w:val="22"/>
        </w:rPr>
      </w:pPr>
    </w:p>
    <w:p>
      <w:pPr>
        <w:tabs>
          <w:tab w:val="left" w:pos="720"/>
        </w:tabs>
        <w:spacing w:after="0"/>
        <w:rPr>
          <w:noProof/>
          <w:sz w:val="22"/>
        </w:rPr>
      </w:pPr>
    </w:p>
    <w:p>
      <w:pPr>
        <w:tabs>
          <w:tab w:val="left" w:pos="720"/>
        </w:tabs>
        <w:spacing w:after="0"/>
        <w:rPr>
          <w:noProof/>
          <w:sz w:val="22"/>
        </w:rPr>
      </w:pPr>
      <w:r>
        <w:rPr>
          <w:noProof/>
          <w:sz w:val="22"/>
        </w:rPr>
        <w:t>19–30 užduotys, susijusios su B strateginiu tikslu (pasirengimas):</w:t>
      </w:r>
    </w:p>
    <w:p>
      <w:pPr>
        <w:tabs>
          <w:tab w:val="left" w:pos="1134"/>
          <w:tab w:val="left" w:pos="1701"/>
          <w:tab w:val="left" w:pos="2268"/>
        </w:tabs>
        <w:jc w:val="left"/>
        <w:rPr>
          <w:noProof/>
          <w:sz w:val="22"/>
        </w:rPr>
      </w:pPr>
    </w:p>
    <w:tbl>
      <w:tblPr>
        <w:tblW w:w="5000" w:type="pct"/>
        <w:tblBorders>
          <w:bottom w:val="dotted" w:sz="4" w:space="0" w:color="auto"/>
          <w:insideH w:val="dotted" w:sz="4" w:space="0" w:color="auto"/>
        </w:tblBorders>
        <w:tblCellMar>
          <w:left w:w="30" w:type="dxa"/>
          <w:right w:w="30" w:type="dxa"/>
        </w:tblCellMar>
        <w:tblLook w:val="04A0" w:firstRow="1" w:lastRow="0" w:firstColumn="1" w:lastColumn="0" w:noHBand="0" w:noVBand="1"/>
      </w:tblPr>
      <w:tblGrid>
        <w:gridCol w:w="892"/>
        <w:gridCol w:w="1075"/>
        <w:gridCol w:w="2313"/>
        <w:gridCol w:w="4543"/>
        <w:gridCol w:w="1197"/>
        <w:gridCol w:w="1640"/>
        <w:gridCol w:w="1957"/>
        <w:gridCol w:w="1014"/>
      </w:tblGrid>
      <w:tr>
        <w:trPr>
          <w:cantSplit/>
          <w:tblHeader/>
        </w:trPr>
        <w:tc>
          <w:tcPr>
            <w:tcW w:w="218" w:type="pct"/>
            <w:tcBorders>
              <w:top w:val="dotted" w:sz="4" w:space="0" w:color="auto"/>
              <w:left w:val="nil"/>
              <w:bottom w:val="dotted" w:sz="4" w:space="0" w:color="auto"/>
              <w:right w:val="dotted" w:sz="4" w:space="0" w:color="auto"/>
            </w:tcBorders>
            <w:vAlign w:val="center"/>
          </w:tcPr>
          <w:p>
            <w:pPr>
              <w:tabs>
                <w:tab w:val="left" w:pos="720"/>
              </w:tabs>
              <w:spacing w:before="20" w:after="20"/>
              <w:jc w:val="center"/>
              <w:rPr>
                <w:b/>
                <w:noProof/>
                <w:snapToGrid w:val="0"/>
                <w:color w:val="000000"/>
                <w:sz w:val="22"/>
              </w:rPr>
            </w:pPr>
          </w:p>
          <w:p>
            <w:pPr>
              <w:tabs>
                <w:tab w:val="left" w:pos="720"/>
              </w:tabs>
              <w:spacing w:before="20" w:after="20"/>
              <w:jc w:val="center"/>
              <w:rPr>
                <w:b/>
                <w:noProof/>
                <w:snapToGrid w:val="0"/>
                <w:color w:val="000000"/>
                <w:sz w:val="22"/>
              </w:rPr>
            </w:pPr>
            <w:r>
              <w:rPr>
                <w:b/>
                <w:noProof/>
                <w:sz w:val="22"/>
              </w:rPr>
              <w:t>Užduotis</w:t>
            </w:r>
          </w:p>
        </w:tc>
        <w:tc>
          <w:tcPr>
            <w:tcW w:w="325" w:type="pct"/>
            <w:tcBorders>
              <w:top w:val="dotted" w:sz="4" w:space="0" w:color="auto"/>
              <w:left w:val="nil"/>
              <w:bottom w:val="dotted" w:sz="4" w:space="0" w:color="auto"/>
              <w:right w:val="nil"/>
            </w:tcBorders>
            <w:hideMark/>
          </w:tcPr>
          <w:p>
            <w:pPr>
              <w:tabs>
                <w:tab w:val="left" w:pos="720"/>
              </w:tabs>
              <w:spacing w:before="20" w:after="20"/>
              <w:jc w:val="center"/>
              <w:rPr>
                <w:b/>
                <w:noProof/>
                <w:snapToGrid w:val="0"/>
                <w:color w:val="000000"/>
                <w:sz w:val="22"/>
              </w:rPr>
            </w:pPr>
            <w:r>
              <w:rPr>
                <w:b/>
                <w:noProof/>
                <w:sz w:val="22"/>
              </w:rPr>
              <w:t>Strateginis veiksmas</w:t>
            </w:r>
          </w:p>
        </w:tc>
        <w:tc>
          <w:tcPr>
            <w:tcW w:w="2488" w:type="pct"/>
            <w:gridSpan w:val="2"/>
            <w:tcBorders>
              <w:top w:val="dotted" w:sz="4" w:space="0" w:color="auto"/>
              <w:left w:val="nil"/>
              <w:bottom w:val="dotted" w:sz="4" w:space="0" w:color="auto"/>
              <w:right w:val="dotted" w:sz="4" w:space="0" w:color="auto"/>
            </w:tcBorders>
            <w:vAlign w:val="center"/>
            <w:hideMark/>
          </w:tcPr>
          <w:p>
            <w:pPr>
              <w:tabs>
                <w:tab w:val="left" w:pos="720"/>
              </w:tabs>
              <w:spacing w:before="20" w:after="20"/>
              <w:jc w:val="center"/>
              <w:rPr>
                <w:b/>
                <w:noProof/>
                <w:snapToGrid w:val="0"/>
                <w:color w:val="000000"/>
                <w:sz w:val="22"/>
              </w:rPr>
            </w:pPr>
            <w:r>
              <w:rPr>
                <w:b/>
                <w:noProof/>
                <w:sz w:val="22"/>
              </w:rPr>
              <w:t>Aprašymas</w:t>
            </w:r>
          </w:p>
        </w:tc>
        <w:tc>
          <w:tcPr>
            <w:tcW w:w="317" w:type="pct"/>
            <w:tcBorders>
              <w:top w:val="dotted" w:sz="4" w:space="0" w:color="auto"/>
              <w:left w:val="dotted" w:sz="4" w:space="0" w:color="auto"/>
              <w:bottom w:val="dotted" w:sz="4" w:space="0" w:color="auto"/>
              <w:right w:val="dotted" w:sz="4" w:space="0" w:color="auto"/>
            </w:tcBorders>
            <w:vAlign w:val="center"/>
            <w:hideMark/>
          </w:tcPr>
          <w:p>
            <w:pPr>
              <w:tabs>
                <w:tab w:val="left" w:pos="720"/>
              </w:tabs>
              <w:spacing w:before="20" w:after="20"/>
              <w:jc w:val="center"/>
              <w:rPr>
                <w:b/>
                <w:noProof/>
                <w:snapToGrid w:val="0"/>
                <w:color w:val="000000"/>
                <w:sz w:val="22"/>
              </w:rPr>
            </w:pPr>
            <w:r>
              <w:rPr>
                <w:b/>
                <w:noProof/>
                <w:sz w:val="22"/>
              </w:rPr>
              <w:t>Planuojama data</w:t>
            </w:r>
          </w:p>
        </w:tc>
        <w:tc>
          <w:tcPr>
            <w:tcW w:w="633" w:type="pct"/>
            <w:tcBorders>
              <w:top w:val="dotted" w:sz="4" w:space="0" w:color="auto"/>
              <w:left w:val="dotted" w:sz="4" w:space="0" w:color="auto"/>
              <w:bottom w:val="dotted" w:sz="4" w:space="0" w:color="auto"/>
              <w:right w:val="dotted" w:sz="4" w:space="0" w:color="auto"/>
            </w:tcBorders>
            <w:vAlign w:val="center"/>
            <w:hideMark/>
          </w:tcPr>
          <w:p>
            <w:pPr>
              <w:tabs>
                <w:tab w:val="left" w:pos="720"/>
              </w:tabs>
              <w:spacing w:before="20" w:after="20"/>
              <w:jc w:val="center"/>
              <w:rPr>
                <w:b/>
                <w:noProof/>
                <w:snapToGrid w:val="0"/>
                <w:color w:val="000000"/>
                <w:sz w:val="22"/>
              </w:rPr>
            </w:pPr>
            <w:r>
              <w:rPr>
                <w:b/>
                <w:noProof/>
                <w:sz w:val="22"/>
              </w:rPr>
              <w:t>Vadovaujantis subjektas</w:t>
            </w:r>
          </w:p>
        </w:tc>
        <w:tc>
          <w:tcPr>
            <w:tcW w:w="741" w:type="pct"/>
            <w:tcBorders>
              <w:top w:val="dotted" w:sz="4" w:space="0" w:color="auto"/>
              <w:left w:val="dotted" w:sz="4" w:space="0" w:color="auto"/>
              <w:bottom w:val="dotted" w:sz="4" w:space="0" w:color="auto"/>
              <w:right w:val="nil"/>
            </w:tcBorders>
            <w:vAlign w:val="center"/>
            <w:hideMark/>
          </w:tcPr>
          <w:p>
            <w:pPr>
              <w:tabs>
                <w:tab w:val="left" w:pos="720"/>
              </w:tabs>
              <w:spacing w:before="20" w:after="20"/>
              <w:jc w:val="center"/>
              <w:rPr>
                <w:b/>
                <w:noProof/>
                <w:snapToGrid w:val="0"/>
                <w:color w:val="000000"/>
                <w:sz w:val="22"/>
              </w:rPr>
            </w:pPr>
            <w:r>
              <w:rPr>
                <w:b/>
                <w:noProof/>
                <w:sz w:val="22"/>
              </w:rPr>
              <w:t>Pažanga</w:t>
            </w:r>
          </w:p>
        </w:tc>
        <w:tc>
          <w:tcPr>
            <w:tcW w:w="278" w:type="pct"/>
            <w:tcBorders>
              <w:top w:val="dotted" w:sz="4" w:space="0" w:color="auto"/>
              <w:left w:val="dotted" w:sz="4" w:space="0" w:color="auto"/>
              <w:bottom w:val="dotted" w:sz="4" w:space="0" w:color="auto"/>
              <w:right w:val="nil"/>
            </w:tcBorders>
            <w:hideMark/>
          </w:tcPr>
          <w:p>
            <w:pPr>
              <w:tabs>
                <w:tab w:val="left" w:pos="720"/>
              </w:tabs>
              <w:spacing w:before="20" w:after="20"/>
              <w:jc w:val="center"/>
              <w:rPr>
                <w:b/>
                <w:noProof/>
                <w:snapToGrid w:val="0"/>
                <w:color w:val="000000"/>
                <w:sz w:val="22"/>
              </w:rPr>
            </w:pPr>
            <w:r>
              <w:rPr>
                <w:b/>
                <w:noProof/>
                <w:sz w:val="22"/>
              </w:rPr>
              <w:t>Būsena</w:t>
            </w:r>
          </w:p>
        </w:tc>
      </w:tr>
      <w:tr>
        <w:trPr>
          <w:cantSplit/>
        </w:trPr>
        <w:tc>
          <w:tcPr>
            <w:tcW w:w="1406" w:type="pct"/>
            <w:gridSpan w:val="3"/>
            <w:tcBorders>
              <w:top w:val="dotted" w:sz="4" w:space="0" w:color="auto"/>
              <w:left w:val="nil"/>
              <w:bottom w:val="dotted" w:sz="4" w:space="0" w:color="auto"/>
              <w:right w:val="nil"/>
            </w:tcBorders>
            <w:shd w:val="clear" w:color="auto" w:fill="E6E6E6"/>
          </w:tcPr>
          <w:p>
            <w:pPr>
              <w:tabs>
                <w:tab w:val="left" w:pos="720"/>
              </w:tabs>
              <w:spacing w:before="20" w:after="20"/>
              <w:rPr>
                <w:noProof/>
                <w:snapToGrid w:val="0"/>
                <w:color w:val="000000"/>
                <w:sz w:val="22"/>
              </w:rPr>
            </w:pPr>
          </w:p>
        </w:tc>
        <w:tc>
          <w:tcPr>
            <w:tcW w:w="3594" w:type="pct"/>
            <w:gridSpan w:val="5"/>
            <w:tcBorders>
              <w:top w:val="dotted" w:sz="4" w:space="0" w:color="auto"/>
              <w:left w:val="nil"/>
              <w:bottom w:val="dotted" w:sz="4" w:space="0" w:color="auto"/>
              <w:right w:val="nil"/>
            </w:tcBorders>
            <w:shd w:val="clear" w:color="auto" w:fill="E6E6E6"/>
          </w:tcPr>
          <w:p>
            <w:pPr>
              <w:tabs>
                <w:tab w:val="left" w:pos="720"/>
              </w:tabs>
              <w:spacing w:before="20" w:after="20"/>
              <w:rPr>
                <w:noProof/>
                <w:snapToGrid w:val="0"/>
                <w:color w:val="000000"/>
                <w:sz w:val="22"/>
              </w:rPr>
            </w:pPr>
          </w:p>
        </w:tc>
      </w:tr>
      <w:tr>
        <w:trPr>
          <w:cantSplit/>
        </w:trPr>
        <w:tc>
          <w:tcPr>
            <w:tcW w:w="218" w:type="pct"/>
            <w:tcBorders>
              <w:top w:val="dotted" w:sz="4" w:space="0" w:color="auto"/>
              <w:left w:val="single" w:sz="4" w:space="0" w:color="auto"/>
              <w:bottom w:val="dotted" w:sz="4" w:space="0" w:color="auto"/>
              <w:right w:val="dotted" w:sz="4" w:space="0" w:color="auto"/>
            </w:tcBorders>
            <w:hideMark/>
          </w:tcPr>
          <w:p>
            <w:pPr>
              <w:tabs>
                <w:tab w:val="left" w:pos="720"/>
              </w:tabs>
              <w:spacing w:before="20" w:after="20"/>
              <w:rPr>
                <w:b/>
                <w:noProof/>
                <w:snapToGrid w:val="0"/>
                <w:color w:val="000000"/>
                <w:sz w:val="22"/>
              </w:rPr>
            </w:pPr>
            <w:r>
              <w:rPr>
                <w:b/>
                <w:noProof/>
                <w:sz w:val="22"/>
              </w:rPr>
              <w:t xml:space="preserve">19. </w:t>
            </w:r>
          </w:p>
        </w:tc>
        <w:tc>
          <w:tcPr>
            <w:tcW w:w="325" w:type="pct"/>
            <w:tcBorders>
              <w:top w:val="dotted" w:sz="4" w:space="0" w:color="auto"/>
              <w:left w:val="nil"/>
              <w:bottom w:val="dotted" w:sz="4" w:space="0" w:color="auto"/>
              <w:right w:val="nil"/>
            </w:tcBorders>
            <w:hideMark/>
          </w:tcPr>
          <w:p>
            <w:pPr>
              <w:tabs>
                <w:tab w:val="left" w:pos="770"/>
              </w:tabs>
              <w:spacing w:before="20" w:after="20"/>
              <w:rPr>
                <w:b/>
                <w:noProof/>
                <w:sz w:val="22"/>
              </w:rPr>
            </w:pPr>
            <w:r>
              <w:rPr>
                <w:b/>
                <w:noProof/>
                <w:sz w:val="22"/>
              </w:rPr>
              <w:t>B.1.</w:t>
            </w:r>
          </w:p>
          <w:p>
            <w:pPr>
              <w:tabs>
                <w:tab w:val="left" w:pos="770"/>
              </w:tabs>
              <w:spacing w:before="20" w:after="20"/>
              <w:rPr>
                <w:b/>
                <w:noProof/>
                <w:sz w:val="22"/>
              </w:rPr>
            </w:pPr>
            <w:r>
              <w:rPr>
                <w:b/>
                <w:noProof/>
                <w:sz w:val="22"/>
              </w:rPr>
              <w:t>A.12.</w:t>
            </w:r>
          </w:p>
        </w:tc>
        <w:tc>
          <w:tcPr>
            <w:tcW w:w="2488" w:type="pct"/>
            <w:gridSpan w:val="2"/>
            <w:tcBorders>
              <w:top w:val="dotted" w:sz="4" w:space="0" w:color="auto"/>
              <w:left w:val="nil"/>
              <w:bottom w:val="dotted" w:sz="4" w:space="0" w:color="auto"/>
              <w:right w:val="dotted" w:sz="4" w:space="0" w:color="auto"/>
            </w:tcBorders>
            <w:hideMark/>
          </w:tcPr>
          <w:p>
            <w:pPr>
              <w:tabs>
                <w:tab w:val="left" w:pos="770"/>
              </w:tabs>
              <w:spacing w:before="20" w:after="20"/>
              <w:rPr>
                <w:b/>
                <w:noProof/>
                <w:sz w:val="22"/>
                <w:highlight w:val="yellow"/>
              </w:rPr>
            </w:pPr>
            <w:r>
              <w:rPr>
                <w:b/>
                <w:noProof/>
                <w:sz w:val="22"/>
              </w:rPr>
              <w:t xml:space="preserve">Išsaugoti ir atnaujinti įvairius Bonos susitarimo kovos su tarša vadovo skyrius </w:t>
            </w:r>
          </w:p>
        </w:tc>
        <w:tc>
          <w:tcPr>
            <w:tcW w:w="317"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center"/>
              <w:rPr>
                <w:noProof/>
                <w:snapToGrid w:val="0"/>
                <w:color w:val="000000"/>
                <w:sz w:val="22"/>
              </w:rPr>
            </w:pPr>
            <w:r>
              <w:rPr>
                <w:noProof/>
                <w:sz w:val="22"/>
              </w:rPr>
              <w:t>Prireikus vykdoma veikla</w:t>
            </w:r>
          </w:p>
        </w:tc>
        <w:tc>
          <w:tcPr>
            <w:tcW w:w="633" w:type="pct"/>
            <w:tcBorders>
              <w:top w:val="dotted" w:sz="4" w:space="0" w:color="auto"/>
              <w:left w:val="dotted" w:sz="4" w:space="0" w:color="auto"/>
              <w:bottom w:val="dotted" w:sz="4" w:space="0" w:color="auto"/>
              <w:right w:val="dotted" w:sz="4" w:space="0" w:color="auto"/>
            </w:tcBorders>
          </w:tcPr>
          <w:p>
            <w:pPr>
              <w:tabs>
                <w:tab w:val="left" w:pos="720"/>
              </w:tabs>
              <w:spacing w:before="20" w:after="20"/>
              <w:rPr>
                <w:noProof/>
                <w:snapToGrid w:val="0"/>
                <w:color w:val="000000"/>
                <w:sz w:val="22"/>
              </w:rPr>
            </w:pPr>
            <w:r>
              <w:rPr>
                <w:noProof/>
                <w:sz w:val="22"/>
              </w:rPr>
              <w:t>Susitariančioji šalis ir sekretoriatas</w:t>
            </w:r>
          </w:p>
          <w:p>
            <w:pPr>
              <w:tabs>
                <w:tab w:val="left" w:pos="720"/>
              </w:tabs>
              <w:spacing w:before="20" w:after="20"/>
              <w:rPr>
                <w:noProof/>
                <w:snapToGrid w:val="0"/>
                <w:color w:val="000000"/>
                <w:sz w:val="22"/>
              </w:rPr>
            </w:pPr>
          </w:p>
        </w:tc>
        <w:tc>
          <w:tcPr>
            <w:tcW w:w="741" w:type="pct"/>
            <w:tcBorders>
              <w:top w:val="dotted" w:sz="4" w:space="0" w:color="auto"/>
              <w:left w:val="dotted" w:sz="4" w:space="0" w:color="auto"/>
              <w:bottom w:val="dotted" w:sz="4" w:space="0" w:color="auto"/>
              <w:right w:val="dotted" w:sz="4" w:space="0" w:color="auto"/>
            </w:tcBorders>
          </w:tcPr>
          <w:p>
            <w:pPr>
              <w:tabs>
                <w:tab w:val="left" w:pos="720"/>
              </w:tabs>
              <w:spacing w:before="20" w:after="20"/>
              <w:rPr>
                <w:noProof/>
                <w:snapToGrid w:val="0"/>
                <w:color w:val="000000"/>
                <w:sz w:val="22"/>
              </w:rPr>
            </w:pPr>
          </w:p>
        </w:tc>
        <w:tc>
          <w:tcPr>
            <w:tcW w:w="278" w:type="pct"/>
            <w:tcBorders>
              <w:top w:val="dotted" w:sz="4" w:space="0" w:color="auto"/>
              <w:left w:val="dotted" w:sz="4" w:space="0" w:color="auto"/>
              <w:bottom w:val="dotted" w:sz="4" w:space="0" w:color="auto"/>
              <w:right w:val="nil"/>
            </w:tcBorders>
          </w:tcPr>
          <w:p>
            <w:pPr>
              <w:tabs>
                <w:tab w:val="left" w:pos="720"/>
              </w:tabs>
              <w:spacing w:before="20" w:after="20"/>
              <w:rPr>
                <w:noProof/>
                <w:snapToGrid w:val="0"/>
                <w:color w:val="000000"/>
                <w:sz w:val="22"/>
              </w:rPr>
            </w:pPr>
            <w:r>
              <w:rPr>
                <w:noProof/>
                <w:sz w:val="22"/>
              </w:rPr>
              <w:t xml:space="preserve">Vykdomas </w:t>
            </w:r>
          </w:p>
          <w:p>
            <w:pPr>
              <w:tabs>
                <w:tab w:val="left" w:pos="720"/>
              </w:tabs>
              <w:spacing w:before="20" w:after="20"/>
              <w:rPr>
                <w:noProof/>
                <w:snapToGrid w:val="0"/>
                <w:color w:val="000000"/>
                <w:sz w:val="22"/>
              </w:rPr>
            </w:pPr>
          </w:p>
          <w:p>
            <w:pPr>
              <w:tabs>
                <w:tab w:val="left" w:pos="720"/>
              </w:tabs>
              <w:spacing w:before="20" w:after="20"/>
              <w:rPr>
                <w:noProof/>
                <w:snapToGrid w:val="0"/>
                <w:color w:val="000000"/>
                <w:sz w:val="22"/>
              </w:rPr>
            </w:pPr>
          </w:p>
        </w:tc>
      </w:tr>
      <w:tr>
        <w:trPr>
          <w:cantSplit/>
        </w:trPr>
        <w:tc>
          <w:tcPr>
            <w:tcW w:w="218" w:type="pct"/>
            <w:tcBorders>
              <w:top w:val="dotted" w:sz="4" w:space="0" w:color="auto"/>
              <w:left w:val="single" w:sz="4" w:space="0" w:color="auto"/>
              <w:bottom w:val="dotted" w:sz="4" w:space="0" w:color="auto"/>
              <w:right w:val="dotted" w:sz="4" w:space="0" w:color="auto"/>
            </w:tcBorders>
            <w:hideMark/>
          </w:tcPr>
          <w:p>
            <w:pPr>
              <w:tabs>
                <w:tab w:val="left" w:pos="720"/>
              </w:tabs>
              <w:spacing w:before="20" w:after="20"/>
              <w:rPr>
                <w:b/>
                <w:noProof/>
                <w:snapToGrid w:val="0"/>
                <w:color w:val="000000"/>
                <w:sz w:val="22"/>
              </w:rPr>
            </w:pPr>
            <w:r>
              <w:rPr>
                <w:b/>
                <w:noProof/>
                <w:sz w:val="22"/>
              </w:rPr>
              <w:t xml:space="preserve">20. </w:t>
            </w:r>
          </w:p>
        </w:tc>
        <w:tc>
          <w:tcPr>
            <w:tcW w:w="325" w:type="pct"/>
            <w:tcBorders>
              <w:top w:val="dotted" w:sz="4" w:space="0" w:color="auto"/>
              <w:left w:val="nil"/>
              <w:bottom w:val="dotted" w:sz="4" w:space="0" w:color="auto"/>
              <w:right w:val="nil"/>
            </w:tcBorders>
            <w:hideMark/>
          </w:tcPr>
          <w:p>
            <w:pPr>
              <w:tabs>
                <w:tab w:val="left" w:pos="770"/>
              </w:tabs>
              <w:spacing w:before="20" w:after="20"/>
              <w:rPr>
                <w:b/>
                <w:noProof/>
                <w:sz w:val="22"/>
              </w:rPr>
            </w:pPr>
            <w:r>
              <w:rPr>
                <w:b/>
                <w:noProof/>
                <w:sz w:val="22"/>
              </w:rPr>
              <w:t>B.2.</w:t>
            </w:r>
          </w:p>
        </w:tc>
        <w:tc>
          <w:tcPr>
            <w:tcW w:w="2488" w:type="pct"/>
            <w:gridSpan w:val="2"/>
            <w:tcBorders>
              <w:top w:val="dotted" w:sz="4" w:space="0" w:color="auto"/>
              <w:left w:val="nil"/>
              <w:bottom w:val="dotted" w:sz="4" w:space="0" w:color="auto"/>
              <w:right w:val="dotted" w:sz="4" w:space="0" w:color="auto"/>
            </w:tcBorders>
          </w:tcPr>
          <w:p>
            <w:pPr>
              <w:tabs>
                <w:tab w:val="left" w:pos="770"/>
              </w:tabs>
              <w:spacing w:before="20" w:after="20"/>
              <w:rPr>
                <w:b/>
                <w:noProof/>
                <w:snapToGrid w:val="0"/>
                <w:color w:val="000000"/>
                <w:sz w:val="22"/>
              </w:rPr>
            </w:pPr>
            <w:r>
              <w:rPr>
                <w:b/>
                <w:noProof/>
                <w:sz w:val="22"/>
              </w:rPr>
              <w:t>Toliau keistis informacija apie galinčias teršti nuolaužas (išmetimo, rizikos vertinimo ir kt. metodai).</w:t>
            </w:r>
          </w:p>
          <w:p>
            <w:pPr>
              <w:tabs>
                <w:tab w:val="left" w:pos="770"/>
              </w:tabs>
              <w:spacing w:before="20" w:after="20"/>
              <w:rPr>
                <w:noProof/>
                <w:snapToGrid w:val="0"/>
                <w:color w:val="000000"/>
                <w:sz w:val="22"/>
              </w:rPr>
            </w:pPr>
          </w:p>
        </w:tc>
        <w:tc>
          <w:tcPr>
            <w:tcW w:w="317"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center"/>
              <w:rPr>
                <w:noProof/>
                <w:snapToGrid w:val="0"/>
                <w:color w:val="000000"/>
                <w:sz w:val="22"/>
              </w:rPr>
            </w:pPr>
            <w:r>
              <w:rPr>
                <w:noProof/>
                <w:sz w:val="22"/>
              </w:rPr>
              <w:t>Prireikus vykdoma veikla</w:t>
            </w:r>
          </w:p>
        </w:tc>
        <w:tc>
          <w:tcPr>
            <w:tcW w:w="633"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rPr>
                <w:noProof/>
                <w:snapToGrid w:val="0"/>
                <w:color w:val="000000"/>
                <w:sz w:val="22"/>
              </w:rPr>
            </w:pPr>
            <w:r>
              <w:rPr>
                <w:noProof/>
                <w:sz w:val="22"/>
              </w:rPr>
              <w:t>Susitariančioji šalis</w:t>
            </w:r>
          </w:p>
        </w:tc>
        <w:tc>
          <w:tcPr>
            <w:tcW w:w="741" w:type="pct"/>
            <w:tcBorders>
              <w:top w:val="dotted" w:sz="4" w:space="0" w:color="auto"/>
              <w:left w:val="dotted" w:sz="4" w:space="0" w:color="auto"/>
              <w:bottom w:val="dotted" w:sz="4" w:space="0" w:color="auto"/>
              <w:right w:val="nil"/>
            </w:tcBorders>
          </w:tcPr>
          <w:p>
            <w:pPr>
              <w:tabs>
                <w:tab w:val="left" w:pos="720"/>
              </w:tabs>
              <w:spacing w:before="20" w:after="20"/>
              <w:rPr>
                <w:noProof/>
                <w:snapToGrid w:val="0"/>
                <w:color w:val="000000"/>
                <w:sz w:val="22"/>
              </w:rPr>
            </w:pPr>
          </w:p>
        </w:tc>
        <w:tc>
          <w:tcPr>
            <w:tcW w:w="278" w:type="pct"/>
            <w:tcBorders>
              <w:top w:val="dotted" w:sz="4" w:space="0" w:color="auto"/>
              <w:left w:val="dotted" w:sz="4" w:space="0" w:color="auto"/>
              <w:bottom w:val="dotted" w:sz="4" w:space="0" w:color="auto"/>
              <w:right w:val="nil"/>
            </w:tcBorders>
            <w:hideMark/>
          </w:tcPr>
          <w:p>
            <w:pPr>
              <w:tabs>
                <w:tab w:val="left" w:pos="720"/>
              </w:tabs>
              <w:spacing w:before="20" w:after="20"/>
              <w:rPr>
                <w:noProof/>
                <w:snapToGrid w:val="0"/>
                <w:color w:val="000000"/>
                <w:sz w:val="22"/>
              </w:rPr>
            </w:pPr>
            <w:r>
              <w:rPr>
                <w:noProof/>
                <w:sz w:val="22"/>
              </w:rPr>
              <w:t>Vykdomas</w:t>
            </w:r>
          </w:p>
        </w:tc>
      </w:tr>
      <w:tr>
        <w:trPr>
          <w:cantSplit/>
        </w:trPr>
        <w:tc>
          <w:tcPr>
            <w:tcW w:w="218" w:type="pct"/>
            <w:tcBorders>
              <w:top w:val="dotted" w:sz="4" w:space="0" w:color="auto"/>
              <w:left w:val="single" w:sz="4" w:space="0" w:color="auto"/>
              <w:bottom w:val="dotted" w:sz="4" w:space="0" w:color="auto"/>
              <w:right w:val="dotted" w:sz="4" w:space="0" w:color="auto"/>
            </w:tcBorders>
            <w:hideMark/>
          </w:tcPr>
          <w:p>
            <w:pPr>
              <w:tabs>
                <w:tab w:val="left" w:pos="720"/>
              </w:tabs>
              <w:spacing w:before="20" w:after="20"/>
              <w:rPr>
                <w:b/>
                <w:noProof/>
                <w:snapToGrid w:val="0"/>
                <w:color w:val="000000"/>
                <w:sz w:val="22"/>
              </w:rPr>
            </w:pPr>
            <w:r>
              <w:rPr>
                <w:b/>
                <w:noProof/>
                <w:sz w:val="22"/>
              </w:rPr>
              <w:t xml:space="preserve">21. </w:t>
            </w:r>
          </w:p>
        </w:tc>
        <w:tc>
          <w:tcPr>
            <w:tcW w:w="325" w:type="pct"/>
            <w:tcBorders>
              <w:top w:val="dotted" w:sz="4" w:space="0" w:color="auto"/>
              <w:left w:val="nil"/>
              <w:bottom w:val="dotted" w:sz="4" w:space="0" w:color="auto"/>
              <w:right w:val="nil"/>
            </w:tcBorders>
            <w:hideMark/>
          </w:tcPr>
          <w:p>
            <w:pPr>
              <w:tabs>
                <w:tab w:val="left" w:pos="770"/>
              </w:tabs>
              <w:spacing w:before="20" w:after="20"/>
              <w:rPr>
                <w:b/>
                <w:noProof/>
                <w:sz w:val="22"/>
              </w:rPr>
            </w:pPr>
            <w:r>
              <w:rPr>
                <w:b/>
                <w:noProof/>
                <w:sz w:val="22"/>
              </w:rPr>
              <w:t>B.4.</w:t>
            </w:r>
          </w:p>
          <w:p>
            <w:pPr>
              <w:tabs>
                <w:tab w:val="left" w:pos="770"/>
              </w:tabs>
              <w:spacing w:before="20" w:after="20"/>
              <w:rPr>
                <w:b/>
                <w:noProof/>
                <w:sz w:val="22"/>
              </w:rPr>
            </w:pPr>
            <w:r>
              <w:rPr>
                <w:b/>
                <w:noProof/>
                <w:sz w:val="22"/>
              </w:rPr>
              <w:t>B.5.</w:t>
            </w:r>
          </w:p>
        </w:tc>
        <w:tc>
          <w:tcPr>
            <w:tcW w:w="2488" w:type="pct"/>
            <w:gridSpan w:val="2"/>
            <w:tcBorders>
              <w:top w:val="dotted" w:sz="4" w:space="0" w:color="auto"/>
              <w:left w:val="nil"/>
              <w:bottom w:val="dotted" w:sz="4" w:space="0" w:color="auto"/>
              <w:right w:val="dotted" w:sz="4" w:space="0" w:color="auto"/>
            </w:tcBorders>
            <w:hideMark/>
          </w:tcPr>
          <w:p>
            <w:pPr>
              <w:tabs>
                <w:tab w:val="left" w:pos="770"/>
              </w:tabs>
              <w:spacing w:before="20" w:after="20"/>
              <w:rPr>
                <w:b/>
                <w:noProof/>
                <w:sz w:val="22"/>
              </w:rPr>
            </w:pPr>
            <w:r>
              <w:rPr>
                <w:b/>
                <w:noProof/>
                <w:sz w:val="22"/>
              </w:rPr>
              <w:t>Stiprinti pasirengimą priimti / siūlyti / perduoti tarptautinę paramą, naudojantis ES priimančiosios valstybės paramos gairėmis.</w:t>
            </w:r>
          </w:p>
        </w:tc>
        <w:tc>
          <w:tcPr>
            <w:tcW w:w="317"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center"/>
              <w:rPr>
                <w:noProof/>
                <w:snapToGrid w:val="0"/>
                <w:color w:val="000000"/>
                <w:sz w:val="22"/>
              </w:rPr>
            </w:pPr>
            <w:r>
              <w:rPr>
                <w:noProof/>
                <w:sz w:val="22"/>
              </w:rPr>
              <w:t>Vykdomas</w:t>
            </w:r>
          </w:p>
        </w:tc>
        <w:tc>
          <w:tcPr>
            <w:tcW w:w="633" w:type="pct"/>
            <w:tcBorders>
              <w:top w:val="dotted" w:sz="4" w:space="0" w:color="auto"/>
              <w:left w:val="dotted" w:sz="4" w:space="0" w:color="auto"/>
              <w:bottom w:val="dotted" w:sz="4" w:space="0" w:color="auto"/>
              <w:right w:val="dotted" w:sz="4" w:space="0" w:color="auto"/>
            </w:tcBorders>
          </w:tcPr>
          <w:p>
            <w:pPr>
              <w:tabs>
                <w:tab w:val="left" w:pos="720"/>
              </w:tabs>
              <w:spacing w:before="20" w:after="20"/>
              <w:rPr>
                <w:noProof/>
                <w:snapToGrid w:val="0"/>
                <w:color w:val="000000"/>
                <w:sz w:val="22"/>
              </w:rPr>
            </w:pPr>
            <w:r>
              <w:rPr>
                <w:noProof/>
                <w:sz w:val="22"/>
              </w:rPr>
              <w:t xml:space="preserve">Susitariančioji šalis ir ES </w:t>
            </w:r>
          </w:p>
          <w:p>
            <w:pPr>
              <w:tabs>
                <w:tab w:val="left" w:pos="720"/>
              </w:tabs>
              <w:spacing w:before="20" w:after="20"/>
              <w:rPr>
                <w:noProof/>
                <w:snapToGrid w:val="0"/>
                <w:color w:val="000000"/>
                <w:sz w:val="22"/>
              </w:rPr>
            </w:pPr>
          </w:p>
        </w:tc>
        <w:tc>
          <w:tcPr>
            <w:tcW w:w="741"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rPr>
                <w:noProof/>
                <w:snapToGrid w:val="0"/>
                <w:color w:val="000000"/>
                <w:sz w:val="22"/>
              </w:rPr>
            </w:pPr>
            <w:r>
              <w:rPr>
                <w:noProof/>
                <w:sz w:val="22"/>
              </w:rPr>
              <w:t xml:space="preserve"> </w:t>
            </w:r>
          </w:p>
        </w:tc>
        <w:tc>
          <w:tcPr>
            <w:tcW w:w="278" w:type="pct"/>
            <w:tcBorders>
              <w:top w:val="dotted" w:sz="4" w:space="0" w:color="auto"/>
              <w:left w:val="dotted" w:sz="4" w:space="0" w:color="auto"/>
              <w:bottom w:val="dotted" w:sz="4" w:space="0" w:color="auto"/>
              <w:right w:val="nil"/>
            </w:tcBorders>
            <w:hideMark/>
          </w:tcPr>
          <w:p>
            <w:pPr>
              <w:tabs>
                <w:tab w:val="left" w:pos="720"/>
              </w:tabs>
              <w:spacing w:before="20" w:after="20"/>
              <w:rPr>
                <w:noProof/>
                <w:snapToGrid w:val="0"/>
                <w:color w:val="000000"/>
                <w:sz w:val="22"/>
              </w:rPr>
            </w:pPr>
            <w:r>
              <w:rPr>
                <w:noProof/>
                <w:sz w:val="22"/>
              </w:rPr>
              <w:t>Vykdomas</w:t>
            </w:r>
          </w:p>
        </w:tc>
      </w:tr>
      <w:tr>
        <w:trPr>
          <w:cantSplit/>
        </w:trPr>
        <w:tc>
          <w:tcPr>
            <w:tcW w:w="218" w:type="pct"/>
            <w:tcBorders>
              <w:top w:val="dotted" w:sz="4" w:space="0" w:color="auto"/>
              <w:left w:val="single" w:sz="4" w:space="0" w:color="auto"/>
              <w:bottom w:val="dotted" w:sz="4" w:space="0" w:color="auto"/>
              <w:right w:val="dotted" w:sz="4" w:space="0" w:color="auto"/>
            </w:tcBorders>
            <w:hideMark/>
          </w:tcPr>
          <w:p>
            <w:pPr>
              <w:tabs>
                <w:tab w:val="left" w:pos="720"/>
              </w:tabs>
              <w:spacing w:before="20" w:after="20"/>
              <w:rPr>
                <w:b/>
                <w:noProof/>
                <w:snapToGrid w:val="0"/>
                <w:color w:val="000000"/>
                <w:sz w:val="22"/>
              </w:rPr>
            </w:pPr>
            <w:r>
              <w:rPr>
                <w:b/>
                <w:noProof/>
                <w:sz w:val="22"/>
              </w:rPr>
              <w:t xml:space="preserve">22. </w:t>
            </w:r>
          </w:p>
        </w:tc>
        <w:tc>
          <w:tcPr>
            <w:tcW w:w="325" w:type="pct"/>
            <w:tcBorders>
              <w:top w:val="dotted" w:sz="4" w:space="0" w:color="auto"/>
              <w:left w:val="nil"/>
              <w:bottom w:val="dotted" w:sz="4" w:space="0" w:color="auto"/>
              <w:right w:val="nil"/>
            </w:tcBorders>
            <w:hideMark/>
          </w:tcPr>
          <w:p>
            <w:pPr>
              <w:spacing w:after="60"/>
              <w:rPr>
                <w:b/>
                <w:noProof/>
                <w:sz w:val="22"/>
              </w:rPr>
            </w:pPr>
            <w:r>
              <w:rPr>
                <w:b/>
                <w:noProof/>
                <w:sz w:val="22"/>
              </w:rPr>
              <w:t>B.3.</w:t>
            </w:r>
          </w:p>
        </w:tc>
        <w:tc>
          <w:tcPr>
            <w:tcW w:w="2488" w:type="pct"/>
            <w:gridSpan w:val="2"/>
            <w:tcBorders>
              <w:top w:val="dotted" w:sz="4" w:space="0" w:color="auto"/>
              <w:left w:val="nil"/>
              <w:bottom w:val="dotted" w:sz="4" w:space="0" w:color="auto"/>
              <w:right w:val="dotted" w:sz="4" w:space="0" w:color="auto"/>
            </w:tcBorders>
          </w:tcPr>
          <w:p>
            <w:pPr>
              <w:spacing w:after="60"/>
              <w:rPr>
                <w:b/>
                <w:noProof/>
                <w:sz w:val="22"/>
              </w:rPr>
            </w:pPr>
            <w:r>
              <w:rPr>
                <w:b/>
                <w:noProof/>
                <w:sz w:val="22"/>
              </w:rPr>
              <w:t>Planuoti ir vykdyti regionines bei subregionines veiklos pratybas ir mokymą, atsižvelgiant į strateginius poreikius.</w:t>
            </w:r>
          </w:p>
          <w:p>
            <w:pPr>
              <w:tabs>
                <w:tab w:val="left" w:pos="770"/>
              </w:tabs>
              <w:spacing w:before="20" w:after="20"/>
              <w:ind w:left="113"/>
              <w:rPr>
                <w:b/>
                <w:noProof/>
                <w:sz w:val="22"/>
              </w:rPr>
            </w:pPr>
          </w:p>
        </w:tc>
        <w:tc>
          <w:tcPr>
            <w:tcW w:w="317" w:type="pct"/>
            <w:tcBorders>
              <w:top w:val="dotted" w:sz="4" w:space="0" w:color="auto"/>
              <w:left w:val="dotted" w:sz="4" w:space="0" w:color="auto"/>
              <w:bottom w:val="dotted" w:sz="4" w:space="0" w:color="auto"/>
              <w:right w:val="dotted" w:sz="4" w:space="0" w:color="auto"/>
            </w:tcBorders>
          </w:tcPr>
          <w:p>
            <w:pPr>
              <w:tabs>
                <w:tab w:val="left" w:pos="720"/>
              </w:tabs>
              <w:spacing w:before="20" w:after="20"/>
              <w:jc w:val="center"/>
              <w:rPr>
                <w:noProof/>
                <w:snapToGrid w:val="0"/>
                <w:color w:val="000000"/>
                <w:sz w:val="22"/>
              </w:rPr>
            </w:pPr>
          </w:p>
        </w:tc>
        <w:tc>
          <w:tcPr>
            <w:tcW w:w="633"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rPr>
                <w:noProof/>
                <w:snapToGrid w:val="0"/>
                <w:color w:val="000000"/>
                <w:sz w:val="22"/>
              </w:rPr>
            </w:pPr>
            <w:r>
              <w:rPr>
                <w:noProof/>
                <w:sz w:val="22"/>
              </w:rPr>
              <w:t>Susitariančioji šalis</w:t>
            </w:r>
          </w:p>
        </w:tc>
        <w:tc>
          <w:tcPr>
            <w:tcW w:w="741" w:type="pct"/>
            <w:tcBorders>
              <w:top w:val="dotted" w:sz="4" w:space="0" w:color="auto"/>
              <w:left w:val="dotted" w:sz="4" w:space="0" w:color="auto"/>
              <w:bottom w:val="dotted" w:sz="4" w:space="0" w:color="auto"/>
              <w:right w:val="dotted" w:sz="4" w:space="0" w:color="auto"/>
            </w:tcBorders>
          </w:tcPr>
          <w:p>
            <w:pPr>
              <w:tabs>
                <w:tab w:val="left" w:pos="720"/>
              </w:tabs>
              <w:spacing w:before="20" w:after="20"/>
              <w:rPr>
                <w:noProof/>
                <w:snapToGrid w:val="0"/>
                <w:color w:val="000000"/>
                <w:sz w:val="22"/>
              </w:rPr>
            </w:pPr>
          </w:p>
        </w:tc>
        <w:tc>
          <w:tcPr>
            <w:tcW w:w="278" w:type="pct"/>
            <w:tcBorders>
              <w:top w:val="dotted" w:sz="4" w:space="0" w:color="auto"/>
              <w:left w:val="dotted" w:sz="4" w:space="0" w:color="auto"/>
              <w:bottom w:val="dotted" w:sz="4" w:space="0" w:color="auto"/>
              <w:right w:val="nil"/>
            </w:tcBorders>
            <w:hideMark/>
          </w:tcPr>
          <w:p>
            <w:pPr>
              <w:tabs>
                <w:tab w:val="left" w:pos="720"/>
              </w:tabs>
              <w:spacing w:before="20" w:after="20"/>
              <w:rPr>
                <w:noProof/>
                <w:snapToGrid w:val="0"/>
                <w:color w:val="000000"/>
                <w:sz w:val="22"/>
              </w:rPr>
            </w:pPr>
            <w:r>
              <w:rPr>
                <w:noProof/>
                <w:sz w:val="22"/>
              </w:rPr>
              <w:t>Vykdomas</w:t>
            </w:r>
          </w:p>
        </w:tc>
      </w:tr>
      <w:tr>
        <w:trPr>
          <w:cantSplit/>
        </w:trPr>
        <w:tc>
          <w:tcPr>
            <w:tcW w:w="218" w:type="pct"/>
            <w:tcBorders>
              <w:top w:val="dotted" w:sz="4" w:space="0" w:color="auto"/>
              <w:left w:val="single" w:sz="4" w:space="0" w:color="auto"/>
              <w:bottom w:val="dotted" w:sz="4" w:space="0" w:color="auto"/>
              <w:right w:val="dotted" w:sz="4" w:space="0" w:color="auto"/>
            </w:tcBorders>
            <w:hideMark/>
          </w:tcPr>
          <w:p>
            <w:pPr>
              <w:tabs>
                <w:tab w:val="left" w:pos="720"/>
              </w:tabs>
              <w:spacing w:before="20" w:after="20"/>
              <w:rPr>
                <w:b/>
                <w:noProof/>
                <w:snapToGrid w:val="0"/>
                <w:color w:val="000000"/>
                <w:sz w:val="22"/>
              </w:rPr>
            </w:pPr>
            <w:r>
              <w:rPr>
                <w:b/>
                <w:noProof/>
                <w:sz w:val="22"/>
              </w:rPr>
              <w:t xml:space="preserve">23. </w:t>
            </w:r>
          </w:p>
        </w:tc>
        <w:tc>
          <w:tcPr>
            <w:tcW w:w="325" w:type="pct"/>
            <w:tcBorders>
              <w:top w:val="dotted" w:sz="4" w:space="0" w:color="auto"/>
              <w:left w:val="nil"/>
              <w:bottom w:val="dotted" w:sz="4" w:space="0" w:color="auto"/>
              <w:right w:val="nil"/>
            </w:tcBorders>
            <w:hideMark/>
          </w:tcPr>
          <w:p>
            <w:pPr>
              <w:tabs>
                <w:tab w:val="left" w:pos="770"/>
              </w:tabs>
              <w:spacing w:before="20" w:after="20"/>
              <w:rPr>
                <w:b/>
                <w:noProof/>
                <w:sz w:val="22"/>
              </w:rPr>
            </w:pPr>
            <w:r>
              <w:rPr>
                <w:b/>
                <w:noProof/>
                <w:sz w:val="22"/>
              </w:rPr>
              <w:t>B.3.</w:t>
            </w:r>
          </w:p>
        </w:tc>
        <w:tc>
          <w:tcPr>
            <w:tcW w:w="2488" w:type="pct"/>
            <w:gridSpan w:val="2"/>
            <w:tcBorders>
              <w:top w:val="dotted" w:sz="4" w:space="0" w:color="auto"/>
              <w:left w:val="nil"/>
              <w:bottom w:val="dotted" w:sz="4" w:space="0" w:color="auto"/>
              <w:right w:val="dotted" w:sz="4" w:space="0" w:color="auto"/>
            </w:tcBorders>
            <w:hideMark/>
          </w:tcPr>
          <w:p>
            <w:pPr>
              <w:tabs>
                <w:tab w:val="left" w:pos="770"/>
              </w:tabs>
              <w:spacing w:before="20" w:after="20"/>
              <w:rPr>
                <w:b/>
                <w:noProof/>
                <w:snapToGrid w:val="0"/>
                <w:color w:val="000000"/>
                <w:sz w:val="22"/>
              </w:rPr>
            </w:pPr>
            <w:r>
              <w:rPr>
                <w:b/>
                <w:noProof/>
                <w:sz w:val="22"/>
              </w:rPr>
              <w:t>Rengti bendras operatyvines kovos su tarša pratybas (BONNEX DELTA), atsižvelgiant į regionų strateginius rengimo poreikius.</w:t>
            </w:r>
          </w:p>
        </w:tc>
        <w:tc>
          <w:tcPr>
            <w:tcW w:w="317" w:type="pct"/>
            <w:tcBorders>
              <w:top w:val="dotted" w:sz="4" w:space="0" w:color="auto"/>
              <w:left w:val="dotted" w:sz="4" w:space="0" w:color="auto"/>
              <w:bottom w:val="dotted" w:sz="4" w:space="0" w:color="auto"/>
              <w:right w:val="dotted" w:sz="4" w:space="0" w:color="auto"/>
            </w:tcBorders>
          </w:tcPr>
          <w:p>
            <w:pPr>
              <w:tabs>
                <w:tab w:val="left" w:pos="720"/>
              </w:tabs>
              <w:spacing w:before="20" w:after="20"/>
              <w:jc w:val="center"/>
              <w:rPr>
                <w:noProof/>
                <w:snapToGrid w:val="0"/>
                <w:color w:val="000000"/>
                <w:sz w:val="22"/>
              </w:rPr>
            </w:pPr>
          </w:p>
        </w:tc>
        <w:tc>
          <w:tcPr>
            <w:tcW w:w="633"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left"/>
              <w:rPr>
                <w:noProof/>
                <w:snapToGrid w:val="0"/>
                <w:color w:val="000000"/>
                <w:sz w:val="22"/>
              </w:rPr>
            </w:pPr>
            <w:r>
              <w:rPr>
                <w:noProof/>
                <w:sz w:val="22"/>
              </w:rPr>
              <w:t xml:space="preserve"> Susitariančioji šalis pagal bendrą veiksmų planą</w:t>
            </w:r>
          </w:p>
        </w:tc>
        <w:tc>
          <w:tcPr>
            <w:tcW w:w="741" w:type="pct"/>
            <w:tcBorders>
              <w:top w:val="dotted" w:sz="4" w:space="0" w:color="auto"/>
              <w:left w:val="dotted" w:sz="4" w:space="0" w:color="auto"/>
              <w:bottom w:val="dotted" w:sz="4" w:space="0" w:color="auto"/>
              <w:right w:val="nil"/>
            </w:tcBorders>
          </w:tcPr>
          <w:p>
            <w:pPr>
              <w:tabs>
                <w:tab w:val="left" w:pos="720"/>
              </w:tabs>
              <w:spacing w:before="20" w:after="20"/>
              <w:rPr>
                <w:noProof/>
                <w:snapToGrid w:val="0"/>
                <w:color w:val="000000"/>
                <w:sz w:val="22"/>
              </w:rPr>
            </w:pPr>
          </w:p>
        </w:tc>
        <w:tc>
          <w:tcPr>
            <w:tcW w:w="278" w:type="pct"/>
            <w:tcBorders>
              <w:top w:val="dotted" w:sz="4" w:space="0" w:color="auto"/>
              <w:left w:val="dotted" w:sz="4" w:space="0" w:color="auto"/>
              <w:bottom w:val="dotted" w:sz="4" w:space="0" w:color="auto"/>
              <w:right w:val="nil"/>
            </w:tcBorders>
            <w:hideMark/>
          </w:tcPr>
          <w:p>
            <w:pPr>
              <w:tabs>
                <w:tab w:val="left" w:pos="720"/>
              </w:tabs>
              <w:spacing w:before="20" w:after="20"/>
              <w:rPr>
                <w:noProof/>
                <w:snapToGrid w:val="0"/>
                <w:color w:val="000000"/>
                <w:sz w:val="22"/>
              </w:rPr>
            </w:pPr>
            <w:r>
              <w:rPr>
                <w:noProof/>
                <w:sz w:val="22"/>
              </w:rPr>
              <w:t>Vykdomas</w:t>
            </w:r>
          </w:p>
        </w:tc>
      </w:tr>
      <w:tr>
        <w:trPr>
          <w:cantSplit/>
        </w:trPr>
        <w:tc>
          <w:tcPr>
            <w:tcW w:w="218" w:type="pct"/>
            <w:tcBorders>
              <w:top w:val="dotted" w:sz="4" w:space="0" w:color="auto"/>
              <w:left w:val="single" w:sz="4" w:space="0" w:color="auto"/>
              <w:bottom w:val="dotted" w:sz="4" w:space="0" w:color="auto"/>
              <w:right w:val="dotted" w:sz="4" w:space="0" w:color="auto"/>
            </w:tcBorders>
            <w:hideMark/>
          </w:tcPr>
          <w:p>
            <w:pPr>
              <w:tabs>
                <w:tab w:val="left" w:pos="720"/>
              </w:tabs>
              <w:spacing w:before="20" w:after="20"/>
              <w:rPr>
                <w:b/>
                <w:noProof/>
                <w:snapToGrid w:val="0"/>
                <w:color w:val="000000"/>
                <w:sz w:val="22"/>
              </w:rPr>
            </w:pPr>
            <w:r>
              <w:rPr>
                <w:b/>
                <w:noProof/>
                <w:sz w:val="22"/>
              </w:rPr>
              <w:t xml:space="preserve">24. </w:t>
            </w:r>
          </w:p>
        </w:tc>
        <w:tc>
          <w:tcPr>
            <w:tcW w:w="325" w:type="pct"/>
            <w:tcBorders>
              <w:top w:val="dotted" w:sz="4" w:space="0" w:color="auto"/>
              <w:left w:val="nil"/>
              <w:bottom w:val="dotted" w:sz="4" w:space="0" w:color="auto"/>
              <w:right w:val="nil"/>
            </w:tcBorders>
            <w:hideMark/>
          </w:tcPr>
          <w:p>
            <w:pPr>
              <w:tabs>
                <w:tab w:val="left" w:pos="770"/>
              </w:tabs>
              <w:spacing w:before="20" w:after="20"/>
              <w:rPr>
                <w:b/>
                <w:noProof/>
                <w:sz w:val="22"/>
              </w:rPr>
            </w:pPr>
            <w:r>
              <w:rPr>
                <w:b/>
                <w:noProof/>
                <w:sz w:val="22"/>
              </w:rPr>
              <w:t>B.3.</w:t>
            </w:r>
          </w:p>
        </w:tc>
        <w:tc>
          <w:tcPr>
            <w:tcW w:w="2488" w:type="pct"/>
            <w:gridSpan w:val="2"/>
            <w:tcBorders>
              <w:top w:val="dotted" w:sz="4" w:space="0" w:color="auto"/>
              <w:left w:val="nil"/>
              <w:bottom w:val="dotted" w:sz="4" w:space="0" w:color="auto"/>
              <w:right w:val="dotted" w:sz="4" w:space="0" w:color="auto"/>
            </w:tcBorders>
            <w:hideMark/>
          </w:tcPr>
          <w:p>
            <w:pPr>
              <w:tabs>
                <w:tab w:val="left" w:pos="770"/>
              </w:tabs>
              <w:spacing w:before="20" w:after="20"/>
              <w:rPr>
                <w:b/>
                <w:noProof/>
                <w:sz w:val="22"/>
              </w:rPr>
            </w:pPr>
            <w:r>
              <w:rPr>
                <w:b/>
                <w:noProof/>
                <w:sz w:val="22"/>
              </w:rPr>
              <w:t>Sukurti laipsniškų bendrų pratybų sistemą siekiant išbandyti ir pradėti bendradarbiauti kovojant su naftos išsiliejimu.</w:t>
            </w:r>
          </w:p>
        </w:tc>
        <w:tc>
          <w:tcPr>
            <w:tcW w:w="317"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center"/>
              <w:rPr>
                <w:noProof/>
                <w:snapToGrid w:val="0"/>
                <w:color w:val="000000"/>
                <w:sz w:val="22"/>
              </w:rPr>
            </w:pPr>
            <w:r>
              <w:rPr>
                <w:noProof/>
                <w:sz w:val="22"/>
              </w:rPr>
              <w:t>Vykdomas</w:t>
            </w:r>
          </w:p>
        </w:tc>
        <w:tc>
          <w:tcPr>
            <w:tcW w:w="633"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rPr>
                <w:noProof/>
                <w:snapToGrid w:val="0"/>
                <w:color w:val="000000"/>
                <w:sz w:val="22"/>
              </w:rPr>
            </w:pPr>
            <w:r>
              <w:rPr>
                <w:noProof/>
                <w:sz w:val="22"/>
              </w:rPr>
              <w:t>DK</w:t>
            </w:r>
          </w:p>
        </w:tc>
        <w:tc>
          <w:tcPr>
            <w:tcW w:w="741"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rPr>
                <w:noProof/>
                <w:snapToGrid w:val="0"/>
                <w:color w:val="000000"/>
                <w:sz w:val="22"/>
              </w:rPr>
            </w:pPr>
            <w:r>
              <w:rPr>
                <w:noProof/>
                <w:sz w:val="22"/>
              </w:rPr>
              <w:t xml:space="preserve">DK turi karinės patirties ir ja naudojasi, kad galėtų teikti paramą pratyboms. </w:t>
            </w:r>
          </w:p>
        </w:tc>
        <w:tc>
          <w:tcPr>
            <w:tcW w:w="278" w:type="pct"/>
            <w:tcBorders>
              <w:top w:val="dotted" w:sz="4" w:space="0" w:color="auto"/>
              <w:left w:val="dotted" w:sz="4" w:space="0" w:color="auto"/>
              <w:bottom w:val="dotted" w:sz="4" w:space="0" w:color="auto"/>
              <w:right w:val="nil"/>
            </w:tcBorders>
          </w:tcPr>
          <w:p>
            <w:pPr>
              <w:tabs>
                <w:tab w:val="left" w:pos="720"/>
              </w:tabs>
              <w:spacing w:before="20" w:after="20"/>
              <w:rPr>
                <w:noProof/>
                <w:snapToGrid w:val="0"/>
                <w:color w:val="000000"/>
                <w:sz w:val="22"/>
              </w:rPr>
            </w:pPr>
          </w:p>
        </w:tc>
      </w:tr>
      <w:tr>
        <w:trPr>
          <w:cantSplit/>
        </w:trPr>
        <w:tc>
          <w:tcPr>
            <w:tcW w:w="218" w:type="pct"/>
            <w:tcBorders>
              <w:top w:val="dotted" w:sz="4" w:space="0" w:color="auto"/>
              <w:left w:val="single" w:sz="4" w:space="0" w:color="auto"/>
              <w:bottom w:val="dotted" w:sz="4" w:space="0" w:color="auto"/>
              <w:right w:val="dotted" w:sz="4" w:space="0" w:color="auto"/>
            </w:tcBorders>
            <w:hideMark/>
          </w:tcPr>
          <w:p>
            <w:pPr>
              <w:tabs>
                <w:tab w:val="left" w:pos="720"/>
              </w:tabs>
              <w:spacing w:before="20" w:after="20"/>
              <w:rPr>
                <w:b/>
                <w:noProof/>
                <w:snapToGrid w:val="0"/>
                <w:color w:val="000000"/>
                <w:sz w:val="22"/>
              </w:rPr>
            </w:pPr>
            <w:r>
              <w:rPr>
                <w:b/>
                <w:noProof/>
                <w:sz w:val="22"/>
              </w:rPr>
              <w:t xml:space="preserve">25. </w:t>
            </w:r>
          </w:p>
        </w:tc>
        <w:tc>
          <w:tcPr>
            <w:tcW w:w="325" w:type="pct"/>
            <w:tcBorders>
              <w:top w:val="dotted" w:sz="4" w:space="0" w:color="auto"/>
              <w:left w:val="nil"/>
              <w:bottom w:val="dotted" w:sz="4" w:space="0" w:color="auto"/>
              <w:right w:val="nil"/>
            </w:tcBorders>
            <w:hideMark/>
          </w:tcPr>
          <w:p>
            <w:pPr>
              <w:tabs>
                <w:tab w:val="left" w:pos="720"/>
              </w:tabs>
              <w:spacing w:before="20" w:after="20"/>
              <w:rPr>
                <w:b/>
                <w:noProof/>
                <w:sz w:val="22"/>
              </w:rPr>
            </w:pPr>
            <w:r>
              <w:rPr>
                <w:b/>
                <w:noProof/>
                <w:sz w:val="22"/>
              </w:rPr>
              <w:t>B.4.</w:t>
            </w:r>
          </w:p>
        </w:tc>
        <w:tc>
          <w:tcPr>
            <w:tcW w:w="2488" w:type="pct"/>
            <w:gridSpan w:val="2"/>
            <w:tcBorders>
              <w:top w:val="dotted" w:sz="4" w:space="0" w:color="auto"/>
              <w:left w:val="nil"/>
              <w:bottom w:val="dotted" w:sz="4" w:space="0" w:color="auto"/>
              <w:right w:val="dotted" w:sz="4" w:space="0" w:color="auto"/>
            </w:tcBorders>
          </w:tcPr>
          <w:p>
            <w:pPr>
              <w:tabs>
                <w:tab w:val="left" w:pos="720"/>
              </w:tabs>
              <w:spacing w:before="20" w:after="20"/>
              <w:rPr>
                <w:b/>
                <w:noProof/>
                <w:sz w:val="22"/>
              </w:rPr>
            </w:pPr>
            <w:r>
              <w:rPr>
                <w:b/>
                <w:noProof/>
                <w:sz w:val="22"/>
              </w:rPr>
              <w:t xml:space="preserve">Skatinti nacionalinių konsultacijų aplinkos apsaugos klausimais sistemų plėtrą ir susijusius informacijos mainus. Apsvarstyti galimybę sukurti bendradarbiavimu grindžiamo darbo priemones (subregionines).  </w:t>
            </w:r>
          </w:p>
          <w:p>
            <w:pPr>
              <w:tabs>
                <w:tab w:val="left" w:pos="770"/>
              </w:tabs>
              <w:spacing w:before="20" w:after="20"/>
              <w:rPr>
                <w:noProof/>
                <w:snapToGrid w:val="0"/>
                <w:color w:val="000000"/>
                <w:sz w:val="22"/>
              </w:rPr>
            </w:pPr>
          </w:p>
        </w:tc>
        <w:tc>
          <w:tcPr>
            <w:tcW w:w="317" w:type="pct"/>
            <w:tcBorders>
              <w:top w:val="dotted" w:sz="4" w:space="0" w:color="auto"/>
              <w:left w:val="dotted" w:sz="4" w:space="0" w:color="auto"/>
              <w:bottom w:val="dotted" w:sz="4" w:space="0" w:color="auto"/>
              <w:right w:val="dotted" w:sz="4" w:space="0" w:color="auto"/>
            </w:tcBorders>
          </w:tcPr>
          <w:p>
            <w:pPr>
              <w:tabs>
                <w:tab w:val="left" w:pos="720"/>
              </w:tabs>
              <w:spacing w:before="20" w:after="20"/>
              <w:jc w:val="center"/>
              <w:rPr>
                <w:noProof/>
                <w:snapToGrid w:val="0"/>
                <w:color w:val="000000"/>
                <w:sz w:val="22"/>
              </w:rPr>
            </w:pPr>
            <w:r>
              <w:rPr>
                <w:noProof/>
                <w:sz w:val="22"/>
              </w:rPr>
              <w:t>2020 m. OTSOPA susitikimas</w:t>
            </w:r>
          </w:p>
          <w:p>
            <w:pPr>
              <w:tabs>
                <w:tab w:val="left" w:pos="720"/>
              </w:tabs>
              <w:spacing w:before="20" w:after="20"/>
              <w:jc w:val="center"/>
              <w:rPr>
                <w:noProof/>
                <w:snapToGrid w:val="0"/>
                <w:color w:val="000000"/>
                <w:sz w:val="22"/>
              </w:rPr>
            </w:pPr>
          </w:p>
        </w:tc>
        <w:tc>
          <w:tcPr>
            <w:tcW w:w="633"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left"/>
              <w:rPr>
                <w:noProof/>
                <w:snapToGrid w:val="0"/>
                <w:color w:val="000000"/>
                <w:sz w:val="22"/>
              </w:rPr>
            </w:pPr>
            <w:r>
              <w:rPr>
                <w:noProof/>
                <w:sz w:val="22"/>
              </w:rPr>
              <w:t>UK</w:t>
            </w:r>
          </w:p>
        </w:tc>
        <w:tc>
          <w:tcPr>
            <w:tcW w:w="741" w:type="pct"/>
            <w:tcBorders>
              <w:top w:val="dotted" w:sz="4" w:space="0" w:color="auto"/>
              <w:left w:val="dotted" w:sz="4" w:space="0" w:color="auto"/>
              <w:bottom w:val="dotted" w:sz="4" w:space="0" w:color="auto"/>
              <w:right w:val="nil"/>
            </w:tcBorders>
            <w:hideMark/>
          </w:tcPr>
          <w:p>
            <w:pPr>
              <w:tabs>
                <w:tab w:val="left" w:pos="720"/>
              </w:tabs>
              <w:spacing w:before="20" w:after="20"/>
              <w:rPr>
                <w:noProof/>
                <w:snapToGrid w:val="0"/>
                <w:color w:val="000000"/>
                <w:sz w:val="22"/>
              </w:rPr>
            </w:pPr>
            <w:r>
              <w:rPr>
                <w:noProof/>
                <w:sz w:val="22"/>
              </w:rPr>
              <w:t xml:space="preserve"> </w:t>
            </w:r>
          </w:p>
        </w:tc>
        <w:tc>
          <w:tcPr>
            <w:tcW w:w="278" w:type="pct"/>
            <w:tcBorders>
              <w:top w:val="dotted" w:sz="4" w:space="0" w:color="auto"/>
              <w:left w:val="dotted" w:sz="4" w:space="0" w:color="auto"/>
              <w:bottom w:val="dotted" w:sz="4" w:space="0" w:color="auto"/>
              <w:right w:val="nil"/>
            </w:tcBorders>
            <w:hideMark/>
          </w:tcPr>
          <w:p>
            <w:pPr>
              <w:tabs>
                <w:tab w:val="left" w:pos="720"/>
              </w:tabs>
              <w:spacing w:before="20" w:after="20"/>
              <w:rPr>
                <w:noProof/>
                <w:snapToGrid w:val="0"/>
                <w:color w:val="000000"/>
                <w:sz w:val="22"/>
              </w:rPr>
            </w:pPr>
            <w:r>
              <w:rPr>
                <w:noProof/>
                <w:sz w:val="22"/>
              </w:rPr>
              <w:t>Vykdomas</w:t>
            </w:r>
          </w:p>
        </w:tc>
      </w:tr>
      <w:tr>
        <w:trPr>
          <w:cantSplit/>
        </w:trPr>
        <w:tc>
          <w:tcPr>
            <w:tcW w:w="218" w:type="pct"/>
            <w:tcBorders>
              <w:top w:val="dotted" w:sz="4" w:space="0" w:color="auto"/>
              <w:left w:val="single" w:sz="4" w:space="0" w:color="auto"/>
              <w:bottom w:val="dotted" w:sz="4" w:space="0" w:color="auto"/>
              <w:right w:val="dotted" w:sz="4" w:space="0" w:color="auto"/>
            </w:tcBorders>
            <w:hideMark/>
          </w:tcPr>
          <w:p>
            <w:pPr>
              <w:tabs>
                <w:tab w:val="left" w:pos="720"/>
              </w:tabs>
              <w:spacing w:before="20" w:after="20"/>
              <w:rPr>
                <w:b/>
                <w:noProof/>
                <w:snapToGrid w:val="0"/>
                <w:color w:val="000000"/>
                <w:sz w:val="22"/>
              </w:rPr>
            </w:pPr>
            <w:r>
              <w:rPr>
                <w:b/>
                <w:noProof/>
                <w:sz w:val="22"/>
              </w:rPr>
              <w:t xml:space="preserve">26. </w:t>
            </w:r>
          </w:p>
        </w:tc>
        <w:tc>
          <w:tcPr>
            <w:tcW w:w="325" w:type="pct"/>
            <w:tcBorders>
              <w:top w:val="dotted" w:sz="4" w:space="0" w:color="auto"/>
              <w:left w:val="nil"/>
              <w:bottom w:val="dotted" w:sz="4" w:space="0" w:color="auto"/>
              <w:right w:val="nil"/>
            </w:tcBorders>
            <w:hideMark/>
          </w:tcPr>
          <w:p>
            <w:pPr>
              <w:tabs>
                <w:tab w:val="left" w:pos="770"/>
              </w:tabs>
              <w:spacing w:before="20" w:after="20"/>
              <w:rPr>
                <w:b/>
                <w:noProof/>
                <w:sz w:val="22"/>
              </w:rPr>
            </w:pPr>
            <w:r>
              <w:rPr>
                <w:b/>
                <w:noProof/>
                <w:sz w:val="22"/>
              </w:rPr>
              <w:t>B.5.</w:t>
            </w:r>
          </w:p>
          <w:p>
            <w:pPr>
              <w:tabs>
                <w:tab w:val="left" w:pos="770"/>
              </w:tabs>
              <w:spacing w:before="20" w:after="20"/>
              <w:rPr>
                <w:b/>
                <w:noProof/>
                <w:sz w:val="22"/>
              </w:rPr>
            </w:pPr>
            <w:r>
              <w:rPr>
                <w:b/>
                <w:noProof/>
                <w:sz w:val="22"/>
              </w:rPr>
              <w:t>B.7.</w:t>
            </w:r>
          </w:p>
          <w:p>
            <w:pPr>
              <w:tabs>
                <w:tab w:val="left" w:pos="770"/>
              </w:tabs>
              <w:spacing w:before="20" w:after="20"/>
              <w:rPr>
                <w:b/>
                <w:noProof/>
                <w:sz w:val="22"/>
              </w:rPr>
            </w:pPr>
            <w:r>
              <w:rPr>
                <w:b/>
                <w:noProof/>
                <w:sz w:val="22"/>
              </w:rPr>
              <w:t>B.8.</w:t>
            </w:r>
          </w:p>
        </w:tc>
        <w:tc>
          <w:tcPr>
            <w:tcW w:w="2488" w:type="pct"/>
            <w:gridSpan w:val="2"/>
            <w:tcBorders>
              <w:top w:val="dotted" w:sz="4" w:space="0" w:color="auto"/>
              <w:left w:val="nil"/>
              <w:bottom w:val="dotted" w:sz="4" w:space="0" w:color="auto"/>
              <w:right w:val="dotted" w:sz="4" w:space="0" w:color="auto"/>
            </w:tcBorders>
            <w:hideMark/>
          </w:tcPr>
          <w:p>
            <w:pPr>
              <w:tabs>
                <w:tab w:val="left" w:pos="770"/>
              </w:tabs>
              <w:spacing w:before="20" w:after="20"/>
              <w:rPr>
                <w:b/>
                <w:noProof/>
                <w:sz w:val="22"/>
              </w:rPr>
            </w:pPr>
            <w:r>
              <w:rPr>
                <w:b/>
                <w:noProof/>
                <w:sz w:val="22"/>
              </w:rPr>
              <w:t>Stiprinti bendradarbiavimą su REMPEC ir HELCOM dėl bendro Reagavimo į PKM vadovo rengimo.</w:t>
            </w:r>
          </w:p>
        </w:tc>
        <w:tc>
          <w:tcPr>
            <w:tcW w:w="317" w:type="pct"/>
            <w:tcBorders>
              <w:top w:val="dotted" w:sz="4" w:space="0" w:color="auto"/>
              <w:left w:val="dotted" w:sz="4" w:space="0" w:color="auto"/>
              <w:bottom w:val="dotted" w:sz="4" w:space="0" w:color="auto"/>
              <w:right w:val="dotted" w:sz="4" w:space="0" w:color="auto"/>
            </w:tcBorders>
          </w:tcPr>
          <w:p>
            <w:pPr>
              <w:tabs>
                <w:tab w:val="left" w:pos="720"/>
              </w:tabs>
              <w:spacing w:before="20" w:after="20"/>
              <w:jc w:val="center"/>
              <w:rPr>
                <w:noProof/>
                <w:snapToGrid w:val="0"/>
                <w:color w:val="000000"/>
                <w:sz w:val="22"/>
              </w:rPr>
            </w:pPr>
          </w:p>
        </w:tc>
        <w:tc>
          <w:tcPr>
            <w:tcW w:w="633"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left"/>
              <w:rPr>
                <w:noProof/>
                <w:snapToGrid w:val="0"/>
                <w:color w:val="000000"/>
                <w:sz w:val="22"/>
              </w:rPr>
            </w:pPr>
            <w:r>
              <w:rPr>
                <w:noProof/>
                <w:sz w:val="22"/>
              </w:rPr>
              <w:t xml:space="preserve">Sekretoriatas, FR  </w:t>
            </w:r>
          </w:p>
        </w:tc>
        <w:tc>
          <w:tcPr>
            <w:tcW w:w="741" w:type="pct"/>
            <w:tcBorders>
              <w:top w:val="dotted" w:sz="4" w:space="0" w:color="auto"/>
              <w:left w:val="dotted" w:sz="4" w:space="0" w:color="auto"/>
              <w:bottom w:val="dotted" w:sz="4" w:space="0" w:color="auto"/>
              <w:right w:val="nil"/>
            </w:tcBorders>
          </w:tcPr>
          <w:p>
            <w:pPr>
              <w:tabs>
                <w:tab w:val="left" w:pos="720"/>
              </w:tabs>
              <w:spacing w:before="20" w:after="20"/>
              <w:rPr>
                <w:noProof/>
                <w:snapToGrid w:val="0"/>
                <w:color w:val="000000"/>
                <w:sz w:val="22"/>
              </w:rPr>
            </w:pPr>
          </w:p>
        </w:tc>
        <w:tc>
          <w:tcPr>
            <w:tcW w:w="278" w:type="pct"/>
            <w:tcBorders>
              <w:top w:val="dotted" w:sz="4" w:space="0" w:color="auto"/>
              <w:left w:val="dotted" w:sz="4" w:space="0" w:color="auto"/>
              <w:bottom w:val="dotted" w:sz="4" w:space="0" w:color="auto"/>
              <w:right w:val="nil"/>
            </w:tcBorders>
            <w:hideMark/>
          </w:tcPr>
          <w:p>
            <w:pPr>
              <w:tabs>
                <w:tab w:val="left" w:pos="720"/>
              </w:tabs>
              <w:spacing w:before="20" w:after="20"/>
              <w:rPr>
                <w:noProof/>
                <w:snapToGrid w:val="0"/>
                <w:color w:val="000000"/>
                <w:sz w:val="22"/>
              </w:rPr>
            </w:pPr>
            <w:r>
              <w:rPr>
                <w:noProof/>
                <w:sz w:val="22"/>
              </w:rPr>
              <w:t>Naujas</w:t>
            </w:r>
          </w:p>
        </w:tc>
      </w:tr>
      <w:tr>
        <w:trPr>
          <w:cantSplit/>
        </w:trPr>
        <w:tc>
          <w:tcPr>
            <w:tcW w:w="218" w:type="pct"/>
            <w:tcBorders>
              <w:top w:val="dotted" w:sz="4" w:space="0" w:color="auto"/>
              <w:left w:val="single" w:sz="4" w:space="0" w:color="auto"/>
              <w:bottom w:val="dotted" w:sz="4" w:space="0" w:color="auto"/>
              <w:right w:val="dotted" w:sz="4" w:space="0" w:color="auto"/>
            </w:tcBorders>
            <w:hideMark/>
          </w:tcPr>
          <w:p>
            <w:pPr>
              <w:tabs>
                <w:tab w:val="left" w:pos="720"/>
              </w:tabs>
              <w:spacing w:before="20" w:after="20"/>
              <w:rPr>
                <w:b/>
                <w:noProof/>
                <w:snapToGrid w:val="0"/>
                <w:color w:val="000000"/>
                <w:sz w:val="22"/>
              </w:rPr>
            </w:pPr>
            <w:r>
              <w:rPr>
                <w:b/>
                <w:noProof/>
                <w:sz w:val="22"/>
              </w:rPr>
              <w:t xml:space="preserve">27. </w:t>
            </w:r>
          </w:p>
        </w:tc>
        <w:tc>
          <w:tcPr>
            <w:tcW w:w="325" w:type="pct"/>
            <w:tcBorders>
              <w:top w:val="dotted" w:sz="4" w:space="0" w:color="auto"/>
              <w:left w:val="nil"/>
              <w:bottom w:val="dotted" w:sz="4" w:space="0" w:color="auto"/>
              <w:right w:val="nil"/>
            </w:tcBorders>
            <w:hideMark/>
          </w:tcPr>
          <w:p>
            <w:pPr>
              <w:tabs>
                <w:tab w:val="left" w:pos="770"/>
              </w:tabs>
              <w:spacing w:before="20" w:after="20"/>
              <w:rPr>
                <w:b/>
                <w:noProof/>
                <w:sz w:val="22"/>
              </w:rPr>
            </w:pPr>
            <w:r>
              <w:rPr>
                <w:b/>
                <w:noProof/>
                <w:sz w:val="22"/>
              </w:rPr>
              <w:t>B.6.</w:t>
            </w:r>
          </w:p>
        </w:tc>
        <w:tc>
          <w:tcPr>
            <w:tcW w:w="2488" w:type="pct"/>
            <w:gridSpan w:val="2"/>
            <w:tcBorders>
              <w:top w:val="dotted" w:sz="4" w:space="0" w:color="auto"/>
              <w:left w:val="nil"/>
              <w:bottom w:val="dotted" w:sz="4" w:space="0" w:color="auto"/>
              <w:right w:val="dotted" w:sz="4" w:space="0" w:color="auto"/>
            </w:tcBorders>
          </w:tcPr>
          <w:p>
            <w:pPr>
              <w:tabs>
                <w:tab w:val="left" w:pos="770"/>
              </w:tabs>
              <w:spacing w:before="20" w:after="20"/>
              <w:rPr>
                <w:b/>
                <w:noProof/>
                <w:snapToGrid w:val="0"/>
                <w:color w:val="000000"/>
                <w:sz w:val="22"/>
              </w:rPr>
            </w:pPr>
            <w:r>
              <w:rPr>
                <w:b/>
                <w:noProof/>
                <w:sz w:val="22"/>
              </w:rPr>
              <w:t>Stiprinti bendradarbiavimą su OSPAR komisija, regioninių susitarimų šalimis ir kitomis tarptautinėmis organizacijomis, susijusiomis su jūros aplinkos apsauga nuo laivybos, naftos ir dujų operacijų jūroje bei kitos jūrinės veiklos sukeliamos taršos, atsižvelgiant į įsipareigojimus pagal Jūrų strategijos pagrindų direktyvą ir Vandens pagrindų direktyvą</w:t>
            </w:r>
            <w:r>
              <w:rPr>
                <w:rStyle w:val="FootnoteReference"/>
                <w:b/>
                <w:noProof/>
                <w:sz w:val="22"/>
              </w:rPr>
              <w:footnoteReference w:id="4"/>
            </w:r>
            <w:r>
              <w:rPr>
                <w:b/>
                <w:noProof/>
                <w:sz w:val="22"/>
              </w:rPr>
              <w:t>.</w:t>
            </w:r>
          </w:p>
          <w:p>
            <w:pPr>
              <w:tabs>
                <w:tab w:val="left" w:pos="770"/>
              </w:tabs>
              <w:spacing w:before="20" w:after="20"/>
              <w:rPr>
                <w:noProof/>
                <w:snapToGrid w:val="0"/>
                <w:color w:val="000000"/>
                <w:sz w:val="22"/>
              </w:rPr>
            </w:pPr>
          </w:p>
        </w:tc>
        <w:tc>
          <w:tcPr>
            <w:tcW w:w="317" w:type="pct"/>
            <w:tcBorders>
              <w:top w:val="dotted" w:sz="4" w:space="0" w:color="auto"/>
              <w:left w:val="dotted" w:sz="4" w:space="0" w:color="auto"/>
              <w:bottom w:val="dotted" w:sz="4" w:space="0" w:color="auto"/>
              <w:right w:val="dotted" w:sz="4" w:space="0" w:color="auto"/>
            </w:tcBorders>
          </w:tcPr>
          <w:p>
            <w:pPr>
              <w:tabs>
                <w:tab w:val="left" w:pos="720"/>
              </w:tabs>
              <w:spacing w:before="20" w:after="20"/>
              <w:jc w:val="center"/>
              <w:rPr>
                <w:noProof/>
                <w:snapToGrid w:val="0"/>
                <w:color w:val="000000"/>
                <w:sz w:val="22"/>
              </w:rPr>
            </w:pPr>
          </w:p>
        </w:tc>
        <w:tc>
          <w:tcPr>
            <w:tcW w:w="633"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left"/>
              <w:rPr>
                <w:noProof/>
                <w:snapToGrid w:val="0"/>
                <w:color w:val="000000"/>
                <w:sz w:val="22"/>
              </w:rPr>
            </w:pPr>
            <w:r>
              <w:rPr>
                <w:noProof/>
                <w:sz w:val="22"/>
              </w:rPr>
              <w:t>Sekretoriatas, BE ir NL; susitariančioji šalis (keitimasis informacija apie Jūrų strategijos pagrindų direktyvos įgyvendinimą)</w:t>
            </w:r>
          </w:p>
        </w:tc>
        <w:tc>
          <w:tcPr>
            <w:tcW w:w="741" w:type="pct"/>
            <w:tcBorders>
              <w:top w:val="dotted" w:sz="4" w:space="0" w:color="auto"/>
              <w:left w:val="dotted" w:sz="4" w:space="0" w:color="auto"/>
              <w:bottom w:val="dotted" w:sz="4" w:space="0" w:color="auto"/>
              <w:right w:val="nil"/>
            </w:tcBorders>
          </w:tcPr>
          <w:p>
            <w:pPr>
              <w:tabs>
                <w:tab w:val="left" w:pos="720"/>
              </w:tabs>
              <w:spacing w:before="20" w:after="20"/>
              <w:rPr>
                <w:noProof/>
                <w:snapToGrid w:val="0"/>
                <w:color w:val="000000"/>
                <w:sz w:val="22"/>
              </w:rPr>
            </w:pPr>
            <w:r>
              <w:rPr>
                <w:noProof/>
                <w:sz w:val="22"/>
              </w:rPr>
              <w:t>Sekretoriatas turės susisiekti su OSPAR dėl Jūrų strategijos pagrindų direktyvoje nustatyto įpareigojimo D8 dėl didelės ūmios taršos stebėsenos ir vertinimo ir parengti ataskaitą 2020 m. OTSOPA susitikimui.</w:t>
            </w:r>
          </w:p>
          <w:p>
            <w:pPr>
              <w:tabs>
                <w:tab w:val="left" w:pos="720"/>
              </w:tabs>
              <w:spacing w:before="20" w:after="20"/>
              <w:rPr>
                <w:noProof/>
                <w:snapToGrid w:val="0"/>
                <w:color w:val="000000"/>
                <w:sz w:val="22"/>
              </w:rPr>
            </w:pPr>
          </w:p>
          <w:p>
            <w:pPr>
              <w:tabs>
                <w:tab w:val="left" w:pos="720"/>
              </w:tabs>
              <w:spacing w:before="20" w:after="20"/>
              <w:rPr>
                <w:noProof/>
                <w:snapToGrid w:val="0"/>
                <w:color w:val="000000"/>
                <w:sz w:val="22"/>
              </w:rPr>
            </w:pPr>
            <w:r>
              <w:rPr>
                <w:noProof/>
                <w:sz w:val="22"/>
              </w:rPr>
              <w:t>2019 m. susitikime Bonoje bus svarstomas abipusis BA ir HELCOM dalyvavimas pagrindiniuose posėdžiuose (žr. 2016–2019 m. BAAP, A.3.3 dalį „Produktas“).</w:t>
            </w:r>
          </w:p>
        </w:tc>
        <w:tc>
          <w:tcPr>
            <w:tcW w:w="278" w:type="pct"/>
            <w:tcBorders>
              <w:top w:val="dotted" w:sz="4" w:space="0" w:color="auto"/>
              <w:left w:val="dotted" w:sz="4" w:space="0" w:color="auto"/>
              <w:bottom w:val="dotted" w:sz="4" w:space="0" w:color="auto"/>
              <w:right w:val="nil"/>
            </w:tcBorders>
          </w:tcPr>
          <w:p>
            <w:pPr>
              <w:tabs>
                <w:tab w:val="left" w:pos="720"/>
              </w:tabs>
              <w:spacing w:before="20" w:after="20"/>
              <w:rPr>
                <w:noProof/>
                <w:snapToGrid w:val="0"/>
                <w:color w:val="000000"/>
                <w:sz w:val="22"/>
              </w:rPr>
            </w:pPr>
            <w:r>
              <w:rPr>
                <w:noProof/>
                <w:sz w:val="22"/>
              </w:rPr>
              <w:t>Naujas</w:t>
            </w:r>
          </w:p>
          <w:p>
            <w:pPr>
              <w:tabs>
                <w:tab w:val="left" w:pos="720"/>
              </w:tabs>
              <w:spacing w:before="20" w:after="20"/>
              <w:rPr>
                <w:noProof/>
                <w:snapToGrid w:val="0"/>
                <w:color w:val="000000"/>
                <w:sz w:val="22"/>
              </w:rPr>
            </w:pPr>
          </w:p>
        </w:tc>
      </w:tr>
      <w:tr>
        <w:trPr>
          <w:cantSplit/>
        </w:trPr>
        <w:tc>
          <w:tcPr>
            <w:tcW w:w="218" w:type="pct"/>
            <w:tcBorders>
              <w:top w:val="dotted" w:sz="4" w:space="0" w:color="auto"/>
              <w:left w:val="single" w:sz="4" w:space="0" w:color="auto"/>
              <w:bottom w:val="dotted" w:sz="4" w:space="0" w:color="auto"/>
              <w:right w:val="dotted" w:sz="4" w:space="0" w:color="auto"/>
            </w:tcBorders>
          </w:tcPr>
          <w:p>
            <w:pPr>
              <w:tabs>
                <w:tab w:val="left" w:pos="720"/>
              </w:tabs>
              <w:spacing w:before="20" w:after="20"/>
              <w:rPr>
                <w:b/>
                <w:noProof/>
                <w:snapToGrid w:val="0"/>
                <w:color w:val="000000"/>
                <w:sz w:val="22"/>
              </w:rPr>
            </w:pPr>
          </w:p>
        </w:tc>
        <w:tc>
          <w:tcPr>
            <w:tcW w:w="325" w:type="pct"/>
            <w:tcBorders>
              <w:top w:val="dotted" w:sz="4" w:space="0" w:color="auto"/>
              <w:left w:val="nil"/>
              <w:bottom w:val="dotted" w:sz="4" w:space="0" w:color="auto"/>
              <w:right w:val="nil"/>
            </w:tcBorders>
          </w:tcPr>
          <w:p>
            <w:pPr>
              <w:tabs>
                <w:tab w:val="left" w:pos="770"/>
              </w:tabs>
              <w:spacing w:before="20" w:after="20"/>
              <w:rPr>
                <w:b/>
                <w:noProof/>
                <w:sz w:val="22"/>
              </w:rPr>
            </w:pPr>
          </w:p>
        </w:tc>
        <w:tc>
          <w:tcPr>
            <w:tcW w:w="2488" w:type="pct"/>
            <w:gridSpan w:val="2"/>
            <w:tcBorders>
              <w:top w:val="dotted" w:sz="4" w:space="0" w:color="auto"/>
              <w:left w:val="nil"/>
              <w:bottom w:val="dotted" w:sz="4" w:space="0" w:color="auto"/>
              <w:right w:val="dotted" w:sz="4" w:space="0" w:color="auto"/>
            </w:tcBorders>
          </w:tcPr>
          <w:p>
            <w:pPr>
              <w:tabs>
                <w:tab w:val="left" w:pos="770"/>
              </w:tabs>
              <w:spacing w:before="20" w:after="20"/>
              <w:rPr>
                <w:b/>
                <w:noProof/>
                <w:sz w:val="22"/>
              </w:rPr>
            </w:pPr>
          </w:p>
        </w:tc>
        <w:tc>
          <w:tcPr>
            <w:tcW w:w="317" w:type="pct"/>
            <w:tcBorders>
              <w:top w:val="dotted" w:sz="4" w:space="0" w:color="auto"/>
              <w:left w:val="dotted" w:sz="4" w:space="0" w:color="auto"/>
              <w:bottom w:val="dotted" w:sz="4" w:space="0" w:color="auto"/>
              <w:right w:val="dotted" w:sz="4" w:space="0" w:color="auto"/>
            </w:tcBorders>
          </w:tcPr>
          <w:p>
            <w:pPr>
              <w:tabs>
                <w:tab w:val="left" w:pos="720"/>
              </w:tabs>
              <w:spacing w:before="20" w:after="20"/>
              <w:jc w:val="center"/>
              <w:rPr>
                <w:noProof/>
                <w:snapToGrid w:val="0"/>
                <w:color w:val="000000"/>
                <w:sz w:val="22"/>
              </w:rPr>
            </w:pPr>
          </w:p>
        </w:tc>
        <w:tc>
          <w:tcPr>
            <w:tcW w:w="633" w:type="pct"/>
            <w:tcBorders>
              <w:top w:val="dotted" w:sz="4" w:space="0" w:color="auto"/>
              <w:left w:val="dotted" w:sz="4" w:space="0" w:color="auto"/>
              <w:bottom w:val="dotted" w:sz="4" w:space="0" w:color="auto"/>
              <w:right w:val="dotted" w:sz="4" w:space="0" w:color="auto"/>
            </w:tcBorders>
          </w:tcPr>
          <w:p>
            <w:pPr>
              <w:tabs>
                <w:tab w:val="left" w:pos="720"/>
              </w:tabs>
              <w:spacing w:before="20" w:after="20"/>
              <w:jc w:val="left"/>
              <w:rPr>
                <w:noProof/>
                <w:snapToGrid w:val="0"/>
                <w:color w:val="000000"/>
                <w:sz w:val="22"/>
              </w:rPr>
            </w:pPr>
          </w:p>
        </w:tc>
        <w:tc>
          <w:tcPr>
            <w:tcW w:w="741" w:type="pct"/>
            <w:tcBorders>
              <w:top w:val="dotted" w:sz="4" w:space="0" w:color="auto"/>
              <w:left w:val="dotted" w:sz="4" w:space="0" w:color="auto"/>
              <w:bottom w:val="dotted" w:sz="4" w:space="0" w:color="auto"/>
              <w:right w:val="nil"/>
            </w:tcBorders>
          </w:tcPr>
          <w:p>
            <w:pPr>
              <w:tabs>
                <w:tab w:val="left" w:pos="720"/>
              </w:tabs>
              <w:spacing w:before="20" w:after="20"/>
              <w:rPr>
                <w:noProof/>
                <w:snapToGrid w:val="0"/>
                <w:color w:val="000000"/>
                <w:sz w:val="22"/>
              </w:rPr>
            </w:pPr>
          </w:p>
        </w:tc>
        <w:tc>
          <w:tcPr>
            <w:tcW w:w="278" w:type="pct"/>
            <w:tcBorders>
              <w:top w:val="dotted" w:sz="4" w:space="0" w:color="auto"/>
              <w:left w:val="dotted" w:sz="4" w:space="0" w:color="auto"/>
              <w:bottom w:val="dotted" w:sz="4" w:space="0" w:color="auto"/>
              <w:right w:val="nil"/>
            </w:tcBorders>
          </w:tcPr>
          <w:p>
            <w:pPr>
              <w:tabs>
                <w:tab w:val="left" w:pos="720"/>
              </w:tabs>
              <w:spacing w:before="20" w:after="20"/>
              <w:rPr>
                <w:noProof/>
                <w:snapToGrid w:val="0"/>
                <w:color w:val="000000"/>
                <w:sz w:val="22"/>
              </w:rPr>
            </w:pPr>
          </w:p>
        </w:tc>
      </w:tr>
      <w:tr>
        <w:trPr>
          <w:cantSplit/>
        </w:trPr>
        <w:tc>
          <w:tcPr>
            <w:tcW w:w="218" w:type="pct"/>
            <w:tcBorders>
              <w:top w:val="dotted" w:sz="4" w:space="0" w:color="auto"/>
              <w:left w:val="single" w:sz="4" w:space="0" w:color="auto"/>
              <w:bottom w:val="dotted" w:sz="4" w:space="0" w:color="auto"/>
              <w:right w:val="dotted" w:sz="4" w:space="0" w:color="auto"/>
            </w:tcBorders>
            <w:hideMark/>
          </w:tcPr>
          <w:p>
            <w:pPr>
              <w:tabs>
                <w:tab w:val="left" w:pos="720"/>
              </w:tabs>
              <w:spacing w:before="20" w:after="20"/>
              <w:rPr>
                <w:b/>
                <w:noProof/>
                <w:snapToGrid w:val="0"/>
                <w:color w:val="000000"/>
                <w:sz w:val="22"/>
              </w:rPr>
            </w:pPr>
            <w:r>
              <w:rPr>
                <w:b/>
                <w:noProof/>
                <w:sz w:val="22"/>
              </w:rPr>
              <w:t xml:space="preserve">29. </w:t>
            </w:r>
          </w:p>
        </w:tc>
        <w:tc>
          <w:tcPr>
            <w:tcW w:w="325" w:type="pct"/>
            <w:tcBorders>
              <w:top w:val="dotted" w:sz="4" w:space="0" w:color="auto"/>
              <w:left w:val="nil"/>
              <w:bottom w:val="dotted" w:sz="4" w:space="0" w:color="auto"/>
              <w:right w:val="nil"/>
            </w:tcBorders>
            <w:hideMark/>
          </w:tcPr>
          <w:p>
            <w:pPr>
              <w:pBdr>
                <w:top w:val="single" w:sz="4" w:space="1" w:color="auto"/>
                <w:left w:val="single" w:sz="4" w:space="4" w:color="auto"/>
                <w:bottom w:val="single" w:sz="4" w:space="1" w:color="auto"/>
                <w:right w:val="single" w:sz="4" w:space="4" w:color="auto"/>
              </w:pBdr>
              <w:tabs>
                <w:tab w:val="left" w:pos="770"/>
              </w:tabs>
              <w:spacing w:before="20" w:after="20"/>
              <w:rPr>
                <w:b/>
                <w:noProof/>
                <w:sz w:val="22"/>
              </w:rPr>
            </w:pPr>
            <w:r>
              <w:rPr>
                <w:b/>
                <w:noProof/>
                <w:sz w:val="22"/>
              </w:rPr>
              <w:t>B.9.</w:t>
            </w:r>
          </w:p>
        </w:tc>
        <w:tc>
          <w:tcPr>
            <w:tcW w:w="2488" w:type="pct"/>
            <w:gridSpan w:val="2"/>
            <w:tcBorders>
              <w:top w:val="dotted" w:sz="4" w:space="0" w:color="auto"/>
              <w:left w:val="nil"/>
              <w:bottom w:val="dotted" w:sz="4" w:space="0" w:color="auto"/>
              <w:right w:val="dotted" w:sz="4" w:space="0" w:color="auto"/>
            </w:tcBorders>
            <w:hideMark/>
          </w:tcPr>
          <w:p>
            <w:pPr>
              <w:pBdr>
                <w:top w:val="single" w:sz="4" w:space="1" w:color="auto"/>
                <w:left w:val="single" w:sz="4" w:space="4" w:color="auto"/>
                <w:bottom w:val="single" w:sz="4" w:space="1" w:color="auto"/>
                <w:right w:val="single" w:sz="4" w:space="4" w:color="auto"/>
              </w:pBdr>
              <w:tabs>
                <w:tab w:val="left" w:pos="770"/>
              </w:tabs>
              <w:spacing w:before="20" w:after="20"/>
              <w:rPr>
                <w:b/>
                <w:noProof/>
                <w:sz w:val="22"/>
              </w:rPr>
            </w:pPr>
            <w:r>
              <w:rPr>
                <w:b/>
                <w:noProof/>
                <w:sz w:val="22"/>
              </w:rPr>
              <w:t xml:space="preserve">2030 m. projekto BE-AWARE tendencijų analizė. </w:t>
            </w:r>
            <w:r>
              <w:rPr>
                <w:b/>
                <w:noProof/>
                <w:sz w:val="22"/>
              </w:rPr>
              <w:br/>
              <w:t>Įvertinti rezultatus ir imtis tolesnių su jais susijusių veiksmų.</w:t>
            </w:r>
          </w:p>
        </w:tc>
        <w:tc>
          <w:tcPr>
            <w:tcW w:w="317"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center"/>
              <w:rPr>
                <w:noProof/>
                <w:snapToGrid w:val="0"/>
                <w:color w:val="000000"/>
                <w:sz w:val="22"/>
              </w:rPr>
            </w:pPr>
            <w:r>
              <w:rPr>
                <w:noProof/>
                <w:sz w:val="22"/>
              </w:rPr>
              <w:t>Vykdomas</w:t>
            </w:r>
          </w:p>
        </w:tc>
        <w:tc>
          <w:tcPr>
            <w:tcW w:w="633"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left"/>
              <w:rPr>
                <w:noProof/>
                <w:snapToGrid w:val="0"/>
                <w:color w:val="000000"/>
                <w:sz w:val="22"/>
              </w:rPr>
            </w:pPr>
            <w:r>
              <w:rPr>
                <w:noProof/>
                <w:sz w:val="22"/>
              </w:rPr>
              <w:t>NL ir susitariančioji šalis</w:t>
            </w:r>
          </w:p>
        </w:tc>
        <w:tc>
          <w:tcPr>
            <w:tcW w:w="741" w:type="pct"/>
            <w:tcBorders>
              <w:top w:val="dotted" w:sz="4" w:space="0" w:color="auto"/>
              <w:left w:val="dotted" w:sz="4" w:space="0" w:color="auto"/>
              <w:bottom w:val="dotted" w:sz="4" w:space="0" w:color="auto"/>
              <w:right w:val="nil"/>
            </w:tcBorders>
          </w:tcPr>
          <w:p>
            <w:pPr>
              <w:tabs>
                <w:tab w:val="left" w:pos="720"/>
              </w:tabs>
              <w:spacing w:before="20" w:after="20"/>
              <w:rPr>
                <w:noProof/>
                <w:snapToGrid w:val="0"/>
                <w:color w:val="000000"/>
                <w:sz w:val="22"/>
              </w:rPr>
            </w:pPr>
          </w:p>
        </w:tc>
        <w:tc>
          <w:tcPr>
            <w:tcW w:w="278" w:type="pct"/>
            <w:tcBorders>
              <w:top w:val="dotted" w:sz="4" w:space="0" w:color="auto"/>
              <w:left w:val="dotted" w:sz="4" w:space="0" w:color="auto"/>
              <w:bottom w:val="dotted" w:sz="4" w:space="0" w:color="auto"/>
              <w:right w:val="nil"/>
            </w:tcBorders>
            <w:hideMark/>
          </w:tcPr>
          <w:p>
            <w:pPr>
              <w:tabs>
                <w:tab w:val="left" w:pos="720"/>
              </w:tabs>
              <w:spacing w:before="20" w:after="20"/>
              <w:rPr>
                <w:noProof/>
                <w:snapToGrid w:val="0"/>
                <w:color w:val="000000"/>
                <w:sz w:val="22"/>
              </w:rPr>
            </w:pPr>
            <w:r>
              <w:rPr>
                <w:noProof/>
                <w:sz w:val="22"/>
              </w:rPr>
              <w:t>Naujas</w:t>
            </w:r>
          </w:p>
        </w:tc>
      </w:tr>
      <w:tr>
        <w:trPr>
          <w:cantSplit/>
        </w:trPr>
        <w:tc>
          <w:tcPr>
            <w:tcW w:w="218" w:type="pct"/>
            <w:tcBorders>
              <w:top w:val="dotted" w:sz="4" w:space="0" w:color="auto"/>
              <w:left w:val="single" w:sz="4" w:space="0" w:color="auto"/>
              <w:bottom w:val="dotted" w:sz="4" w:space="0" w:color="auto"/>
              <w:right w:val="dotted" w:sz="4" w:space="0" w:color="auto"/>
            </w:tcBorders>
            <w:hideMark/>
          </w:tcPr>
          <w:p>
            <w:pPr>
              <w:tabs>
                <w:tab w:val="left" w:pos="720"/>
              </w:tabs>
              <w:spacing w:before="20" w:after="20"/>
              <w:rPr>
                <w:b/>
                <w:noProof/>
                <w:snapToGrid w:val="0"/>
                <w:color w:val="000000"/>
                <w:sz w:val="22"/>
              </w:rPr>
            </w:pPr>
            <w:r>
              <w:rPr>
                <w:b/>
                <w:noProof/>
                <w:sz w:val="22"/>
              </w:rPr>
              <w:t xml:space="preserve">30. </w:t>
            </w:r>
          </w:p>
        </w:tc>
        <w:tc>
          <w:tcPr>
            <w:tcW w:w="325" w:type="pct"/>
            <w:tcBorders>
              <w:top w:val="dotted" w:sz="4" w:space="0" w:color="auto"/>
              <w:left w:val="nil"/>
              <w:bottom w:val="dotted" w:sz="4" w:space="0" w:color="auto"/>
              <w:right w:val="nil"/>
            </w:tcBorders>
            <w:hideMark/>
          </w:tcPr>
          <w:p>
            <w:pPr>
              <w:tabs>
                <w:tab w:val="left" w:pos="770"/>
              </w:tabs>
              <w:spacing w:before="20" w:after="20"/>
              <w:rPr>
                <w:b/>
                <w:noProof/>
                <w:sz w:val="22"/>
              </w:rPr>
            </w:pPr>
            <w:r>
              <w:rPr>
                <w:b/>
                <w:noProof/>
                <w:sz w:val="22"/>
              </w:rPr>
              <w:t>B.9.</w:t>
            </w:r>
          </w:p>
        </w:tc>
        <w:tc>
          <w:tcPr>
            <w:tcW w:w="2488" w:type="pct"/>
            <w:gridSpan w:val="2"/>
            <w:tcBorders>
              <w:top w:val="dotted" w:sz="4" w:space="0" w:color="auto"/>
              <w:left w:val="nil"/>
              <w:bottom w:val="dotted" w:sz="4" w:space="0" w:color="auto"/>
              <w:right w:val="dotted" w:sz="4" w:space="0" w:color="auto"/>
            </w:tcBorders>
            <w:hideMark/>
          </w:tcPr>
          <w:p>
            <w:pPr>
              <w:tabs>
                <w:tab w:val="left" w:pos="770"/>
              </w:tabs>
              <w:spacing w:before="20" w:after="20"/>
              <w:rPr>
                <w:b/>
                <w:noProof/>
                <w:sz w:val="22"/>
              </w:rPr>
            </w:pPr>
            <w:r>
              <w:rPr>
                <w:b/>
                <w:noProof/>
                <w:sz w:val="22"/>
              </w:rPr>
              <w:t>Keistis informacija ir (arba) patirtimi, susijusia su didėjančiu laivų dydžiu, atsinaujinančiąja energija, naftos ir dujų pramone jūroje, SGD kuru ir uostų plėtra, autonominiais laivais ir radioaktyviosiomis medžiagomis.</w:t>
            </w:r>
          </w:p>
        </w:tc>
        <w:tc>
          <w:tcPr>
            <w:tcW w:w="317" w:type="pct"/>
            <w:tcBorders>
              <w:top w:val="dotted" w:sz="4" w:space="0" w:color="auto"/>
              <w:left w:val="dotted" w:sz="4" w:space="0" w:color="auto"/>
              <w:bottom w:val="dotted" w:sz="4" w:space="0" w:color="auto"/>
              <w:right w:val="dotted" w:sz="4" w:space="0" w:color="auto"/>
            </w:tcBorders>
          </w:tcPr>
          <w:p>
            <w:pPr>
              <w:tabs>
                <w:tab w:val="left" w:pos="720"/>
              </w:tabs>
              <w:spacing w:before="20" w:after="20"/>
              <w:jc w:val="center"/>
              <w:rPr>
                <w:noProof/>
                <w:snapToGrid w:val="0"/>
                <w:color w:val="000000"/>
                <w:sz w:val="22"/>
              </w:rPr>
            </w:pPr>
          </w:p>
        </w:tc>
        <w:tc>
          <w:tcPr>
            <w:tcW w:w="633" w:type="pct"/>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left"/>
              <w:rPr>
                <w:noProof/>
                <w:snapToGrid w:val="0"/>
                <w:color w:val="000000"/>
                <w:sz w:val="22"/>
              </w:rPr>
            </w:pPr>
            <w:r>
              <w:rPr>
                <w:noProof/>
                <w:sz w:val="22"/>
              </w:rPr>
              <w:t>Susitariančioji šalis</w:t>
            </w:r>
          </w:p>
        </w:tc>
        <w:tc>
          <w:tcPr>
            <w:tcW w:w="741" w:type="pct"/>
            <w:tcBorders>
              <w:top w:val="dotted" w:sz="4" w:space="0" w:color="auto"/>
              <w:left w:val="dotted" w:sz="4" w:space="0" w:color="auto"/>
              <w:bottom w:val="dotted" w:sz="4" w:space="0" w:color="auto"/>
              <w:right w:val="nil"/>
            </w:tcBorders>
          </w:tcPr>
          <w:p>
            <w:pPr>
              <w:tabs>
                <w:tab w:val="left" w:pos="720"/>
              </w:tabs>
              <w:spacing w:before="20" w:after="20"/>
              <w:rPr>
                <w:noProof/>
                <w:snapToGrid w:val="0"/>
                <w:color w:val="000000"/>
                <w:sz w:val="22"/>
              </w:rPr>
            </w:pPr>
          </w:p>
        </w:tc>
        <w:tc>
          <w:tcPr>
            <w:tcW w:w="278" w:type="pct"/>
            <w:tcBorders>
              <w:top w:val="dotted" w:sz="4" w:space="0" w:color="auto"/>
              <w:left w:val="dotted" w:sz="4" w:space="0" w:color="auto"/>
              <w:bottom w:val="dotted" w:sz="4" w:space="0" w:color="auto"/>
              <w:right w:val="nil"/>
            </w:tcBorders>
            <w:hideMark/>
          </w:tcPr>
          <w:p>
            <w:pPr>
              <w:tabs>
                <w:tab w:val="left" w:pos="720"/>
              </w:tabs>
              <w:spacing w:before="20" w:after="20"/>
              <w:rPr>
                <w:noProof/>
                <w:snapToGrid w:val="0"/>
                <w:color w:val="000000"/>
                <w:sz w:val="22"/>
              </w:rPr>
            </w:pPr>
            <w:r>
              <w:rPr>
                <w:noProof/>
                <w:sz w:val="22"/>
              </w:rPr>
              <w:t>Naujas</w:t>
            </w:r>
          </w:p>
        </w:tc>
      </w:tr>
    </w:tbl>
    <w:p>
      <w:pPr>
        <w:keepNext/>
        <w:tabs>
          <w:tab w:val="left" w:pos="720"/>
        </w:tabs>
        <w:spacing w:after="0"/>
        <w:rPr>
          <w:noProof/>
          <w:snapToGrid w:val="0"/>
          <w:color w:val="000000"/>
          <w:sz w:val="22"/>
        </w:rPr>
      </w:pPr>
    </w:p>
    <w:p>
      <w:pPr>
        <w:tabs>
          <w:tab w:val="left" w:pos="720"/>
        </w:tabs>
        <w:spacing w:after="0"/>
        <w:jc w:val="left"/>
        <w:rPr>
          <w:noProof/>
          <w:snapToGrid w:val="0"/>
          <w:color w:val="000000"/>
          <w:sz w:val="22"/>
        </w:rPr>
      </w:pPr>
      <w:r>
        <w:rPr>
          <w:noProof/>
        </w:rPr>
        <w:br w:type="page"/>
      </w:r>
    </w:p>
    <w:p>
      <w:pPr>
        <w:keepNext/>
        <w:tabs>
          <w:tab w:val="left" w:pos="720"/>
        </w:tabs>
        <w:spacing w:after="0"/>
        <w:rPr>
          <w:noProof/>
          <w:sz w:val="22"/>
        </w:rPr>
      </w:pPr>
      <w:r>
        <w:rPr>
          <w:noProof/>
          <w:sz w:val="22"/>
        </w:rPr>
        <w:t>31–40 užduotys, susijusios su C strateginiu tikslu (reagavimas):</w:t>
      </w:r>
    </w:p>
    <w:p>
      <w:pPr>
        <w:keepNext/>
        <w:tabs>
          <w:tab w:val="left" w:pos="1134"/>
          <w:tab w:val="left" w:pos="1701"/>
          <w:tab w:val="left" w:pos="2268"/>
        </w:tabs>
        <w:jc w:val="left"/>
        <w:rPr>
          <w:noProof/>
          <w:sz w:val="22"/>
        </w:rPr>
      </w:pPr>
    </w:p>
    <w:tbl>
      <w:tblPr>
        <w:tblW w:w="0" w:type="auto"/>
        <w:tblBorders>
          <w:top w:val="dotted" w:sz="4" w:space="0" w:color="auto"/>
          <w:bottom w:val="dotted" w:sz="4" w:space="0" w:color="auto"/>
          <w:insideH w:val="dotted" w:sz="4" w:space="0" w:color="auto"/>
          <w:insideV w:val="dotted" w:sz="4" w:space="0" w:color="auto"/>
        </w:tblBorders>
        <w:tblLayout w:type="fixed"/>
        <w:tblCellMar>
          <w:left w:w="30" w:type="dxa"/>
          <w:right w:w="30" w:type="dxa"/>
        </w:tblCellMar>
        <w:tblLook w:val="04A0" w:firstRow="1" w:lastRow="0" w:firstColumn="1" w:lastColumn="0" w:noHBand="0" w:noVBand="1"/>
      </w:tblPr>
      <w:tblGrid>
        <w:gridCol w:w="842"/>
        <w:gridCol w:w="1617"/>
        <w:gridCol w:w="5525"/>
        <w:gridCol w:w="1731"/>
        <w:gridCol w:w="1346"/>
        <w:gridCol w:w="1620"/>
        <w:gridCol w:w="1951"/>
      </w:tblGrid>
      <w:tr>
        <w:trPr>
          <w:cantSplit/>
          <w:tblHeader/>
        </w:trPr>
        <w:tc>
          <w:tcPr>
            <w:tcW w:w="842" w:type="dxa"/>
            <w:tcBorders>
              <w:top w:val="dotted" w:sz="4" w:space="0" w:color="auto"/>
              <w:left w:val="single" w:sz="4" w:space="0" w:color="auto"/>
              <w:bottom w:val="dotted" w:sz="4" w:space="0" w:color="auto"/>
              <w:right w:val="dotted" w:sz="4" w:space="0" w:color="auto"/>
            </w:tcBorders>
            <w:vAlign w:val="center"/>
            <w:hideMark/>
          </w:tcPr>
          <w:p>
            <w:pPr>
              <w:keepNext/>
              <w:tabs>
                <w:tab w:val="left" w:pos="720"/>
              </w:tabs>
              <w:spacing w:before="20" w:after="20"/>
              <w:jc w:val="center"/>
              <w:rPr>
                <w:b/>
                <w:noProof/>
                <w:snapToGrid w:val="0"/>
                <w:color w:val="000000"/>
                <w:sz w:val="22"/>
              </w:rPr>
            </w:pPr>
            <w:r>
              <w:rPr>
                <w:b/>
                <w:noProof/>
                <w:sz w:val="22"/>
              </w:rPr>
              <w:t xml:space="preserve"> Užduotis</w:t>
            </w:r>
          </w:p>
        </w:tc>
        <w:tc>
          <w:tcPr>
            <w:tcW w:w="1617" w:type="dxa"/>
            <w:tcBorders>
              <w:top w:val="dotted" w:sz="4" w:space="0" w:color="auto"/>
              <w:left w:val="dotted" w:sz="4" w:space="0" w:color="auto"/>
              <w:bottom w:val="dotted" w:sz="4" w:space="0" w:color="auto"/>
              <w:right w:val="dotted" w:sz="4" w:space="0" w:color="auto"/>
            </w:tcBorders>
            <w:hideMark/>
          </w:tcPr>
          <w:p>
            <w:pPr>
              <w:keepNext/>
              <w:tabs>
                <w:tab w:val="left" w:pos="720"/>
              </w:tabs>
              <w:spacing w:before="20" w:after="20"/>
              <w:jc w:val="center"/>
              <w:rPr>
                <w:b/>
                <w:noProof/>
                <w:snapToGrid w:val="0"/>
                <w:color w:val="000000"/>
                <w:sz w:val="22"/>
              </w:rPr>
            </w:pPr>
            <w:r>
              <w:rPr>
                <w:b/>
                <w:noProof/>
                <w:sz w:val="22"/>
              </w:rPr>
              <w:t>Strateginis veiksmas</w:t>
            </w:r>
          </w:p>
        </w:tc>
        <w:tc>
          <w:tcPr>
            <w:tcW w:w="5525" w:type="dxa"/>
            <w:tcBorders>
              <w:top w:val="dotted" w:sz="4" w:space="0" w:color="auto"/>
              <w:left w:val="dotted" w:sz="4" w:space="0" w:color="auto"/>
              <w:bottom w:val="dotted" w:sz="4" w:space="0" w:color="auto"/>
              <w:right w:val="dotted" w:sz="4" w:space="0" w:color="auto"/>
            </w:tcBorders>
            <w:vAlign w:val="center"/>
            <w:hideMark/>
          </w:tcPr>
          <w:p>
            <w:pPr>
              <w:keepNext/>
              <w:tabs>
                <w:tab w:val="left" w:pos="720"/>
              </w:tabs>
              <w:spacing w:before="20" w:after="20"/>
              <w:jc w:val="center"/>
              <w:rPr>
                <w:b/>
                <w:noProof/>
                <w:snapToGrid w:val="0"/>
                <w:color w:val="000000"/>
                <w:sz w:val="22"/>
              </w:rPr>
            </w:pPr>
            <w:r>
              <w:rPr>
                <w:b/>
                <w:noProof/>
                <w:sz w:val="22"/>
              </w:rPr>
              <w:t>Aprašymas</w:t>
            </w:r>
          </w:p>
        </w:tc>
        <w:tc>
          <w:tcPr>
            <w:tcW w:w="1731" w:type="dxa"/>
            <w:tcBorders>
              <w:top w:val="dotted" w:sz="4" w:space="0" w:color="auto"/>
              <w:left w:val="dotted" w:sz="4" w:space="0" w:color="auto"/>
              <w:bottom w:val="dotted" w:sz="4" w:space="0" w:color="auto"/>
              <w:right w:val="dotted" w:sz="4" w:space="0" w:color="auto"/>
            </w:tcBorders>
            <w:vAlign w:val="center"/>
            <w:hideMark/>
          </w:tcPr>
          <w:p>
            <w:pPr>
              <w:keepNext/>
              <w:tabs>
                <w:tab w:val="left" w:pos="720"/>
              </w:tabs>
              <w:spacing w:before="20" w:after="20"/>
              <w:jc w:val="center"/>
              <w:rPr>
                <w:b/>
                <w:noProof/>
                <w:snapToGrid w:val="0"/>
                <w:color w:val="000000"/>
                <w:sz w:val="22"/>
              </w:rPr>
            </w:pPr>
            <w:r>
              <w:rPr>
                <w:b/>
                <w:noProof/>
                <w:sz w:val="22"/>
              </w:rPr>
              <w:t>Planuojama data</w:t>
            </w:r>
          </w:p>
        </w:tc>
        <w:tc>
          <w:tcPr>
            <w:tcW w:w="1346" w:type="dxa"/>
            <w:tcBorders>
              <w:top w:val="dotted" w:sz="4" w:space="0" w:color="auto"/>
              <w:left w:val="dotted" w:sz="4" w:space="0" w:color="auto"/>
              <w:bottom w:val="dotted" w:sz="4" w:space="0" w:color="auto"/>
              <w:right w:val="dotted" w:sz="4" w:space="0" w:color="auto"/>
            </w:tcBorders>
            <w:vAlign w:val="center"/>
            <w:hideMark/>
          </w:tcPr>
          <w:p>
            <w:pPr>
              <w:keepNext/>
              <w:tabs>
                <w:tab w:val="left" w:pos="720"/>
              </w:tabs>
              <w:spacing w:before="20" w:after="20"/>
              <w:jc w:val="center"/>
              <w:rPr>
                <w:b/>
                <w:noProof/>
                <w:snapToGrid w:val="0"/>
                <w:color w:val="000000"/>
                <w:sz w:val="22"/>
              </w:rPr>
            </w:pPr>
            <w:r>
              <w:rPr>
                <w:b/>
                <w:noProof/>
                <w:sz w:val="22"/>
              </w:rPr>
              <w:t>Vadovaujantis subjektas</w:t>
            </w:r>
          </w:p>
        </w:tc>
        <w:tc>
          <w:tcPr>
            <w:tcW w:w="1620" w:type="dxa"/>
            <w:tcBorders>
              <w:top w:val="dotted" w:sz="4" w:space="0" w:color="auto"/>
              <w:left w:val="dotted" w:sz="4" w:space="0" w:color="auto"/>
              <w:bottom w:val="dotted" w:sz="4" w:space="0" w:color="auto"/>
              <w:right w:val="dotted" w:sz="4" w:space="0" w:color="auto"/>
            </w:tcBorders>
            <w:vAlign w:val="center"/>
            <w:hideMark/>
          </w:tcPr>
          <w:p>
            <w:pPr>
              <w:keepNext/>
              <w:tabs>
                <w:tab w:val="left" w:pos="720"/>
              </w:tabs>
              <w:spacing w:before="20" w:after="20"/>
              <w:jc w:val="center"/>
              <w:rPr>
                <w:b/>
                <w:noProof/>
                <w:snapToGrid w:val="0"/>
                <w:color w:val="000000"/>
                <w:sz w:val="22"/>
              </w:rPr>
            </w:pPr>
            <w:r>
              <w:rPr>
                <w:b/>
                <w:noProof/>
                <w:sz w:val="22"/>
              </w:rPr>
              <w:t>Pažanga</w:t>
            </w:r>
          </w:p>
        </w:tc>
        <w:tc>
          <w:tcPr>
            <w:tcW w:w="1951" w:type="dxa"/>
            <w:tcBorders>
              <w:top w:val="dotted" w:sz="4" w:space="0" w:color="auto"/>
              <w:left w:val="dotted" w:sz="4" w:space="0" w:color="auto"/>
              <w:bottom w:val="dotted" w:sz="4" w:space="0" w:color="auto"/>
              <w:right w:val="nil"/>
            </w:tcBorders>
            <w:hideMark/>
          </w:tcPr>
          <w:p>
            <w:pPr>
              <w:keepNext/>
              <w:tabs>
                <w:tab w:val="left" w:pos="720"/>
              </w:tabs>
              <w:spacing w:before="20" w:after="20"/>
              <w:jc w:val="center"/>
              <w:rPr>
                <w:b/>
                <w:noProof/>
                <w:snapToGrid w:val="0"/>
                <w:color w:val="000000"/>
                <w:sz w:val="22"/>
              </w:rPr>
            </w:pPr>
            <w:r>
              <w:rPr>
                <w:b/>
                <w:noProof/>
                <w:sz w:val="22"/>
              </w:rPr>
              <w:t>Būsena</w:t>
            </w:r>
          </w:p>
        </w:tc>
      </w:tr>
      <w:tr>
        <w:trPr>
          <w:cantSplit/>
        </w:trPr>
        <w:tc>
          <w:tcPr>
            <w:tcW w:w="842" w:type="dxa"/>
            <w:tcBorders>
              <w:top w:val="dotted" w:sz="4" w:space="0" w:color="auto"/>
              <w:left w:val="single" w:sz="4" w:space="0" w:color="auto"/>
              <w:bottom w:val="dotted" w:sz="4" w:space="0" w:color="auto"/>
              <w:right w:val="dotted" w:sz="4" w:space="0" w:color="auto"/>
            </w:tcBorders>
          </w:tcPr>
          <w:p>
            <w:pPr>
              <w:tabs>
                <w:tab w:val="left" w:pos="720"/>
              </w:tabs>
              <w:spacing w:before="20" w:after="20"/>
              <w:rPr>
                <w:b/>
                <w:noProof/>
                <w:snapToGrid w:val="0"/>
                <w:color w:val="000000"/>
                <w:sz w:val="22"/>
              </w:rPr>
            </w:pPr>
            <w:r>
              <w:rPr>
                <w:b/>
                <w:noProof/>
                <w:sz w:val="22"/>
              </w:rPr>
              <w:t xml:space="preserve">31. </w:t>
            </w:r>
          </w:p>
          <w:p>
            <w:pPr>
              <w:tabs>
                <w:tab w:val="left" w:pos="720"/>
              </w:tabs>
              <w:spacing w:before="20" w:after="20"/>
              <w:rPr>
                <w:b/>
                <w:noProof/>
                <w:snapToGrid w:val="0"/>
                <w:color w:val="000000"/>
                <w:sz w:val="22"/>
              </w:rPr>
            </w:pPr>
          </w:p>
        </w:tc>
        <w:tc>
          <w:tcPr>
            <w:tcW w:w="1617" w:type="dxa"/>
            <w:tcBorders>
              <w:top w:val="dotted" w:sz="4" w:space="0" w:color="auto"/>
              <w:left w:val="dotted" w:sz="4" w:space="0" w:color="auto"/>
              <w:bottom w:val="dotted" w:sz="4" w:space="0" w:color="auto"/>
              <w:right w:val="dotted" w:sz="4" w:space="0" w:color="auto"/>
            </w:tcBorders>
            <w:hideMark/>
          </w:tcPr>
          <w:p>
            <w:pPr>
              <w:tabs>
                <w:tab w:val="left" w:pos="770"/>
              </w:tabs>
              <w:spacing w:before="20" w:after="20"/>
              <w:rPr>
                <w:b/>
                <w:noProof/>
                <w:sz w:val="22"/>
              </w:rPr>
            </w:pPr>
            <w:r>
              <w:rPr>
                <w:b/>
                <w:noProof/>
                <w:sz w:val="22"/>
              </w:rPr>
              <w:t>C.1.</w:t>
            </w:r>
          </w:p>
          <w:p>
            <w:pPr>
              <w:tabs>
                <w:tab w:val="left" w:pos="770"/>
              </w:tabs>
              <w:spacing w:before="20" w:after="20"/>
              <w:rPr>
                <w:b/>
                <w:noProof/>
                <w:sz w:val="22"/>
              </w:rPr>
            </w:pPr>
            <w:r>
              <w:rPr>
                <w:b/>
                <w:noProof/>
                <w:sz w:val="22"/>
              </w:rPr>
              <w:t>C.4.</w:t>
            </w:r>
          </w:p>
        </w:tc>
        <w:tc>
          <w:tcPr>
            <w:tcW w:w="5525" w:type="dxa"/>
            <w:tcBorders>
              <w:top w:val="dotted" w:sz="4" w:space="0" w:color="auto"/>
              <w:left w:val="dotted" w:sz="4" w:space="0" w:color="auto"/>
              <w:bottom w:val="dotted" w:sz="4" w:space="0" w:color="auto"/>
              <w:right w:val="dotted" w:sz="4" w:space="0" w:color="auto"/>
            </w:tcBorders>
          </w:tcPr>
          <w:p>
            <w:pPr>
              <w:tabs>
                <w:tab w:val="left" w:pos="770"/>
              </w:tabs>
              <w:spacing w:before="20" w:after="20"/>
              <w:rPr>
                <w:b/>
                <w:noProof/>
                <w:sz w:val="22"/>
              </w:rPr>
            </w:pPr>
            <w:r>
              <w:rPr>
                <w:b/>
                <w:noProof/>
                <w:sz w:val="22"/>
              </w:rPr>
              <w:t>Keistis informacija apie patirtį, įgytą po incidentų vėjo elektrinių parkuose, prieglobsčio vietose ir atliekų tvarkymo vietose po taršos incidentų.</w:t>
            </w:r>
          </w:p>
          <w:p>
            <w:pPr>
              <w:tabs>
                <w:tab w:val="left" w:pos="770"/>
              </w:tabs>
              <w:spacing w:before="20" w:after="20"/>
              <w:rPr>
                <w:b/>
                <w:noProof/>
                <w:snapToGrid w:val="0"/>
                <w:color w:val="000000"/>
                <w:sz w:val="22"/>
              </w:rPr>
            </w:pPr>
          </w:p>
        </w:tc>
        <w:tc>
          <w:tcPr>
            <w:tcW w:w="1731" w:type="dxa"/>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center"/>
              <w:rPr>
                <w:noProof/>
                <w:snapToGrid w:val="0"/>
                <w:color w:val="000000"/>
                <w:sz w:val="22"/>
              </w:rPr>
            </w:pPr>
            <w:r>
              <w:rPr>
                <w:noProof/>
                <w:sz w:val="22"/>
              </w:rPr>
              <w:t xml:space="preserve">OTSOPA </w:t>
            </w:r>
          </w:p>
          <w:p>
            <w:pPr>
              <w:tabs>
                <w:tab w:val="left" w:pos="720"/>
              </w:tabs>
              <w:spacing w:before="20" w:after="20"/>
              <w:jc w:val="center"/>
              <w:rPr>
                <w:noProof/>
                <w:snapToGrid w:val="0"/>
                <w:color w:val="000000"/>
                <w:sz w:val="22"/>
              </w:rPr>
            </w:pPr>
            <w:r>
              <w:rPr>
                <w:noProof/>
                <w:sz w:val="22"/>
              </w:rPr>
              <w:t xml:space="preserve">Susitikimas Bonoje </w:t>
            </w:r>
          </w:p>
        </w:tc>
        <w:tc>
          <w:tcPr>
            <w:tcW w:w="1346" w:type="dxa"/>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left"/>
              <w:rPr>
                <w:noProof/>
                <w:snapToGrid w:val="0"/>
                <w:color w:val="000000"/>
                <w:sz w:val="22"/>
              </w:rPr>
            </w:pPr>
            <w:r>
              <w:rPr>
                <w:noProof/>
                <w:sz w:val="22"/>
              </w:rPr>
              <w:t>Susitariančioji šalis</w:t>
            </w:r>
          </w:p>
        </w:tc>
        <w:tc>
          <w:tcPr>
            <w:tcW w:w="1620" w:type="dxa"/>
            <w:tcBorders>
              <w:top w:val="dotted" w:sz="4" w:space="0" w:color="auto"/>
              <w:left w:val="dotted" w:sz="4" w:space="0" w:color="auto"/>
              <w:bottom w:val="dotted" w:sz="4" w:space="0" w:color="auto"/>
              <w:right w:val="dotted" w:sz="4" w:space="0" w:color="auto"/>
            </w:tcBorders>
          </w:tcPr>
          <w:p>
            <w:pPr>
              <w:tabs>
                <w:tab w:val="left" w:pos="720"/>
              </w:tabs>
              <w:spacing w:before="20" w:after="20"/>
              <w:rPr>
                <w:noProof/>
                <w:snapToGrid w:val="0"/>
                <w:color w:val="000000"/>
                <w:sz w:val="22"/>
              </w:rPr>
            </w:pPr>
          </w:p>
        </w:tc>
        <w:tc>
          <w:tcPr>
            <w:tcW w:w="1951" w:type="dxa"/>
            <w:tcBorders>
              <w:top w:val="dotted" w:sz="4" w:space="0" w:color="auto"/>
              <w:left w:val="dotted" w:sz="4" w:space="0" w:color="auto"/>
              <w:bottom w:val="dotted" w:sz="4" w:space="0" w:color="auto"/>
              <w:right w:val="nil"/>
            </w:tcBorders>
            <w:hideMark/>
          </w:tcPr>
          <w:p>
            <w:pPr>
              <w:tabs>
                <w:tab w:val="left" w:pos="720"/>
              </w:tabs>
              <w:spacing w:before="20" w:after="20"/>
              <w:jc w:val="left"/>
              <w:rPr>
                <w:noProof/>
                <w:snapToGrid w:val="0"/>
                <w:color w:val="000000"/>
                <w:sz w:val="22"/>
              </w:rPr>
            </w:pPr>
            <w:r>
              <w:rPr>
                <w:noProof/>
                <w:sz w:val="22"/>
              </w:rPr>
              <w:t>Vykdomas</w:t>
            </w:r>
          </w:p>
        </w:tc>
      </w:tr>
      <w:tr>
        <w:trPr>
          <w:cantSplit/>
        </w:trPr>
        <w:tc>
          <w:tcPr>
            <w:tcW w:w="842" w:type="dxa"/>
            <w:tcBorders>
              <w:top w:val="dotted" w:sz="4" w:space="0" w:color="auto"/>
              <w:left w:val="single" w:sz="4" w:space="0" w:color="auto"/>
              <w:bottom w:val="dotted" w:sz="4" w:space="0" w:color="auto"/>
              <w:right w:val="dotted" w:sz="4" w:space="0" w:color="auto"/>
            </w:tcBorders>
            <w:hideMark/>
          </w:tcPr>
          <w:p>
            <w:pPr>
              <w:tabs>
                <w:tab w:val="left" w:pos="720"/>
              </w:tabs>
              <w:spacing w:before="20" w:after="20"/>
              <w:rPr>
                <w:b/>
                <w:noProof/>
                <w:snapToGrid w:val="0"/>
                <w:color w:val="000000"/>
                <w:sz w:val="22"/>
              </w:rPr>
            </w:pPr>
            <w:r>
              <w:rPr>
                <w:b/>
                <w:noProof/>
                <w:sz w:val="22"/>
              </w:rPr>
              <w:t xml:space="preserve">32. </w:t>
            </w:r>
          </w:p>
        </w:tc>
        <w:tc>
          <w:tcPr>
            <w:tcW w:w="1617" w:type="dxa"/>
            <w:tcBorders>
              <w:top w:val="dotted" w:sz="4" w:space="0" w:color="auto"/>
              <w:left w:val="dotted" w:sz="4" w:space="0" w:color="auto"/>
              <w:bottom w:val="dotted" w:sz="4" w:space="0" w:color="auto"/>
              <w:right w:val="dotted" w:sz="4" w:space="0" w:color="auto"/>
            </w:tcBorders>
            <w:hideMark/>
          </w:tcPr>
          <w:p>
            <w:pPr>
              <w:spacing w:after="60"/>
              <w:rPr>
                <w:b/>
                <w:noProof/>
                <w:sz w:val="22"/>
              </w:rPr>
            </w:pPr>
            <w:r>
              <w:rPr>
                <w:b/>
                <w:noProof/>
                <w:sz w:val="22"/>
              </w:rPr>
              <w:t>C.1.</w:t>
            </w:r>
          </w:p>
          <w:p>
            <w:pPr>
              <w:spacing w:after="60"/>
              <w:rPr>
                <w:b/>
                <w:noProof/>
                <w:sz w:val="22"/>
              </w:rPr>
            </w:pPr>
            <w:r>
              <w:rPr>
                <w:b/>
                <w:noProof/>
                <w:sz w:val="22"/>
              </w:rPr>
              <w:t>C.5.</w:t>
            </w:r>
          </w:p>
        </w:tc>
        <w:tc>
          <w:tcPr>
            <w:tcW w:w="5525" w:type="dxa"/>
            <w:tcBorders>
              <w:top w:val="dotted" w:sz="4" w:space="0" w:color="auto"/>
              <w:left w:val="dotted" w:sz="4" w:space="0" w:color="auto"/>
              <w:bottom w:val="dotted" w:sz="4" w:space="0" w:color="auto"/>
              <w:right w:val="dotted" w:sz="4" w:space="0" w:color="auto"/>
            </w:tcBorders>
          </w:tcPr>
          <w:p>
            <w:pPr>
              <w:spacing w:after="60"/>
              <w:rPr>
                <w:b/>
                <w:noProof/>
                <w:sz w:val="22"/>
              </w:rPr>
            </w:pPr>
            <w:r>
              <w:rPr>
                <w:b/>
                <w:noProof/>
                <w:sz w:val="22"/>
              </w:rPr>
              <w:t>Toliau taikyti efektyvią sistemą POLREP, siekiant pranešti apie taršos incidentus ir tvarkyti paramos prašymus ir pasiūlymus, naudojantis Europos Komisijos bendra ekstremaliųjų situacijų ryšių ir informacijos apie jūros taršą sistema (CECIS MP).</w:t>
            </w:r>
          </w:p>
          <w:p>
            <w:pPr>
              <w:tabs>
                <w:tab w:val="left" w:pos="770"/>
              </w:tabs>
              <w:spacing w:before="20" w:after="20"/>
              <w:rPr>
                <w:noProof/>
                <w:snapToGrid w:val="0"/>
                <w:color w:val="000000"/>
                <w:sz w:val="22"/>
              </w:rPr>
            </w:pPr>
          </w:p>
        </w:tc>
        <w:tc>
          <w:tcPr>
            <w:tcW w:w="1731" w:type="dxa"/>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center"/>
              <w:rPr>
                <w:noProof/>
                <w:snapToGrid w:val="0"/>
                <w:color w:val="000000"/>
                <w:sz w:val="22"/>
              </w:rPr>
            </w:pPr>
            <w:r>
              <w:rPr>
                <w:noProof/>
                <w:sz w:val="22"/>
              </w:rPr>
              <w:t>Vykdomas</w:t>
            </w:r>
          </w:p>
        </w:tc>
        <w:tc>
          <w:tcPr>
            <w:tcW w:w="1346" w:type="dxa"/>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left"/>
              <w:rPr>
                <w:noProof/>
                <w:snapToGrid w:val="0"/>
                <w:color w:val="000000"/>
                <w:sz w:val="22"/>
              </w:rPr>
            </w:pPr>
            <w:r>
              <w:rPr>
                <w:noProof/>
                <w:sz w:val="22"/>
              </w:rPr>
              <w:t>ES, NO, DK</w:t>
            </w:r>
          </w:p>
        </w:tc>
        <w:tc>
          <w:tcPr>
            <w:tcW w:w="1620" w:type="dxa"/>
            <w:tcBorders>
              <w:top w:val="dotted" w:sz="4" w:space="0" w:color="auto"/>
              <w:left w:val="dotted" w:sz="4" w:space="0" w:color="auto"/>
              <w:bottom w:val="dotted" w:sz="4" w:space="0" w:color="auto"/>
              <w:right w:val="dotted" w:sz="4" w:space="0" w:color="auto"/>
            </w:tcBorders>
            <w:hideMark/>
          </w:tcPr>
          <w:p>
            <w:pPr>
              <w:tabs>
                <w:tab w:val="left" w:pos="720"/>
              </w:tabs>
              <w:spacing w:before="20" w:after="20"/>
              <w:rPr>
                <w:noProof/>
                <w:snapToGrid w:val="0"/>
                <w:color w:val="000000"/>
                <w:sz w:val="22"/>
              </w:rPr>
            </w:pPr>
            <w:r>
              <w:rPr>
                <w:noProof/>
                <w:sz w:val="22"/>
              </w:rPr>
              <w:t xml:space="preserve"> 6 mėnesių trukmės projektas – du praktiniai seminarai ir devynios dalyvaujančios šalys.</w:t>
            </w:r>
          </w:p>
        </w:tc>
        <w:tc>
          <w:tcPr>
            <w:tcW w:w="1951" w:type="dxa"/>
            <w:tcBorders>
              <w:top w:val="dotted" w:sz="4" w:space="0" w:color="auto"/>
              <w:left w:val="dotted" w:sz="4" w:space="0" w:color="auto"/>
              <w:bottom w:val="dotted" w:sz="4" w:space="0" w:color="auto"/>
              <w:right w:val="nil"/>
            </w:tcBorders>
            <w:hideMark/>
          </w:tcPr>
          <w:p>
            <w:pPr>
              <w:tabs>
                <w:tab w:val="left" w:pos="720"/>
              </w:tabs>
              <w:spacing w:before="20" w:after="20"/>
              <w:rPr>
                <w:noProof/>
                <w:snapToGrid w:val="0"/>
                <w:color w:val="000000"/>
                <w:sz w:val="22"/>
              </w:rPr>
            </w:pPr>
            <w:r>
              <w:rPr>
                <w:noProof/>
                <w:sz w:val="22"/>
              </w:rPr>
              <w:t>Vykdomas</w:t>
            </w:r>
          </w:p>
        </w:tc>
      </w:tr>
      <w:tr>
        <w:trPr>
          <w:cantSplit/>
        </w:trPr>
        <w:tc>
          <w:tcPr>
            <w:tcW w:w="842" w:type="dxa"/>
            <w:tcBorders>
              <w:top w:val="dotted" w:sz="4" w:space="0" w:color="auto"/>
              <w:left w:val="single" w:sz="4" w:space="0" w:color="auto"/>
              <w:bottom w:val="dotted" w:sz="4" w:space="0" w:color="auto"/>
              <w:right w:val="dotted" w:sz="4" w:space="0" w:color="auto"/>
            </w:tcBorders>
            <w:hideMark/>
          </w:tcPr>
          <w:p>
            <w:pPr>
              <w:tabs>
                <w:tab w:val="left" w:pos="720"/>
              </w:tabs>
              <w:spacing w:before="20" w:after="20"/>
              <w:rPr>
                <w:b/>
                <w:noProof/>
                <w:snapToGrid w:val="0"/>
                <w:color w:val="000000"/>
                <w:sz w:val="22"/>
              </w:rPr>
            </w:pPr>
            <w:r>
              <w:rPr>
                <w:b/>
                <w:noProof/>
                <w:sz w:val="22"/>
              </w:rPr>
              <w:t xml:space="preserve">33. </w:t>
            </w:r>
          </w:p>
        </w:tc>
        <w:tc>
          <w:tcPr>
            <w:tcW w:w="1617" w:type="dxa"/>
            <w:tcBorders>
              <w:top w:val="dotted" w:sz="4" w:space="0" w:color="auto"/>
              <w:left w:val="dotted" w:sz="4" w:space="0" w:color="auto"/>
              <w:bottom w:val="dotted" w:sz="4" w:space="0" w:color="auto"/>
              <w:right w:val="dotted" w:sz="4" w:space="0" w:color="auto"/>
            </w:tcBorders>
            <w:hideMark/>
          </w:tcPr>
          <w:p>
            <w:pPr>
              <w:tabs>
                <w:tab w:val="left" w:pos="770"/>
              </w:tabs>
              <w:spacing w:before="20" w:after="20"/>
              <w:rPr>
                <w:b/>
                <w:noProof/>
                <w:spacing w:val="-2"/>
                <w:sz w:val="22"/>
              </w:rPr>
            </w:pPr>
            <w:r>
              <w:rPr>
                <w:b/>
                <w:noProof/>
                <w:sz w:val="22"/>
              </w:rPr>
              <w:t>C.2.</w:t>
            </w:r>
          </w:p>
        </w:tc>
        <w:tc>
          <w:tcPr>
            <w:tcW w:w="5525" w:type="dxa"/>
            <w:tcBorders>
              <w:top w:val="dotted" w:sz="4" w:space="0" w:color="auto"/>
              <w:left w:val="dotted" w:sz="4" w:space="0" w:color="auto"/>
              <w:bottom w:val="dotted" w:sz="4" w:space="0" w:color="auto"/>
              <w:right w:val="dotted" w:sz="4" w:space="0" w:color="auto"/>
            </w:tcBorders>
          </w:tcPr>
          <w:p>
            <w:pPr>
              <w:tabs>
                <w:tab w:val="left" w:pos="770"/>
              </w:tabs>
              <w:spacing w:before="20" w:after="20"/>
              <w:rPr>
                <w:b/>
                <w:noProof/>
                <w:snapToGrid w:val="0"/>
                <w:sz w:val="22"/>
              </w:rPr>
            </w:pPr>
            <w:r>
              <w:rPr>
                <w:b/>
                <w:noProof/>
                <w:sz w:val="22"/>
              </w:rPr>
              <w:t>Tobulinti, toliau taikyti ir nuolat atnaujinti bendrus reagavimo į incidentus jūroje planus (planą DENGERNETH (DE), MANCHEPLAN (UK ir FR), Keturšalės zonos planą (BE), planą NORBRIT (UK ir NO), Jungtinės Karalystės ir Airijos susitarimo memorandumą, Biskajos įlankos planą).</w:t>
            </w:r>
          </w:p>
          <w:p>
            <w:pPr>
              <w:tabs>
                <w:tab w:val="left" w:pos="770"/>
              </w:tabs>
              <w:spacing w:before="20" w:after="20"/>
              <w:rPr>
                <w:noProof/>
                <w:snapToGrid w:val="0"/>
                <w:sz w:val="22"/>
              </w:rPr>
            </w:pPr>
          </w:p>
        </w:tc>
        <w:tc>
          <w:tcPr>
            <w:tcW w:w="1731" w:type="dxa"/>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center"/>
              <w:rPr>
                <w:noProof/>
                <w:snapToGrid w:val="0"/>
                <w:color w:val="000000"/>
                <w:sz w:val="22"/>
              </w:rPr>
            </w:pPr>
            <w:r>
              <w:rPr>
                <w:noProof/>
                <w:sz w:val="22"/>
              </w:rPr>
              <w:t>Prireikus vykdoma veikla</w:t>
            </w:r>
          </w:p>
        </w:tc>
        <w:tc>
          <w:tcPr>
            <w:tcW w:w="1346" w:type="dxa"/>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left"/>
              <w:rPr>
                <w:noProof/>
                <w:snapToGrid w:val="0"/>
                <w:color w:val="000000"/>
                <w:sz w:val="22"/>
              </w:rPr>
            </w:pPr>
            <w:r>
              <w:rPr>
                <w:noProof/>
                <w:sz w:val="22"/>
              </w:rPr>
              <w:t>Atitinkama susitariančioji šalis</w:t>
            </w:r>
          </w:p>
        </w:tc>
        <w:tc>
          <w:tcPr>
            <w:tcW w:w="1620" w:type="dxa"/>
            <w:tcBorders>
              <w:top w:val="dotted" w:sz="4" w:space="0" w:color="auto"/>
              <w:left w:val="dotted" w:sz="4" w:space="0" w:color="auto"/>
              <w:bottom w:val="dotted" w:sz="4" w:space="0" w:color="auto"/>
              <w:right w:val="dotted" w:sz="4" w:space="0" w:color="auto"/>
            </w:tcBorders>
          </w:tcPr>
          <w:p>
            <w:pPr>
              <w:tabs>
                <w:tab w:val="left" w:pos="720"/>
              </w:tabs>
              <w:spacing w:before="20" w:after="20"/>
              <w:rPr>
                <w:noProof/>
                <w:snapToGrid w:val="0"/>
                <w:color w:val="000000"/>
                <w:sz w:val="22"/>
              </w:rPr>
            </w:pPr>
          </w:p>
        </w:tc>
        <w:tc>
          <w:tcPr>
            <w:tcW w:w="1951" w:type="dxa"/>
            <w:tcBorders>
              <w:top w:val="dotted" w:sz="4" w:space="0" w:color="auto"/>
              <w:left w:val="dotted" w:sz="4" w:space="0" w:color="auto"/>
              <w:bottom w:val="dotted" w:sz="4" w:space="0" w:color="auto"/>
              <w:right w:val="nil"/>
            </w:tcBorders>
            <w:hideMark/>
          </w:tcPr>
          <w:p>
            <w:pPr>
              <w:tabs>
                <w:tab w:val="left" w:pos="720"/>
              </w:tabs>
              <w:spacing w:before="20" w:after="20"/>
              <w:rPr>
                <w:noProof/>
                <w:snapToGrid w:val="0"/>
                <w:color w:val="000000"/>
                <w:sz w:val="22"/>
              </w:rPr>
            </w:pPr>
            <w:r>
              <w:rPr>
                <w:noProof/>
                <w:sz w:val="22"/>
              </w:rPr>
              <w:t>Vykdomas</w:t>
            </w:r>
          </w:p>
        </w:tc>
      </w:tr>
      <w:tr>
        <w:trPr>
          <w:cantSplit/>
          <w:trHeight w:val="1338"/>
        </w:trPr>
        <w:tc>
          <w:tcPr>
            <w:tcW w:w="842" w:type="dxa"/>
            <w:tcBorders>
              <w:top w:val="dotted" w:sz="4" w:space="0" w:color="auto"/>
              <w:left w:val="single" w:sz="4" w:space="0" w:color="auto"/>
              <w:bottom w:val="dotted" w:sz="4" w:space="0" w:color="auto"/>
              <w:right w:val="dotted" w:sz="4" w:space="0" w:color="auto"/>
            </w:tcBorders>
            <w:hideMark/>
          </w:tcPr>
          <w:p>
            <w:pPr>
              <w:tabs>
                <w:tab w:val="left" w:pos="720"/>
              </w:tabs>
              <w:spacing w:before="20" w:after="20"/>
              <w:rPr>
                <w:b/>
                <w:noProof/>
                <w:snapToGrid w:val="0"/>
                <w:color w:val="000000"/>
                <w:sz w:val="22"/>
              </w:rPr>
            </w:pPr>
            <w:r>
              <w:rPr>
                <w:b/>
                <w:noProof/>
                <w:sz w:val="22"/>
              </w:rPr>
              <w:t xml:space="preserve">34. </w:t>
            </w:r>
          </w:p>
        </w:tc>
        <w:tc>
          <w:tcPr>
            <w:tcW w:w="1617" w:type="dxa"/>
            <w:tcBorders>
              <w:top w:val="dotted" w:sz="4" w:space="0" w:color="auto"/>
              <w:left w:val="dotted" w:sz="4" w:space="0" w:color="auto"/>
              <w:bottom w:val="dotted" w:sz="4" w:space="0" w:color="auto"/>
              <w:right w:val="dotted" w:sz="4" w:space="0" w:color="auto"/>
            </w:tcBorders>
            <w:hideMark/>
          </w:tcPr>
          <w:p>
            <w:pPr>
              <w:tabs>
                <w:tab w:val="left" w:pos="770"/>
              </w:tabs>
              <w:spacing w:before="20" w:after="20"/>
              <w:rPr>
                <w:b/>
                <w:noProof/>
                <w:snapToGrid w:val="0"/>
                <w:color w:val="000000"/>
                <w:sz w:val="22"/>
              </w:rPr>
            </w:pPr>
            <w:r>
              <w:rPr>
                <w:b/>
                <w:noProof/>
                <w:sz w:val="22"/>
              </w:rPr>
              <w:t>C.3.</w:t>
            </w:r>
          </w:p>
        </w:tc>
        <w:tc>
          <w:tcPr>
            <w:tcW w:w="5525" w:type="dxa"/>
            <w:tcBorders>
              <w:top w:val="dotted" w:sz="4" w:space="0" w:color="auto"/>
              <w:left w:val="dotted" w:sz="4" w:space="0" w:color="auto"/>
              <w:bottom w:val="dotted" w:sz="4" w:space="0" w:color="auto"/>
              <w:right w:val="dotted" w:sz="4" w:space="0" w:color="auto"/>
            </w:tcBorders>
          </w:tcPr>
          <w:p>
            <w:pPr>
              <w:tabs>
                <w:tab w:val="left" w:pos="770"/>
              </w:tabs>
              <w:spacing w:before="20" w:after="20"/>
              <w:rPr>
                <w:b/>
                <w:noProof/>
                <w:snapToGrid w:val="0"/>
                <w:color w:val="000000"/>
                <w:sz w:val="22"/>
              </w:rPr>
            </w:pPr>
            <w:r>
              <w:rPr>
                <w:b/>
                <w:noProof/>
                <w:sz w:val="22"/>
              </w:rPr>
              <w:t xml:space="preserve">Toliau keistis informacija apie nacionalines reagavimo į laukinės gamtos taršą sistemas. </w:t>
            </w:r>
          </w:p>
          <w:p>
            <w:pPr>
              <w:tabs>
                <w:tab w:val="left" w:pos="770"/>
              </w:tabs>
              <w:spacing w:before="20" w:after="20"/>
              <w:rPr>
                <w:b/>
                <w:noProof/>
                <w:snapToGrid w:val="0"/>
                <w:color w:val="000000"/>
                <w:sz w:val="22"/>
              </w:rPr>
            </w:pPr>
          </w:p>
        </w:tc>
        <w:tc>
          <w:tcPr>
            <w:tcW w:w="1731" w:type="dxa"/>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center"/>
              <w:rPr>
                <w:noProof/>
                <w:snapToGrid w:val="0"/>
                <w:color w:val="000000"/>
                <w:sz w:val="22"/>
              </w:rPr>
            </w:pPr>
            <w:r>
              <w:rPr>
                <w:noProof/>
                <w:sz w:val="22"/>
              </w:rPr>
              <w:t>Vykdomas</w:t>
            </w:r>
          </w:p>
        </w:tc>
        <w:tc>
          <w:tcPr>
            <w:tcW w:w="1346" w:type="dxa"/>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left"/>
              <w:rPr>
                <w:noProof/>
                <w:snapToGrid w:val="0"/>
                <w:color w:val="000000"/>
                <w:sz w:val="22"/>
              </w:rPr>
            </w:pPr>
            <w:r>
              <w:rPr>
                <w:noProof/>
                <w:sz w:val="22"/>
              </w:rPr>
              <w:t xml:space="preserve"> – FR, SE ir susitariančioji šalis</w:t>
            </w:r>
          </w:p>
        </w:tc>
        <w:tc>
          <w:tcPr>
            <w:tcW w:w="1620" w:type="dxa"/>
            <w:tcBorders>
              <w:top w:val="dotted" w:sz="4" w:space="0" w:color="auto"/>
              <w:left w:val="dotted" w:sz="4" w:space="0" w:color="auto"/>
              <w:bottom w:val="dotted" w:sz="4" w:space="0" w:color="auto"/>
              <w:right w:val="dotted" w:sz="4" w:space="0" w:color="auto"/>
            </w:tcBorders>
            <w:hideMark/>
          </w:tcPr>
          <w:p>
            <w:pPr>
              <w:tabs>
                <w:tab w:val="left" w:pos="720"/>
              </w:tabs>
              <w:spacing w:before="20" w:after="20"/>
              <w:rPr>
                <w:noProof/>
                <w:snapToGrid w:val="0"/>
                <w:color w:val="000000"/>
                <w:sz w:val="22"/>
              </w:rPr>
            </w:pPr>
          </w:p>
        </w:tc>
        <w:tc>
          <w:tcPr>
            <w:tcW w:w="1951" w:type="dxa"/>
            <w:tcBorders>
              <w:top w:val="dotted" w:sz="4" w:space="0" w:color="auto"/>
              <w:left w:val="dotted" w:sz="4" w:space="0" w:color="auto"/>
              <w:bottom w:val="dotted" w:sz="4" w:space="0" w:color="auto"/>
              <w:right w:val="nil"/>
            </w:tcBorders>
            <w:hideMark/>
          </w:tcPr>
          <w:p>
            <w:pPr>
              <w:tabs>
                <w:tab w:val="left" w:pos="720"/>
              </w:tabs>
              <w:spacing w:before="20" w:after="20"/>
              <w:rPr>
                <w:noProof/>
                <w:snapToGrid w:val="0"/>
                <w:color w:val="000000"/>
                <w:sz w:val="22"/>
              </w:rPr>
            </w:pPr>
            <w:r>
              <w:rPr>
                <w:noProof/>
                <w:sz w:val="22"/>
              </w:rPr>
              <w:t>Vykdomas</w:t>
            </w:r>
          </w:p>
          <w:p>
            <w:pPr>
              <w:tabs>
                <w:tab w:val="left" w:pos="720"/>
              </w:tabs>
              <w:spacing w:before="20" w:after="20"/>
              <w:rPr>
                <w:noProof/>
                <w:snapToGrid w:val="0"/>
                <w:color w:val="000000"/>
                <w:sz w:val="22"/>
              </w:rPr>
            </w:pPr>
          </w:p>
        </w:tc>
      </w:tr>
      <w:tr>
        <w:trPr>
          <w:cantSplit/>
        </w:trPr>
        <w:tc>
          <w:tcPr>
            <w:tcW w:w="842" w:type="dxa"/>
            <w:tcBorders>
              <w:top w:val="dotted" w:sz="4" w:space="0" w:color="auto"/>
              <w:left w:val="single" w:sz="4" w:space="0" w:color="auto"/>
              <w:bottom w:val="dotted" w:sz="4" w:space="0" w:color="auto"/>
              <w:right w:val="dotted" w:sz="4" w:space="0" w:color="auto"/>
            </w:tcBorders>
            <w:hideMark/>
          </w:tcPr>
          <w:p>
            <w:pPr>
              <w:tabs>
                <w:tab w:val="left" w:pos="720"/>
              </w:tabs>
              <w:spacing w:before="20" w:after="20"/>
              <w:rPr>
                <w:b/>
                <w:noProof/>
                <w:snapToGrid w:val="0"/>
                <w:color w:val="000000"/>
                <w:sz w:val="22"/>
              </w:rPr>
            </w:pPr>
            <w:r>
              <w:rPr>
                <w:b/>
                <w:noProof/>
                <w:sz w:val="22"/>
              </w:rPr>
              <w:t xml:space="preserve">35. </w:t>
            </w:r>
          </w:p>
        </w:tc>
        <w:tc>
          <w:tcPr>
            <w:tcW w:w="1617" w:type="dxa"/>
            <w:tcBorders>
              <w:top w:val="dotted" w:sz="4" w:space="0" w:color="auto"/>
              <w:left w:val="dotted" w:sz="4" w:space="0" w:color="auto"/>
              <w:bottom w:val="single" w:sz="4" w:space="0" w:color="auto"/>
              <w:right w:val="dotted" w:sz="4" w:space="0" w:color="auto"/>
            </w:tcBorders>
            <w:hideMark/>
          </w:tcPr>
          <w:p>
            <w:pPr>
              <w:tabs>
                <w:tab w:val="left" w:pos="770"/>
              </w:tabs>
              <w:spacing w:before="20" w:after="20"/>
              <w:rPr>
                <w:b/>
                <w:noProof/>
                <w:spacing w:val="-2"/>
                <w:sz w:val="22"/>
              </w:rPr>
            </w:pPr>
            <w:r>
              <w:rPr>
                <w:b/>
                <w:noProof/>
                <w:sz w:val="22"/>
              </w:rPr>
              <w:t>C.7.</w:t>
            </w:r>
          </w:p>
          <w:p>
            <w:pPr>
              <w:tabs>
                <w:tab w:val="left" w:pos="770"/>
              </w:tabs>
              <w:spacing w:before="20" w:after="20"/>
              <w:rPr>
                <w:b/>
                <w:noProof/>
                <w:spacing w:val="-2"/>
                <w:sz w:val="22"/>
              </w:rPr>
            </w:pPr>
            <w:r>
              <w:rPr>
                <w:b/>
                <w:noProof/>
                <w:sz w:val="22"/>
              </w:rPr>
              <w:t>C.6.</w:t>
            </w:r>
          </w:p>
        </w:tc>
        <w:tc>
          <w:tcPr>
            <w:tcW w:w="5525" w:type="dxa"/>
            <w:tcBorders>
              <w:top w:val="dotted" w:sz="4" w:space="0" w:color="auto"/>
              <w:left w:val="dotted" w:sz="4" w:space="0" w:color="auto"/>
              <w:bottom w:val="dotted" w:sz="4" w:space="0" w:color="auto"/>
              <w:right w:val="dotted" w:sz="4" w:space="0" w:color="auto"/>
            </w:tcBorders>
          </w:tcPr>
          <w:p>
            <w:pPr>
              <w:tabs>
                <w:tab w:val="left" w:pos="770"/>
              </w:tabs>
              <w:spacing w:before="20" w:after="20"/>
              <w:rPr>
                <w:b/>
                <w:noProof/>
                <w:spacing w:val="-2"/>
                <w:sz w:val="22"/>
              </w:rPr>
            </w:pPr>
            <w:r>
              <w:rPr>
                <w:b/>
                <w:noProof/>
                <w:sz w:val="22"/>
              </w:rPr>
              <w:t xml:space="preserve">Skatinti ir, jei įmanoma, vykdyti mokslinius tyrimus ir užtikrinti technologinę plėtrą, taip pat keistis informacija apie naujos kartos kurą. </w:t>
            </w:r>
          </w:p>
          <w:p>
            <w:pPr>
              <w:tabs>
                <w:tab w:val="left" w:pos="770"/>
              </w:tabs>
              <w:spacing w:before="20" w:after="20"/>
              <w:rPr>
                <w:b/>
                <w:noProof/>
                <w:color w:val="000000"/>
                <w:spacing w:val="-2"/>
                <w:sz w:val="22"/>
              </w:rPr>
            </w:pPr>
          </w:p>
        </w:tc>
        <w:tc>
          <w:tcPr>
            <w:tcW w:w="1731" w:type="dxa"/>
            <w:tcBorders>
              <w:top w:val="dotted" w:sz="4" w:space="0" w:color="auto"/>
              <w:left w:val="dotted" w:sz="4" w:space="0" w:color="auto"/>
              <w:bottom w:val="dotted" w:sz="4" w:space="0" w:color="auto"/>
              <w:right w:val="dotted" w:sz="4" w:space="0" w:color="auto"/>
            </w:tcBorders>
          </w:tcPr>
          <w:p>
            <w:pPr>
              <w:tabs>
                <w:tab w:val="left" w:pos="720"/>
              </w:tabs>
              <w:spacing w:before="20" w:after="20"/>
              <w:jc w:val="center"/>
              <w:rPr>
                <w:noProof/>
                <w:snapToGrid w:val="0"/>
                <w:color w:val="000000"/>
                <w:sz w:val="22"/>
              </w:rPr>
            </w:pPr>
          </w:p>
        </w:tc>
        <w:tc>
          <w:tcPr>
            <w:tcW w:w="1346" w:type="dxa"/>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left"/>
              <w:rPr>
                <w:noProof/>
                <w:snapToGrid w:val="0"/>
                <w:color w:val="000000"/>
                <w:sz w:val="22"/>
              </w:rPr>
            </w:pPr>
            <w:r>
              <w:rPr>
                <w:noProof/>
                <w:sz w:val="22"/>
              </w:rPr>
              <w:t>NO ir projekto partneriai</w:t>
            </w:r>
          </w:p>
        </w:tc>
        <w:tc>
          <w:tcPr>
            <w:tcW w:w="1620" w:type="dxa"/>
            <w:tcBorders>
              <w:top w:val="dotted" w:sz="4" w:space="0" w:color="auto"/>
              <w:left w:val="dotted" w:sz="4" w:space="0" w:color="auto"/>
              <w:bottom w:val="dotted" w:sz="4" w:space="0" w:color="auto"/>
              <w:right w:val="dotted" w:sz="4" w:space="0" w:color="auto"/>
            </w:tcBorders>
            <w:hideMark/>
          </w:tcPr>
          <w:p>
            <w:pPr>
              <w:tabs>
                <w:tab w:val="left" w:pos="720"/>
              </w:tabs>
              <w:spacing w:before="20" w:after="20"/>
              <w:rPr>
                <w:noProof/>
                <w:snapToGrid w:val="0"/>
                <w:color w:val="000000"/>
                <w:sz w:val="22"/>
              </w:rPr>
            </w:pPr>
            <w:r>
              <w:rPr>
                <w:noProof/>
                <w:sz w:val="22"/>
              </w:rPr>
              <w:t>2019 m. ECHO GD kvietime teikti pasiūlymus pateiktas pasiūlymas</w:t>
            </w:r>
          </w:p>
        </w:tc>
        <w:tc>
          <w:tcPr>
            <w:tcW w:w="1951" w:type="dxa"/>
            <w:tcBorders>
              <w:top w:val="dotted" w:sz="4" w:space="0" w:color="auto"/>
              <w:left w:val="dotted" w:sz="4" w:space="0" w:color="auto"/>
              <w:bottom w:val="dotted" w:sz="4" w:space="0" w:color="auto"/>
              <w:right w:val="nil"/>
            </w:tcBorders>
            <w:hideMark/>
          </w:tcPr>
          <w:p>
            <w:pPr>
              <w:tabs>
                <w:tab w:val="left" w:pos="720"/>
              </w:tabs>
              <w:spacing w:before="20" w:after="20"/>
              <w:rPr>
                <w:noProof/>
                <w:snapToGrid w:val="0"/>
                <w:color w:val="000000"/>
                <w:sz w:val="22"/>
              </w:rPr>
            </w:pPr>
            <w:r>
              <w:rPr>
                <w:noProof/>
                <w:sz w:val="22"/>
              </w:rPr>
              <w:t>Vykdomas</w:t>
            </w:r>
          </w:p>
        </w:tc>
      </w:tr>
      <w:tr>
        <w:trPr>
          <w:cantSplit/>
        </w:trPr>
        <w:tc>
          <w:tcPr>
            <w:tcW w:w="842" w:type="dxa"/>
            <w:tcBorders>
              <w:top w:val="dotted" w:sz="4" w:space="0" w:color="auto"/>
              <w:left w:val="single" w:sz="4" w:space="0" w:color="auto"/>
              <w:bottom w:val="dotted" w:sz="4" w:space="0" w:color="auto"/>
              <w:right w:val="single" w:sz="4" w:space="0" w:color="auto"/>
            </w:tcBorders>
            <w:shd w:val="clear" w:color="auto" w:fill="FFFFFF"/>
            <w:hideMark/>
          </w:tcPr>
          <w:p>
            <w:pPr>
              <w:tabs>
                <w:tab w:val="left" w:pos="720"/>
              </w:tabs>
              <w:spacing w:before="20" w:after="20"/>
              <w:rPr>
                <w:b/>
                <w:noProof/>
                <w:snapToGrid w:val="0"/>
                <w:color w:val="000000"/>
                <w:sz w:val="22"/>
              </w:rPr>
            </w:pPr>
            <w:r>
              <w:rPr>
                <w:b/>
                <w:noProof/>
                <w:sz w:val="22"/>
              </w:rPr>
              <w:t xml:space="preserve">36. </w:t>
            </w:r>
          </w:p>
        </w:tc>
        <w:tc>
          <w:tcPr>
            <w:tcW w:w="1617"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770"/>
              </w:tabs>
              <w:spacing w:before="20" w:after="20"/>
              <w:rPr>
                <w:b/>
                <w:noProof/>
                <w:spacing w:val="-2"/>
                <w:sz w:val="22"/>
              </w:rPr>
            </w:pPr>
            <w:r>
              <w:rPr>
                <w:b/>
                <w:noProof/>
                <w:sz w:val="22"/>
              </w:rPr>
              <w:t>C.7.</w:t>
            </w:r>
          </w:p>
          <w:p>
            <w:pPr>
              <w:tabs>
                <w:tab w:val="left" w:pos="770"/>
              </w:tabs>
              <w:spacing w:before="20" w:after="20"/>
              <w:rPr>
                <w:b/>
                <w:noProof/>
                <w:sz w:val="22"/>
              </w:rPr>
            </w:pPr>
            <w:r>
              <w:rPr>
                <w:b/>
                <w:noProof/>
                <w:sz w:val="22"/>
              </w:rPr>
              <w:t>C.6.</w:t>
            </w:r>
          </w:p>
        </w:tc>
        <w:tc>
          <w:tcPr>
            <w:tcW w:w="5525" w:type="dxa"/>
            <w:tcBorders>
              <w:top w:val="dotted" w:sz="4" w:space="0" w:color="auto"/>
              <w:left w:val="single" w:sz="4" w:space="0" w:color="auto"/>
              <w:bottom w:val="dotted" w:sz="4" w:space="0" w:color="auto"/>
              <w:right w:val="dotted" w:sz="4" w:space="0" w:color="auto"/>
            </w:tcBorders>
            <w:shd w:val="clear" w:color="auto" w:fill="FFFFFF"/>
          </w:tcPr>
          <w:p>
            <w:pPr>
              <w:keepNext/>
              <w:keepLines/>
              <w:tabs>
                <w:tab w:val="left" w:pos="357"/>
                <w:tab w:val="left" w:pos="1134"/>
                <w:tab w:val="left" w:pos="2268"/>
                <w:tab w:val="left" w:pos="2552"/>
                <w:tab w:val="left" w:pos="3119"/>
                <w:tab w:val="center" w:pos="4320"/>
                <w:tab w:val="right" w:leader="dot" w:pos="8448"/>
                <w:tab w:val="right" w:pos="8640"/>
              </w:tabs>
              <w:spacing w:before="200" w:after="0"/>
              <w:ind w:right="1134"/>
              <w:jc w:val="left"/>
              <w:outlineLvl w:val="4"/>
              <w:rPr>
                <w:b/>
                <w:noProof/>
                <w:sz w:val="22"/>
              </w:rPr>
            </w:pPr>
            <w:r>
              <w:rPr>
                <w:b/>
                <w:noProof/>
                <w:sz w:val="22"/>
              </w:rPr>
              <w:t xml:space="preserve">Užtikrinti reagavimą ir pasirengimą, atsižvelgiant į naujos kartos kurą. </w:t>
            </w:r>
          </w:p>
          <w:p>
            <w:pPr>
              <w:tabs>
                <w:tab w:val="left" w:pos="0"/>
              </w:tabs>
              <w:spacing w:after="60"/>
              <w:ind w:left="-21"/>
              <w:rPr>
                <w:b/>
                <w:noProof/>
                <w:sz w:val="22"/>
              </w:rPr>
            </w:pPr>
          </w:p>
        </w:tc>
        <w:tc>
          <w:tcPr>
            <w:tcW w:w="1731" w:type="dxa"/>
            <w:tcBorders>
              <w:top w:val="dotted" w:sz="4" w:space="0" w:color="auto"/>
              <w:left w:val="dotted" w:sz="4" w:space="0" w:color="auto"/>
              <w:bottom w:val="dotted" w:sz="4" w:space="0" w:color="auto"/>
              <w:right w:val="dotted" w:sz="4" w:space="0" w:color="auto"/>
            </w:tcBorders>
          </w:tcPr>
          <w:p>
            <w:pPr>
              <w:tabs>
                <w:tab w:val="left" w:pos="720"/>
              </w:tabs>
              <w:spacing w:before="20" w:after="20"/>
              <w:jc w:val="center"/>
              <w:rPr>
                <w:noProof/>
                <w:snapToGrid w:val="0"/>
                <w:color w:val="000000"/>
                <w:sz w:val="22"/>
              </w:rPr>
            </w:pPr>
          </w:p>
        </w:tc>
        <w:tc>
          <w:tcPr>
            <w:tcW w:w="1346" w:type="dxa"/>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left"/>
              <w:rPr>
                <w:noProof/>
                <w:snapToGrid w:val="0"/>
                <w:color w:val="000000"/>
                <w:sz w:val="22"/>
              </w:rPr>
            </w:pPr>
            <w:r>
              <w:rPr>
                <w:noProof/>
                <w:sz w:val="22"/>
              </w:rPr>
              <w:t>NO ir projekto partneriai</w:t>
            </w:r>
          </w:p>
        </w:tc>
        <w:tc>
          <w:tcPr>
            <w:tcW w:w="1620" w:type="dxa"/>
            <w:tcBorders>
              <w:top w:val="dotted" w:sz="4" w:space="0" w:color="auto"/>
              <w:left w:val="dotted" w:sz="4" w:space="0" w:color="auto"/>
              <w:bottom w:val="dotted" w:sz="4" w:space="0" w:color="auto"/>
              <w:right w:val="nil"/>
            </w:tcBorders>
            <w:shd w:val="clear" w:color="auto" w:fill="FFFFFF"/>
            <w:hideMark/>
          </w:tcPr>
          <w:p>
            <w:pPr>
              <w:tabs>
                <w:tab w:val="left" w:pos="720"/>
              </w:tabs>
              <w:spacing w:before="20" w:after="20"/>
              <w:rPr>
                <w:noProof/>
                <w:snapToGrid w:val="0"/>
                <w:color w:val="000000"/>
                <w:sz w:val="22"/>
              </w:rPr>
            </w:pPr>
            <w:r>
              <w:rPr>
                <w:noProof/>
                <w:sz w:val="22"/>
              </w:rPr>
              <w:t>Remiantis 35 atsakymu</w:t>
            </w:r>
          </w:p>
        </w:tc>
        <w:tc>
          <w:tcPr>
            <w:tcW w:w="1951" w:type="dxa"/>
            <w:tcBorders>
              <w:top w:val="dotted" w:sz="4" w:space="0" w:color="auto"/>
              <w:left w:val="dotted" w:sz="4" w:space="0" w:color="auto"/>
              <w:bottom w:val="dotted" w:sz="4" w:space="0" w:color="auto"/>
              <w:right w:val="nil"/>
            </w:tcBorders>
            <w:shd w:val="clear" w:color="auto" w:fill="FFFFFF"/>
          </w:tcPr>
          <w:p>
            <w:pPr>
              <w:tabs>
                <w:tab w:val="left" w:pos="720"/>
              </w:tabs>
              <w:spacing w:before="20" w:after="20"/>
              <w:jc w:val="left"/>
              <w:rPr>
                <w:noProof/>
                <w:snapToGrid w:val="0"/>
                <w:color w:val="000000"/>
                <w:sz w:val="22"/>
              </w:rPr>
            </w:pPr>
          </w:p>
        </w:tc>
      </w:tr>
      <w:tr>
        <w:trPr>
          <w:cantSplit/>
        </w:trPr>
        <w:tc>
          <w:tcPr>
            <w:tcW w:w="842" w:type="dxa"/>
            <w:tcBorders>
              <w:top w:val="dotted" w:sz="4" w:space="0" w:color="auto"/>
              <w:left w:val="single" w:sz="4" w:space="0" w:color="auto"/>
              <w:bottom w:val="dotted" w:sz="4" w:space="0" w:color="auto"/>
              <w:right w:val="dotted" w:sz="4" w:space="0" w:color="auto"/>
            </w:tcBorders>
            <w:hideMark/>
          </w:tcPr>
          <w:p>
            <w:pPr>
              <w:tabs>
                <w:tab w:val="left" w:pos="720"/>
              </w:tabs>
              <w:spacing w:before="20" w:after="20"/>
              <w:rPr>
                <w:b/>
                <w:noProof/>
                <w:snapToGrid w:val="0"/>
                <w:color w:val="000000"/>
                <w:sz w:val="22"/>
              </w:rPr>
            </w:pPr>
            <w:r>
              <w:rPr>
                <w:b/>
                <w:noProof/>
                <w:sz w:val="22"/>
              </w:rPr>
              <w:t xml:space="preserve">37. </w:t>
            </w:r>
          </w:p>
        </w:tc>
        <w:tc>
          <w:tcPr>
            <w:tcW w:w="1617" w:type="dxa"/>
            <w:tcBorders>
              <w:top w:val="single" w:sz="4" w:space="0" w:color="auto"/>
              <w:left w:val="dotted" w:sz="4" w:space="0" w:color="auto"/>
              <w:bottom w:val="dotted" w:sz="4" w:space="0" w:color="auto"/>
              <w:right w:val="dotted" w:sz="4" w:space="0" w:color="auto"/>
            </w:tcBorders>
            <w:hideMark/>
          </w:tcPr>
          <w:p>
            <w:pPr>
              <w:tabs>
                <w:tab w:val="left" w:pos="770"/>
              </w:tabs>
              <w:spacing w:before="20" w:after="20"/>
              <w:rPr>
                <w:b/>
                <w:noProof/>
                <w:spacing w:val="-2"/>
                <w:sz w:val="22"/>
              </w:rPr>
            </w:pPr>
            <w:r>
              <w:rPr>
                <w:b/>
                <w:noProof/>
                <w:sz w:val="22"/>
              </w:rPr>
              <w:t>C.6.</w:t>
            </w:r>
          </w:p>
        </w:tc>
        <w:tc>
          <w:tcPr>
            <w:tcW w:w="5525" w:type="dxa"/>
            <w:tcBorders>
              <w:top w:val="dotted" w:sz="4" w:space="0" w:color="auto"/>
              <w:left w:val="dotted" w:sz="4" w:space="0" w:color="auto"/>
              <w:bottom w:val="dotted" w:sz="4" w:space="0" w:color="auto"/>
              <w:right w:val="dotted" w:sz="4" w:space="0" w:color="auto"/>
            </w:tcBorders>
            <w:hideMark/>
          </w:tcPr>
          <w:p>
            <w:pPr>
              <w:tabs>
                <w:tab w:val="left" w:pos="770"/>
              </w:tabs>
              <w:spacing w:before="20" w:after="20"/>
              <w:rPr>
                <w:b/>
                <w:noProof/>
                <w:spacing w:val="-2"/>
                <w:sz w:val="22"/>
              </w:rPr>
            </w:pPr>
            <w:r>
              <w:rPr>
                <w:b/>
                <w:noProof/>
                <w:sz w:val="22"/>
              </w:rPr>
              <w:t xml:space="preserve">Keistis informacija ir skatinti tolesnius taršos incidentų mokslinius tyrimus, be kita ko, dėl : </w:t>
            </w:r>
          </w:p>
          <w:p>
            <w:pPr>
              <w:pStyle w:val="ListParagraph"/>
              <w:numPr>
                <w:ilvl w:val="0"/>
                <w:numId w:val="3"/>
              </w:numPr>
              <w:tabs>
                <w:tab w:val="left" w:pos="376"/>
              </w:tabs>
              <w:spacing w:before="20" w:after="20"/>
              <w:ind w:left="376" w:hanging="376"/>
              <w:rPr>
                <w:rFonts w:ascii="Times New Roman" w:hAnsi="Times New Roman"/>
                <w:b/>
                <w:noProof/>
                <w:spacing w:val="-2"/>
                <w:sz w:val="22"/>
                <w:szCs w:val="22"/>
              </w:rPr>
            </w:pPr>
            <w:r>
              <w:rPr>
                <w:rFonts w:ascii="Times New Roman" w:hAnsi="Times New Roman"/>
                <w:b/>
                <w:noProof/>
                <w:sz w:val="22"/>
                <w:szCs w:val="22"/>
              </w:rPr>
              <w:t xml:space="preserve">nelaimingų atsitikimų naktį, esant prastam matomumui ir nepalankioms oro sąlygoms; </w:t>
            </w:r>
          </w:p>
          <w:p>
            <w:pPr>
              <w:pStyle w:val="ListParagraph"/>
              <w:numPr>
                <w:ilvl w:val="0"/>
                <w:numId w:val="3"/>
              </w:numPr>
              <w:tabs>
                <w:tab w:val="left" w:pos="376"/>
              </w:tabs>
              <w:spacing w:before="20" w:after="20"/>
              <w:ind w:left="376" w:hanging="376"/>
              <w:rPr>
                <w:rFonts w:ascii="Times New Roman" w:hAnsi="Times New Roman"/>
                <w:b/>
                <w:noProof/>
                <w:spacing w:val="-2"/>
                <w:sz w:val="22"/>
                <w:szCs w:val="22"/>
              </w:rPr>
            </w:pPr>
            <w:r>
              <w:rPr>
                <w:rFonts w:ascii="Times New Roman" w:hAnsi="Times New Roman"/>
                <w:b/>
                <w:noProof/>
                <w:sz w:val="22"/>
                <w:szCs w:val="22"/>
              </w:rPr>
              <w:t xml:space="preserve">nelaimingų atsitikimų, susijusių su rimtomis naftos ir cheminėmis avarijomis, galbūt vykdant išorės finansuojamus projektus; </w:t>
            </w:r>
          </w:p>
          <w:p>
            <w:pPr>
              <w:pStyle w:val="ListParagraph"/>
              <w:numPr>
                <w:ilvl w:val="0"/>
                <w:numId w:val="3"/>
              </w:numPr>
              <w:tabs>
                <w:tab w:val="left" w:pos="376"/>
              </w:tabs>
              <w:spacing w:before="20" w:after="20"/>
              <w:ind w:left="376" w:hanging="376"/>
              <w:rPr>
                <w:rFonts w:ascii="Times New Roman" w:hAnsi="Times New Roman"/>
                <w:b/>
                <w:noProof/>
                <w:sz w:val="22"/>
                <w:szCs w:val="22"/>
              </w:rPr>
            </w:pPr>
            <w:r>
              <w:rPr>
                <w:rFonts w:ascii="Times New Roman" w:hAnsi="Times New Roman"/>
                <w:b/>
                <w:noProof/>
                <w:sz w:val="22"/>
                <w:szCs w:val="22"/>
              </w:rPr>
              <w:t>reagavimo technologijų, įrangos ir kitų veiklos priemonių, visų pirma dėl integruotų priežiūros jutiklių, naftos išsiliejimo tėkmės modeliavimo, sprendimų priėmimo priemonių ir reagavimo technologijų.</w:t>
            </w:r>
          </w:p>
        </w:tc>
        <w:tc>
          <w:tcPr>
            <w:tcW w:w="1731" w:type="dxa"/>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center"/>
              <w:rPr>
                <w:noProof/>
                <w:snapToGrid w:val="0"/>
                <w:color w:val="000000"/>
                <w:sz w:val="22"/>
              </w:rPr>
            </w:pPr>
          </w:p>
        </w:tc>
        <w:tc>
          <w:tcPr>
            <w:tcW w:w="1346" w:type="dxa"/>
            <w:tcBorders>
              <w:top w:val="dotted" w:sz="4" w:space="0" w:color="auto"/>
              <w:left w:val="dotted" w:sz="4" w:space="0" w:color="auto"/>
              <w:bottom w:val="dotted" w:sz="4" w:space="0" w:color="auto"/>
              <w:right w:val="dotted" w:sz="4" w:space="0" w:color="auto"/>
            </w:tcBorders>
            <w:hideMark/>
          </w:tcPr>
          <w:p>
            <w:pPr>
              <w:tabs>
                <w:tab w:val="left" w:pos="720"/>
              </w:tabs>
              <w:spacing w:before="20" w:after="20"/>
              <w:rPr>
                <w:noProof/>
                <w:snapToGrid w:val="0"/>
                <w:color w:val="000000"/>
                <w:sz w:val="22"/>
              </w:rPr>
            </w:pPr>
            <w:r>
              <w:rPr>
                <w:noProof/>
                <w:sz w:val="22"/>
              </w:rPr>
              <w:t xml:space="preserve"> Susitariančioji šalis</w:t>
            </w:r>
          </w:p>
          <w:p>
            <w:pPr>
              <w:tabs>
                <w:tab w:val="left" w:pos="720"/>
              </w:tabs>
              <w:spacing w:before="20" w:after="20"/>
              <w:rPr>
                <w:noProof/>
                <w:snapToGrid w:val="0"/>
                <w:color w:val="000000"/>
                <w:sz w:val="22"/>
              </w:rPr>
            </w:pPr>
            <w:r>
              <w:rPr>
                <w:noProof/>
                <w:sz w:val="22"/>
              </w:rPr>
              <w:t xml:space="preserve"> </w:t>
            </w:r>
          </w:p>
        </w:tc>
        <w:tc>
          <w:tcPr>
            <w:tcW w:w="1620" w:type="dxa"/>
            <w:tcBorders>
              <w:top w:val="dotted" w:sz="4" w:space="0" w:color="auto"/>
              <w:left w:val="dotted" w:sz="4" w:space="0" w:color="auto"/>
              <w:bottom w:val="dotted" w:sz="4" w:space="0" w:color="auto"/>
              <w:right w:val="dotted" w:sz="4" w:space="0" w:color="auto"/>
            </w:tcBorders>
            <w:hideMark/>
          </w:tcPr>
          <w:p>
            <w:pPr>
              <w:tabs>
                <w:tab w:val="left" w:pos="720"/>
              </w:tabs>
              <w:spacing w:before="20" w:after="20"/>
              <w:rPr>
                <w:noProof/>
                <w:snapToGrid w:val="0"/>
                <w:color w:val="000000"/>
                <w:sz w:val="22"/>
              </w:rPr>
            </w:pPr>
          </w:p>
        </w:tc>
        <w:tc>
          <w:tcPr>
            <w:tcW w:w="1951" w:type="dxa"/>
            <w:tcBorders>
              <w:top w:val="dotted" w:sz="4" w:space="0" w:color="auto"/>
              <w:left w:val="dotted" w:sz="4" w:space="0" w:color="auto"/>
              <w:bottom w:val="dotted" w:sz="4" w:space="0" w:color="auto"/>
              <w:right w:val="nil"/>
            </w:tcBorders>
          </w:tcPr>
          <w:p>
            <w:pPr>
              <w:tabs>
                <w:tab w:val="left" w:pos="720"/>
              </w:tabs>
              <w:spacing w:before="20" w:after="20"/>
              <w:rPr>
                <w:noProof/>
                <w:snapToGrid w:val="0"/>
                <w:color w:val="000000"/>
                <w:sz w:val="22"/>
              </w:rPr>
            </w:pPr>
            <w:r>
              <w:rPr>
                <w:noProof/>
                <w:sz w:val="22"/>
              </w:rPr>
              <w:t>Vykdomas</w:t>
            </w:r>
          </w:p>
        </w:tc>
      </w:tr>
      <w:tr>
        <w:trPr>
          <w:cantSplit/>
        </w:trPr>
        <w:tc>
          <w:tcPr>
            <w:tcW w:w="842" w:type="dxa"/>
            <w:tcBorders>
              <w:top w:val="dotted" w:sz="4" w:space="0" w:color="auto"/>
              <w:left w:val="single" w:sz="4" w:space="0" w:color="auto"/>
              <w:bottom w:val="dotted" w:sz="4" w:space="0" w:color="auto"/>
              <w:right w:val="dotted" w:sz="4" w:space="0" w:color="auto"/>
            </w:tcBorders>
          </w:tcPr>
          <w:p>
            <w:pPr>
              <w:tabs>
                <w:tab w:val="left" w:pos="720"/>
              </w:tabs>
              <w:spacing w:before="20" w:after="20"/>
              <w:rPr>
                <w:b/>
                <w:noProof/>
                <w:snapToGrid w:val="0"/>
                <w:color w:val="000000"/>
                <w:sz w:val="22"/>
              </w:rPr>
            </w:pPr>
          </w:p>
        </w:tc>
        <w:tc>
          <w:tcPr>
            <w:tcW w:w="1617" w:type="dxa"/>
            <w:tcBorders>
              <w:top w:val="dotted" w:sz="4" w:space="0" w:color="auto"/>
              <w:left w:val="dotted" w:sz="4" w:space="0" w:color="auto"/>
              <w:bottom w:val="dotted" w:sz="4" w:space="0" w:color="auto"/>
              <w:right w:val="dotted" w:sz="4" w:space="0" w:color="auto"/>
            </w:tcBorders>
          </w:tcPr>
          <w:p>
            <w:pPr>
              <w:tabs>
                <w:tab w:val="left" w:pos="770"/>
              </w:tabs>
              <w:spacing w:before="20" w:after="20"/>
              <w:rPr>
                <w:b/>
                <w:noProof/>
                <w:sz w:val="22"/>
              </w:rPr>
            </w:pPr>
          </w:p>
        </w:tc>
        <w:tc>
          <w:tcPr>
            <w:tcW w:w="5525" w:type="dxa"/>
            <w:tcBorders>
              <w:top w:val="dotted" w:sz="4" w:space="0" w:color="auto"/>
              <w:left w:val="dotted" w:sz="4" w:space="0" w:color="auto"/>
              <w:bottom w:val="dotted" w:sz="4" w:space="0" w:color="auto"/>
              <w:right w:val="dotted" w:sz="4" w:space="0" w:color="auto"/>
            </w:tcBorders>
          </w:tcPr>
          <w:p>
            <w:pPr>
              <w:tabs>
                <w:tab w:val="left" w:pos="770"/>
              </w:tabs>
              <w:spacing w:before="20" w:after="20"/>
              <w:rPr>
                <w:b/>
                <w:noProof/>
                <w:sz w:val="22"/>
              </w:rPr>
            </w:pPr>
          </w:p>
        </w:tc>
        <w:tc>
          <w:tcPr>
            <w:tcW w:w="1731" w:type="dxa"/>
            <w:tcBorders>
              <w:top w:val="dotted" w:sz="4" w:space="0" w:color="auto"/>
              <w:left w:val="dotted" w:sz="4" w:space="0" w:color="auto"/>
              <w:bottom w:val="dotted" w:sz="4" w:space="0" w:color="auto"/>
              <w:right w:val="dotted" w:sz="4" w:space="0" w:color="auto"/>
            </w:tcBorders>
          </w:tcPr>
          <w:p>
            <w:pPr>
              <w:tabs>
                <w:tab w:val="left" w:pos="720"/>
              </w:tabs>
              <w:spacing w:before="20" w:after="20"/>
              <w:jc w:val="center"/>
              <w:rPr>
                <w:noProof/>
                <w:snapToGrid w:val="0"/>
                <w:color w:val="000000"/>
                <w:sz w:val="22"/>
              </w:rPr>
            </w:pPr>
          </w:p>
        </w:tc>
        <w:tc>
          <w:tcPr>
            <w:tcW w:w="1346" w:type="dxa"/>
            <w:tcBorders>
              <w:top w:val="dotted" w:sz="4" w:space="0" w:color="auto"/>
              <w:left w:val="dotted" w:sz="4" w:space="0" w:color="auto"/>
              <w:bottom w:val="dotted" w:sz="4" w:space="0" w:color="auto"/>
              <w:right w:val="dotted" w:sz="4" w:space="0" w:color="auto"/>
            </w:tcBorders>
          </w:tcPr>
          <w:p>
            <w:pPr>
              <w:tabs>
                <w:tab w:val="left" w:pos="720"/>
              </w:tabs>
              <w:spacing w:before="20" w:after="20"/>
              <w:jc w:val="left"/>
              <w:rPr>
                <w:noProof/>
                <w:snapToGrid w:val="0"/>
                <w:color w:val="000000"/>
                <w:sz w:val="22"/>
              </w:rPr>
            </w:pPr>
          </w:p>
        </w:tc>
        <w:tc>
          <w:tcPr>
            <w:tcW w:w="1620" w:type="dxa"/>
            <w:tcBorders>
              <w:top w:val="dotted" w:sz="4" w:space="0" w:color="auto"/>
              <w:left w:val="dotted" w:sz="4" w:space="0" w:color="auto"/>
              <w:bottom w:val="dotted" w:sz="4" w:space="0" w:color="auto"/>
              <w:right w:val="dotted" w:sz="4" w:space="0" w:color="auto"/>
            </w:tcBorders>
          </w:tcPr>
          <w:p>
            <w:pPr>
              <w:tabs>
                <w:tab w:val="left" w:pos="720"/>
              </w:tabs>
              <w:spacing w:before="20" w:after="20"/>
              <w:rPr>
                <w:noProof/>
                <w:snapToGrid w:val="0"/>
                <w:color w:val="000000"/>
                <w:sz w:val="22"/>
              </w:rPr>
            </w:pPr>
          </w:p>
        </w:tc>
        <w:tc>
          <w:tcPr>
            <w:tcW w:w="1951" w:type="dxa"/>
            <w:tcBorders>
              <w:top w:val="dotted" w:sz="4" w:space="0" w:color="auto"/>
              <w:left w:val="dotted" w:sz="4" w:space="0" w:color="auto"/>
              <w:bottom w:val="dotted" w:sz="4" w:space="0" w:color="auto"/>
              <w:right w:val="nil"/>
            </w:tcBorders>
          </w:tcPr>
          <w:p>
            <w:pPr>
              <w:tabs>
                <w:tab w:val="left" w:pos="720"/>
              </w:tabs>
              <w:spacing w:before="20" w:after="20"/>
              <w:rPr>
                <w:noProof/>
                <w:snapToGrid w:val="0"/>
                <w:color w:val="000000"/>
                <w:sz w:val="22"/>
              </w:rPr>
            </w:pPr>
          </w:p>
        </w:tc>
      </w:tr>
      <w:tr>
        <w:trPr>
          <w:cantSplit/>
        </w:trPr>
        <w:tc>
          <w:tcPr>
            <w:tcW w:w="842" w:type="dxa"/>
            <w:tcBorders>
              <w:top w:val="dotted" w:sz="4" w:space="0" w:color="auto"/>
              <w:left w:val="single" w:sz="4" w:space="0" w:color="auto"/>
              <w:bottom w:val="dotted" w:sz="4" w:space="0" w:color="auto"/>
              <w:right w:val="dotted" w:sz="4" w:space="0" w:color="auto"/>
            </w:tcBorders>
            <w:hideMark/>
          </w:tcPr>
          <w:p>
            <w:pPr>
              <w:tabs>
                <w:tab w:val="left" w:pos="720"/>
              </w:tabs>
              <w:spacing w:before="20" w:after="20"/>
              <w:rPr>
                <w:b/>
                <w:noProof/>
                <w:snapToGrid w:val="0"/>
                <w:color w:val="000000"/>
                <w:sz w:val="22"/>
              </w:rPr>
            </w:pPr>
            <w:r>
              <w:rPr>
                <w:b/>
                <w:noProof/>
                <w:sz w:val="22"/>
              </w:rPr>
              <w:t xml:space="preserve">39. </w:t>
            </w:r>
          </w:p>
        </w:tc>
        <w:tc>
          <w:tcPr>
            <w:tcW w:w="1617" w:type="dxa"/>
            <w:tcBorders>
              <w:top w:val="dotted" w:sz="4" w:space="0" w:color="auto"/>
              <w:left w:val="dotted" w:sz="4" w:space="0" w:color="auto"/>
              <w:bottom w:val="dotted" w:sz="4" w:space="0" w:color="auto"/>
              <w:right w:val="dotted" w:sz="4" w:space="0" w:color="auto"/>
            </w:tcBorders>
            <w:hideMark/>
          </w:tcPr>
          <w:p>
            <w:pPr>
              <w:tabs>
                <w:tab w:val="left" w:pos="770"/>
              </w:tabs>
              <w:spacing w:before="20" w:after="20"/>
              <w:rPr>
                <w:b/>
                <w:noProof/>
                <w:sz w:val="22"/>
              </w:rPr>
            </w:pPr>
            <w:r>
              <w:rPr>
                <w:b/>
                <w:noProof/>
                <w:sz w:val="22"/>
              </w:rPr>
              <w:t xml:space="preserve">C.6. </w:t>
            </w:r>
          </w:p>
        </w:tc>
        <w:tc>
          <w:tcPr>
            <w:tcW w:w="5525" w:type="dxa"/>
            <w:tcBorders>
              <w:top w:val="dotted" w:sz="4" w:space="0" w:color="auto"/>
              <w:left w:val="dotted" w:sz="4" w:space="0" w:color="auto"/>
              <w:bottom w:val="dotted" w:sz="4" w:space="0" w:color="auto"/>
              <w:right w:val="dotted" w:sz="4" w:space="0" w:color="auto"/>
            </w:tcBorders>
            <w:hideMark/>
          </w:tcPr>
          <w:p>
            <w:pPr>
              <w:tabs>
                <w:tab w:val="left" w:pos="770"/>
              </w:tabs>
              <w:spacing w:before="20" w:after="20"/>
              <w:rPr>
                <w:b/>
                <w:noProof/>
                <w:sz w:val="22"/>
              </w:rPr>
            </w:pPr>
            <w:r>
              <w:rPr>
                <w:b/>
                <w:noProof/>
                <w:sz w:val="22"/>
              </w:rPr>
              <w:t>Apsvarstyti ir parengti projekto pasiūlymą dėl pavojingų ir kenksmingų medžiagų regioninio rizikos vertinimo.</w:t>
            </w:r>
          </w:p>
        </w:tc>
        <w:tc>
          <w:tcPr>
            <w:tcW w:w="1731" w:type="dxa"/>
            <w:tcBorders>
              <w:top w:val="dotted" w:sz="4" w:space="0" w:color="auto"/>
              <w:left w:val="dotted" w:sz="4" w:space="0" w:color="auto"/>
              <w:bottom w:val="dotted" w:sz="4" w:space="0" w:color="auto"/>
              <w:right w:val="dotted" w:sz="4" w:space="0" w:color="auto"/>
            </w:tcBorders>
          </w:tcPr>
          <w:p>
            <w:pPr>
              <w:tabs>
                <w:tab w:val="left" w:pos="720"/>
              </w:tabs>
              <w:spacing w:before="20" w:after="20"/>
              <w:jc w:val="center"/>
              <w:rPr>
                <w:noProof/>
                <w:snapToGrid w:val="0"/>
                <w:color w:val="000000"/>
                <w:sz w:val="22"/>
              </w:rPr>
            </w:pPr>
          </w:p>
        </w:tc>
        <w:tc>
          <w:tcPr>
            <w:tcW w:w="1346" w:type="dxa"/>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left"/>
              <w:rPr>
                <w:noProof/>
                <w:snapToGrid w:val="0"/>
                <w:color w:val="000000"/>
                <w:sz w:val="22"/>
              </w:rPr>
            </w:pPr>
            <w:r>
              <w:rPr>
                <w:noProof/>
                <w:sz w:val="22"/>
              </w:rPr>
              <w:t>Susitariančioji šalis ir sekretoriatas</w:t>
            </w:r>
          </w:p>
        </w:tc>
        <w:tc>
          <w:tcPr>
            <w:tcW w:w="1620" w:type="dxa"/>
            <w:tcBorders>
              <w:top w:val="dotted" w:sz="4" w:space="0" w:color="auto"/>
              <w:left w:val="dotted" w:sz="4" w:space="0" w:color="auto"/>
              <w:bottom w:val="dotted" w:sz="4" w:space="0" w:color="auto"/>
              <w:right w:val="dotted" w:sz="4" w:space="0" w:color="auto"/>
            </w:tcBorders>
            <w:hideMark/>
          </w:tcPr>
          <w:p>
            <w:pPr>
              <w:tabs>
                <w:tab w:val="left" w:pos="720"/>
              </w:tabs>
              <w:spacing w:before="20" w:after="20"/>
              <w:rPr>
                <w:noProof/>
                <w:snapToGrid w:val="0"/>
                <w:color w:val="000000"/>
                <w:sz w:val="22"/>
              </w:rPr>
            </w:pPr>
          </w:p>
        </w:tc>
        <w:tc>
          <w:tcPr>
            <w:tcW w:w="1951" w:type="dxa"/>
            <w:tcBorders>
              <w:top w:val="dotted" w:sz="4" w:space="0" w:color="auto"/>
              <w:left w:val="dotted" w:sz="4" w:space="0" w:color="auto"/>
              <w:bottom w:val="dotted" w:sz="4" w:space="0" w:color="auto"/>
              <w:right w:val="nil"/>
            </w:tcBorders>
            <w:hideMark/>
          </w:tcPr>
          <w:p>
            <w:pPr>
              <w:tabs>
                <w:tab w:val="left" w:pos="720"/>
              </w:tabs>
              <w:spacing w:before="20" w:after="20"/>
              <w:rPr>
                <w:noProof/>
                <w:snapToGrid w:val="0"/>
                <w:color w:val="000000"/>
                <w:sz w:val="22"/>
              </w:rPr>
            </w:pPr>
            <w:r>
              <w:rPr>
                <w:noProof/>
                <w:sz w:val="22"/>
              </w:rPr>
              <w:t>Vykdomas</w:t>
            </w:r>
          </w:p>
        </w:tc>
      </w:tr>
      <w:tr>
        <w:trPr>
          <w:cantSplit/>
        </w:trPr>
        <w:tc>
          <w:tcPr>
            <w:tcW w:w="842" w:type="dxa"/>
            <w:tcBorders>
              <w:top w:val="dotted" w:sz="4" w:space="0" w:color="auto"/>
              <w:left w:val="single" w:sz="4" w:space="0" w:color="auto"/>
              <w:bottom w:val="dotted" w:sz="4" w:space="0" w:color="auto"/>
              <w:right w:val="dotted" w:sz="4" w:space="0" w:color="auto"/>
            </w:tcBorders>
            <w:hideMark/>
          </w:tcPr>
          <w:p>
            <w:pPr>
              <w:tabs>
                <w:tab w:val="left" w:pos="720"/>
              </w:tabs>
              <w:spacing w:before="20" w:after="20"/>
              <w:rPr>
                <w:b/>
                <w:noProof/>
                <w:snapToGrid w:val="0"/>
                <w:color w:val="000000"/>
                <w:sz w:val="22"/>
              </w:rPr>
            </w:pPr>
            <w:r>
              <w:rPr>
                <w:b/>
                <w:noProof/>
                <w:sz w:val="22"/>
              </w:rPr>
              <w:t xml:space="preserve">40. </w:t>
            </w:r>
          </w:p>
        </w:tc>
        <w:tc>
          <w:tcPr>
            <w:tcW w:w="1617" w:type="dxa"/>
            <w:tcBorders>
              <w:top w:val="dotted" w:sz="4" w:space="0" w:color="auto"/>
              <w:left w:val="dotted" w:sz="4" w:space="0" w:color="auto"/>
              <w:bottom w:val="dotted" w:sz="4" w:space="0" w:color="auto"/>
              <w:right w:val="dotted" w:sz="4" w:space="0" w:color="auto"/>
            </w:tcBorders>
            <w:hideMark/>
          </w:tcPr>
          <w:p>
            <w:pPr>
              <w:tabs>
                <w:tab w:val="left" w:pos="770"/>
              </w:tabs>
              <w:spacing w:before="20" w:after="20"/>
              <w:rPr>
                <w:b/>
                <w:noProof/>
                <w:color w:val="000000"/>
                <w:sz w:val="22"/>
              </w:rPr>
            </w:pPr>
            <w:r>
              <w:rPr>
                <w:b/>
                <w:noProof/>
                <w:sz w:val="22"/>
              </w:rPr>
              <w:t>C.6.</w:t>
            </w:r>
          </w:p>
        </w:tc>
        <w:tc>
          <w:tcPr>
            <w:tcW w:w="5525" w:type="dxa"/>
            <w:tcBorders>
              <w:top w:val="dotted" w:sz="4" w:space="0" w:color="auto"/>
              <w:left w:val="dotted" w:sz="4" w:space="0" w:color="auto"/>
              <w:bottom w:val="dotted" w:sz="4" w:space="0" w:color="auto"/>
              <w:right w:val="dotted" w:sz="4" w:space="0" w:color="auto"/>
            </w:tcBorders>
            <w:hideMark/>
          </w:tcPr>
          <w:p>
            <w:pPr>
              <w:tabs>
                <w:tab w:val="left" w:pos="770"/>
              </w:tabs>
              <w:spacing w:before="20" w:after="20"/>
              <w:rPr>
                <w:b/>
                <w:noProof/>
                <w:sz w:val="22"/>
              </w:rPr>
            </w:pPr>
            <w:r>
              <w:rPr>
                <w:b/>
                <w:noProof/>
                <w:sz w:val="22"/>
              </w:rPr>
              <w:t xml:space="preserve">Skatinti tęsti pavojingų ir kenksmingų medžiagų mokslinius tyrimus, </w:t>
            </w:r>
            <w:r>
              <w:rPr>
                <w:b/>
                <w:i/>
                <w:iCs/>
                <w:noProof/>
                <w:sz w:val="22"/>
              </w:rPr>
              <w:t>inter alia</w:t>
            </w:r>
            <w:r>
              <w:rPr>
                <w:b/>
                <w:noProof/>
                <w:sz w:val="22"/>
              </w:rPr>
              <w:t>, reagavimo į PKM technologijų, PKM savybių bandymo ir elgesio neįprastomis sąlygomis srityje, taip pat skatinti tolesnius pažangių sprendimų priėmimo priemonių pokyčius ir patvirtinimą.</w:t>
            </w:r>
          </w:p>
        </w:tc>
        <w:tc>
          <w:tcPr>
            <w:tcW w:w="1731" w:type="dxa"/>
            <w:tcBorders>
              <w:top w:val="dotted" w:sz="4" w:space="0" w:color="auto"/>
              <w:left w:val="dotted" w:sz="4" w:space="0" w:color="auto"/>
              <w:bottom w:val="dotted" w:sz="4" w:space="0" w:color="auto"/>
              <w:right w:val="dotted" w:sz="4" w:space="0" w:color="auto"/>
            </w:tcBorders>
          </w:tcPr>
          <w:p>
            <w:pPr>
              <w:tabs>
                <w:tab w:val="left" w:pos="720"/>
              </w:tabs>
              <w:spacing w:before="20" w:after="20"/>
              <w:jc w:val="center"/>
              <w:rPr>
                <w:noProof/>
                <w:snapToGrid w:val="0"/>
                <w:color w:val="000000"/>
                <w:sz w:val="22"/>
              </w:rPr>
            </w:pPr>
          </w:p>
        </w:tc>
        <w:tc>
          <w:tcPr>
            <w:tcW w:w="1346" w:type="dxa"/>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left"/>
              <w:rPr>
                <w:noProof/>
                <w:snapToGrid w:val="0"/>
                <w:color w:val="000000"/>
                <w:sz w:val="22"/>
              </w:rPr>
            </w:pPr>
            <w:r>
              <w:rPr>
                <w:noProof/>
                <w:sz w:val="22"/>
              </w:rPr>
              <w:t xml:space="preserve"> Susitariančioji šalis </w:t>
            </w:r>
          </w:p>
        </w:tc>
        <w:tc>
          <w:tcPr>
            <w:tcW w:w="1620" w:type="dxa"/>
            <w:tcBorders>
              <w:top w:val="dotted" w:sz="4" w:space="0" w:color="auto"/>
              <w:left w:val="dotted" w:sz="4" w:space="0" w:color="auto"/>
              <w:bottom w:val="dotted" w:sz="4" w:space="0" w:color="auto"/>
              <w:right w:val="dotted" w:sz="4" w:space="0" w:color="auto"/>
            </w:tcBorders>
          </w:tcPr>
          <w:p>
            <w:pPr>
              <w:tabs>
                <w:tab w:val="left" w:pos="720"/>
              </w:tabs>
              <w:spacing w:before="20" w:after="20"/>
              <w:rPr>
                <w:noProof/>
                <w:snapToGrid w:val="0"/>
                <w:color w:val="000000"/>
                <w:sz w:val="22"/>
              </w:rPr>
            </w:pPr>
          </w:p>
        </w:tc>
        <w:tc>
          <w:tcPr>
            <w:tcW w:w="1951" w:type="dxa"/>
            <w:tcBorders>
              <w:top w:val="dotted" w:sz="4" w:space="0" w:color="auto"/>
              <w:left w:val="dotted" w:sz="4" w:space="0" w:color="auto"/>
              <w:bottom w:val="dotted" w:sz="4" w:space="0" w:color="auto"/>
              <w:right w:val="nil"/>
            </w:tcBorders>
          </w:tcPr>
          <w:p>
            <w:pPr>
              <w:tabs>
                <w:tab w:val="left" w:pos="720"/>
              </w:tabs>
              <w:spacing w:before="20" w:after="20"/>
              <w:rPr>
                <w:noProof/>
                <w:snapToGrid w:val="0"/>
                <w:color w:val="000000"/>
                <w:sz w:val="22"/>
              </w:rPr>
            </w:pPr>
            <w:r>
              <w:rPr>
                <w:noProof/>
                <w:sz w:val="22"/>
              </w:rPr>
              <w:t>Vykdomas</w:t>
            </w:r>
          </w:p>
        </w:tc>
      </w:tr>
      <w:tr>
        <w:trPr>
          <w:cantSplit/>
        </w:trPr>
        <w:tc>
          <w:tcPr>
            <w:tcW w:w="842" w:type="dxa"/>
            <w:tcBorders>
              <w:top w:val="dotted" w:sz="4" w:space="0" w:color="auto"/>
              <w:left w:val="single" w:sz="4" w:space="0" w:color="auto"/>
              <w:bottom w:val="dotted" w:sz="4" w:space="0" w:color="auto"/>
              <w:right w:val="dotted" w:sz="4" w:space="0" w:color="auto"/>
            </w:tcBorders>
            <w:hideMark/>
          </w:tcPr>
          <w:p>
            <w:pPr>
              <w:tabs>
                <w:tab w:val="left" w:pos="720"/>
              </w:tabs>
              <w:spacing w:before="20" w:after="20"/>
              <w:rPr>
                <w:b/>
                <w:noProof/>
                <w:snapToGrid w:val="0"/>
                <w:color w:val="000000"/>
                <w:sz w:val="22"/>
              </w:rPr>
            </w:pPr>
            <w:r>
              <w:rPr>
                <w:b/>
                <w:noProof/>
                <w:sz w:val="22"/>
              </w:rPr>
              <w:t>41.</w:t>
            </w:r>
          </w:p>
        </w:tc>
        <w:tc>
          <w:tcPr>
            <w:tcW w:w="1617" w:type="dxa"/>
            <w:tcBorders>
              <w:top w:val="dotted" w:sz="4" w:space="0" w:color="auto"/>
              <w:left w:val="dotted" w:sz="4" w:space="0" w:color="auto"/>
              <w:bottom w:val="dotted" w:sz="4" w:space="0" w:color="auto"/>
              <w:right w:val="dotted" w:sz="4" w:space="0" w:color="auto"/>
            </w:tcBorders>
            <w:hideMark/>
          </w:tcPr>
          <w:p>
            <w:pPr>
              <w:tabs>
                <w:tab w:val="left" w:pos="770"/>
              </w:tabs>
              <w:spacing w:before="20" w:after="20"/>
              <w:rPr>
                <w:b/>
                <w:noProof/>
                <w:color w:val="000000"/>
                <w:sz w:val="22"/>
              </w:rPr>
            </w:pPr>
            <w:r>
              <w:rPr>
                <w:b/>
                <w:noProof/>
                <w:sz w:val="22"/>
              </w:rPr>
              <w:t>C.8.</w:t>
            </w:r>
          </w:p>
        </w:tc>
        <w:tc>
          <w:tcPr>
            <w:tcW w:w="5525" w:type="dxa"/>
            <w:tcBorders>
              <w:top w:val="dotted" w:sz="4" w:space="0" w:color="auto"/>
              <w:left w:val="dotted" w:sz="4" w:space="0" w:color="auto"/>
              <w:bottom w:val="dotted" w:sz="4" w:space="0" w:color="auto"/>
              <w:right w:val="dotted" w:sz="4" w:space="0" w:color="auto"/>
            </w:tcBorders>
            <w:hideMark/>
          </w:tcPr>
          <w:p>
            <w:pPr>
              <w:tabs>
                <w:tab w:val="left" w:pos="770"/>
              </w:tabs>
              <w:spacing w:before="20" w:after="20"/>
              <w:rPr>
                <w:b/>
                <w:noProof/>
                <w:color w:val="000000"/>
                <w:sz w:val="22"/>
              </w:rPr>
            </w:pPr>
            <w:r>
              <w:rPr>
                <w:b/>
                <w:noProof/>
                <w:sz w:val="22"/>
              </w:rPr>
              <w:t>Keistis informacija apie nacionalines rizikos vertinimo sistemas, įskaitant vilkimą esant ekstremaliajai situacijai.</w:t>
            </w:r>
          </w:p>
        </w:tc>
        <w:tc>
          <w:tcPr>
            <w:tcW w:w="1731" w:type="dxa"/>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center"/>
              <w:rPr>
                <w:noProof/>
                <w:snapToGrid w:val="0"/>
                <w:color w:val="000000"/>
                <w:sz w:val="22"/>
              </w:rPr>
            </w:pPr>
            <w:r>
              <w:rPr>
                <w:noProof/>
                <w:sz w:val="22"/>
              </w:rPr>
              <w:t>Prireikus vykdoma veikla</w:t>
            </w:r>
          </w:p>
        </w:tc>
        <w:tc>
          <w:tcPr>
            <w:tcW w:w="1346" w:type="dxa"/>
            <w:tcBorders>
              <w:top w:val="dotted" w:sz="4" w:space="0" w:color="auto"/>
              <w:left w:val="dotted" w:sz="4" w:space="0" w:color="auto"/>
              <w:bottom w:val="dotted" w:sz="4" w:space="0" w:color="auto"/>
              <w:right w:val="dotted" w:sz="4" w:space="0" w:color="auto"/>
            </w:tcBorders>
            <w:hideMark/>
          </w:tcPr>
          <w:p>
            <w:pPr>
              <w:tabs>
                <w:tab w:val="left" w:pos="720"/>
              </w:tabs>
              <w:spacing w:before="20" w:after="20"/>
              <w:jc w:val="left"/>
              <w:rPr>
                <w:noProof/>
                <w:snapToGrid w:val="0"/>
                <w:color w:val="000000"/>
                <w:sz w:val="22"/>
              </w:rPr>
            </w:pPr>
            <w:r>
              <w:rPr>
                <w:noProof/>
                <w:sz w:val="22"/>
              </w:rPr>
              <w:t>Susitariančioji šalis</w:t>
            </w:r>
          </w:p>
        </w:tc>
        <w:tc>
          <w:tcPr>
            <w:tcW w:w="1620" w:type="dxa"/>
            <w:tcBorders>
              <w:top w:val="dotted" w:sz="4" w:space="0" w:color="auto"/>
              <w:left w:val="dotted" w:sz="4" w:space="0" w:color="auto"/>
              <w:bottom w:val="dotted" w:sz="4" w:space="0" w:color="auto"/>
              <w:right w:val="dotted" w:sz="4" w:space="0" w:color="auto"/>
            </w:tcBorders>
          </w:tcPr>
          <w:p>
            <w:pPr>
              <w:tabs>
                <w:tab w:val="left" w:pos="720"/>
              </w:tabs>
              <w:spacing w:before="20" w:after="20"/>
              <w:rPr>
                <w:noProof/>
                <w:snapToGrid w:val="0"/>
                <w:color w:val="000000"/>
                <w:sz w:val="22"/>
              </w:rPr>
            </w:pPr>
          </w:p>
        </w:tc>
        <w:tc>
          <w:tcPr>
            <w:tcW w:w="1951" w:type="dxa"/>
            <w:tcBorders>
              <w:top w:val="dotted" w:sz="4" w:space="0" w:color="auto"/>
              <w:left w:val="dotted" w:sz="4" w:space="0" w:color="auto"/>
              <w:bottom w:val="dotted" w:sz="4" w:space="0" w:color="auto"/>
              <w:right w:val="nil"/>
            </w:tcBorders>
          </w:tcPr>
          <w:p>
            <w:pPr>
              <w:tabs>
                <w:tab w:val="left" w:pos="720"/>
              </w:tabs>
              <w:spacing w:before="20" w:after="20"/>
              <w:rPr>
                <w:noProof/>
                <w:snapToGrid w:val="0"/>
                <w:color w:val="000000"/>
                <w:sz w:val="22"/>
              </w:rPr>
            </w:pPr>
            <w:r>
              <w:rPr>
                <w:noProof/>
                <w:sz w:val="22"/>
              </w:rPr>
              <w:t>Naujas</w:t>
            </w:r>
          </w:p>
        </w:tc>
      </w:tr>
    </w:tbl>
    <w:p>
      <w:pPr>
        <w:spacing w:after="200"/>
        <w:rPr>
          <w:b/>
          <w:noProof/>
        </w:rPr>
      </w:pPr>
    </w:p>
    <w:p>
      <w:pPr>
        <w:jc w:val="right"/>
        <w:rPr>
          <w:noProof/>
        </w:rPr>
      </w:pPr>
    </w:p>
    <w:p>
      <w:pPr>
        <w:jc w:val="right"/>
        <w:rPr>
          <w:noProof/>
        </w:rPr>
      </w:pPr>
    </w:p>
    <w:p>
      <w:pPr>
        <w:jc w:val="right"/>
        <w:rPr>
          <w:noProof/>
        </w:rPr>
      </w:pPr>
    </w:p>
    <w:p>
      <w:pPr>
        <w:jc w:val="right"/>
        <w:rPr>
          <w:noProof/>
        </w:rPr>
      </w:pPr>
    </w:p>
    <w:p>
      <w:pPr>
        <w:jc w:val="right"/>
        <w:rPr>
          <w:noProof/>
        </w:rPr>
      </w:pPr>
    </w:p>
    <w:p>
      <w:pPr>
        <w:jc w:val="right"/>
        <w:rPr>
          <w:noProof/>
        </w:rPr>
      </w:pPr>
    </w:p>
    <w:p>
      <w:pPr>
        <w:jc w:val="right"/>
        <w:rPr>
          <w:noProof/>
        </w:rPr>
      </w:pPr>
    </w:p>
    <w:p>
      <w:pPr>
        <w:jc w:val="right"/>
        <w:rPr>
          <w:noProof/>
        </w:rPr>
      </w:pPr>
      <w:r>
        <w:rPr>
          <w:noProof/>
        </w:rPr>
        <w:t>I priedas</w:t>
      </w:r>
    </w:p>
    <w:p>
      <w:pPr>
        <w:rPr>
          <w:b/>
          <w:noProof/>
        </w:rPr>
      </w:pPr>
      <w:r>
        <w:rPr>
          <w:b/>
          <w:noProof/>
        </w:rPr>
        <w:t>Dabartiniai MARPOL konvencijos tekstai</w:t>
      </w:r>
    </w:p>
    <w:p>
      <w:pPr>
        <w:rPr>
          <w:b/>
          <w:bCs/>
          <w:noProof/>
          <w:sz w:val="21"/>
          <w:szCs w:val="21"/>
        </w:rPr>
      </w:pPr>
      <w:r>
        <w:rPr>
          <w:b/>
          <w:bCs/>
          <w:noProof/>
          <w:sz w:val="21"/>
          <w:szCs w:val="21"/>
        </w:rPr>
        <w:t>Dabartiniai MARPOL konvencijos I–VI priedų ir 1 protokolo tekstai</w:t>
      </w:r>
    </w:p>
    <w:p>
      <w:pPr>
        <w:rPr>
          <w:noProof/>
          <w:sz w:val="22"/>
        </w:rPr>
      </w:pPr>
      <w:r>
        <w:rPr>
          <w:noProof/>
          <w:sz w:val="22"/>
        </w:rPr>
        <w:t>MARPOL konvencija apima taisykles, kuriomis siekiama užkirsti kelią atsitiktinei ir kasdienės veiklos sukeliamai taršai. Šios taisyklės išsamiai apibūdintos šešiuose techniniuose prieduose.</w:t>
      </w:r>
    </w:p>
    <w:p>
      <w:pPr>
        <w:pStyle w:val="Point0letter"/>
        <w:numPr>
          <w:ilvl w:val="1"/>
          <w:numId w:val="10"/>
        </w:numPr>
        <w:rPr>
          <w:b/>
          <w:noProof/>
          <w:sz w:val="22"/>
        </w:rPr>
      </w:pPr>
      <w:r>
        <w:rPr>
          <w:b/>
          <w:noProof/>
          <w:sz w:val="22"/>
        </w:rPr>
        <w:t>I priedas. Taršos nafta prevencijos taisyklės</w:t>
      </w:r>
    </w:p>
    <w:p>
      <w:pPr>
        <w:rPr>
          <w:noProof/>
          <w:sz w:val="22"/>
        </w:rPr>
      </w:pPr>
      <w:r>
        <w:rPr>
          <w:noProof/>
          <w:sz w:val="22"/>
        </w:rPr>
        <w:t xml:space="preserve">I priedo pakeitimai, įsigalioję 2018 m. kovo 1 d. </w:t>
      </w:r>
      <w:hyperlink r:id="rId17" w:history="1">
        <w:r>
          <w:rPr>
            <w:rStyle w:val="Hyperlink"/>
            <w:rFonts w:ascii="Times New Roman" w:hAnsi="Times New Roman"/>
            <w:noProof/>
            <w:color w:val="auto"/>
            <w:sz w:val="22"/>
          </w:rPr>
          <w:t>Rezoliucija MEPC.276(70)</w:t>
        </w:r>
      </w:hyperlink>
    </w:p>
    <w:p>
      <w:pPr>
        <w:pStyle w:val="Bullet0"/>
        <w:numPr>
          <w:ilvl w:val="0"/>
          <w:numId w:val="13"/>
        </w:numPr>
        <w:rPr>
          <w:noProof/>
          <w:sz w:val="22"/>
        </w:rPr>
      </w:pPr>
      <w:r>
        <w:rPr>
          <w:noProof/>
          <w:sz w:val="22"/>
        </w:rPr>
        <w:t>1978 m. protokolo, susijusio su 1973 m. Tarptautine konvencija dėl teršimo iš laivų prevencijos, priedo pakeitimai (Tarptautinio teršimo nafta prevencijos liudijimo priedo B formos pakeitimai)</w:t>
      </w:r>
    </w:p>
    <w:p>
      <w:pPr>
        <w:rPr>
          <w:noProof/>
          <w:sz w:val="22"/>
        </w:rPr>
      </w:pPr>
      <w:r>
        <w:rPr>
          <w:noProof/>
          <w:sz w:val="22"/>
        </w:rPr>
        <w:t xml:space="preserve">I priedo pakeitimai, įsigalioję 2017 m. sausio 1 d. </w:t>
      </w:r>
      <w:hyperlink r:id="rId18" w:history="1">
        <w:r>
          <w:rPr>
            <w:rStyle w:val="Hyperlink"/>
            <w:rFonts w:ascii="Times New Roman" w:hAnsi="Times New Roman"/>
            <w:noProof/>
            <w:color w:val="auto"/>
            <w:sz w:val="22"/>
          </w:rPr>
          <w:t>Rezoliucija MEPC.266(68)</w:t>
        </w:r>
      </w:hyperlink>
    </w:p>
    <w:p>
      <w:pPr>
        <w:pStyle w:val="Bullet0"/>
        <w:rPr>
          <w:noProof/>
          <w:sz w:val="22"/>
        </w:rPr>
      </w:pPr>
      <w:r>
        <w:rPr>
          <w:noProof/>
          <w:sz w:val="22"/>
        </w:rPr>
        <w:t>1978 m. protokolo, susijusio su 1973 m. Tarptautine konvencija dėl teršimo iš laivų prevencijos, priedo pakeitimai (12 taisyklės pakeitimai – naftos likučių (dumblo) bakai)</w:t>
      </w:r>
    </w:p>
    <w:p>
      <w:pPr>
        <w:rPr>
          <w:noProof/>
          <w:sz w:val="22"/>
        </w:rPr>
      </w:pPr>
      <w:r>
        <w:rPr>
          <w:noProof/>
          <w:sz w:val="22"/>
        </w:rPr>
        <w:t xml:space="preserve">I priedo pakeitimai, įsigalioję 2017 m. sausio 1 d. </w:t>
      </w:r>
      <w:hyperlink r:id="rId19" w:history="1">
        <w:r>
          <w:rPr>
            <w:rStyle w:val="Hyperlink"/>
            <w:rFonts w:ascii="Times New Roman" w:hAnsi="Times New Roman"/>
            <w:noProof/>
            <w:color w:val="auto"/>
            <w:sz w:val="22"/>
          </w:rPr>
          <w:t>Rezoliucija MEPC.265(68)</w:t>
        </w:r>
      </w:hyperlink>
    </w:p>
    <w:p>
      <w:pPr>
        <w:pStyle w:val="Bullet0"/>
        <w:rPr>
          <w:noProof/>
          <w:sz w:val="22"/>
        </w:rPr>
      </w:pPr>
      <w:r>
        <w:rPr>
          <w:noProof/>
          <w:sz w:val="22"/>
        </w:rPr>
        <w:t>1978 m. protokolo, susijusio su 1973 m. Tarptautine konvencija dėl teršimo iš laivų prevencijos, priedo pakeitimai (MARPOL konvencijos I, II, IV ir V priedų pakeitimai, siekiant, kad su aplinka susijusių Laivybos poliariniuose vandenyse kodekso nuostatų taikymas būtų privalomas)</w:t>
      </w:r>
    </w:p>
    <w:p>
      <w:pPr>
        <w:rPr>
          <w:noProof/>
          <w:sz w:val="22"/>
        </w:rPr>
      </w:pPr>
      <w:r>
        <w:rPr>
          <w:noProof/>
          <w:sz w:val="22"/>
        </w:rPr>
        <w:t xml:space="preserve">I priedo pakeitimai, įsigalioję 2016 m. kovo 1 d. </w:t>
      </w:r>
      <w:hyperlink r:id="rId20" w:history="1">
        <w:r>
          <w:rPr>
            <w:rStyle w:val="Hyperlink"/>
            <w:rFonts w:ascii="Times New Roman" w:hAnsi="Times New Roman"/>
            <w:noProof/>
            <w:color w:val="auto"/>
            <w:sz w:val="22"/>
          </w:rPr>
          <w:t>Rezoliucija MEPC.256(67)</w:t>
        </w:r>
      </w:hyperlink>
    </w:p>
    <w:p>
      <w:pPr>
        <w:pStyle w:val="Bullet0"/>
        <w:rPr>
          <w:noProof/>
          <w:sz w:val="22"/>
        </w:rPr>
      </w:pPr>
      <w:r>
        <w:rPr>
          <w:noProof/>
          <w:sz w:val="22"/>
        </w:rPr>
        <w:t>1978 m. protokolo, susijusio su 1973 m. Tarptautine konvencija dėl teršimo iš laivų prevencijos, priedo pakeitimai (43 taisyklės pakeitimas – specialūs naftos naudojimo arba vežimo Antarkties zonoje reikalavimai)</w:t>
      </w:r>
    </w:p>
    <w:p>
      <w:pPr>
        <w:rPr>
          <w:noProof/>
          <w:sz w:val="22"/>
        </w:rPr>
      </w:pPr>
      <w:r>
        <w:rPr>
          <w:noProof/>
          <w:sz w:val="22"/>
        </w:rPr>
        <w:t xml:space="preserve">I priedo pakeitimai, įsigalioję 2016 m. sausio 1 d. </w:t>
      </w:r>
      <w:hyperlink r:id="rId21" w:history="1">
        <w:r>
          <w:rPr>
            <w:rStyle w:val="Hyperlink"/>
            <w:rFonts w:ascii="Times New Roman" w:hAnsi="Times New Roman"/>
            <w:noProof/>
            <w:color w:val="auto"/>
            <w:sz w:val="22"/>
          </w:rPr>
          <w:t>Rezoliucija MEPC.248(66)</w:t>
        </w:r>
      </w:hyperlink>
    </w:p>
    <w:p>
      <w:pPr>
        <w:pStyle w:val="Bullet0"/>
        <w:rPr>
          <w:noProof/>
          <w:sz w:val="22"/>
        </w:rPr>
      </w:pPr>
      <w:r>
        <w:rPr>
          <w:noProof/>
          <w:sz w:val="22"/>
        </w:rPr>
        <w:t xml:space="preserve">1978 m. protokolo, susijusio su 1973 m. Tarptautine konvencija dėl teršimo iš laivų prevencijos, priedo pakeitimai (MARPOL konvencijos 1 priedo pakeitimai – privalomi vežimo reikalavimai, susiję su stabilumo priemone). </w:t>
      </w:r>
      <w:hyperlink r:id="rId22" w:history="1">
        <w:r>
          <w:rPr>
            <w:rStyle w:val="Hyperlink"/>
            <w:rFonts w:ascii="Times New Roman" w:hAnsi="Times New Roman"/>
            <w:noProof/>
            <w:color w:val="auto"/>
            <w:sz w:val="22"/>
          </w:rPr>
          <w:t>MEPC 66/21/Corr.1</w:t>
        </w:r>
      </w:hyperlink>
    </w:p>
    <w:p>
      <w:pPr>
        <w:rPr>
          <w:noProof/>
          <w:sz w:val="22"/>
        </w:rPr>
      </w:pPr>
      <w:r>
        <w:rPr>
          <w:noProof/>
          <w:sz w:val="22"/>
        </w:rPr>
        <w:t xml:space="preserve">I priedo pakeitimai, įsigalioję 2016 m. sausio 1 d. </w:t>
      </w:r>
      <w:hyperlink r:id="rId23" w:history="1">
        <w:r>
          <w:rPr>
            <w:rStyle w:val="Hyperlink"/>
            <w:rFonts w:ascii="Times New Roman" w:hAnsi="Times New Roman"/>
            <w:noProof/>
            <w:color w:val="auto"/>
            <w:sz w:val="22"/>
          </w:rPr>
          <w:t>Rezoliucija MEPC.246(66)</w:t>
        </w:r>
      </w:hyperlink>
    </w:p>
    <w:p>
      <w:pPr>
        <w:pStyle w:val="Bullet0"/>
        <w:rPr>
          <w:noProof/>
          <w:sz w:val="22"/>
        </w:rPr>
      </w:pPr>
      <w:r>
        <w:rPr>
          <w:noProof/>
          <w:sz w:val="22"/>
        </w:rPr>
        <w:t>1978 m. protokolo, susijusio su 1973 m. Tarptautine konvencija dėl teršimo iš laivų prevencijos, priedo pakeitimai (MARPOL konvencijos I, II, III, IV ir V priedų pakeitimai, siekiant, kad III kodekso taikymas būtų privalomas)</w:t>
      </w:r>
    </w:p>
    <w:p>
      <w:pPr>
        <w:rPr>
          <w:noProof/>
          <w:sz w:val="22"/>
        </w:rPr>
      </w:pPr>
      <w:r>
        <w:rPr>
          <w:noProof/>
          <w:sz w:val="22"/>
        </w:rPr>
        <w:t xml:space="preserve">I priedo pakeitimai, įsigalioję 2015 m. sausio 1 d. </w:t>
      </w:r>
      <w:hyperlink r:id="rId24" w:history="1">
        <w:r>
          <w:rPr>
            <w:rStyle w:val="Hyperlink"/>
            <w:rFonts w:ascii="Times New Roman" w:hAnsi="Times New Roman"/>
            <w:noProof/>
            <w:color w:val="auto"/>
            <w:sz w:val="22"/>
          </w:rPr>
          <w:t>Rezoliucija MEPC.238(65)</w:t>
        </w:r>
      </w:hyperlink>
    </w:p>
    <w:p>
      <w:pPr>
        <w:pStyle w:val="Bullet0"/>
        <w:rPr>
          <w:noProof/>
          <w:sz w:val="22"/>
        </w:rPr>
      </w:pPr>
      <w:r>
        <w:rPr>
          <w:noProof/>
          <w:sz w:val="22"/>
        </w:rPr>
        <w:t>1978 m. protokolo, susijusio su 1973 m. Tarptautine konvencija dėl teršimo iš laivų prevencijos, priedo pakeitimai (MARPOL konvencijos I ir II priedų pakeitimai, siekiant, kad Pripažintų organizacijų kodekso taikymas būtų privalomas)</w:t>
      </w:r>
    </w:p>
    <w:p>
      <w:pPr>
        <w:rPr>
          <w:noProof/>
          <w:sz w:val="22"/>
        </w:rPr>
      </w:pPr>
      <w:r>
        <w:rPr>
          <w:noProof/>
          <w:sz w:val="22"/>
        </w:rPr>
        <w:t xml:space="preserve">I priedo pakeitimai, įsigalioję 2014 m. spalio 1 d. </w:t>
      </w:r>
      <w:hyperlink r:id="rId25" w:history="1">
        <w:r>
          <w:rPr>
            <w:rStyle w:val="Hyperlink"/>
            <w:rFonts w:ascii="Times New Roman" w:hAnsi="Times New Roman"/>
            <w:noProof/>
            <w:color w:val="auto"/>
            <w:sz w:val="22"/>
          </w:rPr>
          <w:t>Rezoliucija MEPC.235(65)</w:t>
        </w:r>
      </w:hyperlink>
    </w:p>
    <w:p>
      <w:pPr>
        <w:pStyle w:val="Bullet0"/>
        <w:rPr>
          <w:noProof/>
          <w:sz w:val="22"/>
        </w:rPr>
      </w:pPr>
      <w:r>
        <w:rPr>
          <w:noProof/>
          <w:sz w:val="22"/>
        </w:rPr>
        <w:t>1978 m. protokolo, susijusio su 1973 m. Tarptautine konvencija dėl teršimo iš laivų prevencijos, priedo pakeitimai (Tarptautinio teršimo nafta prevencijos liudijimo priedų A ir B formų pakeitimai pagal MARPOL konvencijos I priedą)</w:t>
      </w:r>
    </w:p>
    <w:p>
      <w:pPr>
        <w:rPr>
          <w:noProof/>
          <w:sz w:val="22"/>
        </w:rPr>
      </w:pPr>
      <w:r>
        <w:rPr>
          <w:noProof/>
          <w:sz w:val="22"/>
        </w:rPr>
        <w:t xml:space="preserve">I priedo pakeitimai, įsigalioję 2013 m. rugpjūčio 1 d. </w:t>
      </w:r>
      <w:hyperlink r:id="rId26" w:history="1">
        <w:r>
          <w:rPr>
            <w:rStyle w:val="Hyperlink"/>
            <w:rFonts w:ascii="Times New Roman" w:hAnsi="Times New Roman"/>
            <w:noProof/>
            <w:color w:val="auto"/>
            <w:sz w:val="22"/>
          </w:rPr>
          <w:t>Rezoliucija MEPC.216(63)</w:t>
        </w:r>
      </w:hyperlink>
    </w:p>
    <w:p>
      <w:pPr>
        <w:pStyle w:val="Bullet0"/>
        <w:rPr>
          <w:noProof/>
          <w:sz w:val="22"/>
        </w:rPr>
      </w:pPr>
      <w:r>
        <w:rPr>
          <w:noProof/>
          <w:sz w:val="22"/>
        </w:rPr>
        <w:t>1978 m. protokolo, susijusio su 1973 m. Tarptautine konvencija dėl teršimo iš laivų prevencijos, priedo pakeitimai (regioniniai susitarimai dėl uosto priėmimo įrenginių pagal MARPOL konvencijos I, II, IV ir V priedus)</w:t>
      </w:r>
    </w:p>
    <w:p>
      <w:pPr>
        <w:rPr>
          <w:noProof/>
          <w:sz w:val="22"/>
        </w:rPr>
      </w:pPr>
      <w:r>
        <w:rPr>
          <w:noProof/>
          <w:sz w:val="22"/>
        </w:rPr>
        <w:t xml:space="preserve">I priedo pakeitimai, įsigalioję 2011 m. rugpjūčio 1 d. </w:t>
      </w:r>
      <w:hyperlink r:id="rId27" w:history="1">
        <w:r>
          <w:rPr>
            <w:rStyle w:val="Hyperlink"/>
            <w:rFonts w:ascii="Times New Roman" w:hAnsi="Times New Roman"/>
            <w:noProof/>
            <w:color w:val="auto"/>
            <w:sz w:val="22"/>
          </w:rPr>
          <w:t>Rezoliucija MEPC.190(60)</w:t>
        </w:r>
      </w:hyperlink>
    </w:p>
    <w:p>
      <w:pPr>
        <w:pStyle w:val="Bullet0"/>
        <w:rPr>
          <w:noProof/>
          <w:sz w:val="22"/>
        </w:rPr>
      </w:pPr>
      <w:r>
        <w:rPr>
          <w:noProof/>
          <w:sz w:val="22"/>
        </w:rPr>
        <w:t>1997 m. protokolo priedo pakeitimai, siekiant iš dalies pakeisti 1973 m. Tarptautinę konvenciją dėl teršimo iš laivų prevencijos (Šiaurės Amerikos išmetamųjų teršalų kontrolės rajonas)</w:t>
      </w:r>
    </w:p>
    <w:p>
      <w:pPr>
        <w:rPr>
          <w:noProof/>
          <w:sz w:val="22"/>
        </w:rPr>
      </w:pPr>
      <w:r>
        <w:rPr>
          <w:noProof/>
          <w:sz w:val="22"/>
        </w:rPr>
        <w:t xml:space="preserve">I priedo pakeitimai, įsigalioję 2011 m. rugpjūčio 1 d. </w:t>
      </w:r>
      <w:hyperlink r:id="rId28" w:history="1">
        <w:r>
          <w:rPr>
            <w:rStyle w:val="Hyperlink"/>
            <w:rFonts w:ascii="Times New Roman" w:hAnsi="Times New Roman"/>
            <w:noProof/>
            <w:color w:val="auto"/>
            <w:sz w:val="22"/>
          </w:rPr>
          <w:t>Rezoliucija MEPC.189(60)</w:t>
        </w:r>
      </w:hyperlink>
    </w:p>
    <w:p>
      <w:pPr>
        <w:pStyle w:val="Bullet0"/>
        <w:rPr>
          <w:noProof/>
          <w:sz w:val="22"/>
        </w:rPr>
      </w:pPr>
      <w:r>
        <w:rPr>
          <w:noProof/>
          <w:sz w:val="22"/>
        </w:rPr>
        <w:t>1978 m. protokolo, susijusio su 1973 m. Tarptautine konvencija dėl teršimo iš laivų prevencijos, priedo pakeitimai (naujo 9 skyriaus įtraukimas į MARPOL konvencijos I priedą)</w:t>
      </w:r>
    </w:p>
    <w:p>
      <w:pPr>
        <w:rPr>
          <w:noProof/>
          <w:sz w:val="22"/>
        </w:rPr>
      </w:pPr>
      <w:r>
        <w:rPr>
          <w:noProof/>
          <w:sz w:val="22"/>
        </w:rPr>
        <w:t xml:space="preserve">I priedo pakeitimai, įsigalioję 2011 m. sausio 1 d. </w:t>
      </w:r>
      <w:hyperlink r:id="rId29" w:history="1">
        <w:r>
          <w:rPr>
            <w:rStyle w:val="Hyperlink"/>
            <w:rFonts w:ascii="Times New Roman" w:hAnsi="Times New Roman"/>
            <w:noProof/>
            <w:color w:val="auto"/>
            <w:sz w:val="22"/>
          </w:rPr>
          <w:t>Rezoliucija MEPC.187(59)</w:t>
        </w:r>
      </w:hyperlink>
    </w:p>
    <w:p>
      <w:pPr>
        <w:pStyle w:val="Bullet0"/>
        <w:rPr>
          <w:noProof/>
          <w:sz w:val="22"/>
        </w:rPr>
      </w:pPr>
      <w:r>
        <w:rPr>
          <w:noProof/>
          <w:sz w:val="22"/>
        </w:rPr>
        <w:t>1978 m. protokolo, susijusio su 1973 m. Tarptautine konvencija dėl teršimo iš laivų prevencijos, priedo pakeitimai (MARPOL konvencijos I priedo 1, 12, 13, 17 ir 38 taisyklių pakeitimai, Tarptautinio teršimo nafta prevencijos liudijimo priedas ir Naftos operacijų registracijos žurnalo I ir II dalys)</w:t>
      </w:r>
    </w:p>
    <w:p>
      <w:pPr>
        <w:rPr>
          <w:noProof/>
          <w:sz w:val="22"/>
        </w:rPr>
      </w:pPr>
      <w:r>
        <w:rPr>
          <w:noProof/>
          <w:sz w:val="22"/>
        </w:rPr>
        <w:t xml:space="preserve">I priedo pakeitimai, įsigalioję 2011 m. sausio 1 d. </w:t>
      </w:r>
      <w:hyperlink r:id="rId30" w:history="1">
        <w:r>
          <w:rPr>
            <w:rStyle w:val="Hyperlink"/>
            <w:rFonts w:ascii="Times New Roman" w:hAnsi="Times New Roman"/>
            <w:noProof/>
            <w:color w:val="auto"/>
            <w:sz w:val="22"/>
          </w:rPr>
          <w:t>Rezoliucija MEPC.186(59)</w:t>
        </w:r>
      </w:hyperlink>
    </w:p>
    <w:p>
      <w:pPr>
        <w:pStyle w:val="Bullet0"/>
        <w:rPr>
          <w:noProof/>
          <w:sz w:val="22"/>
        </w:rPr>
      </w:pPr>
      <w:r>
        <w:rPr>
          <w:noProof/>
          <w:sz w:val="22"/>
        </w:rPr>
        <w:t>1978 m. protokolo, susijusio su 1973 m. Tarptautine konvencija dėl teršimo iš laivų prevencijos, priedo pakeitimai (naujo 8 skyriaus įtraukimas į MARPOL konvencijos I priedą ir susiję Tarptautinio teršimo nafta prevencijos liudijimo priedo B formos pakeitimai)</w:t>
      </w:r>
    </w:p>
    <w:p>
      <w:pPr>
        <w:rPr>
          <w:noProof/>
          <w:sz w:val="22"/>
        </w:rPr>
      </w:pPr>
      <w:r>
        <w:rPr>
          <w:noProof/>
          <w:sz w:val="22"/>
        </w:rPr>
        <w:t xml:space="preserve">I priedo pakeitimai, įsigalioję 2008 m. gruodžio 1 d. </w:t>
      </w:r>
      <w:hyperlink r:id="rId31" w:history="1">
        <w:r>
          <w:rPr>
            <w:rStyle w:val="Hyperlink"/>
            <w:rFonts w:ascii="Times New Roman" w:hAnsi="Times New Roman"/>
            <w:noProof/>
            <w:color w:val="auto"/>
            <w:sz w:val="22"/>
          </w:rPr>
          <w:t>Rezoliucija MEPC.164(56)</w:t>
        </w:r>
      </w:hyperlink>
    </w:p>
    <w:p>
      <w:pPr>
        <w:pStyle w:val="Bullet0"/>
        <w:rPr>
          <w:noProof/>
          <w:sz w:val="22"/>
        </w:rPr>
      </w:pPr>
      <w:r>
        <w:rPr>
          <w:noProof/>
          <w:sz w:val="22"/>
        </w:rPr>
        <w:t>1978 m. protokolo, susijusio su 1973 m. Tarptautine konvencija dėl teršimo iš laivų prevencijos, priedo pakeitimai (priėmimo įrenginiai ne specialiosiose teritorijose ir nuotekų išleidimas)</w:t>
      </w:r>
    </w:p>
    <w:p>
      <w:pPr>
        <w:rPr>
          <w:noProof/>
          <w:sz w:val="22"/>
        </w:rPr>
      </w:pPr>
      <w:r>
        <w:rPr>
          <w:noProof/>
          <w:sz w:val="22"/>
        </w:rPr>
        <w:t xml:space="preserve">I priedo pakeitimai, įsigalioję 2007 m. rugpjūčio 1 d. </w:t>
      </w:r>
      <w:hyperlink r:id="rId32" w:history="1">
        <w:r>
          <w:rPr>
            <w:rStyle w:val="Hyperlink"/>
            <w:rFonts w:ascii="Times New Roman" w:hAnsi="Times New Roman"/>
            <w:noProof/>
            <w:color w:val="auto"/>
            <w:sz w:val="22"/>
          </w:rPr>
          <w:t>Rezoliucija MEPC.141(54)</w:t>
        </w:r>
      </w:hyperlink>
    </w:p>
    <w:p>
      <w:pPr>
        <w:pStyle w:val="Bullet0"/>
        <w:rPr>
          <w:noProof/>
          <w:sz w:val="22"/>
        </w:rPr>
      </w:pPr>
      <w:r>
        <w:rPr>
          <w:noProof/>
          <w:sz w:val="22"/>
        </w:rPr>
        <w:t>1978 m. protokolo, susijusio su 1973 m. Tarptautine konvencija dėl teršimo iš laivų prevencijos, priedo pakeitimai (1 taisyklės pakeitimai, 12A taisyklės papildymas, susiję Tarptautinio teršimo nafta prevencijos liudijimo pakeitimai ir persvarstyto MARPOL konvencijos I priedo 21 taisyklės pakeitimai)</w:t>
      </w:r>
    </w:p>
    <w:p>
      <w:pPr>
        <w:rPr>
          <w:noProof/>
          <w:sz w:val="22"/>
        </w:rPr>
      </w:pPr>
      <w:r>
        <w:rPr>
          <w:noProof/>
          <w:sz w:val="22"/>
        </w:rPr>
        <w:t xml:space="preserve">2007 m. sausio 1 d. MARPOL konvencijos I priedo tekstas. </w:t>
      </w:r>
      <w:hyperlink r:id="rId33" w:history="1">
        <w:r>
          <w:rPr>
            <w:rStyle w:val="Hyperlink"/>
            <w:rFonts w:ascii="Times New Roman" w:hAnsi="Times New Roman"/>
            <w:noProof/>
            <w:color w:val="auto"/>
            <w:sz w:val="22"/>
          </w:rPr>
          <w:t>Rezoliucija MEPC.117(52)</w:t>
        </w:r>
      </w:hyperlink>
    </w:p>
    <w:p>
      <w:pPr>
        <w:pStyle w:val="Bullet0"/>
        <w:rPr>
          <w:noProof/>
          <w:sz w:val="22"/>
        </w:rPr>
      </w:pPr>
      <w:r>
        <w:rPr>
          <w:noProof/>
          <w:sz w:val="22"/>
        </w:rPr>
        <w:t>1978 m. protokolo, susijusio su 1973 m. Tarptautine konvencija dėl teršimo iš laivų prevencijos, priedo pakeitimai (persvarstytas MARPOL konvencijos I priedas)</w:t>
      </w:r>
    </w:p>
    <w:p>
      <w:pPr>
        <w:pStyle w:val="Point0letter"/>
        <w:numPr>
          <w:ilvl w:val="1"/>
          <w:numId w:val="10"/>
        </w:numPr>
        <w:rPr>
          <w:b/>
          <w:noProof/>
          <w:sz w:val="22"/>
        </w:rPr>
      </w:pPr>
      <w:r>
        <w:rPr>
          <w:b/>
          <w:noProof/>
          <w:sz w:val="22"/>
        </w:rPr>
        <w:t>II priedas. Taršos skystomis kenksmingomis medžiagomis, kurios gabenamos nesupakuotos, prevencijos taisyklės</w:t>
      </w:r>
    </w:p>
    <w:p>
      <w:pPr>
        <w:rPr>
          <w:noProof/>
          <w:sz w:val="22"/>
        </w:rPr>
      </w:pPr>
      <w:r>
        <w:rPr>
          <w:noProof/>
          <w:sz w:val="22"/>
        </w:rPr>
        <w:t xml:space="preserve">MARPOL konvencijos II priedo pakeitimai, įsigalioję 2017 m. rugsėjo 1 d. </w:t>
      </w:r>
      <w:hyperlink r:id="rId34" w:tgtFrame="_blank" w:tooltip=" 81 Kb" w:history="1">
        <w:r>
          <w:rPr>
            <w:rStyle w:val="Hyperlink"/>
            <w:rFonts w:ascii="Times New Roman" w:hAnsi="Times New Roman"/>
            <w:noProof/>
            <w:color w:val="auto"/>
            <w:sz w:val="22"/>
          </w:rPr>
          <w:t>Rezoliucija MEPC.270(69)</w:t>
        </w:r>
      </w:hyperlink>
    </w:p>
    <w:p>
      <w:pPr>
        <w:pStyle w:val="Bullet0"/>
        <w:rPr>
          <w:noProof/>
          <w:sz w:val="22"/>
        </w:rPr>
      </w:pPr>
      <w:r>
        <w:rPr>
          <w:noProof/>
          <w:sz w:val="22"/>
        </w:rPr>
        <w:t>1973 m. Tarptautinės konvencijos dėl teršimo iš laivų prevencijos su pakeitimais, padarytais su ja susijusiu 1978 m. protokolu, priedo pakeitimai (MARPOL konvencijos II priedo pakeitimai – peržiūrėtos GESAMP pavojaus vertinimo procedūros pakeitimai)</w:t>
      </w:r>
    </w:p>
    <w:p>
      <w:pPr>
        <w:rPr>
          <w:noProof/>
          <w:sz w:val="22"/>
        </w:rPr>
      </w:pPr>
      <w:r>
        <w:rPr>
          <w:noProof/>
          <w:sz w:val="22"/>
        </w:rPr>
        <w:t xml:space="preserve">II priedo pakeitimai, įsigalioję 2017 m. sausio 1 d. </w:t>
      </w:r>
      <w:hyperlink r:id="rId35" w:tgtFrame="_blank" w:tooltip=" 81 Kb" w:history="1">
        <w:r>
          <w:rPr>
            <w:rStyle w:val="Hyperlink"/>
            <w:rFonts w:ascii="Times New Roman" w:hAnsi="Times New Roman"/>
            <w:noProof/>
            <w:color w:val="auto"/>
            <w:sz w:val="22"/>
          </w:rPr>
          <w:t>Rezoliucija MEPC.265(68)</w:t>
        </w:r>
      </w:hyperlink>
    </w:p>
    <w:p>
      <w:pPr>
        <w:pStyle w:val="Bullet0"/>
        <w:rPr>
          <w:noProof/>
          <w:sz w:val="22"/>
        </w:rPr>
      </w:pPr>
      <w:r>
        <w:rPr>
          <w:noProof/>
          <w:sz w:val="22"/>
        </w:rPr>
        <w:t>1978 m. protokolo, susijusio su 1973 m. Tarptautine konvencija dėl teršimo iš laivų prevencijos, priedo pakeitimai (MARPOL konvencijos I, II, IV ir V priedų pakeitimai, siekiant, kad su aplinka susijusių Laivybos poliariniuose vandenyse kodekso nuostatų taikymas būtų privalomas)</w:t>
      </w:r>
    </w:p>
    <w:p>
      <w:pPr>
        <w:rPr>
          <w:noProof/>
          <w:sz w:val="22"/>
        </w:rPr>
      </w:pPr>
      <w:r>
        <w:rPr>
          <w:noProof/>
          <w:sz w:val="22"/>
        </w:rPr>
        <w:t xml:space="preserve">II priedo pakeitimai, įsigalioję 2016 m. sausio 1 d. </w:t>
      </w:r>
      <w:hyperlink r:id="rId36" w:tgtFrame="_blank" w:tooltip=" 84 Kb" w:history="1">
        <w:r>
          <w:rPr>
            <w:rStyle w:val="Hyperlink"/>
            <w:rFonts w:ascii="Times New Roman" w:hAnsi="Times New Roman"/>
            <w:noProof/>
            <w:color w:val="auto"/>
            <w:sz w:val="22"/>
          </w:rPr>
          <w:t>Rezoliucija MEPC.246(66)</w:t>
        </w:r>
      </w:hyperlink>
    </w:p>
    <w:p>
      <w:pPr>
        <w:pStyle w:val="Bullet0"/>
        <w:rPr>
          <w:noProof/>
          <w:sz w:val="22"/>
        </w:rPr>
      </w:pPr>
      <w:r>
        <w:rPr>
          <w:noProof/>
          <w:sz w:val="22"/>
        </w:rPr>
        <w:t>1978 m. protokolo, susijusio su 1973 m. Tarptautine konvencija dėl teršimo iš laivų prevencijos, priedo pakeitimai (MARPOL konvencijos I, II, III, IV ir V priedų pakeitimai, siekiant, kad III kodekso taikymas būtų privalomas)</w:t>
      </w:r>
    </w:p>
    <w:p>
      <w:pPr>
        <w:rPr>
          <w:noProof/>
          <w:sz w:val="22"/>
        </w:rPr>
      </w:pPr>
      <w:r>
        <w:rPr>
          <w:noProof/>
          <w:sz w:val="22"/>
        </w:rPr>
        <w:t xml:space="preserve">II priedo pakeitimai, įsigalioję 2015 m. sausio 1 d. </w:t>
      </w:r>
      <w:hyperlink r:id="rId37" w:tooltip=" 84 Kb" w:history="1">
        <w:r>
          <w:rPr>
            <w:rStyle w:val="Hyperlink"/>
            <w:rFonts w:ascii="Times New Roman" w:hAnsi="Times New Roman"/>
            <w:noProof/>
            <w:color w:val="auto"/>
            <w:sz w:val="22"/>
          </w:rPr>
          <w:t>Rezoliucija MEPC.238(65)</w:t>
        </w:r>
      </w:hyperlink>
    </w:p>
    <w:p>
      <w:pPr>
        <w:pStyle w:val="Bullet0"/>
        <w:rPr>
          <w:noProof/>
          <w:sz w:val="22"/>
        </w:rPr>
      </w:pPr>
      <w:r>
        <w:rPr>
          <w:noProof/>
          <w:sz w:val="22"/>
        </w:rPr>
        <w:t>1978 m. protokolo, susijusio su 1973 m. Tarptautine konvencija dėl teršimo iš laivų prevencijos, priedo pakeitimai (MARPOL konvencijos I ir II priedų pakeitimai, siekiant, kad Pripažintų organizacijų kodekso taikymas būtų privalomas)</w:t>
      </w:r>
    </w:p>
    <w:p>
      <w:pPr>
        <w:rPr>
          <w:noProof/>
          <w:sz w:val="22"/>
        </w:rPr>
      </w:pPr>
      <w:r>
        <w:rPr>
          <w:noProof/>
          <w:sz w:val="22"/>
        </w:rPr>
        <w:t xml:space="preserve">II priedo pakeitimai, įsigalioję 2013 m. rugpjūčio 1 d. </w:t>
      </w:r>
      <w:hyperlink r:id="rId38" w:tgtFrame="_blank" w:tooltip=" 16 Kb" w:history="1">
        <w:r>
          <w:rPr>
            <w:rStyle w:val="Hyperlink"/>
            <w:rFonts w:ascii="Times New Roman" w:hAnsi="Times New Roman"/>
            <w:noProof/>
            <w:color w:val="auto"/>
            <w:sz w:val="22"/>
          </w:rPr>
          <w:t>Rezoliucija MEPC.216(63)</w:t>
        </w:r>
      </w:hyperlink>
    </w:p>
    <w:p>
      <w:pPr>
        <w:pStyle w:val="Bullet0"/>
        <w:rPr>
          <w:noProof/>
          <w:sz w:val="22"/>
        </w:rPr>
      </w:pPr>
      <w:r>
        <w:rPr>
          <w:noProof/>
          <w:sz w:val="22"/>
        </w:rPr>
        <w:t>1978 m. protokolo, susijusio su 1973 m. Tarptautine konvencija dėl teršimo iš laivų prevencijos, priedo pakeitimai (regioniniai susitarimai dėl uosto priėmimo įrenginių pagal MARPOL konvencijos I, II, IV ir V priedus)</w:t>
      </w:r>
    </w:p>
    <w:p>
      <w:pPr>
        <w:rPr>
          <w:noProof/>
          <w:sz w:val="22"/>
        </w:rPr>
      </w:pPr>
      <w:r>
        <w:rPr>
          <w:noProof/>
          <w:sz w:val="22"/>
        </w:rPr>
        <w:t xml:space="preserve">2007 m. sausio 1 d. MARPOL konvencijos II priedo tekstas. </w:t>
      </w:r>
      <w:hyperlink r:id="rId39" w:tgtFrame="_blank" w:tooltip=" 493 Kb" w:history="1">
        <w:r>
          <w:rPr>
            <w:rStyle w:val="Hyperlink"/>
            <w:rFonts w:ascii="Times New Roman" w:hAnsi="Times New Roman"/>
            <w:noProof/>
            <w:color w:val="auto"/>
            <w:sz w:val="22"/>
          </w:rPr>
          <w:t>Rezoliucija MEPC.118(52)</w:t>
        </w:r>
      </w:hyperlink>
      <w:r>
        <w:rPr>
          <w:noProof/>
          <w:sz w:val="22"/>
        </w:rPr>
        <w:t xml:space="preserve"> (su pakeitimais)</w:t>
      </w:r>
    </w:p>
    <w:p>
      <w:pPr>
        <w:pStyle w:val="Bullet0"/>
        <w:rPr>
          <w:noProof/>
          <w:sz w:val="22"/>
        </w:rPr>
      </w:pPr>
      <w:r>
        <w:rPr>
          <w:noProof/>
          <w:sz w:val="22"/>
        </w:rPr>
        <w:t>1978 m. protokolo, susijusio su 1973 m. Tarptautine konvencija dėl teršimo iš laivų prevencijos, priedo pakeitimai (persvarstytas MARPOL konvencijos II priedas)</w:t>
      </w:r>
    </w:p>
    <w:p>
      <w:pPr>
        <w:rPr>
          <w:noProof/>
          <w:sz w:val="22"/>
        </w:rPr>
      </w:pPr>
      <w:r>
        <w:rPr>
          <w:noProof/>
          <w:sz w:val="22"/>
        </w:rPr>
        <w:t xml:space="preserve">Tarptautinis nesupakuotų cheminių medžiagų kodeksas, įsigaliojęs pagal II priedo 11 taisyklę – tanklaiviai, pagaminti 1986 m. liepos 1 d. arba vėliau. </w:t>
      </w:r>
      <w:hyperlink r:id="rId40" w:tgtFrame="_blank" w:tooltip=" 990 Kb" w:history="1">
        <w:r>
          <w:rPr>
            <w:rStyle w:val="Hyperlink"/>
            <w:rFonts w:ascii="Times New Roman" w:hAnsi="Times New Roman"/>
            <w:noProof/>
            <w:color w:val="auto"/>
            <w:sz w:val="22"/>
          </w:rPr>
          <w:t>Rezoliucija MEPC.119(52)</w:t>
        </w:r>
      </w:hyperlink>
    </w:p>
    <w:p>
      <w:pPr>
        <w:pStyle w:val="Bullet0"/>
        <w:rPr>
          <w:noProof/>
          <w:sz w:val="22"/>
        </w:rPr>
      </w:pPr>
      <w:r>
        <w:rPr>
          <w:noProof/>
          <w:sz w:val="22"/>
        </w:rPr>
        <w:t>Tarptautinio laivų, skirtų gabenti nesupakuotas pavojingas chemines medžiagas, statybos ir įrangos kodekso (IBC kodeksas) pakeitimai</w:t>
      </w:r>
    </w:p>
    <w:p>
      <w:pPr>
        <w:pStyle w:val="Bullet1"/>
        <w:rPr>
          <w:noProof/>
          <w:sz w:val="22"/>
        </w:rPr>
      </w:pPr>
      <w:hyperlink r:id="rId41" w:tgtFrame="_blank" w:history="1">
        <w:r>
          <w:rPr>
            <w:rStyle w:val="Hyperlink"/>
            <w:rFonts w:ascii="Times New Roman" w:hAnsi="Times New Roman"/>
            <w:noProof/>
            <w:color w:val="auto"/>
            <w:sz w:val="22"/>
          </w:rPr>
          <w:t>Rezoliucija MEPC.225(64).</w:t>
        </w:r>
      </w:hyperlink>
      <w:r>
        <w:rPr>
          <w:noProof/>
          <w:sz w:val="22"/>
        </w:rPr>
        <w:t xml:space="preserve"> 17, 18 ir 19 skyrių pakeitimai, įsigalioję 2014 m. birželio 1 d.</w:t>
      </w:r>
    </w:p>
    <w:p>
      <w:pPr>
        <w:pStyle w:val="Bullet1"/>
        <w:rPr>
          <w:noProof/>
          <w:sz w:val="22"/>
        </w:rPr>
      </w:pPr>
      <w:hyperlink r:id="rId42" w:tgtFrame="_blank" w:tooltip=" 150 Kb" w:history="1">
        <w:r>
          <w:rPr>
            <w:rStyle w:val="Hyperlink"/>
            <w:rFonts w:ascii="Times New Roman" w:hAnsi="Times New Roman"/>
            <w:noProof/>
            <w:color w:val="auto"/>
            <w:sz w:val="22"/>
          </w:rPr>
          <w:t>BLG.1/Circ.19.</w:t>
        </w:r>
      </w:hyperlink>
      <w:r>
        <w:rPr>
          <w:noProof/>
          <w:sz w:val="22"/>
        </w:rPr>
        <w:t xml:space="preserve"> Produktai, kurie buvo suklasifikuoti arba iš naujo suklasifikuoti po to, kai 2004 m. buvo patvirtintas iš dalies pakeistas IBC kodeksas</w:t>
      </w:r>
    </w:p>
    <w:p>
      <w:pPr>
        <w:pStyle w:val="Bullet1"/>
        <w:rPr>
          <w:noProof/>
          <w:sz w:val="22"/>
        </w:rPr>
      </w:pPr>
      <w:hyperlink r:id="rId43" w:tgtFrame="_blank" w:tooltip=" 97 Kb" w:history="1">
        <w:r>
          <w:rPr>
            <w:rStyle w:val="Hyperlink"/>
            <w:rFonts w:ascii="Times New Roman" w:hAnsi="Times New Roman"/>
            <w:noProof/>
            <w:color w:val="auto"/>
            <w:sz w:val="22"/>
          </w:rPr>
          <w:t>BLG.1 Circ.19/Corr.1.</w:t>
        </w:r>
      </w:hyperlink>
      <w:r>
        <w:rPr>
          <w:noProof/>
          <w:sz w:val="22"/>
        </w:rPr>
        <w:t xml:space="preserve"> Produktai, kurie buvo suklasifikuoti arba iš naujo suklasifikuoti po to, kai 2004 m. buvo patvirtintas iš dalies pakeistas IBC kodeksas</w:t>
      </w:r>
    </w:p>
    <w:p>
      <w:pPr>
        <w:rPr>
          <w:noProof/>
          <w:sz w:val="22"/>
        </w:rPr>
      </w:pPr>
      <w:r>
        <w:rPr>
          <w:noProof/>
          <w:sz w:val="22"/>
        </w:rPr>
        <w:t xml:space="preserve">Nesupakuotų cheminių medžiagų kodeksas, įsigaliojęs pagal II priedo 11 taisyklę – tanklaiviai, pagaminti iki 1986 m. liepos 1 d. </w:t>
      </w:r>
      <w:hyperlink r:id="rId44" w:tgtFrame="_blank" w:tooltip=" 190 Kb" w:history="1">
        <w:r>
          <w:rPr>
            <w:rStyle w:val="Hyperlink"/>
            <w:rFonts w:ascii="Times New Roman" w:hAnsi="Times New Roman"/>
            <w:noProof/>
            <w:color w:val="auto"/>
            <w:sz w:val="22"/>
          </w:rPr>
          <w:t>Rezoliucija MEPC.144(54)</w:t>
        </w:r>
      </w:hyperlink>
    </w:p>
    <w:p>
      <w:pPr>
        <w:pStyle w:val="Bullet0"/>
        <w:rPr>
          <w:noProof/>
          <w:sz w:val="22"/>
        </w:rPr>
      </w:pPr>
      <w:r>
        <w:rPr>
          <w:noProof/>
          <w:sz w:val="22"/>
        </w:rPr>
        <w:t>Laivų, skirtų gabenti nesupakuotas pavojingas chemines medžiagas, statybos ir įrangos kodekso (BCH kodeksas) pakeitimai</w:t>
      </w:r>
    </w:p>
    <w:p>
      <w:pPr>
        <w:pStyle w:val="Point0letter"/>
        <w:numPr>
          <w:ilvl w:val="1"/>
          <w:numId w:val="10"/>
        </w:numPr>
        <w:rPr>
          <w:b/>
          <w:noProof/>
          <w:sz w:val="22"/>
        </w:rPr>
      </w:pPr>
      <w:r>
        <w:rPr>
          <w:b/>
          <w:noProof/>
          <w:sz w:val="22"/>
        </w:rPr>
        <w:t>III priedas. Taršos pavojingomis medžiagomis, kurios gabenamos jūra supakuotos, prevencijos taisyklės</w:t>
      </w:r>
    </w:p>
    <w:p>
      <w:pPr>
        <w:rPr>
          <w:noProof/>
          <w:sz w:val="22"/>
        </w:rPr>
      </w:pPr>
      <w:r>
        <w:rPr>
          <w:noProof/>
          <w:sz w:val="22"/>
        </w:rPr>
        <w:t xml:space="preserve">MARPOL konvencijos III priedo pakeitimas (priedėlio dėl supakuotų kenksmingų medžiagų nustatymo kriterijų pakeitimas), įsigaliojęs 2016 m. kovo 1 d. </w:t>
      </w:r>
      <w:hyperlink r:id="rId45" w:tgtFrame="_blank" w:tooltip=" 16 Kb – 1978 m. protokolo, susijusio su 1973 m. Tarptautine konvencija dėl teršimo iš laivų prevencijos, priedo pakeitimas" w:history="1">
        <w:r>
          <w:rPr>
            <w:rStyle w:val="Hyperlink"/>
            <w:rFonts w:ascii="Times New Roman" w:hAnsi="Times New Roman"/>
            <w:noProof/>
            <w:color w:val="auto"/>
            <w:sz w:val="22"/>
          </w:rPr>
          <w:t>Rezoliucija MEPC.257(67)</w:t>
        </w:r>
      </w:hyperlink>
    </w:p>
    <w:p>
      <w:pPr>
        <w:pStyle w:val="Bullet0"/>
        <w:rPr>
          <w:noProof/>
          <w:sz w:val="22"/>
        </w:rPr>
      </w:pPr>
      <w:r>
        <w:rPr>
          <w:noProof/>
          <w:sz w:val="22"/>
        </w:rPr>
        <w:t>1978 m. protokolo, susijusio su</w:t>
      </w:r>
      <w:r>
        <w:rPr>
          <w:rStyle w:val="apple-converted-space"/>
          <w:noProof/>
          <w:sz w:val="22"/>
        </w:rPr>
        <w:t> </w:t>
      </w:r>
      <w:r>
        <w:rPr>
          <w:rStyle w:val="Emphasis"/>
          <w:noProof/>
          <w:sz w:val="22"/>
        </w:rPr>
        <w:t>1973 m. Tarptautine konvencija dėl teršimo iš laivų prevencijos</w:t>
      </w:r>
      <w:r>
        <w:rPr>
          <w:noProof/>
          <w:sz w:val="22"/>
        </w:rPr>
        <w:t>, priedo pakeitimas</w:t>
      </w:r>
    </w:p>
    <w:p>
      <w:pPr>
        <w:rPr>
          <w:noProof/>
          <w:sz w:val="22"/>
        </w:rPr>
      </w:pPr>
      <w:r>
        <w:rPr>
          <w:noProof/>
          <w:sz w:val="22"/>
        </w:rPr>
        <w:t xml:space="preserve">III priedo pakeitimai, įsigalioję 2016 m. sausio 1 d. </w:t>
      </w:r>
      <w:hyperlink r:id="rId46" w:tgtFrame="_blank" w:tooltip=" 150 Kb" w:history="1">
        <w:r>
          <w:rPr>
            <w:rStyle w:val="Hyperlink"/>
            <w:rFonts w:ascii="Times New Roman" w:hAnsi="Times New Roman"/>
            <w:noProof/>
            <w:color w:val="auto"/>
            <w:sz w:val="22"/>
          </w:rPr>
          <w:t>Rezoliucija MEPC.246(66)</w:t>
        </w:r>
      </w:hyperlink>
    </w:p>
    <w:p>
      <w:pPr>
        <w:rPr>
          <w:noProof/>
          <w:sz w:val="22"/>
        </w:rPr>
      </w:pPr>
      <w:r>
        <w:rPr>
          <w:noProof/>
          <w:sz w:val="22"/>
        </w:rPr>
        <w:t xml:space="preserve">2014 m. sausio 1 d. MARPOL konvencijos III priedo tekstas. </w:t>
      </w:r>
      <w:hyperlink r:id="rId47" w:tgtFrame="_blank" w:tooltip=" 64 Kb" w:history="1">
        <w:r>
          <w:rPr>
            <w:rStyle w:val="Hyperlink"/>
            <w:rFonts w:ascii="Times New Roman" w:hAnsi="Times New Roman"/>
            <w:noProof/>
            <w:color w:val="auto"/>
            <w:sz w:val="22"/>
          </w:rPr>
          <w:t>Rezoliucija MEPC.193(61)</w:t>
        </w:r>
      </w:hyperlink>
    </w:p>
    <w:p>
      <w:pPr>
        <w:rPr>
          <w:noProof/>
          <w:sz w:val="22"/>
        </w:rPr>
      </w:pPr>
      <w:r>
        <w:rPr>
          <w:noProof/>
          <w:sz w:val="22"/>
        </w:rPr>
        <w:t xml:space="preserve">2010 m. sausio 1 d. MARPOL konvencijos III priedo tekstas. </w:t>
      </w:r>
      <w:hyperlink r:id="rId48" w:tgtFrame="_blank" w:tooltip=" 176 Kb" w:history="1">
        <w:r>
          <w:rPr>
            <w:rStyle w:val="Hyperlink"/>
            <w:rFonts w:ascii="Times New Roman" w:hAnsi="Times New Roman"/>
            <w:noProof/>
            <w:color w:val="auto"/>
            <w:sz w:val="22"/>
          </w:rPr>
          <w:t>Rezoliucija MEPC.156(55)</w:t>
        </w:r>
      </w:hyperlink>
    </w:p>
    <w:p>
      <w:pPr>
        <w:pStyle w:val="Bullet0"/>
        <w:rPr>
          <w:noProof/>
          <w:sz w:val="22"/>
        </w:rPr>
      </w:pPr>
      <w:r>
        <w:rPr>
          <w:noProof/>
          <w:sz w:val="22"/>
        </w:rPr>
        <w:t>1978 m. protokolo, susijusio su</w:t>
      </w:r>
      <w:r>
        <w:rPr>
          <w:rStyle w:val="apple-converted-space"/>
          <w:noProof/>
          <w:sz w:val="22"/>
        </w:rPr>
        <w:t> </w:t>
      </w:r>
      <w:r>
        <w:rPr>
          <w:rStyle w:val="Emphasis"/>
          <w:noProof/>
          <w:sz w:val="22"/>
        </w:rPr>
        <w:t>1973 m. Tarptautine konvencija dėl teršimo iš laivų prevencijos</w:t>
      </w:r>
      <w:r>
        <w:rPr>
          <w:noProof/>
          <w:sz w:val="22"/>
        </w:rPr>
        <w:t>, priedo pakeitimai</w:t>
      </w:r>
      <w:r>
        <w:rPr>
          <w:rStyle w:val="apple-converted-space"/>
          <w:noProof/>
          <w:sz w:val="22"/>
        </w:rPr>
        <w:t> </w:t>
      </w:r>
      <w:r>
        <w:rPr>
          <w:noProof/>
          <w:sz w:val="22"/>
        </w:rPr>
        <w:t>(MARPOL konvencijos I, II, III, IV ir V priedų pakeitimai, siekiant, kad III kodekso taikymas būtų privalomas)</w:t>
      </w:r>
    </w:p>
    <w:p>
      <w:pPr>
        <w:pStyle w:val="Point0letter"/>
        <w:numPr>
          <w:ilvl w:val="1"/>
          <w:numId w:val="10"/>
        </w:numPr>
        <w:rPr>
          <w:b/>
          <w:noProof/>
          <w:sz w:val="22"/>
        </w:rPr>
      </w:pPr>
      <w:r>
        <w:rPr>
          <w:b/>
          <w:noProof/>
          <w:sz w:val="22"/>
        </w:rPr>
        <w:t>IV priedas. Taršos nuotekomis iš laivų prevencijos taisyklės</w:t>
      </w:r>
    </w:p>
    <w:p>
      <w:pPr>
        <w:rPr>
          <w:noProof/>
          <w:sz w:val="22"/>
        </w:rPr>
      </w:pPr>
      <w:r>
        <w:rPr>
          <w:noProof/>
          <w:sz w:val="22"/>
        </w:rPr>
        <w:t xml:space="preserve">IV priedo pakeitimai, įsigalioję 2017 m. rugsėjo 1 d. </w:t>
      </w:r>
      <w:hyperlink r:id="rId49" w:tgtFrame="_blank" w:tooltip=" 81 Kb" w:history="1">
        <w:r>
          <w:rPr>
            <w:rStyle w:val="Hyperlink"/>
            <w:rFonts w:ascii="Times New Roman" w:hAnsi="Times New Roman"/>
            <w:noProof/>
            <w:color w:val="auto"/>
            <w:sz w:val="22"/>
          </w:rPr>
          <w:t>Rezoliucija MEPC.274(69)</w:t>
        </w:r>
      </w:hyperlink>
    </w:p>
    <w:p>
      <w:pPr>
        <w:pStyle w:val="Bullet0"/>
        <w:rPr>
          <w:noProof/>
          <w:sz w:val="22"/>
        </w:rPr>
      </w:pPr>
      <w:r>
        <w:rPr>
          <w:rStyle w:val="Emphasis"/>
          <w:noProof/>
          <w:sz w:val="22"/>
        </w:rPr>
        <w:t>1973 m. Tarptautinės konvencijos dėl teršimo iš laivų prevencijos</w:t>
      </w:r>
      <w:r>
        <w:rPr>
          <w:noProof/>
          <w:sz w:val="22"/>
        </w:rPr>
        <w:t xml:space="preserve"> su pakeitimais, padarytais su ja susijusiu 1978 m. protokolu, priedo pakeitimai (MARPOL konvencijos IV priedo pakeitimai – specialioji Baltijos jūros teritorija ir Tarptautinio teršimo nafta prevencijos liudijimo forma)</w:t>
      </w:r>
    </w:p>
    <w:p>
      <w:pPr>
        <w:rPr>
          <w:noProof/>
          <w:sz w:val="22"/>
        </w:rPr>
      </w:pPr>
      <w:r>
        <w:rPr>
          <w:noProof/>
          <w:sz w:val="22"/>
        </w:rPr>
        <w:t xml:space="preserve">IV priedo pakeitimai, įsigalioję 2017 m. sausio 1 d. </w:t>
      </w:r>
      <w:hyperlink r:id="rId50" w:tgtFrame="_blank" w:tooltip=" 81 Kb" w:history="1">
        <w:r>
          <w:rPr>
            <w:rStyle w:val="Hyperlink"/>
            <w:rFonts w:ascii="Times New Roman" w:hAnsi="Times New Roman"/>
            <w:noProof/>
            <w:color w:val="auto"/>
            <w:sz w:val="22"/>
          </w:rPr>
          <w:t>Rezoliucija MEPC.265(68)</w:t>
        </w:r>
      </w:hyperlink>
    </w:p>
    <w:p>
      <w:pPr>
        <w:pStyle w:val="Bullet0"/>
        <w:rPr>
          <w:noProof/>
          <w:sz w:val="22"/>
        </w:rPr>
      </w:pPr>
      <w:r>
        <w:rPr>
          <w:noProof/>
          <w:sz w:val="22"/>
        </w:rPr>
        <w:t>1978 m. protokolo, susijusio su</w:t>
      </w:r>
      <w:r>
        <w:rPr>
          <w:rStyle w:val="apple-converted-space"/>
          <w:noProof/>
          <w:sz w:val="22"/>
        </w:rPr>
        <w:t> </w:t>
      </w:r>
      <w:r>
        <w:rPr>
          <w:rStyle w:val="Emphasis"/>
          <w:noProof/>
          <w:sz w:val="22"/>
        </w:rPr>
        <w:t>1973 m. Tarptautine konvencija dėl teršimo iš laivų prevencijos</w:t>
      </w:r>
      <w:r>
        <w:rPr>
          <w:noProof/>
          <w:sz w:val="22"/>
        </w:rPr>
        <w:t>, priedo pakeitimai</w:t>
      </w:r>
      <w:r>
        <w:rPr>
          <w:rStyle w:val="apple-converted-space"/>
          <w:i/>
          <w:iCs/>
          <w:noProof/>
          <w:sz w:val="22"/>
        </w:rPr>
        <w:t> </w:t>
      </w:r>
      <w:r>
        <w:rPr>
          <w:noProof/>
          <w:sz w:val="22"/>
        </w:rPr>
        <w:t>(MARPOL konvencijos I, II, IV ir V priedų pakeitimai, siekiant, kad su aplinka susijusių Laivybos poliariniuose vandenyse kodekso nuostatų taikymas būtų privalomas)</w:t>
      </w:r>
    </w:p>
    <w:p>
      <w:pPr>
        <w:rPr>
          <w:noProof/>
          <w:sz w:val="22"/>
        </w:rPr>
      </w:pPr>
      <w:r>
        <w:rPr>
          <w:noProof/>
          <w:sz w:val="22"/>
        </w:rPr>
        <w:t xml:space="preserve">IV priedo pakeitimai, įsigalioję 2016 m. sausio 1 d. </w:t>
      </w:r>
      <w:hyperlink r:id="rId51" w:history="1">
        <w:r>
          <w:rPr>
            <w:rStyle w:val="Hyperlink"/>
            <w:rFonts w:ascii="Times New Roman" w:hAnsi="Times New Roman"/>
            <w:noProof/>
            <w:color w:val="auto"/>
            <w:sz w:val="22"/>
          </w:rPr>
          <w:t>Rezoliucija MEPC.246(66)</w:t>
        </w:r>
      </w:hyperlink>
    </w:p>
    <w:p>
      <w:pPr>
        <w:pStyle w:val="Bullet0"/>
        <w:rPr>
          <w:noProof/>
          <w:sz w:val="22"/>
        </w:rPr>
      </w:pPr>
      <w:r>
        <w:rPr>
          <w:noProof/>
          <w:sz w:val="22"/>
        </w:rPr>
        <w:t>1978 m. protokolo, susijusio su</w:t>
      </w:r>
      <w:r>
        <w:rPr>
          <w:rStyle w:val="apple-converted-space"/>
          <w:noProof/>
          <w:sz w:val="22"/>
        </w:rPr>
        <w:t> </w:t>
      </w:r>
      <w:r>
        <w:rPr>
          <w:rStyle w:val="Emphasis"/>
          <w:noProof/>
          <w:sz w:val="22"/>
        </w:rPr>
        <w:t>1973 m. Tarptautine konvencija dėl teršimo iš laivų prevencijos</w:t>
      </w:r>
      <w:r>
        <w:rPr>
          <w:noProof/>
          <w:sz w:val="22"/>
        </w:rPr>
        <w:t>, priedo pakeitimai</w:t>
      </w:r>
      <w:r>
        <w:rPr>
          <w:rStyle w:val="apple-converted-space"/>
          <w:i/>
          <w:iCs/>
          <w:noProof/>
          <w:sz w:val="22"/>
        </w:rPr>
        <w:t> </w:t>
      </w:r>
      <w:r>
        <w:rPr>
          <w:noProof/>
          <w:sz w:val="22"/>
        </w:rPr>
        <w:t>(MARPOL konvencijos I, II, III, IV ir V priedų pakeitimai, siekiant, kad III kodekso taikymas būtų privalomas)</w:t>
      </w:r>
    </w:p>
    <w:p>
      <w:pPr>
        <w:rPr>
          <w:noProof/>
          <w:sz w:val="22"/>
        </w:rPr>
      </w:pPr>
      <w:r>
        <w:rPr>
          <w:noProof/>
          <w:sz w:val="22"/>
        </w:rPr>
        <w:t xml:space="preserve">IV priedo pakeitimai, įsigalioję 2013 m. rugpjūčio 1 d. </w:t>
      </w:r>
      <w:hyperlink r:id="rId52" w:tgtFrame="_blank" w:tooltip=" 16 Kb" w:history="1">
        <w:r>
          <w:rPr>
            <w:rStyle w:val="Hyperlink"/>
            <w:rFonts w:ascii="Times New Roman" w:hAnsi="Times New Roman"/>
            <w:noProof/>
            <w:color w:val="auto"/>
            <w:sz w:val="22"/>
          </w:rPr>
          <w:t>Rezoliucija MEPC.216(63)</w:t>
        </w:r>
      </w:hyperlink>
    </w:p>
    <w:p>
      <w:pPr>
        <w:pStyle w:val="Bullet0"/>
        <w:rPr>
          <w:noProof/>
          <w:sz w:val="22"/>
        </w:rPr>
      </w:pPr>
      <w:r>
        <w:rPr>
          <w:noProof/>
          <w:sz w:val="22"/>
        </w:rPr>
        <w:t>1978 m. protokolo, susijusio su</w:t>
      </w:r>
      <w:r>
        <w:rPr>
          <w:rStyle w:val="apple-converted-space"/>
          <w:noProof/>
          <w:sz w:val="22"/>
        </w:rPr>
        <w:t> </w:t>
      </w:r>
      <w:r>
        <w:rPr>
          <w:rStyle w:val="Emphasis"/>
          <w:noProof/>
          <w:sz w:val="22"/>
        </w:rPr>
        <w:t>1973 m. Tarptautine konvencija dėl teršimo iš laivų prevencijos</w:t>
      </w:r>
      <w:r>
        <w:rPr>
          <w:noProof/>
          <w:sz w:val="22"/>
        </w:rPr>
        <w:t>, priedo pakeitimai</w:t>
      </w:r>
      <w:r>
        <w:rPr>
          <w:rStyle w:val="apple-converted-space"/>
          <w:i/>
          <w:iCs/>
          <w:noProof/>
          <w:sz w:val="22"/>
        </w:rPr>
        <w:t> </w:t>
      </w:r>
      <w:r>
        <w:rPr>
          <w:noProof/>
          <w:sz w:val="22"/>
        </w:rPr>
        <w:t>(regioniniai susitarimai dėl uosto priėmimo įrenginių pagal MARPOL konvencijos I, II, IV ir V priedus)</w:t>
      </w:r>
    </w:p>
    <w:p>
      <w:pPr>
        <w:rPr>
          <w:noProof/>
          <w:sz w:val="22"/>
        </w:rPr>
      </w:pPr>
      <w:r>
        <w:rPr>
          <w:noProof/>
          <w:sz w:val="22"/>
        </w:rPr>
        <w:t xml:space="preserve">IV priedo pakeitimai, įsigalioję 2013 m. sausio 1 d. </w:t>
      </w:r>
      <w:hyperlink r:id="rId53" w:tgtFrame="_blank" w:tooltip=" 518 Kb" w:history="1">
        <w:r>
          <w:rPr>
            <w:rStyle w:val="Hyperlink"/>
            <w:rFonts w:ascii="Times New Roman" w:hAnsi="Times New Roman"/>
            <w:noProof/>
            <w:color w:val="auto"/>
            <w:sz w:val="22"/>
          </w:rPr>
          <w:t>Rezoliucija MEPC.200(62)</w:t>
        </w:r>
      </w:hyperlink>
    </w:p>
    <w:p>
      <w:pPr>
        <w:pStyle w:val="Bullet0"/>
        <w:rPr>
          <w:noProof/>
          <w:sz w:val="22"/>
        </w:rPr>
      </w:pPr>
      <w:r>
        <w:rPr>
          <w:noProof/>
          <w:sz w:val="22"/>
        </w:rPr>
        <w:t>1978 m. protokolo, susijusio su 1973 m. Tarptautine konvencija dėl teršimo iš laivų prevencijos, priedo pakeitimai</w:t>
      </w:r>
      <w:r>
        <w:rPr>
          <w:rStyle w:val="apple-converted-space"/>
          <w:i/>
          <w:iCs/>
          <w:noProof/>
          <w:sz w:val="22"/>
        </w:rPr>
        <w:t> </w:t>
      </w:r>
      <w:r>
        <w:rPr>
          <w:noProof/>
          <w:sz w:val="22"/>
        </w:rPr>
        <w:t xml:space="preserve"> (nuostatos dėl specialiosios zonos ir Baltijos jūros priskyrimas specialiosioms teritorijoms pagal MARPOL konvencijos IV priedą)</w:t>
      </w:r>
    </w:p>
    <w:p>
      <w:pPr>
        <w:pStyle w:val="Bullet0"/>
        <w:rPr>
          <w:noProof/>
          <w:sz w:val="22"/>
        </w:rPr>
      </w:pPr>
      <w:r>
        <w:rPr>
          <w:rStyle w:val="Hyperlink"/>
          <w:rFonts w:ascii="Times New Roman" w:hAnsi="Times New Roman"/>
          <w:noProof/>
          <w:color w:val="auto"/>
        </w:rPr>
        <w:t xml:space="preserve">MEPC </w:t>
      </w:r>
      <w:hyperlink r:id="rId54" w:tgtFrame="_blank" w:tooltip=" 26 Kb" w:history="1">
        <w:r>
          <w:rPr>
            <w:rStyle w:val="Hyperlink"/>
            <w:noProof/>
            <w:color w:val="auto"/>
            <w:sz w:val="22"/>
          </w:rPr>
          <w:t>62</w:t>
        </w:r>
        <w:r>
          <w:rPr>
            <w:rStyle w:val="Hyperlink"/>
            <w:rFonts w:ascii="Times New Roman" w:hAnsi="Times New Roman"/>
            <w:noProof/>
            <w:color w:val="auto"/>
            <w:sz w:val="22"/>
          </w:rPr>
          <w:t>/24/Corr.1</w:t>
        </w:r>
      </w:hyperlink>
      <w:r>
        <w:rPr>
          <w:noProof/>
          <w:sz w:val="22"/>
        </w:rPr>
        <w:t xml:space="preserve"> apima keletą Rezoliucijos MEPC.200(62) pataisų</w:t>
      </w:r>
    </w:p>
    <w:p>
      <w:pPr>
        <w:rPr>
          <w:noProof/>
          <w:sz w:val="22"/>
        </w:rPr>
      </w:pPr>
      <w:r>
        <w:rPr>
          <w:noProof/>
          <w:sz w:val="22"/>
        </w:rPr>
        <w:t xml:space="preserve">IV priedo pakeitimai, įsigalioję 2008 m. gruodžio 1 d. </w:t>
      </w:r>
      <w:hyperlink r:id="rId55" w:tgtFrame="_blank" w:tooltip=" 116 Kb" w:history="1">
        <w:r>
          <w:rPr>
            <w:rStyle w:val="Hyperlink"/>
            <w:rFonts w:ascii="Times New Roman" w:hAnsi="Times New Roman"/>
            <w:noProof/>
            <w:color w:val="auto"/>
            <w:sz w:val="22"/>
          </w:rPr>
          <w:t>Rezoliucija MEPC.164(56)</w:t>
        </w:r>
      </w:hyperlink>
    </w:p>
    <w:p>
      <w:pPr>
        <w:pStyle w:val="Bullet0"/>
        <w:rPr>
          <w:noProof/>
          <w:sz w:val="22"/>
        </w:rPr>
      </w:pPr>
      <w:r>
        <w:rPr>
          <w:noProof/>
          <w:sz w:val="22"/>
        </w:rPr>
        <w:t>1978 m. protokolo, susijusio su</w:t>
      </w:r>
      <w:r>
        <w:rPr>
          <w:rStyle w:val="apple-converted-space"/>
          <w:noProof/>
          <w:sz w:val="22"/>
        </w:rPr>
        <w:t> </w:t>
      </w:r>
      <w:r>
        <w:rPr>
          <w:rStyle w:val="Emphasis"/>
          <w:noProof/>
          <w:sz w:val="22"/>
        </w:rPr>
        <w:t>1973 m. Tarptautine konvencija dėl teršimo iš laivų prevencijos</w:t>
      </w:r>
      <w:r>
        <w:rPr>
          <w:noProof/>
          <w:sz w:val="22"/>
        </w:rPr>
        <w:t>, priedo pakeitimai</w:t>
      </w:r>
      <w:r>
        <w:rPr>
          <w:rStyle w:val="apple-converted-space"/>
          <w:i/>
          <w:iCs/>
          <w:noProof/>
          <w:sz w:val="22"/>
        </w:rPr>
        <w:t> </w:t>
      </w:r>
      <w:r>
        <w:rPr>
          <w:noProof/>
          <w:sz w:val="22"/>
        </w:rPr>
        <w:t>(priėmimo įrenginiai ne specialiosiose teritorijose ir nuotekų išleidimas)</w:t>
      </w:r>
    </w:p>
    <w:p>
      <w:pPr>
        <w:rPr>
          <w:noProof/>
          <w:sz w:val="22"/>
        </w:rPr>
      </w:pPr>
      <w:r>
        <w:rPr>
          <w:noProof/>
          <w:sz w:val="22"/>
        </w:rPr>
        <w:t xml:space="preserve">IV priedo pakeitimai, įsigalioję 2007 m. rugpjūčio 1 d. </w:t>
      </w:r>
      <w:hyperlink r:id="rId56" w:tgtFrame="_blank" w:tooltip=" 154 Kb" w:history="1">
        <w:r>
          <w:rPr>
            <w:rStyle w:val="Hyperlink"/>
            <w:rFonts w:ascii="Times New Roman" w:hAnsi="Times New Roman"/>
            <w:noProof/>
            <w:color w:val="auto"/>
            <w:sz w:val="22"/>
          </w:rPr>
          <w:t>Rezoliucija MEPC.143(54)</w:t>
        </w:r>
      </w:hyperlink>
    </w:p>
    <w:p>
      <w:pPr>
        <w:pStyle w:val="Bullet0"/>
        <w:rPr>
          <w:noProof/>
          <w:sz w:val="22"/>
        </w:rPr>
      </w:pPr>
      <w:r>
        <w:rPr>
          <w:noProof/>
          <w:sz w:val="22"/>
        </w:rPr>
        <w:t>1978 m. protokolo, susijusio su</w:t>
      </w:r>
      <w:r>
        <w:rPr>
          <w:rStyle w:val="apple-converted-space"/>
          <w:noProof/>
          <w:sz w:val="22"/>
        </w:rPr>
        <w:t> </w:t>
      </w:r>
      <w:r>
        <w:rPr>
          <w:rStyle w:val="Emphasis"/>
          <w:noProof/>
          <w:sz w:val="22"/>
        </w:rPr>
        <w:t>1973 m. Tarptautine konvencija dėl teršimo iš laivų prevencijos</w:t>
      </w:r>
      <w:r>
        <w:rPr>
          <w:noProof/>
          <w:sz w:val="22"/>
        </w:rPr>
        <w:t>, priedo pakeitimai</w:t>
      </w:r>
      <w:r>
        <w:rPr>
          <w:rStyle w:val="apple-converted-space"/>
          <w:i/>
          <w:iCs/>
          <w:noProof/>
          <w:sz w:val="22"/>
        </w:rPr>
        <w:t> </w:t>
      </w:r>
      <w:r>
        <w:rPr>
          <w:noProof/>
          <w:sz w:val="22"/>
        </w:rPr>
        <w:t>(MARPOL konvencijos IV priedo 13 taisyklės įtraukimas)</w:t>
      </w:r>
    </w:p>
    <w:p>
      <w:pPr>
        <w:rPr>
          <w:noProof/>
          <w:sz w:val="22"/>
        </w:rPr>
      </w:pPr>
      <w:r>
        <w:rPr>
          <w:noProof/>
          <w:sz w:val="22"/>
        </w:rPr>
        <w:t xml:space="preserve">2005 m. rugpjūčio 1 d. MARPOL konvencijos IV priedo tekstas. </w:t>
      </w:r>
      <w:hyperlink r:id="rId57" w:history="1">
        <w:r>
          <w:rPr>
            <w:rStyle w:val="Hyperlink"/>
            <w:rFonts w:ascii="Times New Roman" w:hAnsi="Times New Roman"/>
            <w:noProof/>
            <w:color w:val="auto"/>
            <w:sz w:val="22"/>
          </w:rPr>
          <w:t>Rezoliucija MEPC.115(51)</w:t>
        </w:r>
      </w:hyperlink>
    </w:p>
    <w:p>
      <w:pPr>
        <w:pStyle w:val="Bullet0"/>
        <w:rPr>
          <w:noProof/>
          <w:sz w:val="22"/>
        </w:rPr>
      </w:pPr>
      <w:r>
        <w:rPr>
          <w:noProof/>
          <w:sz w:val="22"/>
        </w:rPr>
        <w:t>1978 m. protokolo, susijusio su</w:t>
      </w:r>
      <w:r>
        <w:rPr>
          <w:rStyle w:val="apple-converted-space"/>
          <w:noProof/>
          <w:sz w:val="22"/>
        </w:rPr>
        <w:t> </w:t>
      </w:r>
      <w:r>
        <w:rPr>
          <w:rStyle w:val="Emphasis"/>
          <w:noProof/>
          <w:sz w:val="22"/>
        </w:rPr>
        <w:t>1973 m. Tarptautine konvencija dėl teršimo iš laivų prevencijos</w:t>
      </w:r>
      <w:r>
        <w:rPr>
          <w:noProof/>
          <w:sz w:val="22"/>
        </w:rPr>
        <w:t>, priedo pakeitimai</w:t>
      </w:r>
      <w:r>
        <w:rPr>
          <w:rStyle w:val="apple-converted-space"/>
          <w:i/>
          <w:iCs/>
          <w:noProof/>
          <w:sz w:val="22"/>
        </w:rPr>
        <w:t> </w:t>
      </w:r>
      <w:r>
        <w:rPr>
          <w:noProof/>
          <w:sz w:val="22"/>
        </w:rPr>
        <w:t>(persvarstytas MARPOL konvencijos IV priedas)</w:t>
      </w:r>
    </w:p>
    <w:p>
      <w:pPr>
        <w:pStyle w:val="Point0letter"/>
        <w:numPr>
          <w:ilvl w:val="1"/>
          <w:numId w:val="10"/>
        </w:numPr>
        <w:rPr>
          <w:b/>
          <w:noProof/>
          <w:sz w:val="22"/>
        </w:rPr>
      </w:pPr>
      <w:r>
        <w:rPr>
          <w:b/>
          <w:noProof/>
          <w:sz w:val="22"/>
        </w:rPr>
        <w:t>V priedas. Taršos šiukšlėmis iš laivų prevencijos taisyklės</w:t>
      </w:r>
    </w:p>
    <w:p>
      <w:pPr>
        <w:rPr>
          <w:noProof/>
          <w:sz w:val="22"/>
        </w:rPr>
      </w:pPr>
      <w:r>
        <w:rPr>
          <w:noProof/>
          <w:sz w:val="22"/>
        </w:rPr>
        <w:t xml:space="preserve">1988 m. gruodžio 31 d. </w:t>
      </w:r>
      <w:hyperlink r:id="rId58" w:tgtFrame="_blank" w:tooltip="Išorės nuoroda – nauja tabuliavimo žyma" w:history="1">
        <w:r>
          <w:rPr>
            <w:rStyle w:val="Hyperlink"/>
            <w:rFonts w:ascii="Times New Roman" w:hAnsi="Times New Roman"/>
            <w:noProof/>
            <w:color w:val="auto"/>
            <w:sz w:val="22"/>
          </w:rPr>
          <w:t>MARPOL konvencijos V priedo tekstas</w:t>
        </w:r>
      </w:hyperlink>
    </w:p>
    <w:p>
      <w:pPr>
        <w:rPr>
          <w:noProof/>
          <w:sz w:val="22"/>
        </w:rPr>
      </w:pPr>
      <w:r>
        <w:rPr>
          <w:noProof/>
          <w:sz w:val="22"/>
        </w:rPr>
        <w:t xml:space="preserve">V priedo pakeitimai, įsigalioję 2018 m. kovo 1 d. </w:t>
      </w:r>
      <w:hyperlink r:id="rId59" w:tgtFrame="_blank" w:history="1">
        <w:r>
          <w:rPr>
            <w:rStyle w:val="Hyperlink"/>
            <w:rFonts w:ascii="Times New Roman" w:hAnsi="Times New Roman"/>
            <w:noProof/>
            <w:color w:val="auto"/>
            <w:sz w:val="22"/>
          </w:rPr>
          <w:t>Rezoliucija MEPC.277(70)</w:t>
        </w:r>
      </w:hyperlink>
    </w:p>
    <w:p>
      <w:pPr>
        <w:pStyle w:val="Bullet0"/>
        <w:rPr>
          <w:noProof/>
          <w:sz w:val="22"/>
        </w:rPr>
      </w:pPr>
      <w:r>
        <w:rPr>
          <w:noProof/>
          <w:sz w:val="22"/>
        </w:rPr>
        <w:t>1978 m. protokolo, susijusio su</w:t>
      </w:r>
      <w:r>
        <w:rPr>
          <w:rStyle w:val="apple-converted-space"/>
          <w:noProof/>
          <w:sz w:val="22"/>
        </w:rPr>
        <w:t> </w:t>
      </w:r>
      <w:r>
        <w:rPr>
          <w:rStyle w:val="Emphasis"/>
          <w:noProof/>
          <w:sz w:val="22"/>
        </w:rPr>
        <w:t>1973 m. Tarptautine konvencija dėl teršimo iš laivų prevencijos</w:t>
      </w:r>
      <w:r>
        <w:rPr>
          <w:rStyle w:val="apple-converted-space"/>
          <w:i/>
          <w:iCs/>
          <w:noProof/>
          <w:sz w:val="22"/>
        </w:rPr>
        <w:t> </w:t>
      </w:r>
      <w:r>
        <w:rPr>
          <w:noProof/>
          <w:sz w:val="22"/>
        </w:rPr>
        <w:t>, priedo pakeitimai (MARPOL konvencijos V priedo pakeitimai –  jūros aplinkai kenksmingos medžiagos ir šiukšlių registravimo knygos forma)</w:t>
      </w:r>
    </w:p>
    <w:p>
      <w:pPr>
        <w:rPr>
          <w:noProof/>
          <w:sz w:val="22"/>
        </w:rPr>
      </w:pPr>
      <w:r>
        <w:rPr>
          <w:noProof/>
          <w:sz w:val="22"/>
        </w:rPr>
        <w:t xml:space="preserve">V priedo pakeitimai, įsigalioję 2017 m. sausio 1 d. </w:t>
      </w:r>
      <w:hyperlink r:id="rId60" w:tgtFrame="_blank" w:tooltip=" 81 Kb" w:history="1">
        <w:r>
          <w:rPr>
            <w:rStyle w:val="Hyperlink"/>
            <w:rFonts w:ascii="Times New Roman" w:hAnsi="Times New Roman"/>
            <w:noProof/>
            <w:color w:val="auto"/>
            <w:sz w:val="22"/>
          </w:rPr>
          <w:t>Rezoliucija MEPC.265(68)</w:t>
        </w:r>
      </w:hyperlink>
    </w:p>
    <w:p>
      <w:pPr>
        <w:pStyle w:val="Bullet0"/>
        <w:rPr>
          <w:noProof/>
          <w:sz w:val="22"/>
        </w:rPr>
      </w:pPr>
      <w:r>
        <w:rPr>
          <w:noProof/>
          <w:sz w:val="22"/>
        </w:rPr>
        <w:t>1978 m. protokolo, susijusio su</w:t>
      </w:r>
      <w:r>
        <w:rPr>
          <w:rStyle w:val="apple-converted-space"/>
          <w:noProof/>
          <w:sz w:val="22"/>
        </w:rPr>
        <w:t> </w:t>
      </w:r>
      <w:r>
        <w:rPr>
          <w:rStyle w:val="Emphasis"/>
          <w:noProof/>
          <w:sz w:val="22"/>
        </w:rPr>
        <w:t>1973 m. Tarptautine konvencija dėl teršimo iš laivų prevencijos</w:t>
      </w:r>
      <w:r>
        <w:rPr>
          <w:noProof/>
          <w:sz w:val="22"/>
        </w:rPr>
        <w:t>, priedo pakeitimai</w:t>
      </w:r>
      <w:r>
        <w:rPr>
          <w:rStyle w:val="apple-converted-space"/>
          <w:i/>
          <w:iCs/>
          <w:noProof/>
          <w:sz w:val="22"/>
        </w:rPr>
        <w:t> </w:t>
      </w:r>
      <w:r>
        <w:rPr>
          <w:noProof/>
          <w:sz w:val="22"/>
        </w:rPr>
        <w:t>(MARPOL konvencijos I, II, IV ir V priedų pakeitimai, siekiant, kad su aplinka susijusių Laivybos poliariniuose vandenyse kodekso nuostatų taikymas būtų privalomas)</w:t>
      </w:r>
    </w:p>
    <w:p>
      <w:pPr>
        <w:rPr>
          <w:noProof/>
          <w:sz w:val="22"/>
        </w:rPr>
      </w:pPr>
      <w:r>
        <w:rPr>
          <w:noProof/>
          <w:sz w:val="22"/>
        </w:rPr>
        <w:t xml:space="preserve">V priedo pakeitimai, įsigalioję 2016 m. sausio 1 d. </w:t>
      </w:r>
      <w:hyperlink r:id="rId61" w:tgtFrame="_blank" w:tooltip=" 150 Kb – 1978 m. protokolo, susijusio su 1973 m. Tarptautine konvencija dėl teršimo iš laivų prevencijos, priedo pakeitimai (regioniniai susitarimai dėl uosto priėmimo įrenginių pagal MARPOL konvencijos I, II, IV ir V priedus)" w:history="1">
        <w:r>
          <w:rPr>
            <w:rStyle w:val="Hyperlink"/>
            <w:rFonts w:ascii="Times New Roman" w:hAnsi="Times New Roman"/>
            <w:noProof/>
            <w:color w:val="auto"/>
            <w:sz w:val="22"/>
          </w:rPr>
          <w:t>Rezoliucija MEPC.246(66)</w:t>
        </w:r>
      </w:hyperlink>
    </w:p>
    <w:p>
      <w:pPr>
        <w:pStyle w:val="Bullet0"/>
        <w:rPr>
          <w:noProof/>
          <w:sz w:val="22"/>
        </w:rPr>
      </w:pPr>
      <w:r>
        <w:rPr>
          <w:noProof/>
          <w:sz w:val="22"/>
        </w:rPr>
        <w:t>1978 m. protokolo, susijusio su</w:t>
      </w:r>
      <w:r>
        <w:rPr>
          <w:rStyle w:val="apple-converted-space"/>
          <w:noProof/>
          <w:sz w:val="22"/>
        </w:rPr>
        <w:t> </w:t>
      </w:r>
      <w:r>
        <w:rPr>
          <w:rStyle w:val="Emphasis"/>
          <w:noProof/>
          <w:sz w:val="22"/>
        </w:rPr>
        <w:t>1973 m. Tarptautine konvencija dėl teršimo iš laivų prevencijos</w:t>
      </w:r>
      <w:r>
        <w:rPr>
          <w:noProof/>
          <w:sz w:val="22"/>
        </w:rPr>
        <w:t>, priedo pakeitimai</w:t>
      </w:r>
      <w:r>
        <w:rPr>
          <w:rStyle w:val="apple-converted-space"/>
          <w:i/>
          <w:iCs/>
          <w:noProof/>
          <w:sz w:val="22"/>
        </w:rPr>
        <w:t> </w:t>
      </w:r>
      <w:r>
        <w:rPr>
          <w:noProof/>
          <w:sz w:val="22"/>
        </w:rPr>
        <w:t>(MARPOL konvencijos I, II, III, IV ir V priedų pakeitimai, siekiant, kad III kodekso taikymas būtų privalomas)</w:t>
      </w:r>
    </w:p>
    <w:p>
      <w:pPr>
        <w:rPr>
          <w:noProof/>
          <w:sz w:val="22"/>
        </w:rPr>
      </w:pPr>
      <w:r>
        <w:rPr>
          <w:noProof/>
          <w:sz w:val="22"/>
        </w:rPr>
        <w:t xml:space="preserve">V priedo pakeitimai, įsigalioję 2013 m. rugpjūčio 1 d. </w:t>
      </w:r>
      <w:hyperlink r:id="rId62" w:tgtFrame="_blank" w:tooltip=" 16 Kb" w:history="1">
        <w:r>
          <w:rPr>
            <w:rStyle w:val="Hyperlink"/>
            <w:rFonts w:ascii="Times New Roman" w:hAnsi="Times New Roman"/>
            <w:noProof/>
            <w:color w:val="auto"/>
            <w:sz w:val="22"/>
          </w:rPr>
          <w:t>Rezoliucija MEPC.216(63)</w:t>
        </w:r>
      </w:hyperlink>
    </w:p>
    <w:p>
      <w:pPr>
        <w:pStyle w:val="Bullet0"/>
        <w:rPr>
          <w:noProof/>
          <w:sz w:val="22"/>
        </w:rPr>
      </w:pPr>
      <w:r>
        <w:rPr>
          <w:noProof/>
          <w:sz w:val="22"/>
        </w:rPr>
        <w:t>1978 m. protokolo, susijusio su</w:t>
      </w:r>
      <w:r>
        <w:rPr>
          <w:rStyle w:val="apple-converted-space"/>
          <w:noProof/>
          <w:sz w:val="22"/>
        </w:rPr>
        <w:t> </w:t>
      </w:r>
      <w:r>
        <w:rPr>
          <w:rStyle w:val="Emphasis"/>
          <w:noProof/>
          <w:sz w:val="22"/>
        </w:rPr>
        <w:t>1973 m. Tarptautine konvencija dėl teršimo iš laivų prevencijos</w:t>
      </w:r>
      <w:r>
        <w:rPr>
          <w:noProof/>
          <w:sz w:val="22"/>
        </w:rPr>
        <w:t>, priedo pakeitimai</w:t>
      </w:r>
      <w:r>
        <w:rPr>
          <w:rStyle w:val="apple-converted-space"/>
          <w:i/>
          <w:iCs/>
          <w:noProof/>
          <w:sz w:val="22"/>
        </w:rPr>
        <w:t> </w:t>
      </w:r>
      <w:r>
        <w:rPr>
          <w:noProof/>
          <w:sz w:val="22"/>
        </w:rPr>
        <w:t>(regioniniai susitarimai dėl uosto priėmimo įrenginių pagal MARPOL konvencijos I, II, IV ir V priedus)</w:t>
      </w:r>
    </w:p>
    <w:p>
      <w:pPr>
        <w:rPr>
          <w:noProof/>
          <w:sz w:val="22"/>
        </w:rPr>
      </w:pPr>
      <w:r>
        <w:rPr>
          <w:noProof/>
          <w:sz w:val="22"/>
        </w:rPr>
        <w:t xml:space="preserve">V priedo pakeitimai, įsigalioję 2013 m. sausio 1 d. </w:t>
      </w:r>
      <w:hyperlink r:id="rId63" w:tgtFrame="_blank" w:tooltip=" 1,3 Mb" w:history="1">
        <w:r>
          <w:rPr>
            <w:rStyle w:val="Hyperlink"/>
            <w:rFonts w:ascii="Times New Roman" w:hAnsi="Times New Roman"/>
            <w:noProof/>
            <w:color w:val="auto"/>
            <w:sz w:val="22"/>
          </w:rPr>
          <w:t>Rezoliucija MEPC.201(62)</w:t>
        </w:r>
      </w:hyperlink>
    </w:p>
    <w:p>
      <w:pPr>
        <w:pStyle w:val="Bullet0"/>
        <w:rPr>
          <w:noProof/>
          <w:sz w:val="22"/>
        </w:rPr>
      </w:pPr>
      <w:r>
        <w:rPr>
          <w:noProof/>
          <w:sz w:val="22"/>
        </w:rPr>
        <w:t xml:space="preserve">1978 m. protokolo, susijusio su 1973 m. </w:t>
      </w:r>
      <w:r>
        <w:rPr>
          <w:rStyle w:val="apple-converted-space"/>
          <w:noProof/>
          <w:sz w:val="22"/>
        </w:rPr>
        <w:t> </w:t>
      </w:r>
      <w:r>
        <w:rPr>
          <w:rStyle w:val="Emphasis"/>
          <w:noProof/>
          <w:sz w:val="22"/>
        </w:rPr>
        <w:t xml:space="preserve">Tarptautine konvencija dėl teršimo iš laivų prevencijos, </w:t>
      </w:r>
      <w:r>
        <w:rPr>
          <w:rStyle w:val="apple-converted-space"/>
          <w:i/>
          <w:iCs/>
          <w:noProof/>
          <w:sz w:val="22"/>
        </w:rPr>
        <w:t> </w:t>
      </w:r>
      <w:r>
        <w:rPr>
          <w:noProof/>
          <w:sz w:val="22"/>
        </w:rPr>
        <w:t xml:space="preserve"> priedo pakeitimai ((persvarstytas MARPOL konvencijos V priedas)</w:t>
      </w:r>
    </w:p>
    <w:p>
      <w:pPr>
        <w:pStyle w:val="Bullet0"/>
        <w:rPr>
          <w:noProof/>
          <w:sz w:val="22"/>
        </w:rPr>
      </w:pPr>
      <w:r>
        <w:rPr>
          <w:rStyle w:val="Hyperlink"/>
          <w:rFonts w:ascii="Times New Roman" w:hAnsi="Times New Roman"/>
          <w:noProof/>
          <w:color w:val="auto"/>
        </w:rPr>
        <w:t xml:space="preserve">MEPC </w:t>
      </w:r>
      <w:hyperlink r:id="rId64" w:tgtFrame="_blank" w:history="1">
        <w:r>
          <w:rPr>
            <w:rStyle w:val="Hyperlink"/>
            <w:noProof/>
            <w:color w:val="auto"/>
            <w:sz w:val="22"/>
          </w:rPr>
          <w:t>62</w:t>
        </w:r>
        <w:r>
          <w:rPr>
            <w:rStyle w:val="Hyperlink"/>
            <w:rFonts w:ascii="Times New Roman" w:hAnsi="Times New Roman"/>
            <w:noProof/>
            <w:color w:val="auto"/>
            <w:sz w:val="22"/>
          </w:rPr>
          <w:t>/24/Corr.1</w:t>
        </w:r>
      </w:hyperlink>
      <w:r>
        <w:rPr>
          <w:noProof/>
          <w:sz w:val="22"/>
        </w:rPr>
        <w:t xml:space="preserve"> apima keletą Rezoliucijos MEPC.201(62) pataisų</w:t>
      </w:r>
    </w:p>
    <w:p>
      <w:pPr>
        <w:rPr>
          <w:noProof/>
          <w:sz w:val="22"/>
        </w:rPr>
      </w:pPr>
      <w:r>
        <w:rPr>
          <w:noProof/>
          <w:sz w:val="22"/>
        </w:rPr>
        <w:t xml:space="preserve">MARPOL konvencijos V priedo pakeitimai, įsigalioję 2005 m. rugpjūčio 1 d. </w:t>
      </w:r>
      <w:hyperlink r:id="rId65" w:tgtFrame="_blank" w:tooltip=" 84 Kb" w:history="1">
        <w:r>
          <w:rPr>
            <w:rStyle w:val="Hyperlink"/>
            <w:rFonts w:ascii="Times New Roman" w:hAnsi="Times New Roman"/>
            <w:noProof/>
            <w:color w:val="auto"/>
            <w:sz w:val="22"/>
          </w:rPr>
          <w:t>Rezoliucija MEPC.116(51)</w:t>
        </w:r>
      </w:hyperlink>
    </w:p>
    <w:p>
      <w:pPr>
        <w:pStyle w:val="Bullet0"/>
        <w:rPr>
          <w:noProof/>
          <w:sz w:val="22"/>
        </w:rPr>
      </w:pPr>
      <w:r>
        <w:rPr>
          <w:noProof/>
          <w:sz w:val="22"/>
        </w:rPr>
        <w:t xml:space="preserve">1978 m. protokolo, susijusio su 1973 m. </w:t>
      </w:r>
      <w:r>
        <w:rPr>
          <w:rStyle w:val="apple-converted-space"/>
          <w:noProof/>
          <w:sz w:val="22"/>
        </w:rPr>
        <w:t> </w:t>
      </w:r>
      <w:r>
        <w:rPr>
          <w:rStyle w:val="Emphasis"/>
          <w:noProof/>
          <w:sz w:val="22"/>
        </w:rPr>
        <w:t xml:space="preserve">Tarptautine konvencija dėl teršimo iš laivų prevencijos, </w:t>
      </w:r>
      <w:r>
        <w:rPr>
          <w:rStyle w:val="apple-converted-space"/>
          <w:i/>
          <w:iCs/>
          <w:noProof/>
          <w:sz w:val="22"/>
        </w:rPr>
        <w:t> </w:t>
      </w:r>
      <w:r>
        <w:rPr>
          <w:noProof/>
          <w:sz w:val="22"/>
        </w:rPr>
        <w:t xml:space="preserve"> priedo pakeitimai ((persvarstytas MARPOL konvencijos V priedo priedėlis)</w:t>
      </w:r>
    </w:p>
    <w:p>
      <w:pPr>
        <w:rPr>
          <w:noProof/>
          <w:sz w:val="22"/>
        </w:rPr>
      </w:pPr>
      <w:r>
        <w:rPr>
          <w:noProof/>
          <w:sz w:val="22"/>
        </w:rPr>
        <w:t xml:space="preserve">MARPOL konvencijos V priedo pakeitimai, įsigalioję 2002 m. kovo 1 d. </w:t>
      </w:r>
      <w:hyperlink r:id="rId66" w:tgtFrame="_blank" w:tooltip=" 16 Kb" w:history="1">
        <w:r>
          <w:rPr>
            <w:rStyle w:val="Hyperlink"/>
            <w:rFonts w:ascii="Times New Roman" w:hAnsi="Times New Roman"/>
            <w:noProof/>
            <w:color w:val="auto"/>
            <w:sz w:val="22"/>
          </w:rPr>
          <w:t>Rezoliucija MEPC.89(45)</w:t>
        </w:r>
      </w:hyperlink>
    </w:p>
    <w:p>
      <w:pPr>
        <w:pStyle w:val="Bullet0"/>
        <w:rPr>
          <w:noProof/>
          <w:sz w:val="22"/>
        </w:rPr>
      </w:pPr>
      <w:r>
        <w:rPr>
          <w:noProof/>
          <w:sz w:val="22"/>
        </w:rPr>
        <w:t>1978 m. protokolo, susijusio su</w:t>
      </w:r>
      <w:r>
        <w:rPr>
          <w:rStyle w:val="apple-converted-space"/>
          <w:noProof/>
          <w:sz w:val="22"/>
        </w:rPr>
        <w:t> </w:t>
      </w:r>
      <w:r>
        <w:rPr>
          <w:rStyle w:val="Emphasis"/>
          <w:noProof/>
          <w:sz w:val="22"/>
        </w:rPr>
        <w:t>1973 m. Tarptautine konvencija dėl teršimo iš laivų prevencijos</w:t>
      </w:r>
      <w:r>
        <w:rPr>
          <w:noProof/>
          <w:sz w:val="22"/>
        </w:rPr>
        <w:t>, priedo pakeitimai</w:t>
      </w:r>
      <w:r>
        <w:rPr>
          <w:rStyle w:val="apple-converted-space"/>
          <w:i/>
          <w:iCs/>
          <w:noProof/>
          <w:sz w:val="22"/>
        </w:rPr>
        <w:t> </w:t>
      </w:r>
      <w:r>
        <w:rPr>
          <w:noProof/>
          <w:sz w:val="22"/>
        </w:rPr>
        <w:t>(MARPOL konvencijos V priedo pakeitimai)</w:t>
      </w:r>
    </w:p>
    <w:p>
      <w:pPr>
        <w:rPr>
          <w:noProof/>
          <w:sz w:val="22"/>
        </w:rPr>
      </w:pPr>
      <w:r>
        <w:rPr>
          <w:noProof/>
          <w:sz w:val="22"/>
        </w:rPr>
        <w:t xml:space="preserve">MARPOL konvencijos V priedo pakeitimai, įsigalioję 1997 m. sausio 1 d. </w:t>
      </w:r>
      <w:hyperlink r:id="rId67" w:tgtFrame="_blank" w:tooltip=" 321 Kb" w:history="1">
        <w:r>
          <w:rPr>
            <w:rStyle w:val="Hyperlink"/>
            <w:rFonts w:ascii="Times New Roman" w:hAnsi="Times New Roman"/>
            <w:noProof/>
            <w:color w:val="auto"/>
            <w:sz w:val="22"/>
          </w:rPr>
          <w:t>Rezoliucija MEPC.65(37)</w:t>
        </w:r>
      </w:hyperlink>
    </w:p>
    <w:p>
      <w:pPr>
        <w:pStyle w:val="Bullet0"/>
        <w:rPr>
          <w:noProof/>
          <w:sz w:val="22"/>
        </w:rPr>
      </w:pPr>
      <w:r>
        <w:rPr>
          <w:noProof/>
          <w:sz w:val="22"/>
        </w:rPr>
        <w:t xml:space="preserve">1978 m. protokolo, susijusio su </w:t>
      </w:r>
      <w:r>
        <w:rPr>
          <w:rStyle w:val="apple-converted-space"/>
          <w:noProof/>
          <w:sz w:val="22"/>
        </w:rPr>
        <w:t> </w:t>
      </w:r>
      <w:r>
        <w:rPr>
          <w:rStyle w:val="Emphasis"/>
          <w:noProof/>
          <w:sz w:val="22"/>
        </w:rPr>
        <w:t>1973 m. Tarptautine konvencija dėl teršimo iš laivų prevencijos</w:t>
      </w:r>
      <w:r>
        <w:rPr>
          <w:rStyle w:val="apple-converted-space"/>
          <w:i/>
          <w:iCs/>
          <w:noProof/>
          <w:sz w:val="22"/>
        </w:rPr>
        <w:t> </w:t>
      </w:r>
      <w:r>
        <w:rPr>
          <w:noProof/>
          <w:sz w:val="22"/>
        </w:rPr>
        <w:t>, priedo pakeitimai (2 taisyklės pakeitimai ir nauja V priedo 9 taisyklė)</w:t>
      </w:r>
    </w:p>
    <w:p>
      <w:pPr>
        <w:pStyle w:val="Point0letter"/>
        <w:numPr>
          <w:ilvl w:val="1"/>
          <w:numId w:val="10"/>
        </w:numPr>
        <w:rPr>
          <w:b/>
          <w:noProof/>
          <w:sz w:val="22"/>
        </w:rPr>
      </w:pPr>
      <w:r>
        <w:rPr>
          <w:b/>
          <w:noProof/>
          <w:sz w:val="22"/>
        </w:rPr>
        <w:t>VI priedas. Laivų sukeliamos oro taršos prevencijos taisyklės</w:t>
      </w:r>
    </w:p>
    <w:p>
      <w:pPr>
        <w:rPr>
          <w:noProof/>
          <w:sz w:val="22"/>
        </w:rPr>
      </w:pPr>
      <w:r>
        <w:rPr>
          <w:noProof/>
          <w:sz w:val="22"/>
        </w:rPr>
        <w:t xml:space="preserve">VI priedo pakeitimai, įsigalioję 2019 m. sausio 1 d. </w:t>
      </w:r>
      <w:hyperlink r:id="rId68" w:history="1">
        <w:r>
          <w:rPr>
            <w:rStyle w:val="Hyperlink"/>
            <w:rFonts w:ascii="Times New Roman" w:hAnsi="Times New Roman"/>
            <w:noProof/>
            <w:color w:val="auto"/>
            <w:sz w:val="22"/>
          </w:rPr>
          <w:t>Rezoliucija MEPC.286(71)</w:t>
        </w:r>
      </w:hyperlink>
    </w:p>
    <w:p>
      <w:pPr>
        <w:pStyle w:val="Bullet0"/>
        <w:rPr>
          <w:noProof/>
          <w:sz w:val="22"/>
        </w:rPr>
      </w:pPr>
      <w:r>
        <w:rPr>
          <w:noProof/>
          <w:sz w:val="22"/>
        </w:rPr>
        <w:t>1997 m. protokolo priedo pakeitimai, siekiant iš dalies pakeisti</w:t>
      </w:r>
      <w:r>
        <w:rPr>
          <w:rStyle w:val="apple-converted-space"/>
          <w:noProof/>
          <w:sz w:val="22"/>
        </w:rPr>
        <w:t> </w:t>
      </w:r>
      <w:r>
        <w:rPr>
          <w:rStyle w:val="Emphasis"/>
          <w:noProof/>
          <w:sz w:val="22"/>
        </w:rPr>
        <w:t>1973 m. Tarptautinę konvenciją dėl teršimo iš laivų prevencijos</w:t>
      </w:r>
      <w:r>
        <w:rPr>
          <w:noProof/>
          <w:sz w:val="22"/>
        </w:rPr>
        <w:t xml:space="preserve"> su pakeitimais, padarytais su ja susijusiu 1978 m. protokolu (siekiant paskelbti Baltijos ir Šiaurės jūras NO</w:t>
      </w:r>
      <w:r>
        <w:rPr>
          <w:noProof/>
          <w:sz w:val="22"/>
          <w:vertAlign w:val="subscript"/>
        </w:rPr>
        <w:t>x</w:t>
      </w:r>
      <w:r>
        <w:rPr>
          <w:rStyle w:val="apple-converted-space"/>
          <w:noProof/>
          <w:sz w:val="22"/>
          <w:vertAlign w:val="subscript"/>
        </w:rPr>
        <w:t> </w:t>
      </w:r>
      <w:r>
        <w:rPr>
          <w:noProof/>
          <w:sz w:val="22"/>
        </w:rPr>
        <w:t>išmetimo kontrolės rajonais ir iš dalies pakeisti bunkerio atsargų papildymo važtaraštį)</w:t>
      </w:r>
    </w:p>
    <w:p>
      <w:pPr>
        <w:rPr>
          <w:noProof/>
          <w:sz w:val="22"/>
        </w:rPr>
      </w:pPr>
      <w:r>
        <w:rPr>
          <w:noProof/>
          <w:sz w:val="22"/>
        </w:rPr>
        <w:t xml:space="preserve">VI priedo pakeitimai, įsigalioję 2018 m. kovo 1 d. </w:t>
      </w:r>
      <w:hyperlink r:id="rId69" w:tgtFrame="_blank" w:history="1">
        <w:r>
          <w:rPr>
            <w:rStyle w:val="Hyperlink"/>
            <w:rFonts w:ascii="Times New Roman" w:hAnsi="Times New Roman"/>
            <w:noProof/>
            <w:color w:val="auto"/>
            <w:sz w:val="22"/>
          </w:rPr>
          <w:t>Rezoliucija MEPC.278(70)</w:t>
        </w:r>
      </w:hyperlink>
    </w:p>
    <w:p>
      <w:pPr>
        <w:pStyle w:val="Bullet0"/>
        <w:rPr>
          <w:noProof/>
          <w:sz w:val="22"/>
        </w:rPr>
      </w:pPr>
      <w:r>
        <w:rPr>
          <w:noProof/>
          <w:sz w:val="22"/>
        </w:rPr>
        <w:t>1997 m. protokolo, susijusio su</w:t>
      </w:r>
      <w:r>
        <w:rPr>
          <w:rStyle w:val="apple-converted-space"/>
          <w:noProof/>
          <w:sz w:val="22"/>
        </w:rPr>
        <w:t> </w:t>
      </w:r>
      <w:r>
        <w:rPr>
          <w:rStyle w:val="Emphasis"/>
          <w:noProof/>
          <w:sz w:val="22"/>
        </w:rPr>
        <w:t>1973 m. Tarptautine konvencija dėl teršimo iš laivų prevencijos</w:t>
      </w:r>
      <w:r>
        <w:rPr>
          <w:rStyle w:val="apple-converted-space"/>
          <w:i/>
          <w:iCs/>
          <w:noProof/>
          <w:sz w:val="22"/>
        </w:rPr>
        <w:t> </w:t>
      </w:r>
      <w:r>
        <w:rPr>
          <w:noProof/>
          <w:sz w:val="22"/>
        </w:rPr>
        <w:t xml:space="preserve"> priedo pakeitimai (MARPOL konvencijos VI priedo pakeitimai – duomenų apie laivų degalų suvartojimą rinkimo sistemos)</w:t>
      </w:r>
    </w:p>
    <w:p>
      <w:pPr>
        <w:rPr>
          <w:noProof/>
          <w:sz w:val="22"/>
        </w:rPr>
      </w:pPr>
      <w:r>
        <w:rPr>
          <w:noProof/>
          <w:sz w:val="22"/>
        </w:rPr>
        <w:t xml:space="preserve">VI priedo pakeitimai, įsigalioję 2017 m. rugsėjo 1 d. </w:t>
      </w:r>
      <w:hyperlink r:id="rId70" w:tgtFrame="_blank" w:tooltip=" 16 Kb – 1997 m. protokolo priedo pakeitimai, siekiant iš dalies pakeisti 1973 m. Tarptautinę konvenciją dėl teršimo iš laivų prevencijos su pakeitimais, padarytais su ja susijusiu 1978 m. protokolu" w:history="1">
        <w:r>
          <w:rPr>
            <w:rStyle w:val="Hyperlink"/>
            <w:rFonts w:ascii="Times New Roman" w:hAnsi="Times New Roman"/>
            <w:noProof/>
            <w:color w:val="auto"/>
            <w:sz w:val="22"/>
          </w:rPr>
          <w:t>Rezoliucija MEPC.271(69)</w:t>
        </w:r>
      </w:hyperlink>
    </w:p>
    <w:p>
      <w:pPr>
        <w:pStyle w:val="Bullet0"/>
        <w:rPr>
          <w:noProof/>
          <w:sz w:val="22"/>
        </w:rPr>
      </w:pPr>
      <w:r>
        <w:rPr>
          <w:rStyle w:val="Emphasis"/>
          <w:noProof/>
          <w:sz w:val="22"/>
        </w:rPr>
        <w:t>1973 m. Tarptautinės konvencijos dėl teršimo iš laivų prevencijos</w:t>
      </w:r>
      <w:r>
        <w:rPr>
          <w:noProof/>
          <w:sz w:val="22"/>
        </w:rPr>
        <w:t xml:space="preserve"> su pakeitimais, padarytais su ja susijusiu 1978 m. protokolu, priedo pakeitimai (MARPOL konvencijos VI priedo 13 taisyklės pakeitimai – registravimo reikalavimai, susiję su atitiktimi III lygio NOx išmetimo kontrolės rajonuose vykdomai veiklai)</w:t>
      </w:r>
    </w:p>
    <w:p>
      <w:pPr>
        <w:rPr>
          <w:noProof/>
          <w:sz w:val="22"/>
        </w:rPr>
      </w:pPr>
      <w:r>
        <w:rPr>
          <w:noProof/>
          <w:sz w:val="22"/>
        </w:rPr>
        <w:t xml:space="preserve">MARPOL konvencijos VI priedo pakeitimai, įsigalioję 2016 m. kovo 1 d. </w:t>
      </w:r>
      <w:hyperlink r:id="rId71" w:tgtFrame="_blank" w:tooltip=" 16 Kb – 1997 m. protokolo priedo pakeitimai, siekiant iš dalies pakeisti 1973 m. Tarptautinę konvenciją dėl teršimo iš laivų prevencijos su pakeitimais, padarytais su ja susijusiu 1978 m. protokolu" w:history="1">
        <w:r>
          <w:rPr>
            <w:rStyle w:val="Hyperlink"/>
            <w:rFonts w:ascii="Times New Roman" w:hAnsi="Times New Roman"/>
            <w:noProof/>
            <w:color w:val="auto"/>
            <w:sz w:val="22"/>
          </w:rPr>
          <w:t>Rezoliucija MEPC.258(67)</w:t>
        </w:r>
      </w:hyperlink>
    </w:p>
    <w:p>
      <w:pPr>
        <w:pStyle w:val="Bullet0"/>
        <w:rPr>
          <w:noProof/>
          <w:sz w:val="22"/>
        </w:rPr>
      </w:pPr>
      <w:r>
        <w:rPr>
          <w:noProof/>
          <w:sz w:val="22"/>
        </w:rPr>
        <w:t>1997 m. protokolo priedo pakeitimai, siekiant iš dalies pakeisti </w:t>
      </w:r>
      <w:r>
        <w:rPr>
          <w:rStyle w:val="Emphasis"/>
          <w:noProof/>
          <w:sz w:val="22"/>
        </w:rPr>
        <w:t>1973 m. Tarptautinę konvenciją dėl teršimo iš laivų prevencijos</w:t>
      </w:r>
      <w:r>
        <w:rPr>
          <w:noProof/>
          <w:sz w:val="22"/>
        </w:rPr>
        <w:t xml:space="preserve"> su pakeitimais, padarytais su ja susijusiu 1978 m. protokolu (2 ir 13 taisyklių pakeitimai ir Tarptautinio teršimo nafta prevencijos liudijimo forma)</w:t>
      </w:r>
    </w:p>
    <w:p>
      <w:pPr>
        <w:rPr>
          <w:noProof/>
          <w:sz w:val="22"/>
        </w:rPr>
      </w:pPr>
      <w:r>
        <w:rPr>
          <w:noProof/>
          <w:sz w:val="22"/>
        </w:rPr>
        <w:t xml:space="preserve">VI priedo pakeitimai, įsigalioję 2016 m. sausio 1 d. </w:t>
      </w:r>
      <w:hyperlink r:id="rId72" w:tgtFrame="_blank" w:tooltip=" 81 Kb" w:history="1">
        <w:r>
          <w:rPr>
            <w:rStyle w:val="Hyperlink"/>
            <w:rFonts w:ascii="Times New Roman" w:hAnsi="Times New Roman"/>
            <w:noProof/>
            <w:color w:val="auto"/>
            <w:sz w:val="22"/>
          </w:rPr>
          <w:t>Rezoliucija MEPC.247(66)</w:t>
        </w:r>
      </w:hyperlink>
    </w:p>
    <w:p>
      <w:pPr>
        <w:pStyle w:val="Bullet0"/>
        <w:rPr>
          <w:noProof/>
          <w:sz w:val="22"/>
        </w:rPr>
      </w:pPr>
      <w:r>
        <w:rPr>
          <w:noProof/>
          <w:sz w:val="22"/>
        </w:rPr>
        <w:t>1997 m. protokolo priedo pakeitimai, siekiant iš dalies pakeisti</w:t>
      </w:r>
      <w:r>
        <w:rPr>
          <w:rStyle w:val="apple-converted-space"/>
          <w:noProof/>
          <w:sz w:val="22"/>
        </w:rPr>
        <w:t> </w:t>
      </w:r>
      <w:r>
        <w:rPr>
          <w:rStyle w:val="Emphasis"/>
          <w:noProof/>
          <w:sz w:val="22"/>
        </w:rPr>
        <w:t>1973 m. Tarptautinę konvenciją dėl teršimo iš laivų prevencijos</w:t>
      </w:r>
      <w:r>
        <w:rPr>
          <w:noProof/>
          <w:sz w:val="22"/>
        </w:rPr>
        <w:t xml:space="preserve"> su pakeitimais, padarytais su ja susijusiu 1978 m. protokolu (siekiant, kad III kodekso taikymas būtų privalomas)</w:t>
      </w:r>
    </w:p>
    <w:p>
      <w:pPr>
        <w:rPr>
          <w:noProof/>
          <w:sz w:val="22"/>
        </w:rPr>
      </w:pPr>
      <w:r>
        <w:rPr>
          <w:noProof/>
          <w:sz w:val="22"/>
        </w:rPr>
        <w:t xml:space="preserve">VI priedo pakeitimai, įsigalioję 2015 m. kovo 1 d. </w:t>
      </w:r>
      <w:hyperlink r:id="rId73" w:tgtFrame="_blank" w:tooltip=" 340 Kb" w:history="1">
        <w:r>
          <w:rPr>
            <w:rStyle w:val="Hyperlink"/>
            <w:rFonts w:ascii="Times New Roman" w:hAnsi="Times New Roman"/>
            <w:noProof/>
            <w:color w:val="auto"/>
            <w:sz w:val="22"/>
          </w:rPr>
          <w:t>Rezoliucija MEPC.251(66)</w:t>
        </w:r>
      </w:hyperlink>
    </w:p>
    <w:p>
      <w:pPr>
        <w:pStyle w:val="Bullet0"/>
        <w:rPr>
          <w:noProof/>
          <w:sz w:val="22"/>
        </w:rPr>
      </w:pPr>
      <w:r>
        <w:rPr>
          <w:noProof/>
          <w:sz w:val="22"/>
        </w:rPr>
        <w:t>1997 m. protokolo priedo pakeitimai, siekiant iš dalies pakeisti</w:t>
      </w:r>
      <w:r>
        <w:rPr>
          <w:rStyle w:val="apple-converted-space"/>
          <w:noProof/>
          <w:sz w:val="22"/>
        </w:rPr>
        <w:t> </w:t>
      </w:r>
      <w:r>
        <w:rPr>
          <w:rStyle w:val="Emphasis"/>
          <w:noProof/>
          <w:sz w:val="22"/>
        </w:rPr>
        <w:t>1973 m. Tarptautinę konvenciją dėl teršimo iš laivų prevencijos</w:t>
      </w:r>
      <w:r>
        <w:rPr>
          <w:noProof/>
          <w:sz w:val="22"/>
        </w:rPr>
        <w:t xml:space="preserve"> su pakeitimais, padarytais su ja susijusiu 1978 m. protokolu (2, 13, 19, 20 taisyklių pakeitimai ir Tarptautinio teršimo nafta prevencijos liudijimo priedas pagal MARPOL konvencijos VI priedą ir dviejų rūšių degalų vienalaikio naudojimo variklių sertifikavimas pagal 2008 m. NOx techninį kodeksą)</w:t>
      </w:r>
    </w:p>
    <w:p>
      <w:pPr>
        <w:rPr>
          <w:noProof/>
          <w:sz w:val="22"/>
        </w:rPr>
      </w:pPr>
      <w:r>
        <w:rPr>
          <w:noProof/>
          <w:sz w:val="22"/>
        </w:rPr>
        <w:t xml:space="preserve">VI priedo pakeitimai, įsigalioję 2013 m. rugpjūčio 1 d. </w:t>
      </w:r>
      <w:hyperlink r:id="rId74" w:tgtFrame="_blank" w:tooltip=" 16 Kb" w:history="1">
        <w:r>
          <w:rPr>
            <w:rStyle w:val="Hyperlink"/>
            <w:rFonts w:ascii="Times New Roman" w:hAnsi="Times New Roman"/>
            <w:noProof/>
            <w:color w:val="auto"/>
            <w:sz w:val="22"/>
          </w:rPr>
          <w:t>Rezoliucija MEPC.217(63)</w:t>
        </w:r>
      </w:hyperlink>
    </w:p>
    <w:p>
      <w:pPr>
        <w:pStyle w:val="Bullet0"/>
        <w:rPr>
          <w:noProof/>
          <w:sz w:val="22"/>
        </w:rPr>
      </w:pPr>
      <w:r>
        <w:rPr>
          <w:noProof/>
          <w:sz w:val="22"/>
        </w:rPr>
        <w:t>1997 m. protokolo priedo pakeitimai, siekiant iš dalies pakeisti </w:t>
      </w:r>
      <w:r>
        <w:rPr>
          <w:rStyle w:val="Emphasis"/>
          <w:noProof/>
          <w:sz w:val="22"/>
        </w:rPr>
        <w:t>1973 m. Tarptautinę konvenciją dėl teršimo iš laivų prevencijos</w:t>
      </w:r>
      <w:r>
        <w:rPr>
          <w:noProof/>
          <w:sz w:val="22"/>
        </w:rPr>
        <w:t xml:space="preserve"> su pakeitimais, padarytais su ja susijusiu 1978 m. protokolu (regioniniai susitarimai dėl uosto priėmimo įrenginių pagal MARPOL konvencijos VI priedą ir jūroje naudojamų dyzelinių variklių, turinčių selektyviosios katalizinės redukcijos sistemas, sertifikavimas pagal 2008 m. NOx techninį kodeksą)</w:t>
      </w:r>
    </w:p>
    <w:p>
      <w:pPr>
        <w:rPr>
          <w:noProof/>
          <w:sz w:val="22"/>
        </w:rPr>
      </w:pPr>
      <w:r>
        <w:rPr>
          <w:noProof/>
          <w:sz w:val="22"/>
        </w:rPr>
        <w:t xml:space="preserve">VI priedo pakeitimai, įsigalioję 2013 m. sausio 1 d. </w:t>
      </w:r>
      <w:hyperlink r:id="rId75" w:tgtFrame="_blank" w:tooltip=" 1,5 Mb" w:history="1">
        <w:r>
          <w:rPr>
            <w:rStyle w:val="Hyperlink"/>
            <w:rFonts w:ascii="Times New Roman" w:hAnsi="Times New Roman"/>
            <w:noProof/>
            <w:color w:val="auto"/>
            <w:sz w:val="22"/>
          </w:rPr>
          <w:t>Rezoliucija MEPC.203(62)</w:t>
        </w:r>
      </w:hyperlink>
    </w:p>
    <w:p>
      <w:pPr>
        <w:pStyle w:val="Bullet0"/>
        <w:rPr>
          <w:noProof/>
          <w:sz w:val="22"/>
        </w:rPr>
      </w:pPr>
      <w:r>
        <w:rPr>
          <w:noProof/>
          <w:sz w:val="22"/>
        </w:rPr>
        <w:t>1997 m. protokolo, susijusio su </w:t>
      </w:r>
      <w:r>
        <w:rPr>
          <w:rStyle w:val="Emphasis"/>
          <w:noProof/>
          <w:sz w:val="22"/>
        </w:rPr>
        <w:t>1973 m. Tarptautine konvencija dėl teršimo iš laivų prevencijos</w:t>
      </w:r>
      <w:r>
        <w:rPr>
          <w:noProof/>
          <w:sz w:val="22"/>
        </w:rPr>
        <w:t>, priedo pakeitimai</w:t>
      </w:r>
      <w:r>
        <w:rPr>
          <w:rStyle w:val="apple-converted-space"/>
          <w:i/>
          <w:iCs/>
          <w:noProof/>
          <w:sz w:val="22"/>
        </w:rPr>
        <w:t> </w:t>
      </w:r>
      <w:r>
        <w:rPr>
          <w:noProof/>
          <w:sz w:val="22"/>
        </w:rPr>
        <w:t>(laivų energijos vartojimo efektyvumo taisyklių įtraukimas)</w:t>
      </w:r>
    </w:p>
    <w:p>
      <w:pPr>
        <w:pStyle w:val="Bullet0"/>
        <w:rPr>
          <w:noProof/>
          <w:sz w:val="22"/>
        </w:rPr>
      </w:pPr>
      <w:hyperlink r:id="rId76" w:tgtFrame="_blank" w:tooltip=" 26 Kb" w:history="1">
        <w:r>
          <w:rPr>
            <w:rStyle w:val="Hyperlink"/>
            <w:rFonts w:ascii="Times New Roman" w:hAnsi="Times New Roman"/>
            <w:noProof/>
            <w:color w:val="auto"/>
            <w:sz w:val="22"/>
          </w:rPr>
          <w:t>MEPC 62/24/Corr.1</w:t>
        </w:r>
      </w:hyperlink>
      <w:r>
        <w:rPr>
          <w:noProof/>
          <w:sz w:val="22"/>
        </w:rPr>
        <w:t xml:space="preserve"> apima keletą Rezoliucijos MEPC.203(62) pataisų</w:t>
      </w:r>
    </w:p>
    <w:p>
      <w:pPr>
        <w:rPr>
          <w:noProof/>
          <w:sz w:val="22"/>
        </w:rPr>
      </w:pPr>
      <w:r>
        <w:rPr>
          <w:noProof/>
          <w:sz w:val="22"/>
        </w:rPr>
        <w:t xml:space="preserve">VI priedo pakeitimai, įsigalioję 2013 m. sausio 1 d. </w:t>
      </w:r>
      <w:hyperlink r:id="rId77" w:tgtFrame="_blank" w:tooltip=" 478 Kb" w:history="1">
        <w:r>
          <w:rPr>
            <w:rStyle w:val="Hyperlink"/>
            <w:rFonts w:ascii="Times New Roman" w:hAnsi="Times New Roman"/>
            <w:noProof/>
            <w:color w:val="auto"/>
            <w:sz w:val="22"/>
          </w:rPr>
          <w:t>Rezoliucija MEPC.202(62)</w:t>
        </w:r>
      </w:hyperlink>
    </w:p>
    <w:p>
      <w:pPr>
        <w:pStyle w:val="Bullet0"/>
        <w:rPr>
          <w:noProof/>
          <w:sz w:val="22"/>
        </w:rPr>
      </w:pPr>
      <w:r>
        <w:rPr>
          <w:noProof/>
          <w:sz w:val="22"/>
        </w:rPr>
        <w:t>1997 m. protokolo, susijusio su </w:t>
      </w:r>
      <w:r>
        <w:rPr>
          <w:rStyle w:val="apple-converted-space"/>
          <w:noProof/>
          <w:sz w:val="22"/>
        </w:rPr>
        <w:t> </w:t>
      </w:r>
      <w:r>
        <w:rPr>
          <w:rStyle w:val="Emphasis"/>
          <w:noProof/>
          <w:sz w:val="22"/>
        </w:rPr>
        <w:t>1973 m. Tarptautine konvencija dėl teršimo iš laivų prevencijos</w:t>
      </w:r>
      <w:r>
        <w:rPr>
          <w:rStyle w:val="apple-converted-space"/>
          <w:i/>
          <w:iCs/>
          <w:noProof/>
          <w:sz w:val="22"/>
        </w:rPr>
        <w:t> </w:t>
      </w:r>
      <w:r>
        <w:rPr>
          <w:noProof/>
          <w:sz w:val="22"/>
        </w:rPr>
        <w:t>, priedo pakeitimai (Karibų jūros paskelbimas išmetamųjų teršalų kontrolės rajonu)</w:t>
      </w:r>
    </w:p>
    <w:p>
      <w:pPr>
        <w:pStyle w:val="Bullet0"/>
        <w:rPr>
          <w:noProof/>
          <w:sz w:val="22"/>
        </w:rPr>
      </w:pPr>
      <w:hyperlink r:id="rId78" w:tgtFrame="_blank" w:history="1">
        <w:r>
          <w:rPr>
            <w:rStyle w:val="Hyperlink"/>
            <w:rFonts w:ascii="Times New Roman" w:hAnsi="Times New Roman"/>
            <w:noProof/>
            <w:color w:val="auto"/>
            <w:sz w:val="22"/>
          </w:rPr>
          <w:t>MEPC 62/24/Corr.1</w:t>
        </w:r>
      </w:hyperlink>
      <w:r>
        <w:rPr>
          <w:noProof/>
          <w:sz w:val="22"/>
        </w:rPr>
        <w:t xml:space="preserve"> apima keletą Rezoliucijos MEPC.202(62) pataisų</w:t>
      </w:r>
    </w:p>
    <w:p>
      <w:pPr>
        <w:rPr>
          <w:noProof/>
          <w:sz w:val="22"/>
        </w:rPr>
      </w:pPr>
      <w:r>
        <w:rPr>
          <w:noProof/>
          <w:sz w:val="22"/>
        </w:rPr>
        <w:t xml:space="preserve">VI priedo pakeitimai, įsigalioję 2012 m. vasario 1 d. </w:t>
      </w:r>
      <w:hyperlink r:id="rId79" w:tgtFrame="_blank" w:tooltip=" 63 Kb" w:history="1">
        <w:r>
          <w:rPr>
            <w:rStyle w:val="Hyperlink"/>
            <w:rFonts w:ascii="Times New Roman" w:hAnsi="Times New Roman"/>
            <w:noProof/>
            <w:color w:val="auto"/>
            <w:sz w:val="22"/>
          </w:rPr>
          <w:t>Rezoliucija MEPC.194(61)</w:t>
        </w:r>
      </w:hyperlink>
    </w:p>
    <w:p>
      <w:pPr>
        <w:pStyle w:val="Bullet0"/>
        <w:rPr>
          <w:noProof/>
          <w:sz w:val="22"/>
        </w:rPr>
      </w:pPr>
      <w:r>
        <w:rPr>
          <w:noProof/>
          <w:sz w:val="22"/>
        </w:rPr>
        <w:t>1997 m. protokolo priedo pakeitimai, siekiant iš dalies pakeisti </w:t>
      </w:r>
      <w:r>
        <w:rPr>
          <w:rStyle w:val="Emphasis"/>
          <w:noProof/>
          <w:sz w:val="22"/>
        </w:rPr>
        <w:t>1973 m. Tarptautinę konvenciją dėl teršimo iš laivų prevencijos</w:t>
      </w:r>
      <w:r>
        <w:rPr>
          <w:noProof/>
          <w:sz w:val="22"/>
        </w:rPr>
        <w:t xml:space="preserve"> su pakeitimais, padarytais su ja susijusiu 1978 m. protokolu (persvarstyta Tarptautinio teršimo nafta prevencijos liudijimo priedo forma)</w:t>
      </w:r>
    </w:p>
    <w:p>
      <w:pPr>
        <w:rPr>
          <w:noProof/>
          <w:sz w:val="22"/>
        </w:rPr>
      </w:pPr>
      <w:r>
        <w:rPr>
          <w:noProof/>
          <w:sz w:val="22"/>
        </w:rPr>
        <w:t xml:space="preserve">VI priedo pakeitimai, įsigalioję 2011 m. rugpjūčio 1 d. </w:t>
      </w:r>
      <w:hyperlink r:id="rId80" w:tgtFrame="_blank" w:tooltip=" 73 Kb" w:history="1">
        <w:r>
          <w:rPr>
            <w:rStyle w:val="Hyperlink"/>
            <w:rFonts w:ascii="Times New Roman" w:hAnsi="Times New Roman"/>
            <w:noProof/>
            <w:color w:val="auto"/>
            <w:sz w:val="22"/>
          </w:rPr>
          <w:t>Rezoliucija MEPC.190(60)</w:t>
        </w:r>
      </w:hyperlink>
    </w:p>
    <w:p>
      <w:pPr>
        <w:pStyle w:val="Bullet0"/>
        <w:rPr>
          <w:noProof/>
          <w:sz w:val="22"/>
        </w:rPr>
      </w:pPr>
      <w:r>
        <w:rPr>
          <w:noProof/>
          <w:sz w:val="22"/>
        </w:rPr>
        <w:t>1997 m. protokolo priedo pakeitimai, siekiant iš dalies pakeisti </w:t>
      </w:r>
      <w:r>
        <w:rPr>
          <w:rStyle w:val="Emphasis"/>
          <w:noProof/>
          <w:sz w:val="22"/>
        </w:rPr>
        <w:t>1973 m. Tarptautinę konvenciją dėl teršimo iš laivų prevencijos</w:t>
      </w:r>
      <w:r>
        <w:rPr>
          <w:noProof/>
          <w:sz w:val="22"/>
        </w:rPr>
        <w:t xml:space="preserve"> su pakeitimais, padarytais su ja susijusiu 1978 m. protokolu (Šiaurės Amerikos išmetamųjų teršalų kontrolės rajonas)</w:t>
      </w:r>
    </w:p>
    <w:p>
      <w:pPr>
        <w:rPr>
          <w:noProof/>
          <w:sz w:val="22"/>
        </w:rPr>
      </w:pPr>
      <w:r>
        <w:rPr>
          <w:noProof/>
          <w:sz w:val="22"/>
        </w:rPr>
        <w:t xml:space="preserve">2010 m. liepos 1 d. MARPOL konvencijos VI priedo tekstas. </w:t>
      </w:r>
      <w:hyperlink r:id="rId81" w:history="1">
        <w:r>
          <w:rPr>
            <w:rStyle w:val="Hyperlink"/>
            <w:rFonts w:ascii="Times New Roman" w:hAnsi="Times New Roman"/>
            <w:noProof/>
            <w:color w:val="auto"/>
            <w:sz w:val="22"/>
          </w:rPr>
          <w:t>Rezoliucija MEPC.176(58)</w:t>
        </w:r>
      </w:hyperlink>
    </w:p>
    <w:p>
      <w:pPr>
        <w:pStyle w:val="Bullet0"/>
        <w:rPr>
          <w:noProof/>
          <w:sz w:val="22"/>
        </w:rPr>
      </w:pPr>
      <w:r>
        <w:rPr>
          <w:noProof/>
          <w:sz w:val="22"/>
        </w:rPr>
        <w:t>1997 m. protokolo priedo pakeitimai, siekiant iš dalies pakeisti</w:t>
      </w:r>
      <w:r>
        <w:rPr>
          <w:rStyle w:val="apple-converted-space"/>
          <w:noProof/>
          <w:sz w:val="22"/>
        </w:rPr>
        <w:t> </w:t>
      </w:r>
      <w:r>
        <w:rPr>
          <w:rStyle w:val="Emphasis"/>
          <w:noProof/>
          <w:sz w:val="22"/>
        </w:rPr>
        <w:t>1973 m. Tarptautinę konvenciją dėl teršimo iš laivų prevencijos</w:t>
      </w:r>
      <w:r>
        <w:rPr>
          <w:noProof/>
          <w:sz w:val="22"/>
        </w:rPr>
        <w:t xml:space="preserve"> su pakeitimais, padarytais su ja susijusiu 1978 m. protokolu (persvarstytas MARPOL konvencijos VI priedas)</w:t>
      </w:r>
    </w:p>
    <w:p>
      <w:pPr>
        <w:rPr>
          <w:noProof/>
          <w:sz w:val="22"/>
        </w:rPr>
      </w:pPr>
    </w:p>
    <w:p>
      <w:pPr>
        <w:rPr>
          <w:noProof/>
          <w:sz w:val="22"/>
        </w:rPr>
      </w:pPr>
    </w:p>
    <w:sectPr>
      <w:headerReference w:type="default" r:id="rId82"/>
      <w:footerReference w:type="default" r:id="rId83"/>
      <w:headerReference w:type="first" r:id="rId84"/>
      <w:footerReference w:type="first" r:id="rId85"/>
      <w:pgSz w:w="16839" w:h="11907" w:orient="landscape"/>
      <w:pgMar w:top="1417" w:right="1134" w:bottom="1417"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LT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b/>
        </w:rPr>
      </w:pPr>
      <w:r>
        <w:rPr>
          <w:rStyle w:val="FootnoteReference"/>
        </w:rPr>
        <w:footnoteRef/>
      </w:r>
      <w:r>
        <w:tab/>
        <w:t>Norvegija nėra Europos Sąjungos narė. Norvegija prisideda remdamasi lygiaverčiais nacionalinės teisės aktais ir ES teisės aktais, pagal kuriuos ji yra įsipareigojusi kaip Europos ekonominės erdvės (EEE) narė.</w:t>
      </w:r>
    </w:p>
  </w:footnote>
  <w:footnote w:id="2">
    <w:p>
      <w:pPr>
        <w:pStyle w:val="FootnoteText"/>
      </w:pPr>
      <w:r>
        <w:rPr>
          <w:rStyle w:val="FootnoteReference"/>
        </w:rPr>
        <w:footnoteRef/>
      </w:r>
      <w:r>
        <w:tab/>
        <w:t xml:space="preserve">2018 m. balandžio 16 d. Komisijos ataskaita dėl sieros kiekio jūriniame kure standartų, nustatytų Direktyvoje 2016/802/ES, įgyvendinimo ir laikymosi, COM(2018) 188 </w:t>
      </w:r>
      <w:r>
        <w:rPr>
          <w:i/>
          <w:iCs/>
        </w:rPr>
        <w:t>final</w:t>
      </w:r>
      <w:r>
        <w:t>.</w:t>
      </w:r>
    </w:p>
  </w:footnote>
  <w:footnote w:id="3">
    <w:p>
      <w:pPr>
        <w:pStyle w:val="FootnoteText"/>
      </w:pPr>
      <w:r>
        <w:rPr>
          <w:rStyle w:val="FootnoteReference"/>
        </w:rPr>
        <w:footnoteRef/>
      </w:r>
      <w:r>
        <w:tab/>
        <w:t xml:space="preserve">Norvegija nėra Europos Sąjungos narė. Norvegija prisideda remdamasi lygiaverčiais nacionalinės teisės aktais ir ES teisės aktais, pagal kuriuos ji yra įsipareigojusi kaip Europos ekonominės erdvės (EEE) narė. </w:t>
      </w:r>
    </w:p>
  </w:footnote>
  <w:footnote w:id="4">
    <w:p>
      <w:pPr>
        <w:pStyle w:val="FootnoteText"/>
        <w:spacing w:line="280" w:lineRule="atLeast"/>
      </w:pPr>
      <w:r>
        <w:rPr>
          <w:rStyle w:val="FootnoteReference"/>
        </w:rPr>
        <w:footnoteRef/>
      </w:r>
      <w:r>
        <w:tab/>
        <w:t>Norvegija nėra Europos Sąjungos narė. Norvegija prisideda remdamasi lygiaverčiais nacionalinės teisės aktais ir ES teisės aktais, pagal kuriuos ji yra įsipareigojusi kaip Europos ekonominės erdvės (EEE) narė.</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A06487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72EED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2BA82DCA"/>
    <w:lvl w:ilvl="0">
      <w:start w:val="1"/>
      <w:numFmt w:val="decimal"/>
      <w:pStyle w:val="ListNumber2"/>
      <w:lvlText w:val="%1."/>
      <w:lvlJc w:val="left"/>
      <w:pPr>
        <w:tabs>
          <w:tab w:val="num" w:pos="643"/>
        </w:tabs>
        <w:ind w:left="643" w:hanging="360"/>
      </w:pPr>
    </w:lvl>
  </w:abstractNum>
  <w:abstractNum w:abstractNumId="3">
    <w:nsid w:val="FFFFFF81"/>
    <w:multiLevelType w:val="singleLevel"/>
    <w:tmpl w:val="C2FA6B1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DAC70B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D4EE1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FA0473C"/>
    <w:lvl w:ilvl="0">
      <w:start w:val="1"/>
      <w:numFmt w:val="lowerLetter"/>
      <w:pStyle w:val="ListNumber"/>
      <w:lvlText w:val="%1."/>
      <w:lvlJc w:val="left"/>
      <w:pPr>
        <w:tabs>
          <w:tab w:val="num" w:pos="1134"/>
        </w:tabs>
        <w:ind w:left="1134" w:hanging="567"/>
      </w:pPr>
      <w:rPr>
        <w:rFonts w:hint="default"/>
        <w:b w:val="0"/>
        <w:i w:val="0"/>
        <w:color w:val="auto"/>
        <w:sz w:val="20"/>
      </w:rPr>
    </w:lvl>
  </w:abstractNum>
  <w:abstractNum w:abstractNumId="7">
    <w:nsid w:val="FFFFFF89"/>
    <w:multiLevelType w:val="singleLevel"/>
    <w:tmpl w:val="C91E2FC0"/>
    <w:lvl w:ilvl="0">
      <w:start w:val="1"/>
      <w:numFmt w:val="lowerRoman"/>
      <w:pStyle w:val="ListBullet"/>
      <w:lvlText w:val="%1."/>
      <w:lvlJc w:val="right"/>
      <w:pPr>
        <w:tabs>
          <w:tab w:val="num" w:pos="1701"/>
        </w:tabs>
        <w:ind w:left="1701" w:hanging="567"/>
      </w:pPr>
      <w:rPr>
        <w:rFonts w:hint="default"/>
        <w:color w:val="auto"/>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474535B"/>
    <w:multiLevelType w:val="hybridMultilevel"/>
    <w:tmpl w:val="FF06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6"/>
  </w:num>
  <w:num w:numId="3">
    <w:abstractNumId w:val="21"/>
  </w:num>
  <w:num w:numId="4">
    <w:abstractNumId w:val="5"/>
  </w:num>
  <w:num w:numId="5">
    <w:abstractNumId w:val="4"/>
  </w:num>
  <w:num w:numId="6">
    <w:abstractNumId w:val="3"/>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2"/>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19 11:37:5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2"/>
    <w:docVar w:name="DQCResult_ModifiedMarkers" w:val="0;0"/>
    <w:docVar w:name="DQCResult_ModifiedNumbering" w:val="0;0"/>
    <w:docVar w:name="DQCResult_Objects" w:val="0;0"/>
    <w:docVar w:name="DQCResult_Sections" w:val="0;0"/>
    <w:docVar w:name="DQCResult_StructureCheck" w:val="0;0"/>
    <w:docVar w:name="DQCResult_SuperfluousWhitespace" w:val="0;43"/>
    <w:docVar w:name="DQCResult_UnknownFonts" w:val="0;0"/>
    <w:docVar w:name="DQCResult_UnknownStyles" w:val="0;0"/>
    <w:docVar w:name="DQCStatus" w:val="Yellow"/>
    <w:docVar w:name="DQCVersion" w:val="3"/>
    <w:docVar w:name="DQCWithWarnings" w:val="0"/>
    <w:docVar w:name="LW_ACCOMPAGNANT" w:val="prie"/>
    <w:docVar w:name="LW_ACCOMPAGNANT.CP" w:val="prie"/>
    <w:docVar w:name="LW_ANNEX_NBR_FIRST" w:val="1"/>
    <w:docVar w:name="LW_ANNEX_NBR_LAST" w:val="2"/>
    <w:docVar w:name="LW_ANNEX_UNIQUE" w:val="0"/>
    <w:docVar w:name="LW_CORRIGENDUM" w:val="&lt;UNUSED&gt;"/>
    <w:docVar w:name="LW_COVERPAGE_EXISTS" w:val="True"/>
    <w:docVar w:name="LW_COVERPAGE_GUID" w:val="51F736AD-532E-48AA-B20B-9E8F8CC46EFB"/>
    <w:docVar w:name="LW_COVERPAGE_TYPE" w:val="1"/>
    <w:docVar w:name="LW_CROSSREFERENCE" w:val="&lt;UNUSED&gt;"/>
    <w:docVar w:name="LW_DocType" w:val="ANNEX"/>
    <w:docVar w:name="LW_EMISSION" w:val="2019 08 30"/>
    <w:docVar w:name="LW_EMISSION_ISODATE" w:val="2019-08-30"/>
    <w:docVar w:name="LW_EMISSION_LOCATION" w:val="BRX"/>
    <w:docVar w:name="LW_EMISSION_PREFIX" w:val="Briuselis, "/>
    <w:docVar w:name="LW_EMISSION_SUFFIX" w:val=" "/>
    <w:docVar w:name="LW_ID_DOCSTRUCTURE" w:val="COM/ANNEX"/>
    <w:docVar w:name="LW_ID_DOCTYPE" w:val="SG-017"/>
    <w:docVar w:name="LW_LANGUE" w:val="LT"/>
    <w:docVar w:name="LW_LEVEL_OF_SENSITIVITY" w:val="Standard treatment"/>
    <w:docVar w:name="LW_NOM.INST" w:val="EUROPOS KOMISIJA"/>
    <w:docVar w:name="LW_NOM.INST_JOINTDOC" w:val="&lt;EMPTY&gt;"/>
    <w:docVar w:name="LW_OBJETACTEPRINCIPAL" w:val="&lt;FMT:Bold&gt;d\u279?l pozicijos, kurios Europos S\u261?jungos vardu turi b\u363?ti laikomasi antrajame Bonos susitarimo ministr\u371? susitikime, susijusiame su 2019\u8211?2025 m. Bonos susitarimo strateginiu veiksm\u371? planu (BASAP), pridedamu prie Ministr\u371? deklaracijos, ir atsi\u382?velgiant \u303? Ministr\u371? deklaracij\u261?&lt;/FMT&gt;"/>
    <w:docVar w:name="LW_OBJETACTEPRINCIPAL.CP" w:val="&lt;FMT:Bold&gt;d\u279?l pozicijos, kurios Europos S\u261?jungos vardu turi b\u363?ti laikomasi antrajame Bonos susitarimo ministr\u371? susitikime, susijusiame su 2019\u8211?2025 m. Bonos susitarimo strateginiu veiksm\u371? planu (BASAP), pridedamu prie Ministr\u371? deklaracijos, ir atsi\u382?velgiant \u303? Ministr\u371? deklaracij\u261?&lt;/FMT&gt;"/>
    <w:docVar w:name="LW_PART_NBR" w:val="&lt;UNUSED&gt;"/>
    <w:docVar w:name="LW_PART_NBR_TOTAL" w:val="&lt;UNUSED&gt;"/>
    <w:docVar w:name="LW_REF.INST.NEW" w:val="COM"/>
    <w:docVar w:name="LW_REF.INST.NEW_ADOPTED" w:val="final"/>
    <w:docVar w:name="LW_REF.INST.NEW_TEXT" w:val="(2019) 3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EDAI"/>
    <w:docVar w:name="LW_TYPE.DOC.CP" w:val="PRIEDAI"/>
    <w:docVar w:name="LW_TYPEACTEPRINCIPAL" w:val="Pasi\u363?lymo d\u279?l Tarybos sprendimo"/>
    <w:docVar w:name="LW_TYPEACTEPRINCIPAL.CP" w:val="Pasi\u363?lymo d\u279?l Tarybos sprendim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style>
  <w:style w:type="character" w:styleId="PageNumber">
    <w:name w:val="page number"/>
    <w:rPr>
      <w:rFonts w:ascii="Arial" w:hAnsi="Arial"/>
      <w:sz w:val="18"/>
    </w:rPr>
  </w:style>
  <w:style w:type="paragraph" w:styleId="BodyText">
    <w:name w:val="Body Text"/>
    <w:basedOn w:val="Normal"/>
    <w:link w:val="BodyTextChar"/>
    <w:uiPriority w:val="99"/>
    <w:pPr>
      <w:tabs>
        <w:tab w:val="left" w:pos="567"/>
      </w:tabs>
      <w:spacing w:before="0" w:after="140" w:line="280" w:lineRule="atLeast"/>
    </w:pPr>
    <w:rPr>
      <w:rFonts w:ascii="Arial" w:eastAsia="Times New Roman" w:hAnsi="Arial"/>
      <w:szCs w:val="24"/>
    </w:rPr>
  </w:style>
  <w:style w:type="character" w:customStyle="1" w:styleId="BodyTextChar">
    <w:name w:val="Body Text Char"/>
    <w:basedOn w:val="DefaultParagraphFont"/>
    <w:link w:val="BodyText"/>
    <w:uiPriority w:val="99"/>
    <w:rPr>
      <w:rFonts w:ascii="Arial" w:eastAsia="Times New Roman" w:hAnsi="Arial" w:cs="Times New Roman"/>
      <w:sz w:val="24"/>
      <w:szCs w:val="24"/>
      <w:lang w:val="lt-LT"/>
    </w:rPr>
  </w:style>
  <w:style w:type="character" w:customStyle="1" w:styleId="EndnoteTextChar">
    <w:name w:val="Endnote Text Char"/>
    <w:basedOn w:val="DefaultParagraphFont"/>
    <w:link w:val="EndnoteText"/>
    <w:uiPriority w:val="99"/>
    <w:semiHidden/>
    <w:rPr>
      <w:rFonts w:ascii="Arial" w:eastAsia="Times New Roman" w:hAnsi="Arial" w:cs="Times New Roman"/>
      <w:sz w:val="24"/>
      <w:szCs w:val="24"/>
      <w:lang w:val="lt-LT"/>
    </w:rPr>
  </w:style>
  <w:style w:type="paragraph" w:styleId="EndnoteText">
    <w:name w:val="endnote text"/>
    <w:basedOn w:val="Normal"/>
    <w:link w:val="EndnoteTextChar"/>
    <w:uiPriority w:val="99"/>
    <w:semiHidden/>
    <w:pPr>
      <w:tabs>
        <w:tab w:val="left" w:pos="357"/>
        <w:tab w:val="left" w:pos="567"/>
      </w:tabs>
      <w:spacing w:before="0" w:after="140" w:line="280" w:lineRule="atLeast"/>
    </w:pPr>
    <w:rPr>
      <w:rFonts w:ascii="Arial" w:eastAsia="Times New Roman" w:hAnsi="Arial"/>
      <w:szCs w:val="24"/>
    </w:rPr>
  </w:style>
  <w:style w:type="paragraph" w:styleId="EnvelopeAddress">
    <w:name w:val="envelope address"/>
    <w:basedOn w:val="Normal"/>
    <w:uiPriority w:val="99"/>
    <w:pPr>
      <w:framePr w:w="7920" w:h="1980" w:hRule="exact" w:hSpace="180" w:wrap="auto" w:hAnchor="page" w:xAlign="center" w:yAlign="bottom"/>
      <w:tabs>
        <w:tab w:val="left" w:pos="357"/>
        <w:tab w:val="left" w:pos="567"/>
      </w:tabs>
      <w:spacing w:before="0" w:after="140" w:line="280" w:lineRule="atLeast"/>
      <w:ind w:left="2880"/>
    </w:pPr>
    <w:rPr>
      <w:rFonts w:ascii="Arial" w:eastAsia="Times New Roman" w:hAnsi="Arial"/>
      <w:szCs w:val="24"/>
    </w:rPr>
  </w:style>
  <w:style w:type="character" w:styleId="FollowedHyperlink">
    <w:name w:val="FollowedHyperlink"/>
    <w:rPr>
      <w:color w:val="808080"/>
      <w:u w:val="none"/>
    </w:rPr>
  </w:style>
  <w:style w:type="character" w:styleId="Hyperlink">
    <w:name w:val="Hyperlink"/>
    <w:rPr>
      <w:rFonts w:ascii="Arial" w:hAnsi="Arial"/>
      <w:color w:val="16288E"/>
      <w:u w:val="none"/>
    </w:rPr>
  </w:style>
  <w:style w:type="paragraph" w:customStyle="1" w:styleId="Introduction">
    <w:name w:val="Introduction"/>
    <w:basedOn w:val="BodyText"/>
    <w:next w:val="BodyText"/>
    <w:uiPriority w:val="99"/>
    <w:pPr>
      <w:spacing w:before="140"/>
    </w:pPr>
    <w:rPr>
      <w:b/>
    </w:rPr>
  </w:style>
  <w:style w:type="paragraph" w:styleId="ListBullet">
    <w:name w:val="List Bullet"/>
    <w:basedOn w:val="Normal"/>
    <w:uiPriority w:val="99"/>
    <w:pPr>
      <w:numPr>
        <w:numId w:val="1"/>
      </w:numPr>
      <w:tabs>
        <w:tab w:val="left" w:pos="567"/>
      </w:tabs>
      <w:spacing w:before="0" w:after="140" w:line="280" w:lineRule="atLeast"/>
    </w:pPr>
    <w:rPr>
      <w:rFonts w:ascii="Arial" w:eastAsia="Times New Roman" w:hAnsi="Arial"/>
      <w:szCs w:val="24"/>
    </w:rPr>
  </w:style>
  <w:style w:type="paragraph" w:styleId="ListNumber">
    <w:name w:val="List Number"/>
    <w:basedOn w:val="Normal"/>
    <w:uiPriority w:val="99"/>
    <w:pPr>
      <w:numPr>
        <w:numId w:val="2"/>
      </w:numPr>
      <w:tabs>
        <w:tab w:val="left" w:pos="567"/>
      </w:tabs>
      <w:spacing w:before="0" w:after="140" w:line="280" w:lineRule="atLeast"/>
    </w:pPr>
    <w:rPr>
      <w:rFonts w:ascii="Arial" w:eastAsia="Times New Roman" w:hAnsi="Arial"/>
      <w:szCs w:val="24"/>
    </w:rPr>
  </w:style>
  <w:style w:type="paragraph" w:styleId="Title">
    <w:name w:val="Title"/>
    <w:link w:val="TitleChar"/>
    <w:uiPriority w:val="99"/>
    <w:qFormat/>
    <w:pPr>
      <w:spacing w:before="560" w:after="280" w:line="280" w:lineRule="atLeast"/>
      <w:outlineLvl w:val="0"/>
    </w:pPr>
    <w:rPr>
      <w:rFonts w:ascii="Arial" w:eastAsia="Times New Roman" w:hAnsi="Arial" w:cs="Times New Roman"/>
      <w:noProof/>
      <w:kern w:val="28"/>
      <w:sz w:val="40"/>
      <w:szCs w:val="24"/>
    </w:rPr>
  </w:style>
  <w:style w:type="character" w:customStyle="1" w:styleId="TitleChar">
    <w:name w:val="Title Char"/>
    <w:basedOn w:val="DefaultParagraphFont"/>
    <w:link w:val="Title"/>
    <w:uiPriority w:val="99"/>
    <w:rPr>
      <w:rFonts w:ascii="Arial" w:eastAsia="Times New Roman" w:hAnsi="Arial" w:cs="Times New Roman"/>
      <w:noProof/>
      <w:kern w:val="28"/>
      <w:sz w:val="40"/>
      <w:szCs w:val="24"/>
    </w:rPr>
  </w:style>
  <w:style w:type="paragraph" w:customStyle="1" w:styleId="Docheader">
    <w:name w:val="Doc header"/>
    <w:basedOn w:val="Normal"/>
    <w:uiPriority w:val="99"/>
    <w:pPr>
      <w:tabs>
        <w:tab w:val="left" w:pos="567"/>
      </w:tabs>
      <w:spacing w:before="0" w:after="0" w:line="280" w:lineRule="exact"/>
      <w:jc w:val="left"/>
    </w:pPr>
    <w:rPr>
      <w:rFonts w:ascii="Arial" w:eastAsia="Times New Roman" w:hAnsi="Arial"/>
      <w:szCs w:val="24"/>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lt-LT"/>
    </w:rPr>
  </w:style>
  <w:style w:type="paragraph" w:styleId="BalloonText">
    <w:name w:val="Balloon Text"/>
    <w:basedOn w:val="Normal"/>
    <w:link w:val="BalloonTextChar"/>
    <w:uiPriority w:val="99"/>
    <w:semiHidden/>
    <w:pPr>
      <w:tabs>
        <w:tab w:val="left" w:pos="567"/>
      </w:tabs>
      <w:spacing w:before="0" w:after="140" w:line="280" w:lineRule="atLeast"/>
    </w:pPr>
    <w:rPr>
      <w:rFonts w:ascii="Tahoma" w:eastAsia="Times New Roman" w:hAnsi="Tahoma" w:cs="Tahoma"/>
      <w:sz w:val="16"/>
      <w:szCs w:val="16"/>
    </w:rPr>
  </w:style>
  <w:style w:type="table" w:styleId="TableGrid">
    <w:name w:val="Table Grid"/>
    <w:basedOn w:val="TableNormal"/>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ascii="Times" w:eastAsia="MS Mincho" w:hAnsi="Times"/>
      <w:szCs w:val="24"/>
    </w:rPr>
  </w:style>
  <w:style w:type="character" w:styleId="CommentReference">
    <w:name w:val="annotation reference"/>
    <w:basedOn w:val="DefaultParagraphFont"/>
    <w:rPr>
      <w:sz w:val="18"/>
      <w:szCs w:val="18"/>
    </w:rPr>
  </w:style>
  <w:style w:type="paragraph" w:styleId="CommentText">
    <w:name w:val="annotation text"/>
    <w:basedOn w:val="Normal"/>
    <w:link w:val="CommentTextChar"/>
    <w:uiPriority w:val="99"/>
    <w:pPr>
      <w:tabs>
        <w:tab w:val="left" w:pos="567"/>
      </w:tabs>
      <w:spacing w:before="0" w:after="140"/>
    </w:pPr>
    <w:rPr>
      <w:rFonts w:ascii="Arial" w:eastAsia="Times New Roman" w:hAnsi="Arial"/>
      <w:szCs w:val="24"/>
    </w:rPr>
  </w:style>
  <w:style w:type="character" w:customStyle="1" w:styleId="CommentTextChar">
    <w:name w:val="Comment Text Char"/>
    <w:basedOn w:val="DefaultParagraphFont"/>
    <w:link w:val="CommentText"/>
    <w:uiPriority w:val="99"/>
    <w:rPr>
      <w:rFonts w:ascii="Arial" w:eastAsia="Times New Roman" w:hAnsi="Arial" w:cs="Times New Roman"/>
      <w:sz w:val="24"/>
      <w:szCs w:val="24"/>
      <w:lang w:val="lt-LT"/>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rFonts w:ascii="Arial" w:eastAsia="Times New Roman" w:hAnsi="Arial" w:cs="Times New Roman"/>
      <w:b/>
      <w:bCs/>
      <w:sz w:val="20"/>
      <w:szCs w:val="20"/>
      <w:lang w:val="lt-LT"/>
    </w:r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paragraph" w:styleId="ListParagraph">
    <w:name w:val="List Paragraph"/>
    <w:basedOn w:val="Normal"/>
    <w:uiPriority w:val="34"/>
    <w:qFormat/>
    <w:pPr>
      <w:tabs>
        <w:tab w:val="left" w:pos="567"/>
      </w:tabs>
      <w:spacing w:before="0" w:after="140" w:line="280" w:lineRule="atLeast"/>
      <w:ind w:left="720"/>
      <w:contextualSpacing/>
    </w:pPr>
    <w:rPr>
      <w:rFonts w:ascii="Arial" w:eastAsia="Times New Roman" w:hAnsi="Arial"/>
      <w:szCs w:val="24"/>
    </w:r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style>
  <w:style w:type="character" w:styleId="PageNumber">
    <w:name w:val="page number"/>
    <w:rPr>
      <w:rFonts w:ascii="Arial" w:hAnsi="Arial"/>
      <w:sz w:val="18"/>
    </w:rPr>
  </w:style>
  <w:style w:type="paragraph" w:styleId="BodyText">
    <w:name w:val="Body Text"/>
    <w:basedOn w:val="Normal"/>
    <w:link w:val="BodyTextChar"/>
    <w:uiPriority w:val="99"/>
    <w:pPr>
      <w:tabs>
        <w:tab w:val="left" w:pos="567"/>
      </w:tabs>
      <w:spacing w:before="0" w:after="140" w:line="280" w:lineRule="atLeast"/>
    </w:pPr>
    <w:rPr>
      <w:rFonts w:ascii="Arial" w:eastAsia="Times New Roman" w:hAnsi="Arial"/>
      <w:szCs w:val="24"/>
    </w:rPr>
  </w:style>
  <w:style w:type="character" w:customStyle="1" w:styleId="BodyTextChar">
    <w:name w:val="Body Text Char"/>
    <w:basedOn w:val="DefaultParagraphFont"/>
    <w:link w:val="BodyText"/>
    <w:uiPriority w:val="99"/>
    <w:rPr>
      <w:rFonts w:ascii="Arial" w:eastAsia="Times New Roman" w:hAnsi="Arial" w:cs="Times New Roman"/>
      <w:sz w:val="24"/>
      <w:szCs w:val="24"/>
      <w:lang w:val="lt-LT"/>
    </w:rPr>
  </w:style>
  <w:style w:type="character" w:customStyle="1" w:styleId="EndnoteTextChar">
    <w:name w:val="Endnote Text Char"/>
    <w:basedOn w:val="DefaultParagraphFont"/>
    <w:link w:val="EndnoteText"/>
    <w:uiPriority w:val="99"/>
    <w:semiHidden/>
    <w:rPr>
      <w:rFonts w:ascii="Arial" w:eastAsia="Times New Roman" w:hAnsi="Arial" w:cs="Times New Roman"/>
      <w:sz w:val="24"/>
      <w:szCs w:val="24"/>
      <w:lang w:val="lt-LT"/>
    </w:rPr>
  </w:style>
  <w:style w:type="paragraph" w:styleId="EndnoteText">
    <w:name w:val="endnote text"/>
    <w:basedOn w:val="Normal"/>
    <w:link w:val="EndnoteTextChar"/>
    <w:uiPriority w:val="99"/>
    <w:semiHidden/>
    <w:pPr>
      <w:tabs>
        <w:tab w:val="left" w:pos="357"/>
        <w:tab w:val="left" w:pos="567"/>
      </w:tabs>
      <w:spacing w:before="0" w:after="140" w:line="280" w:lineRule="atLeast"/>
    </w:pPr>
    <w:rPr>
      <w:rFonts w:ascii="Arial" w:eastAsia="Times New Roman" w:hAnsi="Arial"/>
      <w:szCs w:val="24"/>
    </w:rPr>
  </w:style>
  <w:style w:type="paragraph" w:styleId="EnvelopeAddress">
    <w:name w:val="envelope address"/>
    <w:basedOn w:val="Normal"/>
    <w:uiPriority w:val="99"/>
    <w:pPr>
      <w:framePr w:w="7920" w:h="1980" w:hRule="exact" w:hSpace="180" w:wrap="auto" w:hAnchor="page" w:xAlign="center" w:yAlign="bottom"/>
      <w:tabs>
        <w:tab w:val="left" w:pos="357"/>
        <w:tab w:val="left" w:pos="567"/>
      </w:tabs>
      <w:spacing w:before="0" w:after="140" w:line="280" w:lineRule="atLeast"/>
      <w:ind w:left="2880"/>
    </w:pPr>
    <w:rPr>
      <w:rFonts w:ascii="Arial" w:eastAsia="Times New Roman" w:hAnsi="Arial"/>
      <w:szCs w:val="24"/>
    </w:rPr>
  </w:style>
  <w:style w:type="character" w:styleId="FollowedHyperlink">
    <w:name w:val="FollowedHyperlink"/>
    <w:rPr>
      <w:color w:val="808080"/>
      <w:u w:val="none"/>
    </w:rPr>
  </w:style>
  <w:style w:type="character" w:styleId="Hyperlink">
    <w:name w:val="Hyperlink"/>
    <w:rPr>
      <w:rFonts w:ascii="Arial" w:hAnsi="Arial"/>
      <w:color w:val="16288E"/>
      <w:u w:val="none"/>
    </w:rPr>
  </w:style>
  <w:style w:type="paragraph" w:customStyle="1" w:styleId="Introduction">
    <w:name w:val="Introduction"/>
    <w:basedOn w:val="BodyText"/>
    <w:next w:val="BodyText"/>
    <w:uiPriority w:val="99"/>
    <w:pPr>
      <w:spacing w:before="140"/>
    </w:pPr>
    <w:rPr>
      <w:b/>
    </w:rPr>
  </w:style>
  <w:style w:type="paragraph" w:styleId="ListBullet">
    <w:name w:val="List Bullet"/>
    <w:basedOn w:val="Normal"/>
    <w:uiPriority w:val="99"/>
    <w:pPr>
      <w:numPr>
        <w:numId w:val="1"/>
      </w:numPr>
      <w:tabs>
        <w:tab w:val="left" w:pos="567"/>
      </w:tabs>
      <w:spacing w:before="0" w:after="140" w:line="280" w:lineRule="atLeast"/>
    </w:pPr>
    <w:rPr>
      <w:rFonts w:ascii="Arial" w:eastAsia="Times New Roman" w:hAnsi="Arial"/>
      <w:szCs w:val="24"/>
    </w:rPr>
  </w:style>
  <w:style w:type="paragraph" w:styleId="ListNumber">
    <w:name w:val="List Number"/>
    <w:basedOn w:val="Normal"/>
    <w:uiPriority w:val="99"/>
    <w:pPr>
      <w:numPr>
        <w:numId w:val="2"/>
      </w:numPr>
      <w:tabs>
        <w:tab w:val="left" w:pos="567"/>
      </w:tabs>
      <w:spacing w:before="0" w:after="140" w:line="280" w:lineRule="atLeast"/>
    </w:pPr>
    <w:rPr>
      <w:rFonts w:ascii="Arial" w:eastAsia="Times New Roman" w:hAnsi="Arial"/>
      <w:szCs w:val="24"/>
    </w:rPr>
  </w:style>
  <w:style w:type="paragraph" w:styleId="Title">
    <w:name w:val="Title"/>
    <w:link w:val="TitleChar"/>
    <w:uiPriority w:val="99"/>
    <w:qFormat/>
    <w:pPr>
      <w:spacing w:before="560" w:after="280" w:line="280" w:lineRule="atLeast"/>
      <w:outlineLvl w:val="0"/>
    </w:pPr>
    <w:rPr>
      <w:rFonts w:ascii="Arial" w:eastAsia="Times New Roman" w:hAnsi="Arial" w:cs="Times New Roman"/>
      <w:noProof/>
      <w:kern w:val="28"/>
      <w:sz w:val="40"/>
      <w:szCs w:val="24"/>
    </w:rPr>
  </w:style>
  <w:style w:type="character" w:customStyle="1" w:styleId="TitleChar">
    <w:name w:val="Title Char"/>
    <w:basedOn w:val="DefaultParagraphFont"/>
    <w:link w:val="Title"/>
    <w:uiPriority w:val="99"/>
    <w:rPr>
      <w:rFonts w:ascii="Arial" w:eastAsia="Times New Roman" w:hAnsi="Arial" w:cs="Times New Roman"/>
      <w:noProof/>
      <w:kern w:val="28"/>
      <w:sz w:val="40"/>
      <w:szCs w:val="24"/>
    </w:rPr>
  </w:style>
  <w:style w:type="paragraph" w:customStyle="1" w:styleId="Docheader">
    <w:name w:val="Doc header"/>
    <w:basedOn w:val="Normal"/>
    <w:uiPriority w:val="99"/>
    <w:pPr>
      <w:tabs>
        <w:tab w:val="left" w:pos="567"/>
      </w:tabs>
      <w:spacing w:before="0" w:after="0" w:line="280" w:lineRule="exact"/>
      <w:jc w:val="left"/>
    </w:pPr>
    <w:rPr>
      <w:rFonts w:ascii="Arial" w:eastAsia="Times New Roman" w:hAnsi="Arial"/>
      <w:szCs w:val="24"/>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lt-LT"/>
    </w:rPr>
  </w:style>
  <w:style w:type="paragraph" w:styleId="BalloonText">
    <w:name w:val="Balloon Text"/>
    <w:basedOn w:val="Normal"/>
    <w:link w:val="BalloonTextChar"/>
    <w:uiPriority w:val="99"/>
    <w:semiHidden/>
    <w:pPr>
      <w:tabs>
        <w:tab w:val="left" w:pos="567"/>
      </w:tabs>
      <w:spacing w:before="0" w:after="140" w:line="280" w:lineRule="atLeast"/>
    </w:pPr>
    <w:rPr>
      <w:rFonts w:ascii="Tahoma" w:eastAsia="Times New Roman" w:hAnsi="Tahoma" w:cs="Tahoma"/>
      <w:sz w:val="16"/>
      <w:szCs w:val="16"/>
    </w:rPr>
  </w:style>
  <w:style w:type="table" w:styleId="TableGrid">
    <w:name w:val="Table Grid"/>
    <w:basedOn w:val="TableNormal"/>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ascii="Times" w:eastAsia="MS Mincho" w:hAnsi="Times"/>
      <w:szCs w:val="24"/>
    </w:rPr>
  </w:style>
  <w:style w:type="character" w:styleId="CommentReference">
    <w:name w:val="annotation reference"/>
    <w:basedOn w:val="DefaultParagraphFont"/>
    <w:rPr>
      <w:sz w:val="18"/>
      <w:szCs w:val="18"/>
    </w:rPr>
  </w:style>
  <w:style w:type="paragraph" w:styleId="CommentText">
    <w:name w:val="annotation text"/>
    <w:basedOn w:val="Normal"/>
    <w:link w:val="CommentTextChar"/>
    <w:uiPriority w:val="99"/>
    <w:pPr>
      <w:tabs>
        <w:tab w:val="left" w:pos="567"/>
      </w:tabs>
      <w:spacing w:before="0" w:after="140"/>
    </w:pPr>
    <w:rPr>
      <w:rFonts w:ascii="Arial" w:eastAsia="Times New Roman" w:hAnsi="Arial"/>
      <w:szCs w:val="24"/>
    </w:rPr>
  </w:style>
  <w:style w:type="character" w:customStyle="1" w:styleId="CommentTextChar">
    <w:name w:val="Comment Text Char"/>
    <w:basedOn w:val="DefaultParagraphFont"/>
    <w:link w:val="CommentText"/>
    <w:uiPriority w:val="99"/>
    <w:rPr>
      <w:rFonts w:ascii="Arial" w:eastAsia="Times New Roman" w:hAnsi="Arial" w:cs="Times New Roman"/>
      <w:sz w:val="24"/>
      <w:szCs w:val="24"/>
      <w:lang w:val="lt-LT"/>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rFonts w:ascii="Arial" w:eastAsia="Times New Roman" w:hAnsi="Arial" w:cs="Times New Roman"/>
      <w:b/>
      <w:bCs/>
      <w:sz w:val="20"/>
      <w:szCs w:val="20"/>
      <w:lang w:val="lt-LT"/>
    </w:r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paragraph" w:styleId="ListParagraph">
    <w:name w:val="List Paragraph"/>
    <w:basedOn w:val="Normal"/>
    <w:uiPriority w:val="34"/>
    <w:qFormat/>
    <w:pPr>
      <w:tabs>
        <w:tab w:val="left" w:pos="567"/>
      </w:tabs>
      <w:spacing w:before="0" w:after="140" w:line="280" w:lineRule="atLeast"/>
      <w:ind w:left="720"/>
      <w:contextualSpacing/>
    </w:pPr>
    <w:rPr>
      <w:rFonts w:ascii="Arial" w:eastAsia="Times New Roman" w:hAnsi="Arial"/>
      <w:szCs w:val="24"/>
    </w:r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amsa.gov.au/file/1384/download?token=FwcDgP3x" TargetMode="External"/><Relationship Id="rId26" Type="http://schemas.openxmlformats.org/officeDocument/2006/relationships/hyperlink" Target="https://www.amsa.gov.au/file/1392/download?token=OTCLoWi8" TargetMode="External"/><Relationship Id="rId39" Type="http://schemas.openxmlformats.org/officeDocument/2006/relationships/hyperlink" Target="https://www.amsa.gov.au/file/1412/download?token=EBbISRUo" TargetMode="External"/><Relationship Id="rId21" Type="http://schemas.openxmlformats.org/officeDocument/2006/relationships/hyperlink" Target="https://www.amsa.gov.au/file/1387/download?token=191GInsI" TargetMode="External"/><Relationship Id="rId34" Type="http://schemas.openxmlformats.org/officeDocument/2006/relationships/hyperlink" Target="https://www.amsa.gov.au/file/1428/download?token=HW1xlGLR" TargetMode="External"/><Relationship Id="rId42" Type="http://schemas.openxmlformats.org/officeDocument/2006/relationships/hyperlink" Target="https://www.amsa.gov.au/file/1396/download?token=bYD4Qbu2" TargetMode="External"/><Relationship Id="rId47" Type="http://schemas.openxmlformats.org/officeDocument/2006/relationships/hyperlink" Target="https://www.amsa.gov.au/file/1417/download?token=RTZ73Wfz" TargetMode="External"/><Relationship Id="rId50" Type="http://schemas.openxmlformats.org/officeDocument/2006/relationships/hyperlink" Target="https://www.amsa.gov.au/file/1385/download?token=d73ELVxO" TargetMode="External"/><Relationship Id="rId55" Type="http://schemas.openxmlformats.org/officeDocument/2006/relationships/hyperlink" Target="https://www.amsa.gov.au/file/1398/download?token=QSjBmV5m" TargetMode="External"/><Relationship Id="rId63" Type="http://schemas.openxmlformats.org/officeDocument/2006/relationships/hyperlink" Target="https://www.amsa.gov.au/file/1420/download?token=_plC8Lds" TargetMode="External"/><Relationship Id="rId68" Type="http://schemas.openxmlformats.org/officeDocument/2006/relationships/hyperlink" Target="https://www.amsa.gov.au/file/2086/download?token=uGnSkbsi" TargetMode="External"/><Relationship Id="rId76" Type="http://schemas.openxmlformats.org/officeDocument/2006/relationships/hyperlink" Target="https://www.amsa.gov.au/file/1404/download?token=VyoeVmzJ" TargetMode="External"/><Relationship Id="rId84"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hyperlink" Target="https://www.amsa.gov.au/file/1427/download?token=rrw8FXc6" TargetMode="Externa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yperlink" Target="https://www.amsa.gov.au/file/1395/download?token=xvolTdAj" TargetMode="External"/><Relationship Id="rId11" Type="http://schemas.openxmlformats.org/officeDocument/2006/relationships/footer" Target="footer1.xml"/><Relationship Id="rId24" Type="http://schemas.openxmlformats.org/officeDocument/2006/relationships/hyperlink" Target="https://www.amsa.gov.au/file/1390/download?token=h-FOc8j2" TargetMode="External"/><Relationship Id="rId32" Type="http://schemas.openxmlformats.org/officeDocument/2006/relationships/hyperlink" Target="https://www.amsa.gov.au/file/1399/download?token=GBdh5iKL" TargetMode="External"/><Relationship Id="rId37" Type="http://schemas.openxmlformats.org/officeDocument/2006/relationships/hyperlink" Target="https://www.amsa.gov.au/file/1390/download?token=h-FOc8j2" TargetMode="External"/><Relationship Id="rId40" Type="http://schemas.openxmlformats.org/officeDocument/2006/relationships/hyperlink" Target="https://www.amsa.gov.au/file/1413/download?token=318txtga" TargetMode="External"/><Relationship Id="rId45" Type="http://schemas.openxmlformats.org/officeDocument/2006/relationships/hyperlink" Target="https://www.amsa.gov.au/file/1426/download?token=6qxry4E-" TargetMode="External"/><Relationship Id="rId53" Type="http://schemas.openxmlformats.org/officeDocument/2006/relationships/hyperlink" Target="https://www.amsa.gov.au/file/1419/download?token=ADHPqchK" TargetMode="External"/><Relationship Id="rId58" Type="http://schemas.openxmlformats.org/officeDocument/2006/relationships/hyperlink" Target="http://www.austlii.edu.au/au/other/dfat/treaties/1990/34.html" TargetMode="External"/><Relationship Id="rId66" Type="http://schemas.openxmlformats.org/officeDocument/2006/relationships/hyperlink" Target="https://www.amsa.gov.au/file/1409/download?token=ixH5QwmS" TargetMode="External"/><Relationship Id="rId74" Type="http://schemas.openxmlformats.org/officeDocument/2006/relationships/hyperlink" Target="https://www.amsa.gov.au/file/1406/download?token=XRS5GiE-" TargetMode="External"/><Relationship Id="rId79" Type="http://schemas.openxmlformats.org/officeDocument/2006/relationships/hyperlink" Target="https://www.amsa.gov.au/file/1418/download?token=pbEno9Ni"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amsa.gov.au/file/1389/download?token=T-vQaLMh" TargetMode="External"/><Relationship Id="rId82" Type="http://schemas.openxmlformats.org/officeDocument/2006/relationships/header" Target="header4.xml"/><Relationship Id="rId19" Type="http://schemas.openxmlformats.org/officeDocument/2006/relationships/hyperlink" Target="https://www.amsa.gov.au/file/1385/download?token=d73ELVx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amsa.gov.au/file/1388/download?token=4LWXwtTF" TargetMode="External"/><Relationship Id="rId27" Type="http://schemas.openxmlformats.org/officeDocument/2006/relationships/hyperlink" Target="https://www.amsa.gov.au/file/1393/download?token=dKSxVg3F" TargetMode="External"/><Relationship Id="rId30" Type="http://schemas.openxmlformats.org/officeDocument/2006/relationships/hyperlink" Target="https://www.amsa.gov.au/file/1397/download?token=FYCaixcZ" TargetMode="External"/><Relationship Id="rId35" Type="http://schemas.openxmlformats.org/officeDocument/2006/relationships/hyperlink" Target="https://www.amsa.gov.au/file/1385/download?token=d73ELVxO" TargetMode="External"/><Relationship Id="rId43" Type="http://schemas.openxmlformats.org/officeDocument/2006/relationships/hyperlink" Target="https://www.amsa.gov.au/file/1402/download?token=t3nR59F6" TargetMode="External"/><Relationship Id="rId48" Type="http://schemas.openxmlformats.org/officeDocument/2006/relationships/hyperlink" Target="https://www.amsa.gov.au/file/1416/download?token=G84lAhv4" TargetMode="External"/><Relationship Id="rId56" Type="http://schemas.openxmlformats.org/officeDocument/2006/relationships/hyperlink" Target="https://www.amsa.gov.au/file/1414/download?token=iEc1CxmV" TargetMode="External"/><Relationship Id="rId64" Type="http://schemas.openxmlformats.org/officeDocument/2006/relationships/hyperlink" Target="https://www.amsa.gov.au/file/1404/download?token=VyoeVmzJ" TargetMode="External"/><Relationship Id="rId69" Type="http://schemas.openxmlformats.org/officeDocument/2006/relationships/hyperlink" Target="https://www.amsa.gov.au/file/1432/download?token=DS39FA2c" TargetMode="External"/><Relationship Id="rId77" Type="http://schemas.openxmlformats.org/officeDocument/2006/relationships/hyperlink" Target="https://www.amsa.gov.au/file/1421/download?token=9PFkHV0x" TargetMode="External"/><Relationship Id="rId8" Type="http://schemas.openxmlformats.org/officeDocument/2006/relationships/image" Target="media/image1.emf"/><Relationship Id="rId51" Type="http://schemas.openxmlformats.org/officeDocument/2006/relationships/hyperlink" Target="https://www.amsa.gov.au/file/1389/download?token=T-vQaLMh" TargetMode="External"/><Relationship Id="rId72" Type="http://schemas.openxmlformats.org/officeDocument/2006/relationships/hyperlink" Target="https://www.amsa.gov.au/file/1424/download?token=gb5kv847" TargetMode="External"/><Relationship Id="rId80" Type="http://schemas.openxmlformats.org/officeDocument/2006/relationships/hyperlink" Target="https://www.amsa.gov.au/file/1393/download?token=dKSxVg3F" TargetMode="External"/><Relationship Id="rId85" Type="http://schemas.openxmlformats.org/officeDocument/2006/relationships/footer" Target="footer7.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yperlink" Target="https://www.amsa.gov.au/file/1383/download?token=VIn7jiWb" TargetMode="External"/><Relationship Id="rId25" Type="http://schemas.openxmlformats.org/officeDocument/2006/relationships/hyperlink" Target="https://www.amsa.gov.au/file/1391/download?token=q0zEwFac" TargetMode="External"/><Relationship Id="rId33" Type="http://schemas.openxmlformats.org/officeDocument/2006/relationships/hyperlink" Target="https://www.amsa.gov.au/file/1400/download?token=JofIYNEw" TargetMode="External"/><Relationship Id="rId38" Type="http://schemas.openxmlformats.org/officeDocument/2006/relationships/hyperlink" Target="https://www.amsa.gov.au/file/1392/download?token=OTCLoWi8" TargetMode="External"/><Relationship Id="rId46" Type="http://schemas.openxmlformats.org/officeDocument/2006/relationships/hyperlink" Target="https://www.amsa.gov.au/file/1389/download?token=T-vQaLMh" TargetMode="External"/><Relationship Id="rId59" Type="http://schemas.openxmlformats.org/officeDocument/2006/relationships/hyperlink" Target="https://www.amsa.gov.au/file/1431/download?token=jtP5BmvN" TargetMode="External"/><Relationship Id="rId67" Type="http://schemas.openxmlformats.org/officeDocument/2006/relationships/hyperlink" Target="https://www.amsa.gov.au/file/1407/download?token=tBG5k8l3" TargetMode="External"/><Relationship Id="rId20" Type="http://schemas.openxmlformats.org/officeDocument/2006/relationships/hyperlink" Target="https://www.amsa.gov.au/file/1386/download?token=L4vbjx6c" TargetMode="External"/><Relationship Id="rId41" Type="http://schemas.openxmlformats.org/officeDocument/2006/relationships/hyperlink" Target="https://www.amsa.gov.au/file/1423/download?token=afs_EboF" TargetMode="External"/><Relationship Id="rId54" Type="http://schemas.openxmlformats.org/officeDocument/2006/relationships/hyperlink" Target="https://www.amsa.gov.au/file/1404/download?token=VyoeVmzJ" TargetMode="External"/><Relationship Id="rId62" Type="http://schemas.openxmlformats.org/officeDocument/2006/relationships/hyperlink" Target="https://www.amsa.gov.au/file/1392/download?token=OTCLoWi8" TargetMode="External"/><Relationship Id="rId70" Type="http://schemas.openxmlformats.org/officeDocument/2006/relationships/hyperlink" Target="https://www.amsa.gov.au/file/1429/download?token=_l5XDbi9" TargetMode="External"/><Relationship Id="rId75" Type="http://schemas.openxmlformats.org/officeDocument/2006/relationships/hyperlink" Target="https://www.amsa.gov.au/file/1422/download?token=jOtLcubH" TargetMode="External"/><Relationship Id="rId83"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www.amsa.gov.au/file/1389/download?token=T-vQaLMh" TargetMode="External"/><Relationship Id="rId28" Type="http://schemas.openxmlformats.org/officeDocument/2006/relationships/hyperlink" Target="https://www.amsa.gov.au/file/1394/download?token=4znkkAf2" TargetMode="External"/><Relationship Id="rId36" Type="http://schemas.openxmlformats.org/officeDocument/2006/relationships/hyperlink" Target="https://www.amsa.gov.au/file/1389/download?token=T-vQaLMh" TargetMode="External"/><Relationship Id="rId49" Type="http://schemas.openxmlformats.org/officeDocument/2006/relationships/hyperlink" Target="https://www.amsa.gov.au/file/1430/download?token=tIusD-cD" TargetMode="External"/><Relationship Id="rId57" Type="http://schemas.openxmlformats.org/officeDocument/2006/relationships/hyperlink" Target="https://www.amsa.gov.au/file/1410/download?token=oM_uYOKg" TargetMode="External"/><Relationship Id="rId10" Type="http://schemas.openxmlformats.org/officeDocument/2006/relationships/header" Target="header2.xml"/><Relationship Id="rId31" Type="http://schemas.openxmlformats.org/officeDocument/2006/relationships/hyperlink" Target="https://www.amsa.gov.au/file/1398/download?token=QSjBmV5m" TargetMode="External"/><Relationship Id="rId44" Type="http://schemas.openxmlformats.org/officeDocument/2006/relationships/hyperlink" Target="https://www.amsa.gov.au/file/1415/download?token=ZwFCx-TT" TargetMode="External"/><Relationship Id="rId52" Type="http://schemas.openxmlformats.org/officeDocument/2006/relationships/hyperlink" Target="https://www.amsa.gov.au/file/1392/download?token=OTCLoWi8" TargetMode="External"/><Relationship Id="rId60" Type="http://schemas.openxmlformats.org/officeDocument/2006/relationships/hyperlink" Target="https://www.amsa.gov.au/file/1385/download?token=d73ELVxO" TargetMode="External"/><Relationship Id="rId65" Type="http://schemas.openxmlformats.org/officeDocument/2006/relationships/hyperlink" Target="https://www.amsa.gov.au/file/1411/download?token=709cr4qs" TargetMode="External"/><Relationship Id="rId73" Type="http://schemas.openxmlformats.org/officeDocument/2006/relationships/hyperlink" Target="https://www.amsa.gov.au/file/1425/download?token=4pf0PYuS" TargetMode="External"/><Relationship Id="rId78" Type="http://schemas.openxmlformats.org/officeDocument/2006/relationships/hyperlink" Target="https://www.amsa.gov.au/file/1404/download?token=VyoeVmzJ" TargetMode="External"/><Relationship Id="rId81" Type="http://schemas.openxmlformats.org/officeDocument/2006/relationships/hyperlink" Target="http://www.imo.org/en/KnowledgeCentre/IndexofIMOResolutions/Marine-Environment-Protection-Committee-(MEPC)/Documents/MEPC.176(58).pdf" TargetMode="External"/><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30</Pages>
  <Words>8558</Words>
  <Characters>57682</Characters>
  <Application>Microsoft Office Word</Application>
  <DocSecurity>0</DocSecurity>
  <Lines>1406</Lines>
  <Paragraphs>682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PRE Emmanuelle (ECHO)</dc:creator>
  <cp:keywords/>
  <dc:description/>
  <cp:lastModifiedBy>WES PDFC Administrator</cp:lastModifiedBy>
  <cp:revision>8</cp:revision>
  <cp:lastPrinted>2019-07-09T07:27:00Z</cp:lastPrinted>
  <dcterms:created xsi:type="dcterms:W3CDTF">2019-08-19T09:37:00Z</dcterms:created>
  <dcterms:modified xsi:type="dcterms:W3CDTF">2019-08-26T10:00:00Z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ies>
</file>