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D5972AE-CA88-4708-A354-0A8BB4F0F97D" style="width:451.25pt;height:352.4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rPr>
          <w:noProof/>
        </w:rPr>
      </w:pPr>
      <w:r>
        <w:rPr>
          <w:noProof/>
        </w:rPr>
        <w:t>Fil-kuntest tas-Summit tas-Sħubija tal-Lvant f’Mejju 2009, l-UE affermat mill-ġdid l-appoġġ politiku tagħha għal-liberalizzazzjoni sħiħa tas-sistema tal-viżi f'ambjent sikur, u għall-promozzjoni tal-mobilità, billi jiġu konklużi ftehimiet dwar l-iffaċilitar tal-viżi u r-riammissjonijiet mal-pajjiżi tas-Sħubija tal-Lvant. Skont l-approċċ komuni għall-iżvilupp tal-politika tal-UE dwar il-faċilitazzjoni tal-viżi li ġie miftiehem fil-livell ta’ COREPER mill-Istati Membri f'Diċembru 2005, ftehim dwar il-faċilitazzjoni tal-viżi ma jiġix konkluż mingħajr ma jkun hemm fis-seħħ ftehim ta' riammissjoni.</w:t>
      </w:r>
    </w:p>
    <w:p>
      <w:pPr>
        <w:rPr>
          <w:noProof/>
        </w:rPr>
      </w:pPr>
      <w:r>
        <w:rPr>
          <w:noProof/>
        </w:rPr>
        <w:t>Abbażi ta’ dan, fit-12 ta’ Novembru 2010 il-Kummissjoni ppreżentat rakkomandazzjoni lill-Kunsill bil-ħsieb li jinkisbu direttivi biex jiġu nnegozjati Ftehimiet mar-Repubblika tal-Belarussja dwar, rispettivament, il-faċilitazzjoni tal-ħruġ ta’ viżi għal soġġorn qasir, u r-riammissjoni ta’ persuni li jirrisjedu mingħajr awtorizzazzjoni.</w:t>
      </w:r>
    </w:p>
    <w:p>
      <w:pPr>
        <w:rPr>
          <w:noProof/>
        </w:rPr>
      </w:pPr>
      <w:r>
        <w:rPr>
          <w:noProof/>
        </w:rPr>
        <w:t>Wara l-awtorizzazzjoni mogħtija mill-Kunsill fit-28 ta’ Frar 2011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in-negozjati mar-Repubblika tal-Belarussja nfetħu formalment fi Brussell fit-12 ta’ Ġunju 2014. </w:t>
      </w:r>
    </w:p>
    <w:p>
      <w:pPr>
        <w:rPr>
          <w:noProof/>
        </w:rPr>
      </w:pPr>
      <w:r>
        <w:rPr>
          <w:noProof/>
        </w:rPr>
        <w:t xml:space="preserve">Saru ħames sessjonijiet ulterjuri ta’ negozjati fl-24 ta’ Novembru 2014 f’Minsk, fit-12 ta’ Marzu 2015 fi Brussell, fl-20 ta’ Ġunju 2017 f’Minsk, fil-11 ta’ Ottubru 2018 u fis-26 ta’ Marzu 2019 fi Brussell. In-negozjaturi ewlenin inizjalaw it-test tal-ftehim fl-17 ta’ Ġunju 2019 permezz ta’ skambju ta’ posta elettronika. </w:t>
      </w:r>
    </w:p>
    <w:p>
      <w:pPr>
        <w:rPr>
          <w:noProof/>
        </w:rPr>
      </w:pPr>
      <w:r>
        <w:rPr>
          <w:noProof/>
        </w:rPr>
        <w:t xml:space="preserve">Sadanittant, il-Belarussja, l-Unjoni Ewropea u seba’ Stati Membri parteċipanti (il-Bulgarija, ir-Rumanija, il-Litwanja, il-Polonja, l-Ungerija, il-Finlandja u l-Latvja) iffirmaw Dikjarazzjoni Konġunta dwar Sħubija għall-Mobbiltà fit-13 ta’ Ottubru 2016. </w:t>
      </w:r>
    </w:p>
    <w:p>
      <w:pPr>
        <w:rPr>
          <w:noProof/>
        </w:rPr>
      </w:pPr>
      <w:r>
        <w:rPr>
          <w:noProof/>
        </w:rPr>
        <w:t>Sa mit-12 ta’ Frar 2017, iċ-ċittadini tal-Unjoni Ewropea huma eżenti mill-ħtieġa tal-viża għad-dħul u s-soġġorn fit-territorju tar-Repubblika tal-Belarussja għal perjodi sa massimu ta’ ħamest (5) ijiem, sakemm dawn ikunu qasmu l-fruntiera fl-Ajruport Internazzjonali ta’ Minsk. Fl-24 ta’ Lulju 2018, dan il-perjodu ta’ soġġorn mingħajr viża ġie estiż għal 30 jum bl-istess kundizzjonijiet. Għal perjodi ta’ soġġorn ta’ aktar minn 30 jum u mhux aktar minn 90 jum (fi kwalunkwe perjodu ta’ 180 jum), il-Ftehim se japplika b’mod reċiproku.</w:t>
      </w:r>
    </w:p>
    <w:p>
      <w:pPr>
        <w:rPr>
          <w:noProof/>
          <w:color w:val="000000"/>
        </w:rPr>
      </w:pPr>
      <w:r>
        <w:rPr>
          <w:noProof/>
        </w:rPr>
        <w:t xml:space="preserve">L-Istati Membri ġew mgħarrfa u kkonsultati b’mod regolari fil-Gruppi ta’ Ħidma tal-Kunsill rilevanti fl-istadji kollha tan-negozjati. L-abbozz finali tat-test tal-Ftehim kien kondiviż mal-Grupp ta’ Ħidma dwar il-Viża u ġie approvat b’mod ġenerali, permezz ta’ proċedura ta’ silenzju, fit-5 ta’ April 2019. </w:t>
      </w:r>
    </w:p>
    <w:p>
      <w:pPr>
        <w:rPr>
          <w:noProof/>
          <w:color w:val="000000"/>
        </w:rPr>
      </w:pPr>
      <w:r>
        <w:rPr>
          <w:noProof/>
        </w:rPr>
        <w:t xml:space="preserve">Fis-17 ta’ April 2019, il-Parlament Ewropew ġie infurmat dwar il-konklużjoni tan-negozjati kemm dwar il-Ftehim ta’ Faċilitazzjoni tal-Viża kif ukoll dwar dak ta’ Riammissjoni, permezz ta’ ittra mibgħuta mid-Direttur Ġenerali tad-DĠ Migrazzjoni u Affarijiet Interni lill-President tal-Kumitat għal-Libertajiet Ċivili, il-Ġustizzja u l-Intern. Ġew annessi l-abbozz tat-testi taż-żewġ Ftehimiet. 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Id-deċiżjoni proposta rigward il-konklużjoni tipprezenta l-arranġamenti interni neċessarji għall-applikazzjoni prattika tal-Ftehim. B'mod partikolari</w:t>
      </w:r>
      <w:r>
        <w:rPr>
          <w:b/>
          <w:noProof/>
        </w:rPr>
        <w:t xml:space="preserve">, </w:t>
      </w:r>
      <w:r>
        <w:rPr>
          <w:noProof/>
        </w:rPr>
        <w:t xml:space="preserve">tispeċifika li l-Kummissjoni, megħjuna minn esperti mill-Istati Membri, tirrappreżenta lill-Unjoni fi ħdan il-Kumitat Konġunt dwar il-Faċilitazzjoni tal-Viża stabbilit bl-Artikolu 12 tal-Ftehim. </w:t>
      </w:r>
    </w:p>
    <w:p>
      <w:pPr>
        <w:rPr>
          <w:noProof/>
          <w:color w:val="000000"/>
        </w:rPr>
      </w:pPr>
      <w:r>
        <w:rPr>
          <w:noProof/>
        </w:rPr>
        <w:lastRenderedPageBreak/>
        <w:t>Il-proposta mehmuża tikkostitwixxi l-istrumenti legali għall-iffirmar tal-Ftehim. Il-Kunsill se jiddeċiedi b’maġġoranza kwalifikata.</w:t>
      </w:r>
    </w:p>
    <w:p>
      <w:pPr>
        <w:rPr>
          <w:b/>
          <w:noProof/>
          <w:szCs w:val="24"/>
        </w:rPr>
      </w:pPr>
      <w:r>
        <w:rPr>
          <w:b/>
          <w:noProof/>
        </w:rPr>
        <w:t>2.</w:t>
      </w:r>
      <w:r>
        <w:rPr>
          <w:b/>
          <w:noProof/>
        </w:rPr>
        <w:tab/>
        <w:t>L-GĦAN U L-KONTENUT TAL-FTEHIM</w:t>
      </w:r>
    </w:p>
    <w:p>
      <w:pPr>
        <w:rPr>
          <w:noProof/>
          <w:szCs w:val="24"/>
        </w:rPr>
      </w:pPr>
      <w:r>
        <w:rPr>
          <w:noProof/>
        </w:rPr>
        <w:t>Il-Ftehim bejn l-Unjoni Ewropea u r-Repubblika tal-Belarussja dwar il-faċilitazzjoni tal-ħruġ tal-viżi (minn issa ‘il quddiem: “il-Ftehim”) għandu l-għan li jiffaċilita, fuq il-bażi ta' reċiproċità, il-ħruġ ta' viżi għal soġġorn intiż ta’ mhux aktar minn 90 jum f’kull perjodu ta' 180 jum għaċ-ċittadini tal-Unjoni u tal-Belarussja.</w:t>
      </w:r>
    </w:p>
    <w:p>
      <w:pPr>
        <w:rPr>
          <w:noProof/>
        </w:rPr>
      </w:pPr>
      <w:r>
        <w:rPr>
          <w:noProof/>
        </w:rPr>
        <w:t>Il-Kummissjoni tikkunsidra li ntlaħqu l-objettivi stabbiliti mill-Kunsill fid-direttivi ta’ negozjati tiegħu u li l-abbozz tal-Ftehim hu aċċettabbli għall-Unjoni.</w:t>
      </w:r>
    </w:p>
    <w:p>
      <w:pPr>
        <w:rPr>
          <w:noProof/>
        </w:rPr>
      </w:pPr>
      <w:r>
        <w:rPr>
          <w:noProof/>
        </w:rPr>
        <w:t>Il-kontenut aħħari tiegħu jista’ jitqassar kif ġej:</w:t>
      </w:r>
    </w:p>
    <w:p>
      <w:pPr>
        <w:pStyle w:val="ListDash"/>
        <w:rPr>
          <w:noProof/>
        </w:rPr>
      </w:pPr>
      <w:r>
        <w:rPr>
          <w:noProof/>
        </w:rPr>
        <w:t xml:space="preserve">bħala prinċipju, fil-każ tal-applikanti kollha għal viża, ikollha tittieħed deċiżjoni jekk tinħariġx viża jew le fi żmien għaxart (10) ijiem tal-kalendarju. Dan il-perjodu jkun jista’ jiġi estiż għal massimu ta’ 30 jum tal-kalendarju jekk ikun hemm bżonn ta’ skrutinju aktar dettaljat. F’każijiet urġenti, il-perjodu għat-teħid ta’ deċiżjoni jista’ jitnaqqas għal jumejn ta’ xogħol jew inqas. Bħala regola, l-applikanti għall-viża jista' jkollhom appuntament biex jippreżentaw l-applikazzjoni tagħhom fi żmien ġimgħatejn mid-data tat-talba u, f’każijiet ta’ urġenza, minnufih jew mingħajr appuntament; </w:t>
      </w:r>
    </w:p>
    <w:p>
      <w:pPr>
        <w:pStyle w:val="ListDash"/>
        <w:rPr>
          <w:noProof/>
        </w:rPr>
      </w:pPr>
      <w:r>
        <w:rPr>
          <w:noProof/>
        </w:rPr>
        <w:t xml:space="preserve">it-tariffa tal-viża biex jiġu pproċessati l-applikazzjonijiet ippreżentati minn ċittadini tal-Unjoni Ewropea u tar-Repubblika tal-Belarussja hija ta’ EUR 35. Din it-tariffa tiġi applikata għall-applikanti kollha għal viża. Barra minn hekk, il-kategoriji ta’ persuni li ġejjin jibbenefikaw minn eżenzjoni sħiħa mit-tariffa tal-viża: tfal taħt l-età ta’ 12-il sena, persuni b’diżabilità, qraba stretti, membri ta’ delegazzjonijiet uffiċjali li jipparteċipaw f’attivitajiet tal-gvern, tfal tal-iskola, studenti u studenti li jkollhom diġà grad universitarju, rappreżentanti ta’ organizzazzjonijiet tas-soċjetà ċivili, każijiet umanitarji u persuni li jipparteċipaw f’attivitajiet xjentifiċi, kulturali, artistiċi u sportivi; </w:t>
      </w:r>
    </w:p>
    <w:p>
      <w:pPr>
        <w:pStyle w:val="ListDash"/>
        <w:rPr>
          <w:noProof/>
        </w:rPr>
      </w:pPr>
      <w:r>
        <w:rPr>
          <w:noProof/>
        </w:rPr>
        <w:t xml:space="preserve">f’każ li l-Partijiet jiddeċiedu li jikkooperaw ma’ fornitur estern tas-servizzi għal, fost affarijiet oħra, il-ġbir tal-applikazzjonijiet għall-viża, it-tariffa li għandha titħallas lill-fornitur tas-servizz estern ma tistax taqbeż it-EUR 30. Il-possibbiltà li ċ-ċittadini tal-Partijiet jippreżentaw l-applikazzjoni direttament fil-konsulati għandha tinżamm, sa fejn ikun possibbli, pereżempju fejn ikun hemm biżżejjed persunal biex ilaħħaq mal-ammont ta’ xogħol u li jissodisfaw l-obbligi stabbiliti mill-ftehim; </w:t>
      </w:r>
    </w:p>
    <w:p>
      <w:pPr>
        <w:pStyle w:val="ListDash"/>
        <w:rPr>
          <w:noProof/>
        </w:rPr>
      </w:pPr>
      <w:r>
        <w:rPr>
          <w:noProof/>
        </w:rPr>
        <w:t xml:space="preserve">id-dokumenti dwar l-iskop tal-vjaġġ li għandhom jiġu ppreżentati ġew simplifikati għall-kategoriji li ġejjin ta' applikanti: qraba mill-viċin, negozjanti, membri ta’ delegazzjonijiet uffiċjali, tfal tal-iskola u studenti diġà bi grad universitarju, parteċipanti f’avvenimenti xjentifiċi, kulturali u sportivi, ġurnalisti, persuni li jkunu qed iżuru dfin militari u ċivili (inklużi qraba), rappreżentanti tas-soċjetà ċivili, membri tal-professjonijiet li jipparteċipaw f’wirjiet internazzjonali, konferenzi, simpożji, seminars jew avvenimenti oħra simili, xufiera li jwettqu servizzi ta’ trasport internazzjonali ta’ merkanzija u ta’ passiġġieri, parteċipanti fi programmi uffiċjali ta’ skambju ta’ bliet ġemellati, persuni li jipparteċipaw f’avvenimenti sportivi internazzjonali, membri tal-ekwipaġġ ta’ ferroviji, refriġeraturi u lokomottivi u parteċipanti fi programmi uffiċjali ta’ kooperazzjoni transfruntiera tal-UE. Għal dawn il-kategoriji ta’ persuni, jistgħu jintalbu biss id-dokumenti elenkati fil-ftehim biex jiġi ġġustifikat l-għan tal-vjaġġ. Bħala regola, ma tkun tinħtieġ l-ebda ġustifikazzjoni, stedina jew validazzjoni oħra prevista mil-leġiżlazzjoni tal-Istati Membri jew mir-Repubblika tal-Belarussja; </w:t>
      </w:r>
    </w:p>
    <w:p>
      <w:pPr>
        <w:pStyle w:val="ListDash"/>
        <w:rPr>
          <w:noProof/>
        </w:rPr>
      </w:pPr>
      <w:r>
        <w:rPr>
          <w:noProof/>
        </w:rPr>
        <w:t>hemm ukoll kriterji simplifikati għall-ħruġ ta’ viżi għal dħul multiplu għal dawn il-kategoriji ta’ persuni li ġejjin:</w:t>
      </w:r>
    </w:p>
    <w:p>
      <w:pPr>
        <w:pStyle w:val="Point0"/>
        <w:rPr>
          <w:noProof/>
        </w:rPr>
      </w:pPr>
      <w:r>
        <w:lastRenderedPageBreak/>
        <w:t>(a)</w:t>
      </w:r>
      <w:r>
        <w:tab/>
      </w:r>
      <w:r>
        <w:rPr>
          <w:noProof/>
        </w:rPr>
        <w:t xml:space="preserve">fil-każ ta’ membri ta’ gvernijiet nazzjonali u reġjonali, parlamenti u qrati, membri permanenti ta’ delegazzjonijiet uffiċjali, konjuġi u ulied li jżuru ċittadini tal-Unjoni Ewropea li jirrisjedu legalment fit-territorju tal-Belarussja jew ċittadini tar-Repubblika tal-Belarussja li jirrisjedu legalment fl-Istati Membri jew ċittadini tal-UE li jirrisjedu fit-territorju tal-Istati Membri li tagħhom ikunu ċittadini jew ċittadini tar-Repubblika tal-Belarussja li jirrisjedu fit-territorju tal-Belarussja: viżi bi dħul multiplu b’perjodu ta’ validità ta’ </w:t>
      </w:r>
      <w:r>
        <w:rPr>
          <w:noProof/>
          <w:u w:val="single"/>
        </w:rPr>
        <w:t>ħames (5) snin</w:t>
      </w:r>
      <w:r>
        <w:rPr>
          <w:noProof/>
        </w:rPr>
        <w:t xml:space="preserve"> (jew inqas, jekk l-intenzjoni li wieħed jivvjaġġa regolarment tkun manifestament limitata, pereżempju fejn il-perjodu ta’ validità tal-mandat jew l-awtorizzazzjoni tagħhom għal residenza legali ikun iqsar);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 xml:space="preserve">parteċipanti fi programmi xjentifiċi, kulturali, ta’ skambju uffiċjali jew transfruntier, avvenimenti sportivi internazzjonali, ġurnalisti, studenti, membri ta’ delegazzjonijiet uffiċjali, rappreżentanti ta’ organizzazzjonijiet tas-soċjetà ċivili, membri tal-professjonijiet li jipparteċipaw f’wirjiet internazzjonali, konferenzi, simpożji, seminars jew avvenimenti simili oħra, sewwieqa li jwasslu merkanzija internazzjonali u ekwipaġġ ta’ ferroviji u persuni li jeħtieġu li jagħmlu żjarat regolari minħabba raġunijiet mediċi: viżi għal dħul multiplu validi għal </w:t>
      </w:r>
      <w:r>
        <w:rPr>
          <w:noProof/>
          <w:u w:val="single"/>
        </w:rPr>
        <w:t>sena (1);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l-istess kategoriji msemmija f’(b): jenħtieġ li jinħarġu viżi validi għal</w:t>
      </w:r>
      <w:r>
        <w:rPr>
          <w:noProof/>
          <w:u w:val="single"/>
        </w:rPr>
        <w:t xml:space="preserve"> minimu ta’ sentejn (2) u massimu ta’ ħames (5) snin</w:t>
      </w:r>
      <w:r>
        <w:rPr>
          <w:noProof/>
        </w:rPr>
        <w:t xml:space="preserve"> (sakemm matul is-sentejn ta’ qabel ikunu użaw legalment il-viżi ta’ dħul multiplu ta’ sena (1), sakemm il-ħtieġa jew l-intenzjoni ta’ vvjaġġar frekwenti ma tkunx manifestament limitata għal perjodu iqsar);</w:t>
      </w:r>
    </w:p>
    <w:p>
      <w:pPr>
        <w:pStyle w:val="ListDash"/>
        <w:rPr>
          <w:noProof/>
        </w:rPr>
      </w:pPr>
      <w:r>
        <w:rPr>
          <w:noProof/>
        </w:rPr>
        <w:t xml:space="preserve">ċittadini tal-Unjoni Ewropea u r-Repubblika tal-Belarussja li jkunu detenturi ta’ passaporti diplomatiċi bijometriċi validi u d-detenturi ta’ </w:t>
      </w:r>
      <w:r>
        <w:rPr>
          <w:i/>
          <w:noProof/>
        </w:rPr>
        <w:t>laissez-passer</w:t>
      </w:r>
      <w:r>
        <w:rPr>
          <w:noProof/>
        </w:rPr>
        <w:t xml:space="preserve"> validi tal-UE huma eżenti mill-obbligu li jkollhom viża għal soġġorn qasir. F’April 2015 il-Kummissjoni kienet ippreżentat l-ewwel valutazzjoni tas-sigurtà u l-integrità tas-sistema ta’ ħruġ tal-passaporti diplomatiċi Belarussi, inklużi l-karatteristiċi ta’ sigurtà ta’ dawn tal-aħħar, b’eżitu sodisfaċenti fir-rigward tas-sistema ta’ ħruġ. Madankollu, il-livell ta’ sigurtà tal-passaporti diplomatiċi Belarussi ma kienx ikkunsidrat bħala suffiċjenti biżżejjed minn xi Stati Membri. Ir-Repubblika tal-Belarussja sussegwentement infurmat li kienet se tibda toħroġ passaporti bijometriċi f’konformità mal-aħħar linji gwida u rakkomandazzjonijiet tal-Organizzazzjoni Internazzjonali tal-Avjazzjoni Ċivili mill-bidu tal-2020 u aċċettat li tillimita l-eżenzjoni mill-viża għal passaporti diplomatiċi bijometriċi (rekwiżit addizzjonali mhux mitlub mid-direttivi ta’ negozjar). Fis-sitt u l-aħħar ċiklu ta’ negozjati fl-26 ta’ Marzu 2019, ir-Repubblika tal-Belarussja pprovdiet lill-Kummissjoni informazzjoni aġġornata dwar is-sistema tal-ħruġ u l-ispeċifikazzjonijiet tekniċi ta’ dawn il-passaporti, u impenjat ruħha li tikkondividi kampjun tal-passaport bijometriku l-ġdid u l-ispeċifikazzjonijiet tekniċi finali sa mhux aktar tard minn Ottubru 2019. F’dawn iċ-ċirkostanzi, il-valutazzjoni finali tas-sistema ta’ ħruġ tal-Belarussja se jkollha ssir mill-Kummissjoni, f’konsultazzjoni mal-Istati Membri, qabel ma l-Ftehim ikun jista’ jiġi konkluż; </w:t>
      </w:r>
    </w:p>
    <w:p>
      <w:pPr>
        <w:pStyle w:val="ListDash"/>
        <w:rPr>
          <w:noProof/>
        </w:rPr>
      </w:pPr>
      <w:r>
        <w:rPr>
          <w:noProof/>
        </w:rPr>
        <w:t xml:space="preserve">il-klawżoli finali jipprovdu l-possibbiltà għall-Partijiet li jissospendu l-ftehim, kompletament jew parzjalment (eż. l-eżenzjoni mill-viża għad-detenturi ta’ passaporti bijometriċi diplomatiċi) għal kwalunkwe raġuni. Għalhekk din id-dispożizzjoni tkopri raġunijiet ta’ sospensjoni bħall-ksur jew l-abbuż ta’ xi dispożizzjoni tal-ftehim, bħall-eżenzjoni mill-viża għal passaport diplomatiku (l-Artikolu 10), għal kunsiderazzjonijiet dwar id-drittijiet tal-bniedem u d-demokrazija (imsemmija wkoll fi preambolu tal-Ftehim), kif ukoll għal nuqqas ta’ kooperazzjoni dwar ir-riammissjoni u/jew l-implimentazzjoni mhux sodisfaċenti tal-Ftehim ta’ Riammissjoni;  </w:t>
      </w:r>
    </w:p>
    <w:p>
      <w:pPr>
        <w:pStyle w:val="ListDash"/>
        <w:rPr>
          <w:noProof/>
        </w:rPr>
      </w:pPr>
      <w:r>
        <w:rPr>
          <w:noProof/>
        </w:rPr>
        <w:lastRenderedPageBreak/>
        <w:t>il-klawżoli finali jistipulaw ukoll li l-ftehim dwar il-faċilitazzjoni tal-viża jista’ jidħol fis-seħħ biss fid-data tad-dħul fis-seħħ tal-Ftehim ta’ Riammissjoni;</w:t>
      </w:r>
    </w:p>
    <w:p>
      <w:pPr>
        <w:pStyle w:val="ListDash"/>
        <w:rPr>
          <w:noProof/>
        </w:rPr>
      </w:pPr>
      <w:r>
        <w:rPr>
          <w:noProof/>
        </w:rPr>
        <w:t xml:space="preserve">l-importanza tal-prinċipji fundamentali li jirregolaw il-kooperazzjoni bejn il-Partijiet kif ukoll l-obbligi u r-responsabbiltajiet, inkluż ir-rispett għad-drittijiet tal-bniedem u l-prinċipji demokratiċi, li joħorġu mill-istrumenti internazzjonali rilevanti li bihom huma marbuta, hija enfasizzata f’preambolu għall-Ftehim; </w:t>
      </w:r>
    </w:p>
    <w:p>
      <w:pPr>
        <w:pStyle w:val="ListDash"/>
        <w:rPr>
          <w:noProof/>
        </w:rPr>
      </w:pPr>
      <w:r>
        <w:rPr>
          <w:noProof/>
        </w:rPr>
        <w:t xml:space="preserve">is-sitwazzjoni speċifika tal-Istati Membri li għadhom ma japplikawx kompletament </w:t>
      </w:r>
      <w:r>
        <w:rPr>
          <w:i/>
          <w:noProof/>
        </w:rPr>
        <w:t>l-acquis</w:t>
      </w:r>
      <w:r>
        <w:rPr>
          <w:noProof/>
        </w:rPr>
        <w:t xml:space="preserve"> ta’ Schengen u l-għarfien unilaterali tagħhom tal-viżi u tal-permessi ta' residenza ta’ Schengen maħruġa lil ċittadini tar-Repubblika tal-Belarussja għall-iskop ta’ tranżitu mit-territorju tagħhom skont id-Deċiżjoni tal-Kunsill Nru 565/2014/KE, hija indirizzata permezz ta’ protokoll; </w:t>
      </w:r>
    </w:p>
    <w:p>
      <w:pPr>
        <w:pStyle w:val="ListDash"/>
        <w:rPr>
          <w:noProof/>
        </w:rPr>
      </w:pPr>
      <w:r>
        <w:rPr>
          <w:noProof/>
        </w:rPr>
        <w:t>mal-Ftehim hemm mehmuża Dikjarazzjoni Konġunta dwar il-kooperazzjoni fejn jidħlu dokumenti tal-ivvjaġġar u l-iskambju regolari ta' informazzjoni dwar is-sigurtà ta’ dokumenti tal-ivvjaġġar.</w:t>
      </w:r>
    </w:p>
    <w:p>
      <w:pPr>
        <w:pStyle w:val="ListDash"/>
        <w:rPr>
          <w:noProof/>
        </w:rPr>
      </w:pPr>
      <w:r>
        <w:rPr>
          <w:noProof/>
        </w:rPr>
        <w:t>mal-Ftehim hemm mehmuża Dikjarazzjoni Konġunta dwar l-armonizzazzjoni tal-proċeduri ta’ informazzjoni għall-ħruġ ta’ viżi għal soġġorn qasir u dokumenti li għandhom jiġu ppreżentati meta ssir applikazzjoni għal viżi għal soġġorn qasir;</w:t>
      </w:r>
    </w:p>
    <w:p>
      <w:pPr>
        <w:pStyle w:val="ListDash"/>
        <w:rPr>
          <w:noProof/>
        </w:rPr>
      </w:pPr>
      <w:r>
        <w:rPr>
          <w:noProof/>
        </w:rPr>
        <w:t>is-sitwazzjonijiet speċifiċi tad-Danimarka, ir-Renju Unit u l-Irlanda huma riflessi fil-preambolu u f’Dikjarazzjonijiet Konġunti mehmuża mal-Ftehim. L-assoċjazzjoni mill-qrib tal-Iżlanda, in-Norveġja, l-Iżvizzera u l-Liechtenstein mal-implimentazzjoni, l-applikazzjoni u l-iżvilupp tal-</w:t>
      </w:r>
      <w:r>
        <w:rPr>
          <w:i/>
          <w:noProof/>
        </w:rPr>
        <w:t>acquis</w:t>
      </w:r>
      <w:r>
        <w:rPr>
          <w:noProof/>
        </w:rPr>
        <w:t xml:space="preserve"> ta’ Schengen hi ugwalment riflessa f’Dikjarazzjoni Konġunta mal-Ftehim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ListDash"/>
        <w:rPr>
          <w:noProof/>
        </w:rPr>
      </w:pPr>
      <w:r>
        <w:rPr>
          <w:noProof/>
        </w:rPr>
        <w:t>Dikjarazzjoni Konġunta dwar il-persunal konsulari hija mehmuża mal-Ftehim sabiex tirrifletti l-importanza li l-Partijiet jagħtu għad-disponibbiltà ta’ għadd suffiċjenti ta’ persunal fil-konsulati tagħhom biex jiżguraw l-implimentazzjoni effettiva tal-Ftehim.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bdr w:val="none" w:sz="0" w:space="0" w:color="auto" w:frame="1"/>
        </w:rPr>
        <w:t>•</w:t>
      </w:r>
      <w:r>
        <w:rPr>
          <w:noProof/>
          <w:bdr w:val="none" w:sz="0" w:space="0" w:color="auto" w:frame="1"/>
        </w:rPr>
        <w:tab/>
        <w:t>Bażi ġuridika</w:t>
      </w:r>
    </w:p>
    <w:p>
      <w:pPr>
        <w:rPr>
          <w:noProof/>
        </w:rPr>
      </w:pPr>
      <w:r>
        <w:rPr>
          <w:noProof/>
        </w:rPr>
        <w:t xml:space="preserve">Din il-proposta qiegħda tiġi ppreżentata lill-Kunsill sabiex jiġi konkluż il-Ftehim. </w:t>
      </w:r>
    </w:p>
    <w:p>
      <w:pPr>
        <w:rPr>
          <w:noProof/>
        </w:rPr>
      </w:pPr>
      <w:r>
        <w:rPr>
          <w:noProof/>
        </w:rPr>
        <w:t xml:space="preserve">Il-bażi ġuridika għal din il-proposta hija l-punt (a) tal-Artikolu 77(2) tat-Trattat dwar il-Funzjonament tal-Unjoni Ewropea (it-TFUE), meħud flimkien mal-Artikolu 218(6)(a) tiegħu. 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•</w:t>
      </w:r>
      <w:r>
        <w:rPr>
          <w:noProof/>
          <w:bdr w:val="none" w:sz="0" w:space="0" w:color="auto" w:frame="1"/>
        </w:rPr>
        <w:tab/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 xml:space="preserve">Mhux applikabbli. 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•</w:t>
      </w:r>
      <w:r>
        <w:rPr>
          <w:noProof/>
          <w:bdr w:val="none" w:sz="0" w:space="0" w:color="auto" w:frame="1"/>
        </w:rPr>
        <w:tab/>
        <w:t>Proporzjonalità</w:t>
      </w:r>
    </w:p>
    <w:p>
      <w:pPr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Il-proposta attwali ma tmurx lil hinn minn dak li hu meħtieġ biex jintlaħaq l-objettiv segwit, jiġifieri l-konklużjoni ta’ ftehim internazzjonali li jiffaċilita l-ħruġ ta’ viżi liċ-ċittadini Belarussi u tal-Unjoni.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  <w:color w:val="000000"/>
        </w:rPr>
      </w:pPr>
      <w:r>
        <w:rPr>
          <w:noProof/>
        </w:rPr>
        <w:t>Din il-proposta ma tinvolvix spejjeż addizzjonali għall-baġit tal-UE.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KONKLUŻJONIJIET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Fid-dawl tar-riżultati msemmija hawn fuq, il-Kummissjoni tipproponi li l-Kunsill, wara li jkun irċieva l-kunsens mill-Parlament Ewropew, japprova l-konklużjoni tal-Ftehim mehmuż bejn l-Unjoni Ewropea u r-Repubblika tal-Belarussja dwar il-faċilitazzjoni tal-ħruġ ta’ viżi.</w:t>
      </w:r>
      <w:r>
        <w:rPr>
          <w:noProof/>
        </w:rPr>
        <w:tab/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2019/0182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il-konklużjoni tal-Ftehim bejn l-Unjoni Ewropea u r-Repubblika tal-Belarussja dwar il-faċilitazzjoni tal-ħruġ ta’ viżi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l-punt (a) tal-Artikolu 77(2), meħud flimkien mal-Artikolu 218(6)(a)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Wara li kkunsidra l-kunsens tal-Parlament Ewropew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Skont id-Deċiżjoni tal-Kunsill XXXX/XX</w:t>
      </w:r>
      <w:r>
        <w:rPr>
          <w:rStyle w:val="FootnoteReference"/>
          <w:noProof/>
        </w:rPr>
        <w:footnoteReference w:id="4"/>
      </w:r>
      <w:r>
        <w:rPr>
          <w:noProof/>
        </w:rPr>
        <w:t>, il-Ftehim bejn l-Unjoni Ewropea u l-Belarussja dwar il-faċilitazzjoni tal-ħruġ ta’ viżi (minn issa ‘il quddiem “il-Ftehim”) ġie ffirmat fi […], suġġett għall-konklużjoni tiegħu f’data aktar tard.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Fil-kuntest tad-Dikjarazzjoni tas-Summit tas-Sħubija tal-Lvant tas-7 ta’ Mejju 2009, l-Unjoni u l-pajjiżi sħab esprimew l-appoġġ politiku tagħhom lejn il-liberalizzazzjoni tar-reġim tal-viża f’ambjent sikur u jirriaffermaw mill-ġdid l-intenzjoni tagħhom li jieħdu passi gradwali lejn sistema mingħajr viża għaċ-ċittadini tagħhom fiż-żmien opportun.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L-iskop tal-Ftehim hu li jiffaċilita, fuq il-bażi ta' reċiproċità, il-ħruġ ta’ viżi għal soġġorn intenzjonat ta’ mhux aktar minn 90 jum f’kull perjodu ta’ 180 jum għaċ-ċittadini tal-Unjoni u tal-Belarussja.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Din id-Deċiżjoni tikkostitwixxi żvilupp tad-dispożizzjonijiet tal-</w:t>
      </w:r>
      <w:r>
        <w:rPr>
          <w:i/>
          <w:noProof/>
        </w:rPr>
        <w:t>acquis</w:t>
      </w:r>
      <w:r>
        <w:rPr>
          <w:noProof/>
        </w:rPr>
        <w:t xml:space="preserve"> ta' Schengen li fihom ir-Renju Unit ma jiħux sehem, skont id-Deċiżjoni tal-Kunsill 2000/365/KE tad-29 ta' Mejju 2000 dwar it-talba tar-Renju Unit tal-Gran Brittanja u l-Irlanda ta' Fuq biex jieħdu parti f'xi disposizzjonijiet tal-</w:t>
      </w:r>
      <w:r>
        <w:rPr>
          <w:i/>
          <w:noProof/>
        </w:rPr>
        <w:t>acquis</w:t>
      </w:r>
      <w:r>
        <w:rPr>
          <w:rStyle w:val="FootnoteReference"/>
          <w:i/>
          <w:noProof/>
        </w:rPr>
        <w:footnoteReference w:id="5"/>
      </w:r>
      <w:r>
        <w:rPr>
          <w:noProof/>
        </w:rPr>
        <w:t xml:space="preserve"> ta' Schengen; għaldaqstant ir-Renju Unit mhuwiex qiegħed jieħu sehem fl-adozzjoni tagħha u mhuwiex marbut biha jew soġġett għall-applikazzjoni tagħha.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Din id-Deċiżjoni tikkostitwixxi żvilupp tad-dispożizzjonijiet tal-</w:t>
      </w:r>
      <w:r>
        <w:rPr>
          <w:i/>
          <w:noProof/>
        </w:rPr>
        <w:t>acquis</w:t>
      </w:r>
      <w:r>
        <w:rPr>
          <w:noProof/>
        </w:rPr>
        <w:t xml:space="preserve"> ta' Schengen li fihom l-Irlanda ma tiħux sehem skont id-Deċiżjoni tal-Kunsill 2002/192/KE tat-28 ta' Frar 2002 dwar it-talba tal-Irlanda sabiex tieħu sehem f'xi dispożizzjonijiet tal-</w:t>
      </w:r>
      <w:r>
        <w:rPr>
          <w:i/>
          <w:noProof/>
        </w:rPr>
        <w:t xml:space="preserve">acquis </w:t>
      </w:r>
      <w:r>
        <w:rPr>
          <w:rStyle w:val="FootnoteReference"/>
          <w:noProof/>
        </w:rPr>
        <w:footnoteReference w:id="6"/>
      </w:r>
      <w:r>
        <w:rPr>
          <w:noProof/>
        </w:rPr>
        <w:t>ta' Schengen; Għaldaqstant l-Irlanda mhix qiegħda tieħu sehem fl-adozzjoni ta’ din id-Deċiżjoni u mhix marbuta biha jew soġġetta għall-applikazzjoni tagħha.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F'konformità mal-Artikoli 1 u 2 tal-Protokoll Nru 22 dwar il-pożizzjoni tad-Danimarka, anness mat-Trattat dwar l-Unjoni Ewropea u mat-Trattat dwar il-Funzjonament tal-Unjoni Ewropea, id-Danimarka mhix qiegħda tieħu sehem fl-adozzjoni ta’ din id-Deċiżjoni u mhix marbuta biha jew suġġetta għall-applikazzjoni tagħha.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Il-ftehim għandu jiġi approvat f’isem l-Unjoni Ewropea,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Il-Ftehim bejn l-Unjoni Ewropea u r-Repubblika tal-Belarussja dwar il-faċilitazzjoni tal-ħruġ ta’ viżi (“il-Ftehim”) huwa b’dan approvat f’isem l-Unjoni. 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It-test tal-Ftehim u tad-Dikjarazzjonijiet Konġunti huma mehmuża ma’ din id-Deċiżjoni.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Il-President tal-Kunsill għandu jinnomina l-persuna awtorizzata biex tipproċedi, f’isem l-Unjoni Ewropea, għan-notifika stabbilita fl-Artikolu 14(1) tal-Ftehim, sabiex jiġi espress il-kunsens tal-Unjoni Ewropea li tintrabat bil-Ftehim.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Il-Kummissjoni, megħjuna minn esperti mill-Istati Membri, għandha tirrapreżenta lill-Unjoni fil-Kumitat Konġunt stabbilit mill-Artikolu 12 tal-Ftehim.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rPr>
          <w:noProof/>
        </w:rPr>
      </w:pPr>
      <w:r>
        <w:rPr>
          <w:noProof/>
        </w:rPr>
        <w:t>Din id-Deċiżjoni għandha tidħol fis-seħħ fil-jum tal-adozzjoni tagħha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Id-direttivi ta’ negozjati ġew emendati mill-Kunsill fit-2 ta’ Marzu 2015 sabiex tiġi inkluża l-possibbiltà li l-eżenzjoni diplomatika mill-viża tiġi sospiża fil-każ ta’ firxa usa’ ta’ raġunijiet minn dawk speċifikati fid-dispożizzjonijiet ta’ sospensjoni standard, eż. fil-każ ta’ kunsiderazzjonijiet li jolqtu d-drittijiet tal-bniedem u d-demokrazija kif ukoll fil-każ ta’ abbuż minn dik l-eżenzjoni.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Il-preambolu u d-Dikjarazzjoni Konġunta dwar is-sitwazzjoni tar-Renju Unit jistgħu jkollhom jiġu riveduti wara l-ħruġ tar-Renju Unit.</w:t>
      </w:r>
    </w:p>
  </w:footnote>
  <w:footnote w:id="3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Għandha tiġi inkluża referenza għall-kunsens tal-PE.</w:t>
      </w:r>
    </w:p>
  </w:footnote>
  <w:footnote w:id="4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 xml:space="preserve">OJ L </w:t>
      </w:r>
      <w:r>
        <w:rPr>
          <w:color w:val="0000FF"/>
          <w:lang w:val="de-DE"/>
        </w:rPr>
        <w:t>[…]</w:t>
      </w:r>
      <w:r>
        <w:rPr>
          <w:lang w:val="de-DE"/>
        </w:rPr>
        <w:t xml:space="preserve">, </w:t>
      </w:r>
      <w:r>
        <w:rPr>
          <w:color w:val="0000FF"/>
          <w:lang w:val="de-DE"/>
        </w:rPr>
        <w:t>[…]</w:t>
      </w:r>
      <w:r>
        <w:rPr>
          <w:lang w:val="de-DE"/>
        </w:rPr>
        <w:t xml:space="preserve">, p. </w:t>
      </w:r>
      <w:r>
        <w:rPr>
          <w:color w:val="0000FF"/>
          <w:lang w:val="de-DE"/>
        </w:rPr>
        <w:t>[…]</w:t>
      </w:r>
      <w:r>
        <w:rPr>
          <w:lang w:val="de-DE"/>
        </w:rPr>
        <w:t>.</w:t>
      </w:r>
    </w:p>
  </w:footnote>
  <w:footnote w:id="5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Id-Deċiżjoni tal-Kunsill 2000/365/KE tad-29 ta’ Mejju 2000 dwar it-talba tar-Renju Unit tal-Gran Brittanja u l-Irlanda ta’ Fuq biex jieħdu parti f’xi dispożizzjonijiet tal-</w:t>
      </w:r>
      <w:r>
        <w:rPr>
          <w:i/>
          <w:lang w:val="de-DE"/>
        </w:rPr>
        <w:t>acquis</w:t>
      </w:r>
      <w:r>
        <w:rPr>
          <w:lang w:val="de-DE"/>
        </w:rPr>
        <w:t xml:space="preserve"> ta’ Schengen (ĠU L 131, 1.6.2000, p. 43). </w:t>
      </w:r>
    </w:p>
  </w:footnote>
  <w:footnote w:id="6">
    <w:p>
      <w:pPr>
        <w:pStyle w:val="FootnoteText"/>
        <w:ind w:left="709" w:hanging="709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Id-Deċiżjoni tal-Kunsill 2002/192/KE tat-28 ta’ Frar 2002 rigward it-talba tal-Irlanda biex tieħu sehem f’xi dispożizzjonijiet tal-</w:t>
      </w:r>
      <w:r>
        <w:rPr>
          <w:i/>
          <w:lang w:val="de-DE"/>
        </w:rPr>
        <w:t xml:space="preserve">acquis </w:t>
      </w:r>
      <w:r>
        <w:rPr>
          <w:lang w:val="de-DE"/>
        </w:rPr>
        <w:t>ta’ Schengen (ĠU L 64, 7.3.2002, p. 20).</w:t>
      </w:r>
    </w:p>
  </w:footnote>
  <w:footnote w:id="7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Id-data tad-dħul fis-seħħ tal-Ftehim ser tiġi ppubblikata f’</w:t>
      </w:r>
      <w:r>
        <w:rPr>
          <w:i/>
          <w:iCs/>
          <w:lang w:val="de-DE"/>
        </w:rPr>
        <w:t>Il-Ġurnal Uffiċjali tal-Unjoni Ewropea</w:t>
      </w:r>
      <w:r>
        <w:rPr>
          <w:lang w:val="de-DE"/>
        </w:rPr>
        <w:t xml:space="preserve"> mis-Segretarjat Ġenerali tal-Kunsill.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1E5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DCEA4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A4014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FCC9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A8482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F8C93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69E9D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A4F4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0315490"/>
    <w:multiLevelType w:val="singleLevel"/>
    <w:tmpl w:val="1F86C700"/>
    <w:name w:val="0,3015515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  <w:lvlOverride w:ilvl="0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  <w:num w:numId="27">
    <w:abstractNumId w:val="13"/>
  </w:num>
  <w:num w:numId="28">
    <w:abstractNumId w:val="21"/>
  </w:num>
  <w:num w:numId="29">
    <w:abstractNumId w:val="11"/>
  </w:num>
  <w:num w:numId="30">
    <w:abstractNumId w:val="14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8-30 11:53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D5972AE-CA88-4708-A354-0A8BB4F0F97D"/>
    <w:docVar w:name="LW_COVERPAGE_TYPE" w:val="1"/>
    <w:docVar w:name="LW_CROSSREFERENCE" w:val="&lt;UNUSED&gt;"/>
    <w:docVar w:name="LW_DocType" w:val="COM"/>
    <w:docVar w:name="LW_EMISSION" w:val="30.8.2019"/>
    <w:docVar w:name="LW_EMISSION_ISODATE" w:val="2019-08-30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82"/>
    <w:docVar w:name="LW_REF.II.NEW.CP_YEAR" w:val="2019"/>
    <w:docVar w:name="LW_REF.INST.NEW" w:val="COM"/>
    <w:docVar w:name="LW_REF.INST.NEW_ADOPTED" w:val="final"/>
    <w:docVar w:name="LW_REF.INST.NEW_TEXT" w:val="(2019) 4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konklu\u380?joni tal-Ftehim bejn l-Unjoni Ewropea u r-Repubblika tal-Belarussja dwar il-fa\u267?ilitazzjoni tal-\u295?ru\u289? ta\u8217? vi\u380?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  <w:szCs w:val="24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  <w:szCs w:val="24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39B0-4ECD-4E60-AF19-352F19F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8</Pages>
  <Words>2081</Words>
  <Characters>15425</Characters>
  <Application>Microsoft Office Word</Application>
  <DocSecurity>0</DocSecurity>
  <Lines>241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dcterms:created xsi:type="dcterms:W3CDTF">2019-08-28T09:27:00Z</dcterms:created>
  <dcterms:modified xsi:type="dcterms:W3CDTF">2019-08-30T09:53:00Z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