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DMBM_14709"/>
      <w:bookmarkStart w:id="1" w:name="_CSF_TOC_1"/>
      <w:bookmarkStart w:id="2"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EE3AB5B1-AC78-4F51-AC99-D99805FD143B" style="width:450.75pt;height:333.75pt">
            <v:imagedata r:id="rId10" o:title=""/>
          </v:shape>
        </w:pict>
      </w:r>
    </w:p>
    <w:bookmarkEnd w:id="2"/>
    <w:p>
      <w:pPr>
        <w:rPr>
          <w:noProof/>
        </w:rPr>
        <w:sectPr>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134" w:left="1417" w:header="709" w:footer="709" w:gutter="0"/>
          <w:pgNumType w:start="0"/>
          <w:cols w:space="720"/>
          <w:docGrid w:linePitch="360"/>
        </w:sectPr>
      </w:pPr>
    </w:p>
    <w:p>
      <w:pPr>
        <w:pStyle w:val="CoverPage"/>
        <w:rPr>
          <w:noProof/>
        </w:rPr>
      </w:pPr>
      <w:bookmarkStart w:id="3" w:name="_GoBack"/>
      <w:bookmarkEnd w:id="3"/>
    </w:p>
    <w:p>
      <w:pPr>
        <w:pStyle w:val="CoverPage"/>
        <w:rPr>
          <w:noProof/>
        </w:rPr>
      </w:pPr>
      <w:r>
        <w:rPr>
          <w:noProof/>
        </w:rPr>
        <w:t xml:space="preserve">Euroopan unionin </w:t>
      </w:r>
      <w:r>
        <w:rPr>
          <w:noProof/>
        </w:rPr>
        <w:br/>
        <w:t xml:space="preserve">konsolidoitu tilinpäätös </w:t>
      </w:r>
    </w:p>
    <w:p>
      <w:pPr>
        <w:pStyle w:val="CoverPage"/>
        <w:rPr>
          <w:noProof/>
        </w:rPr>
      </w:pPr>
      <w:r>
        <w:rPr>
          <w:noProof/>
        </w:rPr>
        <w:t>Varainhoitovuosi 2018</w:t>
      </w:r>
    </w:p>
    <w:p>
      <w:pPr>
        <w:pStyle w:val="CoverPage"/>
        <w:rPr>
          <w:noProof/>
        </w:rPr>
      </w:pPr>
    </w:p>
    <w:p>
      <w:pPr>
        <w:pStyle w:val="CoverPage"/>
        <w:rPr>
          <w:noProof/>
        </w:rPr>
      </w:pPr>
    </w:p>
    <w:p>
      <w:pPr>
        <w:pStyle w:val="CoverPage"/>
        <w:rPr>
          <w:noProof/>
        </w:rPr>
        <w:sectPr>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20"/>
          <w:docGrid w:linePitch="360"/>
        </w:sectPr>
      </w:pPr>
      <w:r>
        <w:rPr>
          <w:noProof/>
        </w:rPr>
        <w:t xml:space="preserve"> </w:t>
      </w:r>
      <w:bookmarkEnd w:id="0"/>
    </w:p>
    <w:p>
      <w:pPr>
        <w:pStyle w:val="HEADERTABLE"/>
        <w:rPr>
          <w:noProof/>
        </w:rPr>
      </w:pPr>
      <w:bookmarkStart w:id="4" w:name="_DMBM_14773"/>
      <w:r>
        <w:rPr>
          <w:noProof/>
        </w:rPr>
        <w:lastRenderedPageBreak/>
        <w:t>SISÄLLYSLUETTELO</w:t>
      </w:r>
    </w:p>
    <w:p>
      <w:pPr>
        <w:pStyle w:val="HEADERTABLE"/>
        <w:rPr>
          <w:noProof/>
        </w:rPr>
      </w:pPr>
    </w:p>
    <w:p>
      <w:pPr>
        <w:pStyle w:val="TOC1"/>
        <w:tabs>
          <w:tab w:val="right" w:leader="dot" w:pos="9017"/>
        </w:tabs>
        <w:rPr>
          <w:rFonts w:asciiTheme="minorHAnsi" w:eastAsiaTheme="minorEastAsia" w:hAnsiTheme="minorHAnsi" w:cstheme="minorBidi"/>
          <w:noProof/>
          <w:color w:val="auto"/>
          <w:szCs w:val="22"/>
          <w:lang w:bidi="ar-SA"/>
        </w:rPr>
      </w:pPr>
      <w:r>
        <w:rPr>
          <w:noProof/>
          <w:color w:val="auto"/>
          <w:sz w:val="18"/>
          <w:szCs w:val="18"/>
        </w:rPr>
        <w:fldChar w:fldCharType="begin"/>
      </w:r>
      <w:r>
        <w:rPr>
          <w:noProof/>
        </w:rPr>
        <w:instrText xml:space="preserve"> TOC \h \z \t "FIRST_CHAPTER_PAGE;1;HEADER_TITLE_1;2" </w:instrText>
      </w:r>
      <w:r>
        <w:rPr>
          <w:noProof/>
          <w:color w:val="auto"/>
          <w:sz w:val="18"/>
          <w:szCs w:val="18"/>
        </w:rPr>
        <w:fldChar w:fldCharType="separate"/>
      </w:r>
      <w:hyperlink w:anchor="_Toc17883106" w:history="1">
        <w:r>
          <w:rPr>
            <w:rStyle w:val="Hyperlink"/>
            <w:noProof/>
          </w:rPr>
          <w:t>JOHDANTO</w:t>
        </w:r>
        <w:r>
          <w:rPr>
            <w:noProof/>
            <w:webHidden/>
          </w:rPr>
          <w:tab/>
        </w:r>
        <w:r>
          <w:rPr>
            <w:noProof/>
            <w:webHidden/>
          </w:rPr>
          <w:fldChar w:fldCharType="begin"/>
        </w:r>
        <w:r>
          <w:rPr>
            <w:noProof/>
            <w:webHidden/>
          </w:rPr>
          <w:instrText xml:space="preserve"> PAGEREF _Toc17883106 \h </w:instrText>
        </w:r>
        <w:r>
          <w:rPr>
            <w:noProof/>
            <w:webHidden/>
          </w:rPr>
        </w:r>
        <w:r>
          <w:rPr>
            <w:noProof/>
            <w:webHidden/>
          </w:rPr>
          <w:fldChar w:fldCharType="separate"/>
        </w:r>
        <w:r>
          <w:rPr>
            <w:noProof/>
            <w:webHidden/>
          </w:rPr>
          <w:t>3</w:t>
        </w:r>
        <w:r>
          <w:rPr>
            <w:noProof/>
            <w:webHidden/>
          </w:rPr>
          <w:fldChar w:fldCharType="end"/>
        </w:r>
      </w:hyperlink>
    </w:p>
    <w:p>
      <w:pPr>
        <w:pStyle w:val="TOC1"/>
        <w:tabs>
          <w:tab w:val="right" w:leader="dot" w:pos="9017"/>
        </w:tabs>
        <w:rPr>
          <w:rFonts w:asciiTheme="minorHAnsi" w:eastAsiaTheme="minorEastAsia" w:hAnsiTheme="minorHAnsi" w:cstheme="minorBidi"/>
          <w:noProof/>
          <w:color w:val="auto"/>
          <w:szCs w:val="22"/>
          <w:lang w:bidi="ar-SA"/>
        </w:rPr>
      </w:pPr>
      <w:hyperlink w:anchor="_Toc17883107" w:history="1">
        <w:r>
          <w:rPr>
            <w:rStyle w:val="Hyperlink"/>
            <w:noProof/>
          </w:rPr>
          <w:t>EUROOPAN UNIONIN POLIITTINEN KEHYS JA RAHOITUSKEHYS, HALLINTO JA VASTUUVELVOLLISUUS</w:t>
        </w:r>
        <w:r>
          <w:rPr>
            <w:noProof/>
            <w:webHidden/>
          </w:rPr>
          <w:tab/>
        </w:r>
        <w:r>
          <w:rPr>
            <w:noProof/>
            <w:webHidden/>
          </w:rPr>
          <w:fldChar w:fldCharType="begin"/>
        </w:r>
        <w:r>
          <w:rPr>
            <w:noProof/>
            <w:webHidden/>
          </w:rPr>
          <w:instrText xml:space="preserve"> PAGEREF _Toc17883107 \h </w:instrText>
        </w:r>
        <w:r>
          <w:rPr>
            <w:noProof/>
            <w:webHidden/>
          </w:rPr>
        </w:r>
        <w:r>
          <w:rPr>
            <w:noProof/>
            <w:webHidden/>
          </w:rPr>
          <w:fldChar w:fldCharType="separate"/>
        </w:r>
        <w:r>
          <w:rPr>
            <w:noProof/>
            <w:webHidden/>
          </w:rPr>
          <w:t>4</w:t>
        </w:r>
        <w:r>
          <w:rPr>
            <w:noProof/>
            <w:webHidden/>
          </w:rPr>
          <w:fldChar w:fldCharType="end"/>
        </w:r>
      </w:hyperlink>
    </w:p>
    <w:p>
      <w:pPr>
        <w:pStyle w:val="TOC1"/>
        <w:tabs>
          <w:tab w:val="right" w:leader="dot" w:pos="9017"/>
        </w:tabs>
        <w:rPr>
          <w:rFonts w:asciiTheme="minorHAnsi" w:eastAsiaTheme="minorEastAsia" w:hAnsiTheme="minorHAnsi" w:cstheme="minorBidi"/>
          <w:noProof/>
          <w:color w:val="auto"/>
          <w:szCs w:val="22"/>
          <w:lang w:bidi="ar-SA"/>
        </w:rPr>
      </w:pPr>
      <w:hyperlink w:anchor="_Toc17883108" w:history="1">
        <w:r>
          <w:rPr>
            <w:rStyle w:val="Hyperlink"/>
            <w:noProof/>
          </w:rPr>
          <w:t>KONSOLIDOITUUN TILINPÄÄTÖKSEEN LIITETTY ILMOITUS</w:t>
        </w:r>
        <w:r>
          <w:rPr>
            <w:noProof/>
            <w:webHidden/>
          </w:rPr>
          <w:tab/>
        </w:r>
        <w:r>
          <w:rPr>
            <w:noProof/>
            <w:webHidden/>
          </w:rPr>
          <w:fldChar w:fldCharType="begin"/>
        </w:r>
        <w:r>
          <w:rPr>
            <w:noProof/>
            <w:webHidden/>
          </w:rPr>
          <w:instrText xml:space="preserve"> PAGEREF _Toc17883108 \h </w:instrText>
        </w:r>
        <w:r>
          <w:rPr>
            <w:noProof/>
            <w:webHidden/>
          </w:rPr>
        </w:r>
        <w:r>
          <w:rPr>
            <w:noProof/>
            <w:webHidden/>
          </w:rPr>
          <w:fldChar w:fldCharType="separate"/>
        </w:r>
        <w:r>
          <w:rPr>
            <w:noProof/>
            <w:webHidden/>
          </w:rPr>
          <w:t>12</w:t>
        </w:r>
        <w:r>
          <w:rPr>
            <w:noProof/>
            <w:webHidden/>
          </w:rPr>
          <w:fldChar w:fldCharType="end"/>
        </w:r>
      </w:hyperlink>
    </w:p>
    <w:p>
      <w:pPr>
        <w:pStyle w:val="TOC1"/>
        <w:tabs>
          <w:tab w:val="right" w:leader="dot" w:pos="9017"/>
        </w:tabs>
        <w:rPr>
          <w:rFonts w:asciiTheme="minorHAnsi" w:eastAsiaTheme="minorEastAsia" w:hAnsiTheme="minorHAnsi" w:cstheme="minorBidi"/>
          <w:noProof/>
          <w:color w:val="auto"/>
          <w:szCs w:val="22"/>
          <w:lang w:bidi="ar-SA"/>
        </w:rPr>
      </w:pPr>
      <w:hyperlink w:anchor="_Toc17883109" w:history="1">
        <w:r>
          <w:rPr>
            <w:rStyle w:val="Hyperlink"/>
            <w:noProof/>
          </w:rPr>
          <w:t>VARAINHOITOVUODEN 2018 TÄRKEIMPIÄ TAPAHTUMIA</w:t>
        </w:r>
        <w:r>
          <w:rPr>
            <w:noProof/>
            <w:webHidden/>
          </w:rPr>
          <w:tab/>
        </w:r>
        <w:r>
          <w:rPr>
            <w:noProof/>
            <w:webHidden/>
          </w:rPr>
          <w:fldChar w:fldCharType="begin"/>
        </w:r>
        <w:r>
          <w:rPr>
            <w:noProof/>
            <w:webHidden/>
          </w:rPr>
          <w:instrText xml:space="preserve"> PAGEREF _Toc17883109 \h </w:instrText>
        </w:r>
        <w:r>
          <w:rPr>
            <w:noProof/>
            <w:webHidden/>
          </w:rPr>
        </w:r>
        <w:r>
          <w:rPr>
            <w:noProof/>
            <w:webHidden/>
          </w:rPr>
          <w:fldChar w:fldCharType="separate"/>
        </w:r>
        <w:r>
          <w:rPr>
            <w:noProof/>
            <w:webHidden/>
          </w:rPr>
          <w:t>13</w:t>
        </w:r>
        <w:r>
          <w:rPr>
            <w:noProof/>
            <w:webHidden/>
          </w:rPr>
          <w:fldChar w:fldCharType="end"/>
        </w:r>
      </w:hyperlink>
    </w:p>
    <w:p>
      <w:pPr>
        <w:pStyle w:val="TOC1"/>
        <w:tabs>
          <w:tab w:val="right" w:leader="dot" w:pos="9017"/>
        </w:tabs>
        <w:rPr>
          <w:rFonts w:asciiTheme="minorHAnsi" w:eastAsiaTheme="minorEastAsia" w:hAnsiTheme="minorHAnsi" w:cstheme="minorBidi"/>
          <w:noProof/>
          <w:color w:val="auto"/>
          <w:szCs w:val="22"/>
          <w:lang w:bidi="ar-SA"/>
        </w:rPr>
      </w:pPr>
      <w:hyperlink w:anchor="_Toc17883110" w:history="1">
        <w:r>
          <w:rPr>
            <w:rStyle w:val="Hyperlink"/>
            <w:noProof/>
          </w:rPr>
          <w:t>KONSOLIDOIDUT TILINPÄÄTÖSLASKELMAT JA LIITETIEDOT</w:t>
        </w:r>
        <w:r>
          <w:rPr>
            <w:noProof/>
            <w:webHidden/>
          </w:rPr>
          <w:tab/>
        </w:r>
        <w:r>
          <w:rPr>
            <w:noProof/>
            <w:webHidden/>
          </w:rPr>
          <w:fldChar w:fldCharType="begin"/>
        </w:r>
        <w:r>
          <w:rPr>
            <w:noProof/>
            <w:webHidden/>
          </w:rPr>
          <w:instrText xml:space="preserve"> PAGEREF _Toc17883110 \h </w:instrText>
        </w:r>
        <w:r>
          <w:rPr>
            <w:noProof/>
            <w:webHidden/>
          </w:rPr>
        </w:r>
        <w:r>
          <w:rPr>
            <w:noProof/>
            <w:webHidden/>
          </w:rPr>
          <w:fldChar w:fldCharType="separate"/>
        </w:r>
        <w:r>
          <w:rPr>
            <w:noProof/>
            <w:webHidden/>
          </w:rPr>
          <w:t>15</w:t>
        </w:r>
        <w:r>
          <w:rPr>
            <w:noProof/>
            <w:webHidden/>
          </w:rPr>
          <w:fldChar w:fldCharType="end"/>
        </w:r>
      </w:hyperlink>
    </w:p>
    <w:p>
      <w:pPr>
        <w:pStyle w:val="TOC2"/>
        <w:tabs>
          <w:tab w:val="right" w:leader="dot" w:pos="9017"/>
        </w:tabs>
        <w:rPr>
          <w:rFonts w:asciiTheme="minorHAnsi" w:eastAsiaTheme="minorEastAsia" w:hAnsiTheme="minorHAnsi" w:cstheme="minorBidi"/>
          <w:noProof/>
          <w:color w:val="auto"/>
          <w:szCs w:val="22"/>
          <w:lang w:bidi="ar-SA"/>
        </w:rPr>
      </w:pPr>
      <w:hyperlink w:anchor="_Toc17883111" w:history="1">
        <w:r>
          <w:rPr>
            <w:rStyle w:val="Hyperlink"/>
            <w:noProof/>
          </w:rPr>
          <w:t>TASE</w:t>
        </w:r>
        <w:r>
          <w:rPr>
            <w:noProof/>
            <w:webHidden/>
          </w:rPr>
          <w:tab/>
        </w:r>
        <w:r>
          <w:rPr>
            <w:noProof/>
            <w:webHidden/>
          </w:rPr>
          <w:fldChar w:fldCharType="begin"/>
        </w:r>
        <w:r>
          <w:rPr>
            <w:noProof/>
            <w:webHidden/>
          </w:rPr>
          <w:instrText xml:space="preserve"> PAGEREF _Toc17883111 \h </w:instrText>
        </w:r>
        <w:r>
          <w:rPr>
            <w:noProof/>
            <w:webHidden/>
          </w:rPr>
        </w:r>
        <w:r>
          <w:rPr>
            <w:noProof/>
            <w:webHidden/>
          </w:rPr>
          <w:fldChar w:fldCharType="separate"/>
        </w:r>
        <w:r>
          <w:rPr>
            <w:noProof/>
            <w:webHidden/>
          </w:rPr>
          <w:t>17</w:t>
        </w:r>
        <w:r>
          <w:rPr>
            <w:noProof/>
            <w:webHidden/>
          </w:rPr>
          <w:fldChar w:fldCharType="end"/>
        </w:r>
      </w:hyperlink>
    </w:p>
    <w:p>
      <w:pPr>
        <w:pStyle w:val="TOC2"/>
        <w:tabs>
          <w:tab w:val="right" w:leader="dot" w:pos="9017"/>
        </w:tabs>
        <w:rPr>
          <w:rFonts w:asciiTheme="minorHAnsi" w:eastAsiaTheme="minorEastAsia" w:hAnsiTheme="minorHAnsi" w:cstheme="minorBidi"/>
          <w:noProof/>
          <w:color w:val="auto"/>
          <w:szCs w:val="22"/>
          <w:lang w:bidi="ar-SA"/>
        </w:rPr>
      </w:pPr>
      <w:hyperlink w:anchor="_Toc17883112" w:history="1">
        <w:r>
          <w:rPr>
            <w:rStyle w:val="Hyperlink"/>
            <w:noProof/>
          </w:rPr>
          <w:t>TUOTTO- JA KULULASKELMA</w:t>
        </w:r>
        <w:r>
          <w:rPr>
            <w:noProof/>
            <w:webHidden/>
          </w:rPr>
          <w:tab/>
        </w:r>
        <w:r>
          <w:rPr>
            <w:noProof/>
            <w:webHidden/>
          </w:rPr>
          <w:fldChar w:fldCharType="begin"/>
        </w:r>
        <w:r>
          <w:rPr>
            <w:noProof/>
            <w:webHidden/>
          </w:rPr>
          <w:instrText xml:space="preserve"> PAGEREF _Toc17883112 \h </w:instrText>
        </w:r>
        <w:r>
          <w:rPr>
            <w:noProof/>
            <w:webHidden/>
          </w:rPr>
        </w:r>
        <w:r>
          <w:rPr>
            <w:noProof/>
            <w:webHidden/>
          </w:rPr>
          <w:fldChar w:fldCharType="separate"/>
        </w:r>
        <w:r>
          <w:rPr>
            <w:noProof/>
            <w:webHidden/>
          </w:rPr>
          <w:t>18</w:t>
        </w:r>
        <w:r>
          <w:rPr>
            <w:noProof/>
            <w:webHidden/>
          </w:rPr>
          <w:fldChar w:fldCharType="end"/>
        </w:r>
      </w:hyperlink>
    </w:p>
    <w:p>
      <w:pPr>
        <w:pStyle w:val="TOC2"/>
        <w:tabs>
          <w:tab w:val="right" w:leader="dot" w:pos="9017"/>
        </w:tabs>
        <w:rPr>
          <w:rFonts w:asciiTheme="minorHAnsi" w:eastAsiaTheme="minorEastAsia" w:hAnsiTheme="minorHAnsi" w:cstheme="minorBidi"/>
          <w:noProof/>
          <w:color w:val="auto"/>
          <w:szCs w:val="22"/>
          <w:lang w:bidi="ar-SA"/>
        </w:rPr>
      </w:pPr>
      <w:hyperlink w:anchor="_Toc17883113" w:history="1">
        <w:r>
          <w:rPr>
            <w:rStyle w:val="Hyperlink"/>
            <w:noProof/>
          </w:rPr>
          <w:t>RAHAVIRTALASKELMA</w:t>
        </w:r>
        <w:r>
          <w:rPr>
            <w:noProof/>
            <w:webHidden/>
          </w:rPr>
          <w:tab/>
        </w:r>
        <w:r>
          <w:rPr>
            <w:noProof/>
            <w:webHidden/>
          </w:rPr>
          <w:fldChar w:fldCharType="begin"/>
        </w:r>
        <w:r>
          <w:rPr>
            <w:noProof/>
            <w:webHidden/>
          </w:rPr>
          <w:instrText xml:space="preserve"> PAGEREF _Toc17883113 \h </w:instrText>
        </w:r>
        <w:r>
          <w:rPr>
            <w:noProof/>
            <w:webHidden/>
          </w:rPr>
        </w:r>
        <w:r>
          <w:rPr>
            <w:noProof/>
            <w:webHidden/>
          </w:rPr>
          <w:fldChar w:fldCharType="separate"/>
        </w:r>
        <w:r>
          <w:rPr>
            <w:noProof/>
            <w:webHidden/>
          </w:rPr>
          <w:t>19</w:t>
        </w:r>
        <w:r>
          <w:rPr>
            <w:noProof/>
            <w:webHidden/>
          </w:rPr>
          <w:fldChar w:fldCharType="end"/>
        </w:r>
      </w:hyperlink>
    </w:p>
    <w:p>
      <w:pPr>
        <w:pStyle w:val="TOC2"/>
        <w:tabs>
          <w:tab w:val="right" w:leader="dot" w:pos="9017"/>
        </w:tabs>
        <w:rPr>
          <w:rFonts w:asciiTheme="minorHAnsi" w:eastAsiaTheme="minorEastAsia" w:hAnsiTheme="minorHAnsi" w:cstheme="minorBidi"/>
          <w:noProof/>
          <w:color w:val="auto"/>
          <w:szCs w:val="22"/>
          <w:lang w:bidi="ar-SA"/>
        </w:rPr>
      </w:pPr>
      <w:hyperlink w:anchor="_Toc17883114" w:history="1">
        <w:r>
          <w:rPr>
            <w:rStyle w:val="Hyperlink"/>
            <w:noProof/>
          </w:rPr>
          <w:t>LASKELMA NETTOVAROJEN MUUTOKSISTA</w:t>
        </w:r>
        <w:r>
          <w:rPr>
            <w:noProof/>
            <w:webHidden/>
          </w:rPr>
          <w:tab/>
        </w:r>
        <w:r>
          <w:rPr>
            <w:noProof/>
            <w:webHidden/>
          </w:rPr>
          <w:fldChar w:fldCharType="begin"/>
        </w:r>
        <w:r>
          <w:rPr>
            <w:noProof/>
            <w:webHidden/>
          </w:rPr>
          <w:instrText xml:space="preserve"> PAGEREF _Toc17883114 \h </w:instrText>
        </w:r>
        <w:r>
          <w:rPr>
            <w:noProof/>
            <w:webHidden/>
          </w:rPr>
        </w:r>
        <w:r>
          <w:rPr>
            <w:noProof/>
            <w:webHidden/>
          </w:rPr>
          <w:fldChar w:fldCharType="separate"/>
        </w:r>
        <w:r>
          <w:rPr>
            <w:noProof/>
            <w:webHidden/>
          </w:rPr>
          <w:t>20</w:t>
        </w:r>
        <w:r>
          <w:rPr>
            <w:noProof/>
            <w:webHidden/>
          </w:rPr>
          <w:fldChar w:fldCharType="end"/>
        </w:r>
      </w:hyperlink>
    </w:p>
    <w:p>
      <w:pPr>
        <w:pStyle w:val="TOC2"/>
        <w:tabs>
          <w:tab w:val="right" w:leader="dot" w:pos="9017"/>
        </w:tabs>
        <w:rPr>
          <w:rFonts w:asciiTheme="minorHAnsi" w:eastAsiaTheme="minorEastAsia" w:hAnsiTheme="minorHAnsi" w:cstheme="minorBidi"/>
          <w:noProof/>
          <w:color w:val="auto"/>
          <w:szCs w:val="22"/>
          <w:lang w:bidi="ar-SA"/>
        </w:rPr>
      </w:pPr>
      <w:hyperlink w:anchor="_Toc17883115" w:history="1">
        <w:r>
          <w:rPr>
            <w:rStyle w:val="Hyperlink"/>
            <w:noProof/>
          </w:rPr>
          <w:t>TILINPÄÄTÖKSEN LIITETIEDOT</w:t>
        </w:r>
        <w:r>
          <w:rPr>
            <w:noProof/>
            <w:webHidden/>
          </w:rPr>
          <w:tab/>
        </w:r>
        <w:r>
          <w:rPr>
            <w:noProof/>
            <w:webHidden/>
          </w:rPr>
          <w:fldChar w:fldCharType="begin"/>
        </w:r>
        <w:r>
          <w:rPr>
            <w:noProof/>
            <w:webHidden/>
          </w:rPr>
          <w:instrText xml:space="preserve"> PAGEREF _Toc17883115 \h </w:instrText>
        </w:r>
        <w:r>
          <w:rPr>
            <w:noProof/>
            <w:webHidden/>
          </w:rPr>
        </w:r>
        <w:r>
          <w:rPr>
            <w:noProof/>
            <w:webHidden/>
          </w:rPr>
          <w:fldChar w:fldCharType="separate"/>
        </w:r>
        <w:r>
          <w:rPr>
            <w:noProof/>
            <w:webHidden/>
          </w:rPr>
          <w:t>21</w:t>
        </w:r>
        <w:r>
          <w:rPr>
            <w:noProof/>
            <w:webHidden/>
          </w:rPr>
          <w:fldChar w:fldCharType="end"/>
        </w:r>
      </w:hyperlink>
    </w:p>
    <w:p>
      <w:pPr>
        <w:pStyle w:val="TOC1"/>
        <w:tabs>
          <w:tab w:val="right" w:leader="dot" w:pos="9017"/>
        </w:tabs>
        <w:rPr>
          <w:rFonts w:asciiTheme="minorHAnsi" w:eastAsiaTheme="minorEastAsia" w:hAnsiTheme="minorHAnsi" w:cstheme="minorBidi"/>
          <w:noProof/>
          <w:color w:val="auto"/>
          <w:szCs w:val="22"/>
          <w:lang w:bidi="ar-SA"/>
        </w:rPr>
      </w:pPr>
      <w:hyperlink w:anchor="_Toc17883116" w:history="1">
        <w:r>
          <w:rPr>
            <w:rStyle w:val="Hyperlink"/>
            <w:noProof/>
          </w:rPr>
          <w:t>TILINPÄÄTÖKSEN SISÄLTÖ JA ANALYYSI</w:t>
        </w:r>
        <w:r>
          <w:rPr>
            <w:noProof/>
            <w:webHidden/>
          </w:rPr>
          <w:tab/>
        </w:r>
        <w:r>
          <w:rPr>
            <w:noProof/>
            <w:webHidden/>
          </w:rPr>
          <w:fldChar w:fldCharType="begin"/>
        </w:r>
        <w:r>
          <w:rPr>
            <w:noProof/>
            <w:webHidden/>
          </w:rPr>
          <w:instrText xml:space="preserve"> PAGEREF _Toc17883116 \h </w:instrText>
        </w:r>
        <w:r>
          <w:rPr>
            <w:noProof/>
            <w:webHidden/>
          </w:rPr>
        </w:r>
        <w:r>
          <w:rPr>
            <w:noProof/>
            <w:webHidden/>
          </w:rPr>
          <w:fldChar w:fldCharType="separate"/>
        </w:r>
        <w:r>
          <w:rPr>
            <w:noProof/>
            <w:webHidden/>
          </w:rPr>
          <w:t>103</w:t>
        </w:r>
        <w:r>
          <w:rPr>
            <w:noProof/>
            <w:webHidden/>
          </w:rPr>
          <w:fldChar w:fldCharType="end"/>
        </w:r>
      </w:hyperlink>
    </w:p>
    <w:p>
      <w:pPr>
        <w:pStyle w:val="TOC1"/>
        <w:tabs>
          <w:tab w:val="right" w:leader="dot" w:pos="9017"/>
        </w:tabs>
        <w:rPr>
          <w:rFonts w:asciiTheme="minorHAnsi" w:eastAsiaTheme="minorEastAsia" w:hAnsiTheme="minorHAnsi" w:cstheme="minorBidi"/>
          <w:noProof/>
          <w:color w:val="auto"/>
          <w:szCs w:val="22"/>
          <w:lang w:bidi="ar-SA"/>
        </w:rPr>
      </w:pPr>
      <w:hyperlink w:anchor="_Toc17883117" w:history="1">
        <w:r>
          <w:rPr>
            <w:rStyle w:val="Hyperlink"/>
            <w:noProof/>
          </w:rPr>
          <w:t>TALOUSARVION TOTEUTTAMISKERTOMUS JA LIITETIEDOT</w:t>
        </w:r>
        <w:r>
          <w:rPr>
            <w:noProof/>
            <w:webHidden/>
          </w:rPr>
          <w:tab/>
        </w:r>
        <w:r>
          <w:rPr>
            <w:noProof/>
            <w:webHidden/>
          </w:rPr>
          <w:fldChar w:fldCharType="begin"/>
        </w:r>
        <w:r>
          <w:rPr>
            <w:noProof/>
            <w:webHidden/>
          </w:rPr>
          <w:instrText xml:space="preserve"> PAGEREF _Toc17883117 \h </w:instrText>
        </w:r>
        <w:r>
          <w:rPr>
            <w:noProof/>
            <w:webHidden/>
          </w:rPr>
        </w:r>
        <w:r>
          <w:rPr>
            <w:noProof/>
            <w:webHidden/>
          </w:rPr>
          <w:fldChar w:fldCharType="separate"/>
        </w:r>
        <w:r>
          <w:rPr>
            <w:noProof/>
            <w:webHidden/>
          </w:rPr>
          <w:t>119</w:t>
        </w:r>
        <w:r>
          <w:rPr>
            <w:noProof/>
            <w:webHidden/>
          </w:rPr>
          <w:fldChar w:fldCharType="end"/>
        </w:r>
      </w:hyperlink>
    </w:p>
    <w:p>
      <w:pPr>
        <w:pStyle w:val="TOC1"/>
        <w:tabs>
          <w:tab w:val="right" w:leader="dot" w:pos="9017"/>
        </w:tabs>
        <w:rPr>
          <w:rFonts w:asciiTheme="minorHAnsi" w:eastAsiaTheme="minorEastAsia" w:hAnsiTheme="minorHAnsi" w:cstheme="minorBidi"/>
          <w:noProof/>
          <w:color w:val="auto"/>
          <w:szCs w:val="22"/>
          <w:lang w:bidi="ar-SA"/>
        </w:rPr>
      </w:pPr>
      <w:hyperlink w:anchor="_Toc17883118" w:history="1">
        <w:r>
          <w:rPr>
            <w:rStyle w:val="Hyperlink"/>
            <w:noProof/>
          </w:rPr>
          <w:t>SANASTO</w:t>
        </w:r>
        <w:r>
          <w:rPr>
            <w:noProof/>
            <w:webHidden/>
          </w:rPr>
          <w:tab/>
        </w:r>
        <w:r>
          <w:rPr>
            <w:noProof/>
            <w:webHidden/>
          </w:rPr>
          <w:fldChar w:fldCharType="begin"/>
        </w:r>
        <w:r>
          <w:rPr>
            <w:noProof/>
            <w:webHidden/>
          </w:rPr>
          <w:instrText xml:space="preserve"> PAGEREF _Toc17883118 \h </w:instrText>
        </w:r>
        <w:r>
          <w:rPr>
            <w:noProof/>
            <w:webHidden/>
          </w:rPr>
        </w:r>
        <w:r>
          <w:rPr>
            <w:noProof/>
            <w:webHidden/>
          </w:rPr>
          <w:fldChar w:fldCharType="separate"/>
        </w:r>
        <w:r>
          <w:rPr>
            <w:noProof/>
            <w:webHidden/>
          </w:rPr>
          <w:t>173</w:t>
        </w:r>
        <w:r>
          <w:rPr>
            <w:noProof/>
            <w:webHidden/>
          </w:rPr>
          <w:fldChar w:fldCharType="end"/>
        </w:r>
      </w:hyperlink>
    </w:p>
    <w:p>
      <w:pPr>
        <w:pStyle w:val="TOC1"/>
        <w:tabs>
          <w:tab w:val="right" w:leader="dot" w:pos="9017"/>
        </w:tabs>
        <w:rPr>
          <w:rFonts w:asciiTheme="minorHAnsi" w:eastAsiaTheme="minorEastAsia" w:hAnsiTheme="minorHAnsi" w:cstheme="minorBidi"/>
          <w:noProof/>
          <w:color w:val="auto"/>
          <w:szCs w:val="22"/>
          <w:lang w:bidi="ar-SA"/>
        </w:rPr>
      </w:pPr>
      <w:hyperlink w:anchor="_Toc17883119" w:history="1">
        <w:r>
          <w:rPr>
            <w:rStyle w:val="Hyperlink"/>
            <w:noProof/>
          </w:rPr>
          <w:t>LYHENTEET</w:t>
        </w:r>
        <w:r>
          <w:rPr>
            <w:noProof/>
            <w:webHidden/>
          </w:rPr>
          <w:tab/>
        </w:r>
        <w:r>
          <w:rPr>
            <w:noProof/>
            <w:webHidden/>
          </w:rPr>
          <w:fldChar w:fldCharType="begin"/>
        </w:r>
        <w:r>
          <w:rPr>
            <w:noProof/>
            <w:webHidden/>
          </w:rPr>
          <w:instrText xml:space="preserve"> PAGEREF _Toc17883119 \h </w:instrText>
        </w:r>
        <w:r>
          <w:rPr>
            <w:noProof/>
            <w:webHidden/>
          </w:rPr>
        </w:r>
        <w:r>
          <w:rPr>
            <w:noProof/>
            <w:webHidden/>
          </w:rPr>
          <w:fldChar w:fldCharType="separate"/>
        </w:r>
        <w:r>
          <w:rPr>
            <w:noProof/>
            <w:webHidden/>
          </w:rPr>
          <w:t>177</w:t>
        </w:r>
        <w:r>
          <w:rPr>
            <w:noProof/>
            <w:webHidden/>
          </w:rPr>
          <w:fldChar w:fldCharType="end"/>
        </w:r>
      </w:hyperlink>
    </w:p>
    <w:p>
      <w:pPr>
        <w:pStyle w:val="Textstand-alone"/>
        <w:rPr>
          <w:rFonts w:asciiTheme="minorHAnsi" w:eastAsiaTheme="minorEastAsia" w:hAnsiTheme="minorHAnsi" w:cstheme="minorBidi"/>
          <w:szCs w:val="22"/>
        </w:rPr>
        <w:sectPr>
          <w:headerReference w:type="even" r:id="rId23"/>
          <w:headerReference w:type="default" r:id="rId24"/>
          <w:footerReference w:type="even" r:id="rId25"/>
          <w:footerReference w:type="default" r:id="rId26"/>
          <w:headerReference w:type="first" r:id="rId27"/>
          <w:footerReference w:type="first" r:id="rId28"/>
          <w:pgSz w:w="11907" w:h="16840"/>
          <w:pgMar w:top="1440" w:right="1440" w:bottom="1440" w:left="1440" w:header="708" w:footer="708" w:gutter="0"/>
          <w:cols w:space="708"/>
          <w:docGrid w:linePitch="360"/>
        </w:sectPr>
      </w:pPr>
      <w:r>
        <w:rPr>
          <w:caps/>
          <w:color w:val="016894"/>
          <w:sz w:val="20"/>
          <w:szCs w:val="24"/>
        </w:rPr>
        <w:fldChar w:fldCharType="end"/>
      </w:r>
      <w:r>
        <w:rPr>
          <w:caps/>
          <w:color w:val="016894"/>
          <w:sz w:val="20"/>
        </w:rPr>
        <w:t xml:space="preserve"> </w:t>
      </w:r>
      <w:bookmarkEnd w:id="4"/>
    </w:p>
    <w:p>
      <w:pPr>
        <w:pStyle w:val="FIRSTCHAPTERPAGE"/>
        <w:rPr>
          <w:noProof/>
        </w:rPr>
      </w:pPr>
      <w:bookmarkStart w:id="5" w:name="_Toc11938924"/>
      <w:bookmarkStart w:id="6" w:name="_Toc17883106"/>
      <w:bookmarkStart w:id="7" w:name="_DMBM_14868"/>
      <w:r>
        <w:rPr>
          <w:noProof/>
        </w:rPr>
        <w:lastRenderedPageBreak/>
        <w:t>JOHDANTO</w:t>
      </w:r>
      <w:bookmarkEnd w:id="5"/>
      <w:bookmarkEnd w:id="6"/>
    </w:p>
    <w:tbl>
      <w:tblPr>
        <w:tblW w:w="0" w:type="auto"/>
        <w:tblInd w:w="108" w:type="dxa"/>
        <w:tblLayout w:type="fixed"/>
        <w:tblLook w:val="04A0" w:firstRow="1" w:lastRow="0" w:firstColumn="1" w:lastColumn="0" w:noHBand="0" w:noVBand="1"/>
      </w:tblPr>
      <w:tblGrid>
        <w:gridCol w:w="2694"/>
        <w:gridCol w:w="7052"/>
      </w:tblGrid>
      <w:tr>
        <w:tc>
          <w:tcPr>
            <w:tcW w:w="2694" w:type="dxa"/>
          </w:tcPr>
          <w:p>
            <w:pPr>
              <w:jc w:val="both"/>
              <w:rPr>
                <w:rFonts w:ascii="Verdana" w:hAnsi="Verdana"/>
                <w:noProof/>
                <w:sz w:val="16"/>
                <w:szCs w:val="16"/>
              </w:rPr>
            </w:pPr>
            <w:r>
              <w:rPr>
                <w:rFonts w:ascii="Verdana" w:hAnsi="Verdana"/>
                <w:noProof/>
                <w:sz w:val="16"/>
                <w:szCs w:val="16"/>
                <w:lang w:val="en-GB" w:eastAsia="en-GB" w:bidi="ar-SA"/>
              </w:rPr>
              <w:drawing>
                <wp:inline distT="0" distB="0" distL="0" distR="0">
                  <wp:extent cx="1565452" cy="196047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12848" name="Günther H. Oettinger_approved_croppe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65612" cy="1960673"/>
                          </a:xfrm>
                          <a:prstGeom prst="rect">
                            <a:avLst/>
                          </a:prstGeom>
                        </pic:spPr>
                      </pic:pic>
                    </a:graphicData>
                  </a:graphic>
                </wp:inline>
              </w:drawing>
            </w:r>
          </w:p>
        </w:tc>
        <w:tc>
          <w:tcPr>
            <w:tcW w:w="7052" w:type="dxa"/>
          </w:tcPr>
          <w:p>
            <w:pPr>
              <w:pStyle w:val="DGTextstand-alone"/>
              <w:spacing w:before="0" w:after="0"/>
            </w:pPr>
            <w:r>
              <w:t xml:space="preserve">Minulla on ilo esittää Euroopan unionin tilinpäätös varainhoitovuodelta 2018. Tilinpäätös antaa kattavan kuvan EU:n rahoituksesta ja EU:n talousarvion toteutuksesta viime vuonna ja sisältää tiedot ehdollisista veloista sekä unionin taloudellisista sitoumuksista ja muista velvoitteista. Tilinpäätöksessä selitetään keskeisiä numerotietoja ja niiden kehitystä ottaen huomioon, että unionin toimet toteutetaan usein monen vuoden aikana. </w:t>
            </w:r>
            <w:r>
              <w:rPr>
                <w:b/>
              </w:rPr>
              <w:t>Euroopan unionin konsolidoitu tilinpäätös</w:t>
            </w:r>
            <w:r>
              <w:t xml:space="preserve"> on osa komission </w:t>
            </w:r>
            <w:r>
              <w:rPr>
                <w:b/>
              </w:rPr>
              <w:t>integroitua talous- ja vastuuvelvollisuusraportointia</w:t>
            </w:r>
            <w:r>
              <w:t xml:space="preserve"> ja olennainen osa hyvin kehittynyttä taloudellisen vastuun järjestelmäämme.</w:t>
            </w:r>
          </w:p>
          <w:p>
            <w:pPr>
              <w:pStyle w:val="DGTextstand-alone"/>
              <w:rPr>
                <w:sz w:val="16"/>
                <w:szCs w:val="16"/>
              </w:rPr>
            </w:pPr>
            <w:r>
              <w:t>EU:n talousarvio on kooltaan melko vaatimaton, mutta sillä on suuri vaikutus miljoonien eurooppalaisten elämään. Se täydentää kansallisia talousarvioita, ja sillä tuetaan poliittisia painopisteitä aloilla, joilla sillä saadaan aikaan todellista lisäarvoa ja tuotetaan tuloksia kaikkein tehokkaimmin.</w:t>
            </w:r>
          </w:p>
        </w:tc>
      </w:tr>
    </w:tbl>
    <w:p>
      <w:pPr>
        <w:pStyle w:val="DGTextstand-alone"/>
        <w:spacing w:before="0"/>
      </w:pPr>
      <w:r>
        <w:t>Vuosi 2018 oli nykyisen monivuotisen rahoituskehyksen viides voimassaolovuosi, joten kaikki rahoitusohjelmat ovat käynnissä. EU:n talousarvion maksusitoumusmäärärahat olivat yhteensä 173,1 miljardia euroa ja maksumäärärahat 156,7 miljardia euroa. EU:n talousarvio auttoi kuluneena vuonna vastaamaan monimutkaisesta geopoliittisesta ympäristöstä aiheutuviin haasteisiin. Samaan aikaan se mahdollisti strategiset investoinnit ja kestävän kasvun Euroopassa.</w:t>
      </w:r>
    </w:p>
    <w:p>
      <w:pPr>
        <w:pStyle w:val="DGTextstand-alone"/>
      </w:pPr>
      <w:r>
        <w:t xml:space="preserve">Lähes puolet talousarvion varoista suunnattiin kasvun, työllisyyden ja kilpailukyvyn edistämiseen. Rahoitusta myönnettiin tutkimukselle ja innovoinnille Horisontti 2020 </w:t>
      </w:r>
      <w:r>
        <w:noBreakHyphen/>
        <w:t xml:space="preserve">puiteohjelmasta, pienille ja keskisuurille yrityksille COSME-ohjelmasta sekä koulutukselle Erasmus+ -ohjelmasta. Myös Euroopan strategisten investointien rahastolla, Verkkojen Eurooppa </w:t>
      </w:r>
      <w:r>
        <w:noBreakHyphen/>
        <w:t>välineellä ja Euroopan rakenne- ja investointirahastoilla oli tärkeä tehtävä. Kehotan teitä tutustumaan EU:n investointien taustalla oleviin tarinoihin InvestEU-portaalissa (https://europa.eu/investeu).</w:t>
      </w:r>
    </w:p>
    <w:p>
      <w:pPr>
        <w:pStyle w:val="DGTextstand-alone"/>
      </w:pPr>
      <w:r>
        <w:t xml:space="preserve">EU:n talousarviosta myönnettiin runsaasti tukea myös muille painopistealoille, joihin kuuluivat muun muassa muuttoliikettä koskeva kokonaisvaltainen lähestymistapa, turvallisuusunioni ja EU:n ulkoiset toimet. Talousarvion ansiosta EU:lla on myös näkyvämpi asema EU:n ulkopuolella tilanteessa, jolle on ominaista epävakaus unionin lähialueilla. Lisäksi talousarvion avulla edistettiin ilmastonmuutokseen ja biologiseen monimuotoisuuteen liittyvien monialaisten poliittisten tavoitteiden saavuttamista. Vuonna 2018 ilmastotoimien valtavirtaistamiseen osoitettiin yli 32 miljardia euroa eli 20 prosenttia koko talousarviosta. </w:t>
      </w:r>
    </w:p>
    <w:p>
      <w:pPr>
        <w:pStyle w:val="DGTextstand-alone"/>
      </w:pPr>
      <w:r>
        <w:t>Talousarviosta tuettiin lisäksi edelleen kestävän kasvun edistämistä ja Euroopan luonnonvarojen säilyttämistä yhteisen maatalous- ja kalastuspolitiikan kautta sekä ilmasto- ja ympäristöalan toimia Life-ohjelman kautta.</w:t>
      </w:r>
    </w:p>
    <w:p>
      <w:pPr>
        <w:pStyle w:val="DGTextstand-alone"/>
      </w:pPr>
      <w:r>
        <w:t xml:space="preserve">Euroopan unionin konsolidoitu tilinpäätös laaditaan </w:t>
      </w:r>
      <w:r>
        <w:rPr>
          <w:b/>
        </w:rPr>
        <w:t>julkisen sektorin kansainvälisten tilinpäätösstandardien</w:t>
      </w:r>
      <w:r>
        <w:t xml:space="preserve"> (International Public Sector Accounting Standards) mukaisesti. Näiden standardien noudattamiseksi komissio kehittää jatkuvasti sääntöjään ja menettelyjään, organisaatiorakennettaan ja muuntautumiskykyään. Johdonmukainen ja tehokas raportointi lisää EU:n menoihin liittyvää vastuuvelvollisuutta muutoinkin kuin lainsäädännön noudattamisen kannalta. Raportointi auttaa välittämään tietoa kansalaisille ja muille sidosryhmille ja ylläpitää heidän luottamustaan Euroopan unioniin. </w:t>
      </w:r>
    </w:p>
    <w:p>
      <w:pPr>
        <w:pStyle w:val="DGTextstand-alone"/>
      </w:pPr>
    </w:p>
    <w:p>
      <w:pPr>
        <w:pStyle w:val="DGTextstand-alone"/>
        <w:jc w:val="right"/>
      </w:pPr>
    </w:p>
    <w:p>
      <w:pPr>
        <w:pStyle w:val="DGTextstand-alone"/>
        <w:jc w:val="left"/>
        <w:rPr>
          <w:b/>
          <w:bCs/>
        </w:rPr>
      </w:pPr>
      <w:r>
        <w:rPr>
          <w:b/>
        </w:rPr>
        <w:t>Günther H. Oettinger</w:t>
      </w:r>
    </w:p>
    <w:p>
      <w:pPr>
        <w:pStyle w:val="DGTextstand-alone"/>
        <w:jc w:val="left"/>
        <w:rPr>
          <w:i/>
        </w:rPr>
        <w:sectPr>
          <w:headerReference w:type="even" r:id="rId30"/>
          <w:headerReference w:type="default" r:id="rId31"/>
          <w:footerReference w:type="even" r:id="rId32"/>
          <w:footerReference w:type="default" r:id="rId33"/>
          <w:headerReference w:type="first" r:id="rId34"/>
          <w:footerReference w:type="first" r:id="rId35"/>
          <w:pgSz w:w="11906" w:h="16838"/>
          <w:pgMar w:top="1134" w:right="1134" w:bottom="1134" w:left="1134" w:header="709" w:footer="709" w:gutter="0"/>
          <w:cols w:space="708"/>
          <w:docGrid w:linePitch="360"/>
        </w:sectPr>
      </w:pPr>
      <w:r>
        <w:rPr>
          <w:b/>
        </w:rPr>
        <w:t>Budjetista ja henkilöstöstä vastaava komission jäsen</w:t>
      </w:r>
      <w:r>
        <w:rPr>
          <w:b/>
          <w:bCs/>
        </w:rPr>
        <w:br/>
      </w:r>
      <w:r>
        <w:t xml:space="preserve"> </w:t>
      </w:r>
      <w:bookmarkEnd w:id="7"/>
    </w:p>
    <w:p>
      <w:pPr>
        <w:pStyle w:val="FIRSTCHAPTERPAGE"/>
        <w:spacing w:after="480"/>
        <w:rPr>
          <w:noProof/>
        </w:rPr>
      </w:pPr>
      <w:bookmarkStart w:id="8" w:name="_Toc11938925"/>
      <w:bookmarkStart w:id="9" w:name="_Toc17883107"/>
      <w:bookmarkStart w:id="10" w:name="_DMBM_14728"/>
      <w:r>
        <w:rPr>
          <w:noProof/>
        </w:rPr>
        <w:t>EUROOPAN UNIONIN POLIITTINEN KEHYS JA RAHOITUSKEHYS, HALLINTO JA VASTUUVELVOLLISUUS</w:t>
      </w:r>
      <w:bookmarkEnd w:id="8"/>
      <w:bookmarkEnd w:id="9"/>
    </w:p>
    <w:p>
      <w:pPr>
        <w:pStyle w:val="DGTextstand-alone"/>
        <w:spacing w:before="0"/>
      </w:pPr>
      <w:r>
        <w:t>Euroopan unioni (EU) on unioni, jolle sen jäsenvaltiot antavat toimivaltaa yhteisten tavoitteidensa saavuttamiseksi. Unionin perustana olevat arvot ovat ihmisarvon kunnioittaminen, vapaus, demokratia, tasa-arvo, oikeusvaltio ja ihmisoikeuksien kunnioittaminen, vähemmistöihin kuuluvien oikeudet mukaan luettuina. Nämä ovat jäsenvaltioille yhteisiä arvoja yhteiskunnassa, jossa vallitsevat moniarvoisuus, syrjimättömyys, suvaitsevaisuus, oikeudenmukaisuus, yhteisvastuu sekä naisten ja miesten tasa-arvo.</w:t>
      </w:r>
    </w:p>
    <w:p>
      <w:pPr>
        <w:pStyle w:val="HEADER1Part1"/>
        <w:rPr>
          <w:noProof/>
        </w:rPr>
      </w:pPr>
      <w:r>
        <w:rPr>
          <w:noProof/>
        </w:rPr>
        <w:t>POLIITTINEN KEHYS JA RAHOITUSKEHYS</w:t>
      </w:r>
    </w:p>
    <w:tbl>
      <w:tblPr>
        <w:tblW w:w="0" w:type="auto"/>
        <w:tblLook w:val="04A0" w:firstRow="1" w:lastRow="0" w:firstColumn="1" w:lastColumn="0" w:noHBand="0" w:noVBand="1"/>
      </w:tblPr>
      <w:tblGrid>
        <w:gridCol w:w="2518"/>
        <w:gridCol w:w="7336"/>
      </w:tblGrid>
      <w:tr>
        <w:tc>
          <w:tcPr>
            <w:tcW w:w="2518" w:type="dxa"/>
            <w:shd w:val="clear" w:color="auto" w:fill="0070C0"/>
            <w:vAlign w:val="center"/>
          </w:tcPr>
          <w:p>
            <w:pPr>
              <w:jc w:val="center"/>
              <w:rPr>
                <w:rFonts w:ascii="Verdana" w:hAnsi="Verdana"/>
                <w:b/>
                <w:noProof/>
                <w:sz w:val="18"/>
                <w:szCs w:val="18"/>
              </w:rPr>
            </w:pPr>
            <w:r>
              <w:rPr>
                <w:rFonts w:ascii="Verdana" w:hAnsi="Verdana"/>
                <w:b/>
                <w:noProof/>
                <w:color w:val="FFFFFF" w:themeColor="background1"/>
                <w:sz w:val="18"/>
              </w:rPr>
              <w:t>EU:n perussopimukset</w:t>
            </w:r>
          </w:p>
        </w:tc>
        <w:tc>
          <w:tcPr>
            <w:tcW w:w="7336" w:type="dxa"/>
          </w:tcPr>
          <w:p>
            <w:pPr>
              <w:jc w:val="both"/>
              <w:rPr>
                <w:rFonts w:ascii="Verdana" w:hAnsi="Verdana"/>
                <w:noProof/>
                <w:sz w:val="18"/>
                <w:szCs w:val="18"/>
              </w:rPr>
            </w:pPr>
            <w:r>
              <w:rPr>
                <w:rFonts w:ascii="Verdana" w:hAnsi="Verdana"/>
                <w:noProof/>
                <w:sz w:val="18"/>
              </w:rPr>
              <w:t xml:space="preserve">Yleiset tavoitteet ja periaatteet, jotka ohjaavat Euroopan unionia ja sen toimielimiä, on määritelty </w:t>
            </w:r>
            <w:r>
              <w:rPr>
                <w:rFonts w:ascii="Verdana" w:hAnsi="Verdana"/>
                <w:noProof/>
                <w:color w:val="016794"/>
                <w:sz w:val="18"/>
              </w:rPr>
              <w:t>perussopimuksissa</w:t>
            </w:r>
            <w:r>
              <w:rPr>
                <w:rFonts w:ascii="Verdana" w:hAnsi="Verdana"/>
                <w:noProof/>
                <w:sz w:val="18"/>
              </w:rPr>
              <w:t>. Unioni ja EU:n toimielimet voivat toimia vain sen toimivallan rajoissa, joka niille on annettu perussopimuksissa kyseisissä sopimuksissa asetettujen tavoitteiden saavuttamiseksi. Niiden on noudatettava kaikessa toiminnassaan toissijaisuus- ja suhteellisuusperiaatetta</w:t>
            </w:r>
            <w:r>
              <w:rPr>
                <w:rFonts w:ascii="Verdana" w:hAnsi="Verdana"/>
                <w:noProof/>
                <w:sz w:val="18"/>
                <w:vertAlign w:val="superscript"/>
              </w:rPr>
              <w:footnoteReference w:id="1"/>
            </w:r>
            <w:r>
              <w:rPr>
                <w:rFonts w:ascii="Verdana" w:hAnsi="Verdana"/>
                <w:noProof/>
                <w:sz w:val="18"/>
              </w:rPr>
              <w:t xml:space="preserve">. Unionilla on </w:t>
            </w:r>
          </w:p>
        </w:tc>
      </w:tr>
      <w:tr>
        <w:tc>
          <w:tcPr>
            <w:tcW w:w="9854" w:type="dxa"/>
            <w:gridSpan w:val="2"/>
          </w:tcPr>
          <w:p>
            <w:pPr>
              <w:jc w:val="both"/>
              <w:rPr>
                <w:rFonts w:ascii="Verdana" w:hAnsi="Verdana"/>
                <w:noProof/>
                <w:sz w:val="18"/>
                <w:szCs w:val="18"/>
              </w:rPr>
            </w:pPr>
            <w:r>
              <w:rPr>
                <w:rFonts w:ascii="Verdana" w:hAnsi="Verdana"/>
                <w:noProof/>
                <w:sz w:val="18"/>
              </w:rPr>
              <w:t>tavoitteidensa saavuttamiseksi ja politiikkansa toteuttamiseksi tarvittavat taloudelliset resurssit. Komission tehtävänä on panna tavoitteet täytäntöön yhteistyössä jäsenvaltioiden kanssa ja moitteettoman varainhoidon periaatetta noudattaen.</w:t>
            </w:r>
          </w:p>
        </w:tc>
      </w:tr>
    </w:tbl>
    <w:p>
      <w:pPr>
        <w:jc w:val="both"/>
        <w:rPr>
          <w:rFonts w:ascii="Verdana" w:hAnsi="Verdana"/>
          <w:noProof/>
          <w:sz w:val="18"/>
          <w:szCs w:val="18"/>
        </w:rPr>
      </w:pPr>
    </w:p>
    <w:p>
      <w:pPr>
        <w:tabs>
          <w:tab w:val="left" w:pos="426"/>
          <w:tab w:val="left" w:pos="907"/>
          <w:tab w:val="left" w:pos="8647"/>
        </w:tabs>
        <w:spacing w:after="240"/>
        <w:ind w:right="-22"/>
        <w:jc w:val="both"/>
        <w:rPr>
          <w:rFonts w:ascii="Verdana" w:hAnsi="Verdana"/>
          <w:noProof/>
          <w:sz w:val="18"/>
          <w:szCs w:val="18"/>
        </w:rPr>
      </w:pPr>
      <w:r>
        <w:rPr>
          <w:rFonts w:ascii="Verdana" w:hAnsi="Verdana"/>
          <w:noProof/>
          <w:sz w:val="18"/>
        </w:rPr>
        <w:t xml:space="preserve">EU pyrkii saavuttamaan perussopimuksessa vahvistetut tavoitteet useilla eri välineillä, joista yksi on EU:n talousarvio. Muita tehtäviä ovat esimerkiksi lainsäädännön ehdottaminen ja poliittisten strategioiden toteuttaminen. </w:t>
      </w:r>
    </w:p>
    <w:tbl>
      <w:tblPr>
        <w:tblW w:w="0" w:type="auto"/>
        <w:tblLook w:val="04A0" w:firstRow="1" w:lastRow="0" w:firstColumn="1" w:lastColumn="0" w:noHBand="0" w:noVBand="1"/>
      </w:tblPr>
      <w:tblGrid>
        <w:gridCol w:w="91"/>
        <w:gridCol w:w="1276"/>
        <w:gridCol w:w="1148"/>
        <w:gridCol w:w="2494"/>
        <w:gridCol w:w="1236"/>
        <w:gridCol w:w="3492"/>
        <w:gridCol w:w="117"/>
      </w:tblGrid>
      <w:tr>
        <w:tc>
          <w:tcPr>
            <w:tcW w:w="2518" w:type="dxa"/>
            <w:gridSpan w:val="3"/>
            <w:shd w:val="clear" w:color="auto" w:fill="76923C" w:themeFill="accent3" w:themeFillShade="BF"/>
            <w:vAlign w:val="center"/>
          </w:tcPr>
          <w:p>
            <w:pPr>
              <w:jc w:val="center"/>
              <w:rPr>
                <w:rFonts w:ascii="Verdana" w:hAnsi="Verdana"/>
                <w:b/>
                <w:noProof/>
                <w:sz w:val="18"/>
                <w:szCs w:val="18"/>
              </w:rPr>
            </w:pPr>
            <w:r>
              <w:rPr>
                <w:rFonts w:ascii="Verdana" w:hAnsi="Verdana"/>
                <w:b/>
                <w:noProof/>
                <w:color w:val="FFFFFF" w:themeColor="background1"/>
                <w:sz w:val="18"/>
              </w:rPr>
              <w:t>Komission poliittiset painopisteet</w:t>
            </w:r>
          </w:p>
        </w:tc>
        <w:tc>
          <w:tcPr>
            <w:tcW w:w="7336" w:type="dxa"/>
            <w:gridSpan w:val="4"/>
          </w:tcPr>
          <w:p>
            <w:pPr>
              <w:jc w:val="both"/>
              <w:rPr>
                <w:rFonts w:ascii="Verdana" w:hAnsi="Verdana"/>
                <w:noProof/>
                <w:sz w:val="18"/>
                <w:szCs w:val="18"/>
              </w:rPr>
            </w:pPr>
            <w:r>
              <w:rPr>
                <w:rFonts w:ascii="Verdana" w:hAnsi="Verdana"/>
                <w:noProof/>
                <w:color w:val="016794"/>
                <w:sz w:val="18"/>
              </w:rPr>
              <w:t>Komission</w:t>
            </w:r>
            <w:r>
              <w:rPr>
                <w:rFonts w:ascii="Verdana" w:hAnsi="Verdana"/>
                <w:noProof/>
                <w:sz w:val="18"/>
              </w:rPr>
              <w:t xml:space="preserve"> </w:t>
            </w:r>
            <w:r>
              <w:rPr>
                <w:rFonts w:ascii="Verdana" w:hAnsi="Verdana"/>
                <w:noProof/>
                <w:color w:val="016794"/>
                <w:sz w:val="18"/>
              </w:rPr>
              <w:t>poliittiset painopisteet</w:t>
            </w:r>
            <w:r>
              <w:rPr>
                <w:rFonts w:ascii="Verdana" w:hAnsi="Verdana"/>
                <w:noProof/>
                <w:sz w:val="18"/>
              </w:rPr>
              <w:t xml:space="preserve"> määritellään komission puheenjohtajan vahvistamissa suuntaviivoissa. Niissä esitetään komission toimia varten etenemissuunnitelma, joka on täysin sopusoinnussa EU:n pitkän aikavälin kasvustrategian (Eurooppa 2020) kanssa. </w:t>
            </w:r>
          </w:p>
        </w:tc>
      </w:tr>
      <w:tr>
        <w:tc>
          <w:tcPr>
            <w:tcW w:w="9854" w:type="dxa"/>
            <w:gridSpan w:val="7"/>
          </w:tcPr>
          <w:p>
            <w:pPr>
              <w:jc w:val="both"/>
              <w:rPr>
                <w:rFonts w:ascii="Verdana" w:hAnsi="Verdana"/>
                <w:noProof/>
                <w:sz w:val="18"/>
                <w:szCs w:val="18"/>
              </w:rPr>
            </w:pPr>
          </w:p>
        </w:tc>
      </w:tr>
      <w:tr>
        <w:trPr>
          <w:gridBefore w:val="1"/>
          <w:gridAfter w:val="1"/>
          <w:wBefore w:w="94" w:type="dxa"/>
          <w:wAfter w:w="107" w:type="dxa"/>
        </w:trPr>
        <w:tc>
          <w:tcPr>
            <w:tcW w:w="4962" w:type="dxa"/>
            <w:gridSpan w:val="3"/>
          </w:tcPr>
          <w:p>
            <w:pPr>
              <w:pStyle w:val="HEADER5"/>
              <w:rPr>
                <w:noProof/>
              </w:rPr>
            </w:pPr>
            <w:r>
              <w:rPr>
                <w:noProof/>
              </w:rPr>
              <w:t>10 PAINOPISTETTÄ</w:t>
            </w:r>
          </w:p>
          <w:p>
            <w:pPr>
              <w:jc w:val="both"/>
              <w:rPr>
                <w:rFonts w:ascii="Verdana" w:hAnsi="Verdana"/>
                <w:noProof/>
                <w:sz w:val="18"/>
                <w:szCs w:val="18"/>
              </w:rPr>
            </w:pPr>
          </w:p>
        </w:tc>
        <w:tc>
          <w:tcPr>
            <w:tcW w:w="1134" w:type="dxa"/>
          </w:tcPr>
          <w:p>
            <w:pPr>
              <w:jc w:val="both"/>
              <w:rPr>
                <w:rFonts w:ascii="Verdana" w:hAnsi="Verdana"/>
                <w:noProof/>
                <w:sz w:val="18"/>
                <w:szCs w:val="18"/>
              </w:rPr>
            </w:pPr>
          </w:p>
        </w:tc>
        <w:tc>
          <w:tcPr>
            <w:tcW w:w="3543" w:type="dxa"/>
          </w:tcPr>
          <w:p>
            <w:pPr>
              <w:jc w:val="both"/>
              <w:rPr>
                <w:rFonts w:ascii="Verdana" w:hAnsi="Verdana"/>
                <w:noProof/>
                <w:sz w:val="18"/>
                <w:szCs w:val="18"/>
              </w:rPr>
            </w:pPr>
          </w:p>
        </w:tc>
      </w:tr>
      <w:tr>
        <w:trPr>
          <w:gridBefore w:val="1"/>
          <w:gridAfter w:val="1"/>
          <w:wBefore w:w="94" w:type="dxa"/>
          <w:wAfter w:w="107" w:type="dxa"/>
        </w:trPr>
        <w:tc>
          <w:tcPr>
            <w:tcW w:w="1276" w:type="dxa"/>
          </w:tcPr>
          <w:p>
            <w:pPr>
              <w:jc w:val="both"/>
              <w:rPr>
                <w:rFonts w:ascii="Verdana" w:hAnsi="Verdana"/>
                <w:noProof/>
                <w:sz w:val="18"/>
                <w:szCs w:val="18"/>
              </w:rPr>
            </w:pPr>
            <w:r>
              <w:rPr>
                <w:noProof/>
                <w:lang w:val="en-GB" w:eastAsia="en-GB" w:bidi="ar-SA"/>
              </w:rPr>
              <w:drawing>
                <wp:inline distT="0" distB="0" distL="0" distR="0">
                  <wp:extent cx="654050" cy="673100"/>
                  <wp:effectExtent l="0" t="0" r="0" b="0"/>
                  <wp:docPr id="1391338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66490" name=""/>
                          <pic:cNvPicPr/>
                        </pic:nvPicPr>
                        <pic:blipFill>
                          <a:blip r:embed="rId36"/>
                          <a:stretch>
                            <a:fillRect/>
                          </a:stretch>
                        </pic:blipFill>
                        <pic:spPr>
                          <a:xfrm>
                            <a:off x="0" y="0"/>
                            <a:ext cx="659791" cy="679009"/>
                          </a:xfrm>
                          <a:prstGeom prst="rect">
                            <a:avLst/>
                          </a:prstGeom>
                        </pic:spPr>
                      </pic:pic>
                    </a:graphicData>
                  </a:graphic>
                </wp:inline>
              </w:drawing>
            </w:r>
          </w:p>
        </w:tc>
        <w:tc>
          <w:tcPr>
            <w:tcW w:w="3686" w:type="dxa"/>
            <w:gridSpan w:val="2"/>
          </w:tcPr>
          <w:p>
            <w:pPr>
              <w:jc w:val="both"/>
              <w:rPr>
                <w:rFonts w:ascii="Verdana" w:hAnsi="Verdana"/>
                <w:noProof/>
                <w:sz w:val="18"/>
                <w:szCs w:val="18"/>
              </w:rPr>
            </w:pPr>
            <w:r>
              <w:rPr>
                <w:rFonts w:ascii="Verdana" w:hAnsi="Verdana"/>
                <w:noProof/>
                <w:sz w:val="18"/>
              </w:rPr>
              <w:t>Uutta pontta työllisyyteen, kasvuun ja investointeihin</w:t>
            </w:r>
          </w:p>
        </w:tc>
        <w:tc>
          <w:tcPr>
            <w:tcW w:w="1134" w:type="dxa"/>
          </w:tcPr>
          <w:p>
            <w:pPr>
              <w:jc w:val="both"/>
              <w:rPr>
                <w:rFonts w:ascii="Verdana" w:hAnsi="Verdana"/>
                <w:noProof/>
                <w:sz w:val="18"/>
                <w:szCs w:val="18"/>
              </w:rPr>
            </w:pPr>
            <w:r>
              <w:rPr>
                <w:noProof/>
                <w:lang w:val="en-GB" w:eastAsia="en-GB" w:bidi="ar-SA"/>
              </w:rPr>
              <w:drawing>
                <wp:inline distT="0" distB="0" distL="0" distR="0">
                  <wp:extent cx="647700" cy="657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14246" name=""/>
                          <pic:cNvPicPr/>
                        </pic:nvPicPr>
                        <pic:blipFill>
                          <a:blip r:embed="rId37"/>
                          <a:stretch>
                            <a:fillRect/>
                          </a:stretch>
                        </pic:blipFill>
                        <pic:spPr>
                          <a:xfrm>
                            <a:off x="0" y="0"/>
                            <a:ext cx="647700" cy="657225"/>
                          </a:xfrm>
                          <a:prstGeom prst="rect">
                            <a:avLst/>
                          </a:prstGeom>
                        </pic:spPr>
                      </pic:pic>
                    </a:graphicData>
                  </a:graphic>
                </wp:inline>
              </w:drawing>
            </w:r>
          </w:p>
        </w:tc>
        <w:tc>
          <w:tcPr>
            <w:tcW w:w="3543" w:type="dxa"/>
          </w:tcPr>
          <w:p>
            <w:pPr>
              <w:rPr>
                <w:rFonts w:ascii="Verdana" w:hAnsi="Verdana"/>
                <w:noProof/>
                <w:sz w:val="18"/>
                <w:szCs w:val="18"/>
              </w:rPr>
            </w:pPr>
            <w:r>
              <w:rPr>
                <w:rFonts w:ascii="Verdana" w:hAnsi="Verdana"/>
                <w:noProof/>
                <w:sz w:val="18"/>
              </w:rPr>
              <w:t>Globalisaation hallinta tasapainoisen ja edistyksellisen kauppapolitiikan avulla</w:t>
            </w:r>
          </w:p>
        </w:tc>
      </w:tr>
      <w:tr>
        <w:trPr>
          <w:gridBefore w:val="1"/>
          <w:gridAfter w:val="1"/>
          <w:wBefore w:w="94" w:type="dxa"/>
          <w:wAfter w:w="107" w:type="dxa"/>
        </w:trPr>
        <w:tc>
          <w:tcPr>
            <w:tcW w:w="1276" w:type="dxa"/>
          </w:tcPr>
          <w:p>
            <w:pPr>
              <w:jc w:val="both"/>
              <w:rPr>
                <w:rFonts w:ascii="Verdana" w:hAnsi="Verdana"/>
                <w:noProof/>
                <w:sz w:val="18"/>
                <w:szCs w:val="18"/>
              </w:rPr>
            </w:pPr>
            <w:r>
              <w:rPr>
                <w:noProof/>
                <w:lang w:val="en-GB" w:eastAsia="en-GB" w:bidi="ar-SA"/>
              </w:rPr>
              <w:drawing>
                <wp:inline distT="0" distB="0" distL="0" distR="0">
                  <wp:extent cx="657225" cy="657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72888" name=""/>
                          <pic:cNvPicPr/>
                        </pic:nvPicPr>
                        <pic:blipFill>
                          <a:blip r:embed="rId38"/>
                          <a:stretch>
                            <a:fillRect/>
                          </a:stretch>
                        </pic:blipFill>
                        <pic:spPr>
                          <a:xfrm>
                            <a:off x="0" y="0"/>
                            <a:ext cx="657225" cy="657225"/>
                          </a:xfrm>
                          <a:prstGeom prst="rect">
                            <a:avLst/>
                          </a:prstGeom>
                        </pic:spPr>
                      </pic:pic>
                    </a:graphicData>
                  </a:graphic>
                </wp:inline>
              </w:drawing>
            </w:r>
          </w:p>
        </w:tc>
        <w:tc>
          <w:tcPr>
            <w:tcW w:w="3686" w:type="dxa"/>
            <w:gridSpan w:val="2"/>
          </w:tcPr>
          <w:p>
            <w:pPr>
              <w:jc w:val="both"/>
              <w:rPr>
                <w:rFonts w:ascii="Verdana" w:hAnsi="Verdana"/>
                <w:noProof/>
                <w:sz w:val="18"/>
                <w:szCs w:val="18"/>
              </w:rPr>
            </w:pPr>
            <w:r>
              <w:rPr>
                <w:rFonts w:ascii="Verdana" w:hAnsi="Verdana"/>
                <w:noProof/>
                <w:sz w:val="18"/>
              </w:rPr>
              <w:t>Yhdennetyt digitaaliset sisämarkkinat</w:t>
            </w:r>
          </w:p>
        </w:tc>
        <w:tc>
          <w:tcPr>
            <w:tcW w:w="1134" w:type="dxa"/>
          </w:tcPr>
          <w:p>
            <w:pPr>
              <w:jc w:val="both"/>
              <w:rPr>
                <w:rFonts w:ascii="Verdana" w:hAnsi="Verdana"/>
                <w:noProof/>
                <w:sz w:val="18"/>
                <w:szCs w:val="18"/>
              </w:rPr>
            </w:pPr>
            <w:r>
              <w:rPr>
                <w:noProof/>
                <w:lang w:val="en-GB" w:eastAsia="en-GB" w:bidi="ar-SA"/>
              </w:rPr>
              <w:drawing>
                <wp:inline distT="0" distB="0" distL="0" distR="0">
                  <wp:extent cx="638175" cy="638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62885" name=""/>
                          <pic:cNvPicPr/>
                        </pic:nvPicPr>
                        <pic:blipFill>
                          <a:blip r:embed="rId39"/>
                          <a:stretch>
                            <a:fillRect/>
                          </a:stretch>
                        </pic:blipFill>
                        <pic:spPr>
                          <a:xfrm>
                            <a:off x="0" y="0"/>
                            <a:ext cx="638175" cy="638175"/>
                          </a:xfrm>
                          <a:prstGeom prst="rect">
                            <a:avLst/>
                          </a:prstGeom>
                        </pic:spPr>
                      </pic:pic>
                    </a:graphicData>
                  </a:graphic>
                </wp:inline>
              </w:drawing>
            </w:r>
          </w:p>
        </w:tc>
        <w:tc>
          <w:tcPr>
            <w:tcW w:w="3543" w:type="dxa"/>
          </w:tcPr>
          <w:p>
            <w:pPr>
              <w:rPr>
                <w:rFonts w:ascii="Verdana" w:hAnsi="Verdana"/>
                <w:noProof/>
                <w:sz w:val="18"/>
                <w:szCs w:val="18"/>
              </w:rPr>
            </w:pPr>
            <w:r>
              <w:rPr>
                <w:rFonts w:ascii="Verdana" w:hAnsi="Verdana"/>
                <w:noProof/>
                <w:sz w:val="18"/>
              </w:rPr>
              <w:t>Luottamukseen ja perusoikeuksien kunnioittamiseen perustuva oikeusalue</w:t>
            </w:r>
          </w:p>
        </w:tc>
      </w:tr>
      <w:tr>
        <w:trPr>
          <w:gridBefore w:val="1"/>
          <w:gridAfter w:val="1"/>
          <w:wBefore w:w="94" w:type="dxa"/>
          <w:wAfter w:w="107" w:type="dxa"/>
        </w:trPr>
        <w:tc>
          <w:tcPr>
            <w:tcW w:w="1276" w:type="dxa"/>
          </w:tcPr>
          <w:p>
            <w:pPr>
              <w:jc w:val="both"/>
              <w:rPr>
                <w:rFonts w:ascii="Verdana" w:hAnsi="Verdana"/>
                <w:noProof/>
                <w:sz w:val="18"/>
                <w:szCs w:val="18"/>
              </w:rPr>
            </w:pPr>
            <w:r>
              <w:rPr>
                <w:noProof/>
                <w:lang w:val="en-GB" w:eastAsia="en-GB" w:bidi="ar-SA"/>
              </w:rPr>
              <w:drawing>
                <wp:inline distT="0" distB="0" distL="0" distR="0">
                  <wp:extent cx="654050" cy="64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32462" name=""/>
                          <pic:cNvPicPr/>
                        </pic:nvPicPr>
                        <pic:blipFill>
                          <a:blip r:embed="rId40"/>
                          <a:stretch>
                            <a:fillRect/>
                          </a:stretch>
                        </pic:blipFill>
                        <pic:spPr>
                          <a:xfrm>
                            <a:off x="0" y="0"/>
                            <a:ext cx="654050" cy="647700"/>
                          </a:xfrm>
                          <a:prstGeom prst="rect">
                            <a:avLst/>
                          </a:prstGeom>
                        </pic:spPr>
                      </pic:pic>
                    </a:graphicData>
                  </a:graphic>
                </wp:inline>
              </w:drawing>
            </w:r>
          </w:p>
        </w:tc>
        <w:tc>
          <w:tcPr>
            <w:tcW w:w="3686" w:type="dxa"/>
            <w:gridSpan w:val="2"/>
          </w:tcPr>
          <w:p>
            <w:pPr>
              <w:rPr>
                <w:rFonts w:ascii="Verdana" w:hAnsi="Verdana"/>
                <w:noProof/>
                <w:sz w:val="18"/>
                <w:szCs w:val="18"/>
              </w:rPr>
            </w:pPr>
            <w:r>
              <w:rPr>
                <w:rFonts w:ascii="Verdana" w:hAnsi="Verdana"/>
                <w:noProof/>
                <w:sz w:val="18"/>
              </w:rPr>
              <w:t>Joustava energiaunioni ja tulevaisuuteen suuntautuva ilmastonmuutospolitiikka</w:t>
            </w:r>
          </w:p>
        </w:tc>
        <w:tc>
          <w:tcPr>
            <w:tcW w:w="1134" w:type="dxa"/>
          </w:tcPr>
          <w:p>
            <w:pPr>
              <w:jc w:val="both"/>
              <w:rPr>
                <w:rFonts w:ascii="Verdana" w:hAnsi="Verdana"/>
                <w:noProof/>
                <w:sz w:val="18"/>
                <w:szCs w:val="18"/>
              </w:rPr>
            </w:pPr>
            <w:r>
              <w:rPr>
                <w:noProof/>
                <w:lang w:val="en-GB" w:eastAsia="en-GB" w:bidi="ar-SA"/>
              </w:rPr>
              <w:drawing>
                <wp:inline distT="0" distB="0" distL="0" distR="0">
                  <wp:extent cx="638175" cy="666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53918" name=""/>
                          <pic:cNvPicPr/>
                        </pic:nvPicPr>
                        <pic:blipFill>
                          <a:blip r:embed="rId41"/>
                          <a:stretch>
                            <a:fillRect/>
                          </a:stretch>
                        </pic:blipFill>
                        <pic:spPr>
                          <a:xfrm>
                            <a:off x="0" y="0"/>
                            <a:ext cx="638175" cy="666750"/>
                          </a:xfrm>
                          <a:prstGeom prst="rect">
                            <a:avLst/>
                          </a:prstGeom>
                        </pic:spPr>
                      </pic:pic>
                    </a:graphicData>
                  </a:graphic>
                </wp:inline>
              </w:drawing>
            </w:r>
          </w:p>
        </w:tc>
        <w:tc>
          <w:tcPr>
            <w:tcW w:w="3543" w:type="dxa"/>
          </w:tcPr>
          <w:p>
            <w:pPr>
              <w:rPr>
                <w:rFonts w:ascii="Verdana" w:hAnsi="Verdana"/>
                <w:noProof/>
                <w:sz w:val="18"/>
                <w:szCs w:val="18"/>
              </w:rPr>
            </w:pPr>
            <w:r>
              <w:rPr>
                <w:rFonts w:ascii="Verdana" w:hAnsi="Verdana"/>
                <w:noProof/>
                <w:sz w:val="18"/>
              </w:rPr>
              <w:t>Kohti uudenlaista muuttoliikepolitiikkaa</w:t>
            </w:r>
          </w:p>
        </w:tc>
      </w:tr>
      <w:tr>
        <w:trPr>
          <w:gridBefore w:val="1"/>
          <w:gridAfter w:val="1"/>
          <w:wBefore w:w="94" w:type="dxa"/>
          <w:wAfter w:w="107" w:type="dxa"/>
        </w:trPr>
        <w:tc>
          <w:tcPr>
            <w:tcW w:w="1276" w:type="dxa"/>
          </w:tcPr>
          <w:p>
            <w:pPr>
              <w:jc w:val="both"/>
              <w:rPr>
                <w:rFonts w:ascii="Verdana" w:hAnsi="Verdana"/>
                <w:noProof/>
                <w:sz w:val="18"/>
                <w:szCs w:val="18"/>
              </w:rPr>
            </w:pPr>
            <w:r>
              <w:rPr>
                <w:noProof/>
                <w:lang w:val="en-GB" w:eastAsia="en-GB" w:bidi="ar-SA"/>
              </w:rPr>
              <w:drawing>
                <wp:inline distT="0" distB="0" distL="0" distR="0">
                  <wp:extent cx="654050" cy="628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73506" name=""/>
                          <pic:cNvPicPr/>
                        </pic:nvPicPr>
                        <pic:blipFill>
                          <a:blip r:embed="rId42"/>
                          <a:stretch>
                            <a:fillRect/>
                          </a:stretch>
                        </pic:blipFill>
                        <pic:spPr>
                          <a:xfrm>
                            <a:off x="0" y="0"/>
                            <a:ext cx="654050" cy="628650"/>
                          </a:xfrm>
                          <a:prstGeom prst="rect">
                            <a:avLst/>
                          </a:prstGeom>
                        </pic:spPr>
                      </pic:pic>
                    </a:graphicData>
                  </a:graphic>
                </wp:inline>
              </w:drawing>
            </w:r>
          </w:p>
        </w:tc>
        <w:tc>
          <w:tcPr>
            <w:tcW w:w="3686" w:type="dxa"/>
            <w:gridSpan w:val="2"/>
          </w:tcPr>
          <w:p>
            <w:pPr>
              <w:rPr>
                <w:rFonts w:ascii="Verdana" w:hAnsi="Verdana"/>
                <w:noProof/>
                <w:sz w:val="18"/>
                <w:szCs w:val="18"/>
              </w:rPr>
            </w:pPr>
            <w:r>
              <w:rPr>
                <w:rFonts w:ascii="Verdana" w:hAnsi="Verdana"/>
                <w:noProof/>
                <w:sz w:val="18"/>
              </w:rPr>
              <w:t>Syvemmät ja oikeudenmukaisemmat sisämarkkinat ja lujempi teollisuuspohja</w:t>
            </w:r>
          </w:p>
        </w:tc>
        <w:tc>
          <w:tcPr>
            <w:tcW w:w="1134" w:type="dxa"/>
          </w:tcPr>
          <w:p>
            <w:pPr>
              <w:jc w:val="both"/>
              <w:rPr>
                <w:rFonts w:ascii="Verdana" w:hAnsi="Verdana"/>
                <w:noProof/>
                <w:sz w:val="18"/>
                <w:szCs w:val="18"/>
              </w:rPr>
            </w:pPr>
            <w:r>
              <w:rPr>
                <w:noProof/>
                <w:lang w:val="en-GB" w:eastAsia="en-GB" w:bidi="ar-SA"/>
              </w:rPr>
              <w:drawing>
                <wp:inline distT="0" distB="0" distL="0" distR="0">
                  <wp:extent cx="628650" cy="657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28766" name=""/>
                          <pic:cNvPicPr/>
                        </pic:nvPicPr>
                        <pic:blipFill>
                          <a:blip r:embed="rId43"/>
                          <a:stretch>
                            <a:fillRect/>
                          </a:stretch>
                        </pic:blipFill>
                        <pic:spPr>
                          <a:xfrm>
                            <a:off x="0" y="0"/>
                            <a:ext cx="628650" cy="657225"/>
                          </a:xfrm>
                          <a:prstGeom prst="rect">
                            <a:avLst/>
                          </a:prstGeom>
                        </pic:spPr>
                      </pic:pic>
                    </a:graphicData>
                  </a:graphic>
                </wp:inline>
              </w:drawing>
            </w:r>
          </w:p>
        </w:tc>
        <w:tc>
          <w:tcPr>
            <w:tcW w:w="3543" w:type="dxa"/>
          </w:tcPr>
          <w:p>
            <w:pPr>
              <w:rPr>
                <w:rFonts w:ascii="Verdana" w:hAnsi="Verdana"/>
                <w:noProof/>
                <w:sz w:val="18"/>
                <w:szCs w:val="18"/>
              </w:rPr>
            </w:pPr>
            <w:r>
              <w:rPr>
                <w:rFonts w:ascii="Verdana" w:hAnsi="Verdana"/>
                <w:noProof/>
                <w:sz w:val="18"/>
              </w:rPr>
              <w:t>EU:sta vahvempi maailmanlaajuinen toimija</w:t>
            </w:r>
          </w:p>
        </w:tc>
      </w:tr>
      <w:tr>
        <w:trPr>
          <w:gridBefore w:val="1"/>
          <w:gridAfter w:val="1"/>
          <w:wBefore w:w="94" w:type="dxa"/>
          <w:wAfter w:w="107" w:type="dxa"/>
        </w:trPr>
        <w:tc>
          <w:tcPr>
            <w:tcW w:w="1276" w:type="dxa"/>
          </w:tcPr>
          <w:p>
            <w:pPr>
              <w:jc w:val="both"/>
              <w:rPr>
                <w:rFonts w:ascii="Verdana" w:hAnsi="Verdana"/>
                <w:noProof/>
                <w:sz w:val="18"/>
                <w:szCs w:val="18"/>
              </w:rPr>
            </w:pPr>
            <w:r>
              <w:rPr>
                <w:noProof/>
                <w:lang w:val="en-GB" w:eastAsia="en-GB" w:bidi="ar-SA"/>
              </w:rPr>
              <w:drawing>
                <wp:inline distT="0" distB="0" distL="0" distR="0">
                  <wp:extent cx="654050" cy="63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15219" name=""/>
                          <pic:cNvPicPr/>
                        </pic:nvPicPr>
                        <pic:blipFill>
                          <a:blip r:embed="rId44"/>
                          <a:stretch>
                            <a:fillRect/>
                          </a:stretch>
                        </pic:blipFill>
                        <pic:spPr>
                          <a:xfrm>
                            <a:off x="0" y="0"/>
                            <a:ext cx="657320" cy="638175"/>
                          </a:xfrm>
                          <a:prstGeom prst="rect">
                            <a:avLst/>
                          </a:prstGeom>
                        </pic:spPr>
                      </pic:pic>
                    </a:graphicData>
                  </a:graphic>
                </wp:inline>
              </w:drawing>
            </w:r>
          </w:p>
        </w:tc>
        <w:tc>
          <w:tcPr>
            <w:tcW w:w="3686" w:type="dxa"/>
            <w:gridSpan w:val="2"/>
          </w:tcPr>
          <w:p>
            <w:pPr>
              <w:rPr>
                <w:rFonts w:ascii="Verdana" w:hAnsi="Verdana"/>
                <w:noProof/>
                <w:sz w:val="18"/>
                <w:szCs w:val="18"/>
              </w:rPr>
            </w:pPr>
            <w:r>
              <w:rPr>
                <w:rFonts w:ascii="Verdana" w:hAnsi="Verdana"/>
                <w:noProof/>
                <w:sz w:val="18"/>
              </w:rPr>
              <w:t>Syvempi ja oikeudenmukaisempi talous- ja rahaliitto</w:t>
            </w:r>
          </w:p>
        </w:tc>
        <w:tc>
          <w:tcPr>
            <w:tcW w:w="1134" w:type="dxa"/>
          </w:tcPr>
          <w:p>
            <w:pPr>
              <w:jc w:val="both"/>
              <w:rPr>
                <w:rFonts w:ascii="Verdana" w:hAnsi="Verdana"/>
                <w:noProof/>
                <w:sz w:val="18"/>
                <w:szCs w:val="18"/>
              </w:rPr>
            </w:pPr>
            <w:r>
              <w:rPr>
                <w:noProof/>
                <w:lang w:val="en-GB" w:eastAsia="en-GB" w:bidi="ar-SA"/>
              </w:rPr>
              <w:drawing>
                <wp:inline distT="0" distB="0" distL="0" distR="0">
                  <wp:extent cx="647700" cy="638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88456" name=""/>
                          <pic:cNvPicPr/>
                        </pic:nvPicPr>
                        <pic:blipFill>
                          <a:blip r:embed="rId45"/>
                          <a:stretch>
                            <a:fillRect/>
                          </a:stretch>
                        </pic:blipFill>
                        <pic:spPr>
                          <a:xfrm>
                            <a:off x="0" y="0"/>
                            <a:ext cx="647700" cy="638175"/>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rPr>
              <w:t>Demokraattisen muutoksen unioni</w:t>
            </w:r>
          </w:p>
        </w:tc>
      </w:tr>
    </w:tbl>
    <w:p>
      <w:pPr>
        <w:ind w:left="360"/>
        <w:jc w:val="both"/>
        <w:rPr>
          <w:rFonts w:ascii="Verdana" w:hAnsi="Verdana"/>
          <w:noProof/>
          <w:sz w:val="18"/>
          <w:szCs w:val="18"/>
        </w:rPr>
      </w:pPr>
    </w:p>
    <w:tbl>
      <w:tblPr>
        <w:tblW w:w="0" w:type="auto"/>
        <w:tblLook w:val="04A0" w:firstRow="1" w:lastRow="0" w:firstColumn="1" w:lastColumn="0" w:noHBand="0" w:noVBand="1"/>
      </w:tblPr>
      <w:tblGrid>
        <w:gridCol w:w="2518"/>
        <w:gridCol w:w="7336"/>
      </w:tblGrid>
      <w:tr>
        <w:tc>
          <w:tcPr>
            <w:tcW w:w="2518" w:type="dxa"/>
            <w:shd w:val="clear" w:color="auto" w:fill="76923C" w:themeFill="accent3" w:themeFillShade="BF"/>
            <w:vAlign w:val="center"/>
          </w:tcPr>
          <w:p>
            <w:pPr>
              <w:jc w:val="center"/>
              <w:rPr>
                <w:rFonts w:ascii="Verdana" w:hAnsi="Verdana"/>
                <w:b/>
                <w:noProof/>
                <w:sz w:val="18"/>
                <w:szCs w:val="18"/>
              </w:rPr>
            </w:pPr>
            <w:r>
              <w:rPr>
                <w:rFonts w:ascii="Verdana" w:hAnsi="Verdana"/>
                <w:b/>
                <w:noProof/>
                <w:color w:val="FFFFFF" w:themeColor="background1"/>
                <w:sz w:val="18"/>
              </w:rPr>
              <w:t xml:space="preserve">Eurooppa 2020 </w:t>
            </w:r>
            <w:r>
              <w:rPr>
                <w:rFonts w:ascii="Verdana" w:hAnsi="Verdana"/>
                <w:b/>
                <w:noProof/>
                <w:color w:val="FFFFFF" w:themeColor="background1"/>
                <w:sz w:val="18"/>
                <w:szCs w:val="18"/>
              </w:rPr>
              <w:br/>
            </w:r>
            <w:r>
              <w:rPr>
                <w:rFonts w:ascii="Verdana" w:hAnsi="Verdana"/>
                <w:b/>
                <w:noProof/>
                <w:color w:val="FFFFFF" w:themeColor="background1"/>
                <w:sz w:val="18"/>
              </w:rPr>
              <w:t>-strategia</w:t>
            </w:r>
          </w:p>
        </w:tc>
        <w:tc>
          <w:tcPr>
            <w:tcW w:w="7336" w:type="dxa"/>
          </w:tcPr>
          <w:p>
            <w:pPr>
              <w:jc w:val="both"/>
              <w:rPr>
                <w:rFonts w:ascii="Verdana" w:hAnsi="Verdana"/>
                <w:noProof/>
                <w:sz w:val="18"/>
                <w:szCs w:val="18"/>
              </w:rPr>
            </w:pPr>
            <w:r>
              <w:rPr>
                <w:rFonts w:ascii="Verdana" w:hAnsi="Verdana"/>
                <w:noProof/>
                <w:sz w:val="18"/>
              </w:rPr>
              <w:t xml:space="preserve">EU:n jäsenvaltioiden valtion- tai hallitusten päämiehet sopivat vuonna 2010 </w:t>
            </w:r>
            <w:r>
              <w:rPr>
                <w:rFonts w:ascii="Verdana" w:hAnsi="Verdana"/>
                <w:noProof/>
                <w:color w:val="016794"/>
                <w:sz w:val="18"/>
              </w:rPr>
              <w:t xml:space="preserve">Eurooppa 2020 </w:t>
            </w:r>
            <w:r>
              <w:rPr>
                <w:noProof/>
              </w:rPr>
              <w:noBreakHyphen/>
            </w:r>
            <w:r>
              <w:rPr>
                <w:rFonts w:ascii="Verdana" w:hAnsi="Verdana"/>
                <w:noProof/>
                <w:color w:val="016794"/>
                <w:sz w:val="18"/>
              </w:rPr>
              <w:t>strategiasta</w:t>
            </w:r>
            <w:r>
              <w:rPr>
                <w:rFonts w:ascii="Verdana" w:hAnsi="Verdana"/>
                <w:noProof/>
                <w:sz w:val="18"/>
              </w:rPr>
              <w:t>, jossa määritettiin työllisyyttä ja kasvua EU:ssa edistävä 10-vuotinen strategia</w:t>
            </w:r>
            <w:r>
              <w:rPr>
                <w:rFonts w:ascii="Verdana" w:hAnsi="Verdana"/>
                <w:noProof/>
                <w:sz w:val="18"/>
                <w:vertAlign w:val="superscript"/>
              </w:rPr>
              <w:footnoteReference w:id="2"/>
            </w:r>
            <w:r>
              <w:rPr>
                <w:rFonts w:ascii="Verdana" w:hAnsi="Verdana"/>
                <w:noProof/>
                <w:sz w:val="18"/>
              </w:rPr>
              <w:t>. Strategiassa esitetään kolme toisiaan vahvistavaa prioriteettia, jotka ovat älykäs, kestävä ja osallistava kasvu, sekä viisi EU:n yleistavoitetta.</w:t>
            </w:r>
          </w:p>
        </w:tc>
      </w:tr>
      <w:tr>
        <w:tc>
          <w:tcPr>
            <w:tcW w:w="9854" w:type="dxa"/>
            <w:gridSpan w:val="2"/>
          </w:tcPr>
          <w:p>
            <w:pPr>
              <w:jc w:val="both"/>
              <w:rPr>
                <w:rFonts w:ascii="Verdana" w:hAnsi="Verdana"/>
                <w:noProof/>
                <w:sz w:val="18"/>
                <w:szCs w:val="18"/>
              </w:rPr>
            </w:pPr>
            <w:r>
              <w:rPr>
                <w:rFonts w:ascii="Verdana" w:hAnsi="Verdana"/>
                <w:noProof/>
                <w:sz w:val="18"/>
              </w:rPr>
              <w:t xml:space="preserve">EU:n talousarvio on yksi EU:n vaikutuskeinoista, joilla edistetään Eurooppa 2020 </w:t>
            </w:r>
            <w:r>
              <w:rPr>
                <w:noProof/>
              </w:rPr>
              <w:noBreakHyphen/>
            </w:r>
            <w:r>
              <w:rPr>
                <w:rFonts w:ascii="Verdana" w:hAnsi="Verdana"/>
                <w:noProof/>
                <w:sz w:val="18"/>
              </w:rPr>
              <w:t xml:space="preserve">strategian tavoitteiden toteuttamista. Lisäksi tarvitaan monenlaisia toimia kansallisella tasolla, EU:n tasolla ja kansainvälisellä tasolla, jotta Eurooppa 2020 </w:t>
            </w:r>
            <w:r>
              <w:rPr>
                <w:noProof/>
              </w:rPr>
              <w:noBreakHyphen/>
            </w:r>
            <w:r>
              <w:rPr>
                <w:rFonts w:ascii="Verdana" w:hAnsi="Verdana"/>
                <w:noProof/>
                <w:sz w:val="18"/>
              </w:rPr>
              <w:t>strategia tuottaa konkreettisia tuloksia.</w:t>
            </w:r>
          </w:p>
        </w:tc>
      </w:tr>
    </w:tbl>
    <w:p>
      <w:pPr>
        <w:jc w:val="both"/>
        <w:rPr>
          <w:rFonts w:ascii="Verdana" w:hAnsi="Verdana"/>
          <w:noProof/>
          <w:sz w:val="18"/>
          <w:szCs w:val="18"/>
        </w:rPr>
      </w:pPr>
    </w:p>
    <w:tbl>
      <w:tblPr>
        <w:tblW w:w="0" w:type="auto"/>
        <w:tblLook w:val="04A0" w:firstRow="1" w:lastRow="0" w:firstColumn="1" w:lastColumn="0" w:noHBand="0" w:noVBand="1"/>
      </w:tblPr>
      <w:tblGrid>
        <w:gridCol w:w="2518"/>
        <w:gridCol w:w="7336"/>
      </w:tblGrid>
      <w:tr>
        <w:tc>
          <w:tcPr>
            <w:tcW w:w="2518" w:type="dxa"/>
            <w:shd w:val="clear" w:color="auto" w:fill="00B050"/>
            <w:vAlign w:val="center"/>
          </w:tcPr>
          <w:p>
            <w:pPr>
              <w:jc w:val="center"/>
              <w:rPr>
                <w:rFonts w:ascii="Verdana" w:hAnsi="Verdana"/>
                <w:b/>
                <w:noProof/>
                <w:sz w:val="18"/>
                <w:szCs w:val="18"/>
              </w:rPr>
            </w:pPr>
            <w:r>
              <w:rPr>
                <w:rFonts w:ascii="Verdana" w:hAnsi="Verdana"/>
                <w:b/>
                <w:noProof/>
                <w:color w:val="FFFFFF" w:themeColor="background1"/>
                <w:sz w:val="18"/>
              </w:rPr>
              <w:t>Kestävän kehityksen toimintaohjelma Agenda 2030</w:t>
            </w:r>
            <w:r>
              <w:rPr>
                <w:rStyle w:val="FootnoteReference"/>
                <w:rFonts w:ascii="Verdana" w:hAnsi="Verdana"/>
                <w:b/>
                <w:noProof/>
                <w:color w:val="FFFFFF" w:themeColor="background1"/>
                <w:sz w:val="18"/>
              </w:rPr>
              <w:footnoteReference w:id="3"/>
            </w:r>
          </w:p>
        </w:tc>
        <w:tc>
          <w:tcPr>
            <w:tcW w:w="7336" w:type="dxa"/>
          </w:tcPr>
          <w:p>
            <w:pPr>
              <w:jc w:val="both"/>
              <w:rPr>
                <w:rFonts w:ascii="Verdana" w:hAnsi="Verdana"/>
                <w:noProof/>
                <w:sz w:val="18"/>
                <w:szCs w:val="18"/>
              </w:rPr>
            </w:pPr>
            <w:r>
              <w:rPr>
                <w:rFonts w:ascii="Verdana" w:hAnsi="Verdana"/>
                <w:noProof/>
                <w:sz w:val="18"/>
              </w:rPr>
              <w:t>Kestävä kehitys on jo pitkään ollut Eurooppa-hankkeen ytimessä. EU:n perussopimuksissa tunnustetaan sen taloudellinen, sosiaalinen ja ympäristöulottuvuus, joita olisi käsiteltävä yhdessä. EU on sitoutunut edistämään kehitystä, joka vastaa nykypäivän tarpeisiin vaarantamatta tulevien sukupolvien mahdollisuutta vastata omiin tarpeisiinsa. EU:n talousarviolla</w:t>
            </w:r>
          </w:p>
        </w:tc>
      </w:tr>
      <w:tr>
        <w:tc>
          <w:tcPr>
            <w:tcW w:w="9854" w:type="dxa"/>
            <w:gridSpan w:val="2"/>
          </w:tcPr>
          <w:p>
            <w:pPr>
              <w:jc w:val="both"/>
              <w:rPr>
                <w:rFonts w:ascii="Verdana" w:hAnsi="Verdana"/>
                <w:noProof/>
                <w:sz w:val="18"/>
                <w:szCs w:val="18"/>
              </w:rPr>
            </w:pPr>
            <w:r>
              <w:rPr>
                <w:rFonts w:ascii="Verdana" w:hAnsi="Verdana"/>
                <w:noProof/>
                <w:sz w:val="18"/>
              </w:rPr>
              <w:t>on keskeinen asema monissa kestävyyteen liittyvissä haasteissa, kuten nuorisotyöttömyys, väestön ikääntyminen, ilmastonmuutos, saastuminen, kestävä energia ja muuttoliike. Nykyisen komission toimikaudella kestävä kehitys on sisällytetty keskeisiin monialaisiin hankkeisiin sekä alakohtaisiin politiikkoihin ja aloitteisiin.</w:t>
            </w:r>
          </w:p>
        </w:tc>
      </w:tr>
    </w:tbl>
    <w:p>
      <w:pPr>
        <w:jc w:val="both"/>
        <w:rPr>
          <w:rFonts w:ascii="Verdana" w:hAnsi="Verdana"/>
          <w:noProof/>
          <w:sz w:val="18"/>
          <w:szCs w:val="18"/>
        </w:rPr>
      </w:pPr>
    </w:p>
    <w:p>
      <w:pPr>
        <w:spacing w:after="120"/>
        <w:jc w:val="both"/>
        <w:rPr>
          <w:rFonts w:ascii="Verdana" w:hAnsi="Verdana"/>
          <w:noProof/>
          <w:sz w:val="18"/>
          <w:szCs w:val="18"/>
        </w:rPr>
      </w:pPr>
      <w:r>
        <w:rPr>
          <w:rFonts w:ascii="Verdana" w:hAnsi="Verdana"/>
          <w:noProof/>
          <w:sz w:val="18"/>
        </w:rPr>
        <w:t xml:space="preserve">EU:n talousarviosta tuettavat politiikkatoimet toteutetaan </w:t>
      </w:r>
      <w:r>
        <w:rPr>
          <w:rFonts w:ascii="Verdana" w:hAnsi="Verdana"/>
          <w:noProof/>
          <w:color w:val="016794"/>
          <w:sz w:val="18"/>
        </w:rPr>
        <w:t>monivuotisen rahoituskehyksen</w:t>
      </w:r>
      <w:r>
        <w:rPr>
          <w:rFonts w:ascii="Verdana" w:hAnsi="Verdana"/>
          <w:noProof/>
          <w:sz w:val="18"/>
        </w:rPr>
        <w:t xml:space="preserve"> sekä alakohtaisen lainsäädännön mukaisesti, jossa määritellään meno-ohjelmat.</w:t>
      </w:r>
    </w:p>
    <w:tbl>
      <w:tblPr>
        <w:tblW w:w="0" w:type="auto"/>
        <w:tblLook w:val="04A0" w:firstRow="1" w:lastRow="0" w:firstColumn="1" w:lastColumn="0" w:noHBand="0" w:noVBand="1"/>
      </w:tblPr>
      <w:tblGrid>
        <w:gridCol w:w="2518"/>
        <w:gridCol w:w="7336"/>
      </w:tblGrid>
      <w:tr>
        <w:tc>
          <w:tcPr>
            <w:tcW w:w="2518" w:type="dxa"/>
            <w:shd w:val="clear" w:color="auto" w:fill="548DD4" w:themeFill="text2" w:themeFillTint="99"/>
            <w:vAlign w:val="center"/>
          </w:tcPr>
          <w:p>
            <w:pPr>
              <w:jc w:val="center"/>
              <w:rPr>
                <w:rFonts w:ascii="Verdana" w:hAnsi="Verdana"/>
                <w:b/>
                <w:noProof/>
                <w:color w:val="FFFFFF" w:themeColor="background1"/>
                <w:sz w:val="18"/>
                <w:szCs w:val="18"/>
              </w:rPr>
            </w:pPr>
            <w:r>
              <w:rPr>
                <w:rFonts w:ascii="Verdana" w:hAnsi="Verdana"/>
                <w:b/>
                <w:noProof/>
                <w:color w:val="FFFFFF" w:themeColor="background1"/>
                <w:sz w:val="18"/>
              </w:rPr>
              <w:t xml:space="preserve">Monivuotinen rahoituskehys ja </w:t>
            </w:r>
          </w:p>
          <w:p>
            <w:pPr>
              <w:jc w:val="center"/>
              <w:rPr>
                <w:rFonts w:ascii="Verdana" w:hAnsi="Verdana"/>
                <w:b/>
                <w:noProof/>
                <w:sz w:val="18"/>
                <w:szCs w:val="18"/>
              </w:rPr>
            </w:pPr>
            <w:r>
              <w:rPr>
                <w:rFonts w:ascii="Verdana" w:hAnsi="Verdana"/>
                <w:b/>
                <w:noProof/>
                <w:color w:val="FFFFFF" w:themeColor="background1"/>
                <w:sz w:val="18"/>
              </w:rPr>
              <w:t>meno-ohjelmat</w:t>
            </w:r>
          </w:p>
        </w:tc>
        <w:tc>
          <w:tcPr>
            <w:tcW w:w="7336" w:type="dxa"/>
          </w:tcPr>
          <w:p>
            <w:pPr>
              <w:jc w:val="both"/>
              <w:rPr>
                <w:rFonts w:ascii="Verdana" w:hAnsi="Verdana"/>
                <w:noProof/>
                <w:sz w:val="18"/>
                <w:szCs w:val="18"/>
              </w:rPr>
            </w:pPr>
            <w:r>
              <w:rPr>
                <w:rFonts w:ascii="Verdana" w:hAnsi="Verdana"/>
                <w:noProof/>
                <w:sz w:val="18"/>
              </w:rPr>
              <w:t>Monivuotisessa rahoituskehyksessä esitetään, miten taloudelliset resurssit jaetaan unionin poliittisille painopisteille aikavälillä, joka on riittävän pitkä tuottaakseen tuloksia. Monivuotinen rahoituskehys tarjoaa johdonmukaisen pitkän aikavälin näkymän EU-varojen saajille ja yhteisrahoitukseen osallistuville kansallisille viranomaisille. Rahoituskehyksessä vahvistetaan vuotuiset enimmäismäärät sekä EU:n menoille kokonaisuutena että keskeisille menoluokille (otsakkeet). Otsakkeiden enimmäismäärien summa muodostaa maksusitoumusmäärärahojen</w:t>
            </w:r>
          </w:p>
        </w:tc>
      </w:tr>
      <w:tr>
        <w:tc>
          <w:tcPr>
            <w:tcW w:w="9854" w:type="dxa"/>
            <w:gridSpan w:val="2"/>
          </w:tcPr>
          <w:p>
            <w:pPr>
              <w:jc w:val="both"/>
              <w:rPr>
                <w:rFonts w:ascii="Verdana" w:hAnsi="Verdana"/>
                <w:noProof/>
                <w:sz w:val="18"/>
                <w:szCs w:val="18"/>
              </w:rPr>
            </w:pPr>
            <w:r>
              <w:rPr>
                <w:rFonts w:ascii="Verdana" w:hAnsi="Verdana"/>
                <w:noProof/>
                <w:sz w:val="18"/>
              </w:rPr>
              <w:t xml:space="preserve">enimmäismäärän. Monivuotisesta rahoituskehyksestä on sovittu yksimielisesti. Tämä tarkoittaa, että kaikki jäsenvaltiot ovat hyväksyneet tavoitteet ja varojen käytön (talousarviositoumusten ja maksujen enimmäismäärät) Euroopan parlamentin suostumuksella. </w:t>
            </w:r>
          </w:p>
          <w:p>
            <w:pPr>
              <w:jc w:val="both"/>
              <w:rPr>
                <w:rFonts w:ascii="Verdana" w:hAnsi="Verdana"/>
                <w:noProof/>
                <w:sz w:val="18"/>
                <w:szCs w:val="18"/>
              </w:rPr>
            </w:pPr>
          </w:p>
        </w:tc>
      </w:tr>
      <w:tr>
        <w:tc>
          <w:tcPr>
            <w:tcW w:w="2518" w:type="dxa"/>
            <w:shd w:val="clear" w:color="auto" w:fill="00B050"/>
            <w:vAlign w:val="center"/>
          </w:tcPr>
          <w:p>
            <w:pPr>
              <w:jc w:val="center"/>
              <w:rPr>
                <w:rFonts w:ascii="Verdana" w:hAnsi="Verdana"/>
                <w:b/>
                <w:noProof/>
                <w:sz w:val="18"/>
                <w:szCs w:val="18"/>
              </w:rPr>
            </w:pPr>
            <w:r>
              <w:rPr>
                <w:rFonts w:ascii="Verdana" w:hAnsi="Verdana"/>
                <w:b/>
                <w:noProof/>
                <w:color w:val="FFFFFF" w:themeColor="background1"/>
                <w:sz w:val="18"/>
              </w:rPr>
              <w:t>Toimielinten välinen sopimus</w:t>
            </w:r>
          </w:p>
        </w:tc>
        <w:tc>
          <w:tcPr>
            <w:tcW w:w="7336" w:type="dxa"/>
          </w:tcPr>
          <w:p>
            <w:pPr>
              <w:jc w:val="both"/>
              <w:rPr>
                <w:rFonts w:ascii="Verdana" w:hAnsi="Verdana"/>
                <w:noProof/>
                <w:sz w:val="18"/>
                <w:szCs w:val="18"/>
              </w:rPr>
            </w:pPr>
            <w:r>
              <w:rPr>
                <w:rFonts w:ascii="Verdana" w:hAnsi="Verdana"/>
                <w:noProof/>
                <w:sz w:val="18"/>
              </w:rPr>
              <w:t>Monivuotista rahoituskehystä täydentää</w:t>
            </w:r>
            <w:r>
              <w:rPr>
                <w:rFonts w:ascii="Verdana" w:hAnsi="Verdana"/>
                <w:b/>
                <w:noProof/>
                <w:sz w:val="18"/>
              </w:rPr>
              <w:t xml:space="preserve"> </w:t>
            </w:r>
            <w:r>
              <w:rPr>
                <w:rFonts w:ascii="Verdana" w:hAnsi="Verdana"/>
                <w:noProof/>
                <w:color w:val="016794"/>
                <w:sz w:val="18"/>
              </w:rPr>
              <w:t>toimielinten välinen sopimus</w:t>
            </w:r>
            <w:r>
              <w:rPr>
                <w:rFonts w:ascii="Verdana" w:hAnsi="Verdana"/>
                <w:noProof/>
                <w:sz w:val="18"/>
                <w:vertAlign w:val="superscript"/>
              </w:rPr>
              <w:footnoteReference w:id="4"/>
            </w:r>
            <w:r>
              <w:rPr>
                <w:rFonts w:ascii="Verdana" w:hAnsi="Verdana"/>
                <w:noProof/>
                <w:sz w:val="18"/>
              </w:rPr>
              <w:t>, joka on</w:t>
            </w:r>
            <w:r>
              <w:rPr>
                <w:noProof/>
              </w:rPr>
              <w:t xml:space="preserve"> </w:t>
            </w:r>
            <w:r>
              <w:rPr>
                <w:rFonts w:ascii="Verdana" w:hAnsi="Verdana"/>
                <w:noProof/>
                <w:sz w:val="18"/>
              </w:rPr>
              <w:t xml:space="preserve">Euroopan parlamentin, neuvoston ja komission välinen poliittinen sopimus. Vuonna 2013 SEUT-sopimuksen 295 artiklan mukaisesti tehdyn sopimuksen tarkoituksena on </w:t>
            </w:r>
          </w:p>
        </w:tc>
      </w:tr>
      <w:tr>
        <w:tc>
          <w:tcPr>
            <w:tcW w:w="9854" w:type="dxa"/>
            <w:gridSpan w:val="2"/>
          </w:tcPr>
          <w:p>
            <w:pPr>
              <w:jc w:val="both"/>
              <w:rPr>
                <w:rFonts w:ascii="Verdana" w:hAnsi="Verdana"/>
                <w:noProof/>
                <w:sz w:val="18"/>
                <w:szCs w:val="18"/>
              </w:rPr>
            </w:pPr>
            <w:r>
              <w:rPr>
                <w:rFonts w:ascii="Verdana" w:hAnsi="Verdana"/>
                <w:noProof/>
                <w:sz w:val="18"/>
              </w:rPr>
              <w:t>toteuttaa talousarviota koskevaa kurinalaisuutta, parantaa vuotuista talousarviomenettelyä ja toimielinten talousarvioyhteistyötä sekä varmistaa moitteeton varainhoito.</w:t>
            </w:r>
          </w:p>
          <w:p>
            <w:pPr>
              <w:jc w:val="both"/>
              <w:rPr>
                <w:rFonts w:ascii="Verdana" w:hAnsi="Verdana"/>
                <w:noProof/>
                <w:sz w:val="18"/>
                <w:szCs w:val="18"/>
              </w:rPr>
            </w:pPr>
          </w:p>
        </w:tc>
      </w:tr>
      <w:tr>
        <w:tc>
          <w:tcPr>
            <w:tcW w:w="2518" w:type="dxa"/>
            <w:shd w:val="clear" w:color="auto" w:fill="548DD4" w:themeFill="text2" w:themeFillTint="99"/>
            <w:vAlign w:val="center"/>
          </w:tcPr>
          <w:p>
            <w:pPr>
              <w:jc w:val="center"/>
              <w:rPr>
                <w:rFonts w:ascii="Verdana" w:hAnsi="Verdana"/>
                <w:b/>
                <w:noProof/>
                <w:sz w:val="18"/>
                <w:szCs w:val="18"/>
              </w:rPr>
            </w:pPr>
            <w:r>
              <w:rPr>
                <w:rFonts w:ascii="Verdana" w:hAnsi="Verdana"/>
                <w:b/>
                <w:noProof/>
                <w:color w:val="FFFFFF" w:themeColor="background1"/>
                <w:sz w:val="18"/>
              </w:rPr>
              <w:t>Vuotuinen talousarvio</w:t>
            </w:r>
          </w:p>
        </w:tc>
        <w:tc>
          <w:tcPr>
            <w:tcW w:w="7336" w:type="dxa"/>
          </w:tcPr>
          <w:p>
            <w:pPr>
              <w:jc w:val="both"/>
              <w:rPr>
                <w:rFonts w:ascii="Verdana" w:hAnsi="Verdana"/>
                <w:noProof/>
                <w:sz w:val="18"/>
                <w:szCs w:val="18"/>
              </w:rPr>
            </w:pPr>
            <w:r>
              <w:rPr>
                <w:rFonts w:ascii="Verdana" w:hAnsi="Verdana"/>
                <w:noProof/>
                <w:color w:val="016794"/>
                <w:sz w:val="18"/>
              </w:rPr>
              <w:t>Vuotuisen talousarvion</w:t>
            </w:r>
            <w:r>
              <w:rPr>
                <w:rFonts w:ascii="Verdana" w:hAnsi="Verdana"/>
                <w:noProof/>
                <w:sz w:val="18"/>
              </w:rPr>
              <w:t xml:space="preserve"> laatii komissio, ja Euroopan parlamentti ja neuvosto hyväksyvät sen yleensä joulukuun puoliväliin mennessä SEUT-sopimuksen 314 artiklassa määrätyn menettelyn mukaisesti. Talousarvion tasapainoperiaatteen mukaisesti kokonaistulojen ja kokonaismenojen (maksumäärärahojen) on oltava tasapainossa tiettynä varainhoitovuonna. </w:t>
            </w:r>
          </w:p>
        </w:tc>
      </w:tr>
    </w:tbl>
    <w:p>
      <w:pPr>
        <w:pStyle w:val="DGTextstand-alone"/>
      </w:pPr>
      <w:r>
        <w:t xml:space="preserve">EU:n pääasiallisena </w:t>
      </w:r>
      <w:r>
        <w:rPr>
          <w:color w:val="016794"/>
        </w:rPr>
        <w:t>rahoituslähteenä</w:t>
      </w:r>
      <w:r>
        <w:t xml:space="preserve"> ovat omat varat, joita täydennetään muilla tuloilla. Omia varoja on kolmenlaisia: perinteiset omat varat (esimerkiksi tulli- ja sokerimaksut), arvonlisäveroon (alv) perustuvat omat varat ja bruttokansantuloon (BKTL) perustuvat omat varat. EU:n toiminnasta kertyvien muiden tulojen (esimerkiksi kilpailun alalla määrätyt sakot) osuus on yleensä alle 10 prosenttia kaikista tuloista. Talousarvion rahoittamiseksi tarvittava omien varojen kokonaismäärä riippuu siitä, kuinka suurta osaa kokonaismenoista ei saada katettua muilla tuloilla. Nykyisessä monivuotisessa rahoituskehyksessä omien varojen kokonaismäärä saa olla enintään 1,20 prosenttia jäsenvaltioiden yhteenlasketusta bruttokansantulosta (BKTL).</w:t>
      </w:r>
    </w:p>
    <w:p>
      <w:pPr>
        <w:pStyle w:val="DGTextstand-alone"/>
      </w:pPr>
      <w:r>
        <w:t>EU:n toimintamenot sisältävät monivuotisen rahoituskehyksen eri otsakkeisiin liittyvät menot, joita hallinnoidaan eri tavoin. Hallinnointitapa määrää sen, miten maksut suoritetaan ja miten varoja hoidetaan. EU:n talousarvion toteuttamisessa käytetään kolmea hallinnointitapaa:</w:t>
      </w:r>
    </w:p>
    <w:p>
      <w:pPr>
        <w:pStyle w:val="DGTextstand-alone"/>
        <w:ind w:left="720"/>
        <w:rPr>
          <w:color w:val="016794"/>
        </w:rPr>
      </w:pPr>
      <w:r>
        <w:rPr>
          <w:color w:val="016794"/>
        </w:rPr>
        <w:t>Hallinnointi yhteistyössä jäsenvaltioiden kanssa:</w:t>
      </w:r>
      <w:r>
        <w:t xml:space="preserve"> talousarvion toteuttamiseen liittyvät tehtävät siirretään jäsenvaltioille. Noin 75:tä prosenttia menoista hallinnoidaan yhteistyössä jäsenvaltioiden kanssa muun muassa maatalousmenojen ja rakennetoimien aloilla.</w:t>
      </w:r>
    </w:p>
    <w:p>
      <w:pPr>
        <w:pStyle w:val="DGTextstand-alone"/>
        <w:ind w:left="720"/>
      </w:pPr>
      <w:r>
        <w:rPr>
          <w:color w:val="016794"/>
        </w:rPr>
        <w:t>Suora hallinnointi:</w:t>
      </w:r>
      <w:r>
        <w:t xml:space="preserve"> komission yksiköt vastaavat suoraan talousarvion toteuttamisesta.</w:t>
      </w:r>
    </w:p>
    <w:p>
      <w:pPr>
        <w:pStyle w:val="DGTextstand-alone"/>
        <w:ind w:left="720"/>
      </w:pPr>
      <w:r>
        <w:rPr>
          <w:color w:val="016794"/>
        </w:rPr>
        <w:t>Välillinen hallinnointi:</w:t>
      </w:r>
      <w:r>
        <w:t xml:space="preserve"> komissio siirtää tietyt talousarvion toteuttamiseen liittyvät tehtävät kolmansille osapuolille, kuten EU:n sääntelyvirastoille tai kansainvälisille järjestöille.</w:t>
      </w:r>
    </w:p>
    <w:tbl>
      <w:tblPr>
        <w:tblW w:w="0" w:type="auto"/>
        <w:tblLook w:val="04A0" w:firstRow="1" w:lastRow="0" w:firstColumn="1" w:lastColumn="0" w:noHBand="0" w:noVBand="1"/>
      </w:tblPr>
      <w:tblGrid>
        <w:gridCol w:w="2518"/>
        <w:gridCol w:w="7336"/>
      </w:tblGrid>
      <w:tr>
        <w:tc>
          <w:tcPr>
            <w:tcW w:w="2518" w:type="dxa"/>
            <w:shd w:val="clear" w:color="auto" w:fill="0070C0"/>
            <w:vAlign w:val="center"/>
          </w:tcPr>
          <w:p>
            <w:pPr>
              <w:jc w:val="center"/>
              <w:rPr>
                <w:rFonts w:ascii="Verdana" w:hAnsi="Verdana"/>
                <w:b/>
                <w:noProof/>
                <w:sz w:val="18"/>
                <w:szCs w:val="18"/>
              </w:rPr>
            </w:pPr>
            <w:r>
              <w:rPr>
                <w:rFonts w:ascii="Verdana" w:hAnsi="Verdana"/>
                <w:b/>
                <w:noProof/>
                <w:color w:val="FFFFFF" w:themeColor="background1"/>
                <w:sz w:val="18"/>
              </w:rPr>
              <w:t>Varainhoitoasetus</w:t>
            </w:r>
          </w:p>
        </w:tc>
        <w:tc>
          <w:tcPr>
            <w:tcW w:w="7336" w:type="dxa"/>
          </w:tcPr>
          <w:p>
            <w:pPr>
              <w:jc w:val="both"/>
              <w:rPr>
                <w:rFonts w:ascii="Verdana" w:hAnsi="Verdana"/>
                <w:noProof/>
                <w:sz w:val="18"/>
                <w:szCs w:val="18"/>
              </w:rPr>
            </w:pPr>
            <w:r>
              <w:rPr>
                <w:rFonts w:ascii="Verdana" w:hAnsi="Verdana"/>
                <w:noProof/>
                <w:sz w:val="18"/>
              </w:rPr>
              <w:t xml:space="preserve">Yleiseen talousarvioon sovellettava </w:t>
            </w:r>
            <w:r>
              <w:rPr>
                <w:rFonts w:ascii="Verdana" w:hAnsi="Verdana"/>
                <w:noProof/>
                <w:color w:val="016794"/>
                <w:sz w:val="18"/>
              </w:rPr>
              <w:t>varainhoitoasetus</w:t>
            </w:r>
            <w:r>
              <w:rPr>
                <w:rStyle w:val="FootnoteReference"/>
                <w:rFonts w:ascii="Verdana" w:hAnsi="Verdana"/>
                <w:noProof/>
                <w:sz w:val="18"/>
              </w:rPr>
              <w:footnoteReference w:id="5"/>
            </w:r>
            <w:r>
              <w:rPr>
                <w:rFonts w:ascii="Verdana" w:hAnsi="Verdana"/>
                <w:noProof/>
                <w:sz w:val="18"/>
              </w:rPr>
              <w:t xml:space="preserve"> on EU:n rahoitusjärjestelmän sääntelykehykseen kuuluva keskeinen säädös, jossa määritellään EU:n varainhoitosäännöt.</w:t>
            </w:r>
          </w:p>
          <w:p>
            <w:pPr>
              <w:jc w:val="both"/>
              <w:rPr>
                <w:rFonts w:ascii="Verdana" w:hAnsi="Verdana"/>
                <w:noProof/>
                <w:sz w:val="18"/>
                <w:szCs w:val="18"/>
              </w:rPr>
            </w:pPr>
          </w:p>
        </w:tc>
      </w:tr>
      <w:tr>
        <w:tc>
          <w:tcPr>
            <w:tcW w:w="9854" w:type="dxa"/>
            <w:gridSpan w:val="2"/>
          </w:tcPr>
          <w:p>
            <w:pPr>
              <w:jc w:val="both"/>
              <w:rPr>
                <w:rFonts w:ascii="Verdana" w:hAnsi="Verdana"/>
                <w:noProof/>
                <w:sz w:val="18"/>
                <w:szCs w:val="18"/>
              </w:rPr>
            </w:pPr>
          </w:p>
        </w:tc>
      </w:tr>
    </w:tbl>
    <w:p>
      <w:pPr>
        <w:pStyle w:val="DGTextstand-alone"/>
      </w:pPr>
    </w:p>
    <w:p>
      <w:pPr>
        <w:pStyle w:val="HEADER1Part1"/>
        <w:rPr>
          <w:noProof/>
        </w:rPr>
      </w:pPr>
      <w:r>
        <w:rPr>
          <w:noProof/>
        </w:rPr>
        <w:t>HALLINTO JA VASTUUVELVOLLISUUS</w:t>
      </w:r>
    </w:p>
    <w:p>
      <w:pPr>
        <w:pStyle w:val="HEADER2Part1"/>
        <w:rPr>
          <w:noProof/>
        </w:rPr>
      </w:pPr>
      <w:r>
        <w:rPr>
          <w:noProof/>
        </w:rPr>
        <w:t>INSTITUTIONAALINEN RAKENNE</w:t>
      </w:r>
    </w:p>
    <w:p>
      <w:pPr>
        <w:pStyle w:val="DGTextstand-alone"/>
      </w:pPr>
      <w:r>
        <w:t xml:space="preserve">EU:n organisatorinen hallinto koostuu toimielimistä, virastoista ja muista elimistä, jotka luetellaan konsolidoidun tilinpäätöksen liitetiedossa </w:t>
      </w:r>
      <w:r>
        <w:rPr>
          <w:b/>
        </w:rPr>
        <w:t>9</w:t>
      </w:r>
      <w:r>
        <w:t>. Euroopan investointipankki (EIP), Euroopan investointirahasto (EIR) ja Euroopan keskuspankki (EKP) eivät kuulu varainhoitoasetuksen soveltamisalaan. Politiikan valmistelun ja päätöksenteon näkökulmasta EU:n keskeiset toimielimet ovat Euroopan parlamentti, Eurooppa-neuvosto, Euroopan unionin neuvosto ja Euroopan komissio.</w:t>
      </w:r>
    </w:p>
    <w:p>
      <w:pPr>
        <w:pStyle w:val="DGTextstand-alone"/>
      </w:pPr>
      <w:r>
        <w:t>Euroopan komissio on ainutlaatuinen organisaatio. Perussopimuksen mukaan komissio on vastuussa lainsäädännön suunnittelusta, valmistelusta ja ehdottamisesta, EU-politiikkojen hallinnoinnista, myös EU:n lainsäädännön täytäntöönpanon seurannasta ja valvonnasta sekä EU:n rahoituksen kohdentamisesta, ja EU:n edustamisesta kansainvälisesti.</w:t>
      </w:r>
    </w:p>
    <w:p>
      <w:pPr>
        <w:pStyle w:val="DGTextstand-alone"/>
      </w:pPr>
      <w:r>
        <w:t>Kuten perussopimuksessa</w:t>
      </w:r>
      <w:r>
        <w:rPr>
          <w:rStyle w:val="FootnoteReference"/>
        </w:rPr>
        <w:footnoteReference w:id="6"/>
      </w:r>
      <w:r>
        <w:t xml:space="preserve"> todetaan, komissio toteuttaa talousarviota yhteistyössä jäsenvaltioiden kanssa. Yhdessä ne varmistavat, että määrärahat käytetään moitteettoman varainhoidon periaatteiden mukaisesti. Asetuksissa vahvistetaan jäsenvaltioiden valvonta- ja tarkastusvelvoitteet talousarvion toteuttamisessa sekä niistä johtuvat tehtävät. Niissä vahvistetaan myös kunkin toimielimen tehtävät sekä erityissäännöt, joiden mukaisesti ne toteuttavat ovat menonsa.</w:t>
      </w:r>
    </w:p>
    <w:p>
      <w:pPr>
        <w:pStyle w:val="DGTextstand-alone"/>
      </w:pPr>
      <w:r>
        <w:t>Komissio hoitaa tehtävänsä komission kollegion johdolla. Kollegio vahvistaa painopisteet ja kantaa poliittisen kokonaisvastuun komission päätöksistä. Komission puheenjohtajan asemaa vahvistettiin Nizzan ja Lissabonin sopimuksilla. Puheenjohtaja päättää komission sisäisestä organisaatiosta ja varmistaa, että komissio toimii johdonmukaisesti ja tehokkaasti kollegiaalisena elimenä.</w:t>
      </w:r>
    </w:p>
    <w:p>
      <w:pPr>
        <w:pStyle w:val="DGTextstand-alone"/>
        <w:rPr>
          <w:b/>
          <w:color w:val="016794"/>
          <w:sz w:val="28"/>
        </w:rPr>
      </w:pPr>
      <w:r>
        <w:t>Komission sisäinen toiminta perustuu hyvän hallintotavan keskeisiin periaatteisiin, joihin kuuluvat selkeät tehtävät ja vastuut, vahva sitoutuminen tulosjohtamiseen ja oikeudellisen kehyksen noudattamiseen, selkeät vastuumekanismit, laadukas ja osallistava sääntelykehys, avoimuus ja läpinäkyvyys sekä tiukat eettiset toimintaperiaatteet.</w:t>
      </w:r>
    </w:p>
    <w:p>
      <w:pPr>
        <w:pStyle w:val="HEADER2Part1"/>
        <w:rPr>
          <w:noProof/>
        </w:rPr>
      </w:pPr>
      <w:r>
        <w:rPr>
          <w:noProof/>
        </w:rPr>
        <w:t>KOMISSION HALLINTORAKENNE</w:t>
      </w:r>
    </w:p>
    <w:p>
      <w:pPr>
        <w:pStyle w:val="DGTextstand-alone"/>
      </w:pPr>
      <w:r>
        <w:t>Euroopan komissiolla on ainutlaatuinen hallintojärjestelmä, jossa erotetaan selkeästi poliittisen ja hallinnollisen valvonnan rakenteet ja jossa taloudellinen vastuu ja muut vastuualueet on määritelty selkeästi</w:t>
      </w:r>
      <w:r>
        <w:rPr>
          <w:rStyle w:val="FootnoteReference"/>
        </w:rPr>
        <w:footnoteReference w:id="7"/>
      </w:r>
      <w:r>
        <w:t>. Järjestelmä perustuu perussopimuksiin, ja sen rakenne on kehittynyt ajan mittaan mukautumaan muuttuvaan ympäristöön. Hallintojärjestelmässä noudatetaan parhaita käytänteitä, jotka on vahvistettu asiaa koskevissa kansainvälisissä standardeissa</w:t>
      </w:r>
      <w:r>
        <w:rPr>
          <w:bdr w:val="none" w:sz="0" w:space="0" w:color="auto"/>
          <w:vertAlign w:val="superscript"/>
        </w:rPr>
        <w:footnoteReference w:id="8"/>
      </w:r>
      <w:r>
        <w:t>.</w:t>
      </w:r>
    </w:p>
    <w:p>
      <w:pPr>
        <w:pStyle w:val="DGTextstand-alone"/>
      </w:pPr>
      <w:r>
        <w:t>Vuonna 2018 komissio hyväksyi ”hallintopaketin”</w:t>
      </w:r>
      <w:r>
        <w:rPr>
          <w:rStyle w:val="FootnoteReference"/>
        </w:rPr>
        <w:footnoteReference w:id="9"/>
      </w:r>
      <w:r>
        <w:t>, jolla yksinkertaistettiin ja vahvistettiin merkittävästi sen hallinnointi- ja ohjausjärjestelyjä. Paketissa hyödynnettiin Euroopan tilintarkastustuomioistuimen</w:t>
      </w:r>
      <w:r>
        <w:rPr>
          <w:rStyle w:val="FootnoteReference"/>
        </w:rPr>
        <w:footnoteReference w:id="10"/>
      </w:r>
      <w:r>
        <w:t xml:space="preserve"> ja sisäisen tarkastuksen toimialan viimeaikaista tarkastustyötä.</w:t>
      </w:r>
    </w:p>
    <w:p>
      <w:pPr>
        <w:pStyle w:val="DGTextstand-alone"/>
        <w:numPr>
          <w:ilvl w:val="0"/>
          <w:numId w:val="17"/>
        </w:numPr>
      </w:pPr>
      <w:r>
        <w:rPr>
          <w:color w:val="016794"/>
        </w:rPr>
        <w:t>Komission kollegio</w:t>
      </w:r>
      <w:r>
        <w:rPr>
          <w:sz w:val="16"/>
        </w:rPr>
        <w:t xml:space="preserve"> </w:t>
      </w:r>
      <w:r>
        <w:t>ottaa yhdessä poliittisen vastuun komission työstä. Talousarvion operatiivinen toteutus on annettu tehtäväksi pääjohtajille ja toimialajohtajille, jotka johtavat komission hallintoa</w:t>
      </w:r>
      <w:r>
        <w:rPr>
          <w:vertAlign w:val="superscript"/>
        </w:rPr>
        <w:footnoteReference w:id="11"/>
      </w:r>
      <w:r>
        <w:t xml:space="preserve">. </w:t>
      </w:r>
    </w:p>
    <w:p>
      <w:pPr>
        <w:pStyle w:val="DGTextstand-alone"/>
        <w:numPr>
          <w:ilvl w:val="0"/>
          <w:numId w:val="17"/>
        </w:numPr>
      </w:pPr>
      <w:r>
        <w:t xml:space="preserve">Komission kollegio antaa varainhoidon tehtäviä pääjohtajille tai toimialajohtajille, joista tulee valtuutettuja </w:t>
      </w:r>
      <w:r>
        <w:rPr>
          <w:color w:val="016794"/>
        </w:rPr>
        <w:t>tulojen ja menojen hyväksyjiä</w:t>
      </w:r>
      <w:r>
        <w:t>. Nämä tehtävät voidaan siirtää vielä johtajille, yksikönpäälliköille ja muille henkilöille, joista tulee edelleenvaltuutettuja tulojen ja menojen hyväksyjiä. Tulojen ja menojen hyväksyjät ovat vastuussa hallinnointiprosessin kaikista osista. He mm. päättävät, mitä toimia toimielimen asettamien poliittisten tavoitteiden saavuttaminen edellyttää, ja vastaavat sekä varsinaisten toimien että niihin osoitettujen määrärahojen hallinnoinnista.</w:t>
      </w:r>
    </w:p>
    <w:p>
      <w:pPr>
        <w:pStyle w:val="DGTextstand-alone"/>
        <w:numPr>
          <w:ilvl w:val="0"/>
          <w:numId w:val="17"/>
        </w:numPr>
      </w:pPr>
      <w:r>
        <w:rPr>
          <w:color w:val="016794"/>
        </w:rPr>
        <w:t>Sisäisen tarkastuksen seurantakomitea</w:t>
      </w:r>
      <w:r>
        <w:rPr>
          <w:color w:val="000000" w:themeColor="text1"/>
        </w:rPr>
        <w:t xml:space="preserve"> valvoo sisäisten tarkastusten suorittamista, erityisesti sisäisen tarkastuksen toimialan työtä. Se hyödyntää myös Euroopan tilintarkastustuomioistuimen tarkastuksia.</w:t>
      </w:r>
    </w:p>
    <w:p>
      <w:pPr>
        <w:pStyle w:val="DGTextstand-alone"/>
        <w:numPr>
          <w:ilvl w:val="0"/>
          <w:numId w:val="17"/>
        </w:numPr>
      </w:pPr>
      <w:r>
        <w:t xml:space="preserve">Puheenjohtajan alaisuudessa toimivan </w:t>
      </w:r>
      <w:r>
        <w:rPr>
          <w:color w:val="016794"/>
        </w:rPr>
        <w:t>hallintoneuvoston</w:t>
      </w:r>
      <w:r>
        <w:t xml:space="preserve"> puheenjohtajana toimii pääsihteeri. Hallintoneuvosto kokoaa säännöllisesti yhteen talousarviosta, henkilöstöresursseista ja turvallisuudesta vastaavat pääjohtajat ja oikeudellisen yksikön pääjohtajan. Talousarviosta ja hallinnosta vastaavat puheenjohtajan kabinetin jäsenet sekä talousarviosta, henkilöstöresursseista ja hallinnosta vastaavien komission jäsenten kabinettipäälliköt osallistuvat siihen tarkkailijoina. Hallintoneuvosto tarjoaa koordinointia, seurantaa, neuvoja ja strategisia suuntaviivoja organisaatiohallintoa koskevissa kysymyksissä, jotka liittyvät muun muassa rahoitus- ja henkilöstöresurssien hallintaan, riskienhallintaan, tulosjohtamiseen, tietohallintatapaan, kyberturvallisuuteen ja fyysiseen turvallisuuteen, toiminnan jatkuvuuteen ja tiedonhallintaan. Näin hallintoneuvosto auttaa varmistamaan, että komissiolla on käytössä tarvittavat rakenteet, prosessit ja hallinnolliset toimintapolitiikat, jotta komissio voi saavuttaa kollegion poliittisiin painopisteisiin sisältyvät tavoitteet ja hoitaa sille perussopimuksissa annetut tehtävät tehokkaasti ja tuloksellisesti.</w:t>
      </w:r>
    </w:p>
    <w:p>
      <w:pPr>
        <w:pStyle w:val="HEADER2Part1"/>
        <w:keepNext/>
        <w:rPr>
          <w:noProof/>
        </w:rPr>
      </w:pPr>
      <w:r>
        <w:rPr>
          <w:noProof/>
        </w:rPr>
        <w:t>KOMISSION VARAINHOITO</w:t>
      </w:r>
    </w:p>
    <w:p>
      <w:pPr>
        <w:pStyle w:val="DGTextstand-alone"/>
      </w:pPr>
      <w:r>
        <w:t>Komissiossa varainhoidon tehtävät ja vastuut on määritelty selkeästi (esim. varainhoitoasetuksessa), ja niitä sovelletaan asianmukaisesti. Hajautettu lähestymistapa perustuu selkeästi määriteltyihin vastuualueisiin ja pyrkimykseen luoda hallintokulttuuri, joka kannustaa virkamiehiä ottamaan vastuuta niistä toimista, joihin he voivat vaikuttaa. Heille myös annetaan vaikutusmahdollisuuksia omilla vastuualueillaan.</w:t>
      </w:r>
    </w:p>
    <w:p>
      <w:pPr>
        <w:pStyle w:val="DGTextstand-alone"/>
      </w:pPr>
      <w:r>
        <w:t>Komissio voi myös siirtää tiettyjen ohjelmien täytäntöönpanon toimeenpanovirastoille. Menoja koskevia päätöksiä voidaan myös hallinnoida muun toimielimen tai elimen välityksellä tai yhdessä muun toimielimen tai elimen kanssa. Suurta osaa talousarviosta hallinnoidaan yhteistyössä jäsenvaltioiden kanssa erityisesti rakennerahastojen ja maatalouden aloilla.</w:t>
      </w:r>
    </w:p>
    <w:p>
      <w:pPr>
        <w:pStyle w:val="DGTextstand-alone"/>
        <w:spacing w:after="120"/>
      </w:pPr>
      <w:r>
        <w:t>Talousarvion toteuttamiseen liittyviä tehtäviä voidaan siirtää myös seuraaville tahoille:</w:t>
      </w:r>
    </w:p>
    <w:p>
      <w:pPr>
        <w:pStyle w:val="DGTextstand-alone"/>
        <w:numPr>
          <w:ilvl w:val="0"/>
          <w:numId w:val="18"/>
        </w:numPr>
        <w:spacing w:before="120" w:after="0"/>
      </w:pPr>
      <w:r>
        <w:t>kansalliset toimistot;</w:t>
      </w:r>
    </w:p>
    <w:p>
      <w:pPr>
        <w:pStyle w:val="DGTextstand-alone"/>
        <w:numPr>
          <w:ilvl w:val="0"/>
          <w:numId w:val="18"/>
        </w:numPr>
        <w:spacing w:before="60" w:after="0"/>
      </w:pPr>
      <w:r>
        <w:t>Euroopan investointipankkiryhmä;</w:t>
      </w:r>
    </w:p>
    <w:p>
      <w:pPr>
        <w:pStyle w:val="DGTextstand-alone"/>
        <w:numPr>
          <w:ilvl w:val="0"/>
          <w:numId w:val="18"/>
        </w:numPr>
        <w:spacing w:before="60" w:after="0"/>
      </w:pPr>
      <w:r>
        <w:t>kolmannet maat;</w:t>
      </w:r>
    </w:p>
    <w:p>
      <w:pPr>
        <w:pStyle w:val="DGTextstand-alone"/>
        <w:numPr>
          <w:ilvl w:val="0"/>
          <w:numId w:val="18"/>
        </w:numPr>
        <w:spacing w:before="60" w:after="0"/>
      </w:pPr>
      <w:r>
        <w:t>kansainväliset järjestöt (esim. Maailmanpankki tai Yhdistyneet kansakunnat);</w:t>
      </w:r>
    </w:p>
    <w:p>
      <w:pPr>
        <w:pStyle w:val="DGTextstand-alone"/>
        <w:numPr>
          <w:ilvl w:val="0"/>
          <w:numId w:val="18"/>
        </w:numPr>
        <w:spacing w:before="60" w:after="0"/>
      </w:pPr>
      <w:r>
        <w:t>muut yhteisöt.</w:t>
      </w:r>
    </w:p>
    <w:p>
      <w:pPr>
        <w:pStyle w:val="DGTextstand-alone"/>
        <w:spacing w:after="120"/>
      </w:pPr>
      <w:r>
        <w:t>Valtuutettuina tulojen ja menojen hyväksyjinä pääjohtajat ovat vastuussa siitä, että resurssit käytetään moitteettoman varainhoidon mukaisesti. Kun valtuutetut tulojen ja menojen hyväksyjät toteuttavat EU:n talousarviota, heidän on noudatettava varainhoitoasetuksen säännöksiä ja perustettava asianmukainen sisäisen valvonnan kehys. Sisäisen valvonnan tavoitteissa painotetaan muun muassa seuraavia asioita:</w:t>
      </w:r>
    </w:p>
    <w:p>
      <w:pPr>
        <w:pStyle w:val="DGTextstand-alone"/>
        <w:numPr>
          <w:ilvl w:val="0"/>
          <w:numId w:val="19"/>
        </w:numPr>
        <w:spacing w:before="120" w:after="0"/>
      </w:pPr>
      <w:r>
        <w:t>toimien tehokkuus, vaikuttavuus ja taloudellisuus;</w:t>
      </w:r>
    </w:p>
    <w:p>
      <w:pPr>
        <w:pStyle w:val="DGTextstand-alone"/>
        <w:numPr>
          <w:ilvl w:val="0"/>
          <w:numId w:val="19"/>
        </w:numPr>
        <w:spacing w:before="60" w:after="0"/>
      </w:pPr>
      <w:r>
        <w:t>varainhoidon valvonta ja petostentorjunta;</w:t>
      </w:r>
    </w:p>
    <w:p>
      <w:pPr>
        <w:pStyle w:val="DGTextstand-alone"/>
        <w:numPr>
          <w:ilvl w:val="0"/>
          <w:numId w:val="19"/>
        </w:numPr>
        <w:spacing w:before="60" w:after="0"/>
      </w:pPr>
      <w:r>
        <w:t>lahjomattomuus ja etiikka;</w:t>
      </w:r>
    </w:p>
    <w:p>
      <w:pPr>
        <w:pStyle w:val="DGTextstand-alone"/>
        <w:numPr>
          <w:ilvl w:val="0"/>
          <w:numId w:val="19"/>
        </w:numPr>
        <w:spacing w:before="60" w:after="0"/>
      </w:pPr>
      <w:r>
        <w:t>henkilöresurssien hallinta;</w:t>
      </w:r>
    </w:p>
    <w:p>
      <w:pPr>
        <w:pStyle w:val="DGTextstand-alone"/>
        <w:numPr>
          <w:ilvl w:val="0"/>
          <w:numId w:val="19"/>
        </w:numPr>
        <w:spacing w:before="60" w:after="0"/>
      </w:pPr>
      <w:r>
        <w:t>luotettava raportointi;</w:t>
      </w:r>
    </w:p>
    <w:p>
      <w:pPr>
        <w:pStyle w:val="DGTextstand-alone"/>
        <w:numPr>
          <w:ilvl w:val="0"/>
          <w:numId w:val="19"/>
        </w:numPr>
        <w:spacing w:before="60" w:after="0"/>
      </w:pPr>
      <w:r>
        <w:t>viestintä;</w:t>
      </w:r>
    </w:p>
    <w:p>
      <w:pPr>
        <w:pStyle w:val="DGTextstand-alone"/>
        <w:numPr>
          <w:ilvl w:val="0"/>
          <w:numId w:val="19"/>
        </w:numPr>
        <w:spacing w:before="60" w:after="0"/>
      </w:pPr>
      <w:r>
        <w:t>varojen ja tietojen turvaaminen.</w:t>
      </w:r>
    </w:p>
    <w:p>
      <w:pPr>
        <w:pStyle w:val="DGTextstand-alone"/>
      </w:pPr>
      <w:r>
        <w:t>Kukin valtuutettu tulojen ja menojen hyväksyjä voi käyttää sisäisen valvontajärjestelmän toteuttamisen valvonnassa ja seurannassa apuna yhtä tai kahta riskienhallinnasta ja sisäisestä valvonnasta vastaavaa ylemmän ja keskitason johtajaa. Komission keskusyksiköt antavat ohjeita ja neuvoja ja edistävät parhaita käytäntöjä.</w:t>
      </w:r>
    </w:p>
    <w:p>
      <w:pPr>
        <w:pStyle w:val="DGTextstand-alone"/>
      </w:pPr>
      <w:r>
        <w:t xml:space="preserve">Osana komission strategisen suunnittelun ja ohjelmoinnin kierrosta kunkin tulojen ja menojen hyväksyjän on laadittava vuotuinen toimintakertomus toimista sekä toimintapolitiikan saavutuksista ja vuoden aikana saavutetuista tuloksista. Tulojen ja menojen hyväksyjä ilmoittaa vuotuisessa toimintakertomuksessa, että varat on käytetty moitteettoman varainhoidon periaatteiden mukaisesti ja että hän on ottanut käyttöön valvontamenettelyt, jotka antavat tarvittavat takeet tilien perustana olevien toimien laillisuudesta ja sääntöjenmukaisuudesta. Komission tasolla EU:n talousarviota koskeva vuotuinen hallinto- ja tuloksellisuuskertomus on tärkein väline, jolla </w:t>
      </w:r>
      <w:r>
        <w:rPr>
          <w:b/>
        </w:rPr>
        <w:t>komission kollegio ottaa poliittisen vastuun talousarvion hallinnoimisesta</w:t>
      </w:r>
      <w:r>
        <w:t>.</w:t>
      </w:r>
    </w:p>
    <w:p>
      <w:pPr>
        <w:pStyle w:val="DGTextstand-alone"/>
        <w:rPr>
          <w:rFonts w:cs="Arial"/>
          <w:color w:val="000000" w:themeColor="text1"/>
          <w:szCs w:val="28"/>
        </w:rPr>
      </w:pPr>
      <w:r>
        <w:t xml:space="preserve">Komission </w:t>
      </w:r>
      <w:r>
        <w:rPr>
          <w:color w:val="016794"/>
        </w:rPr>
        <w:t>tilinpitäjä</w:t>
      </w:r>
      <w:r>
        <w:t xml:space="preserve"> vastaa keskitetysti kassanhallinnasta, takaisinperintämenettelyistä, julkissektorin kansainvälisiin tilinpäätösstandardeihin (International Public Sector Accounting Standards, IPSAS) perustuvien tilinpäätössääntöjen laatimisesta, kirjanpitojärjestelmien validoinnista sekä komission tilinpäätöksen ja EU:n vuotuisen konsolidoidun tilinpäätöksen laadinnasta. Lisäksi tilinpitäjän on varmennettava tilinpäätös allekirjoituksellaan ja vakuutettava olevansa riittävän varma siitä, että tilinpäätös antaa kaikilta olennaisilta osiltaan oikean kuvan unionin taloudellisesta asemasta, toimien tuloksista ja rahavirroista. Komission kollegio hyväksyy tilinpäätöksen. Tilinpitäjän tehtävä on riippumaton toiminto, ja hän on päävastuussa komissiolle tehtävästä taloudellisesta raportoinnista. Myös komission </w:t>
      </w:r>
      <w:r>
        <w:rPr>
          <w:color w:val="016794"/>
        </w:rPr>
        <w:t>sisäisen tarkastajan</w:t>
      </w:r>
      <w:r>
        <w:t xml:space="preserve"> tehtävä on keskitetty, riippumaton toiminto. Sisäinen tarkastaja tarjoaa riippumatonta neuvontaa sekä antaa lausuntoja ja suosituksia komission, EU:n virastojen ja muiden riippumattomien elinten sisäisen valvonnan järjestelmien laadusta ja toiminnasta.</w:t>
      </w:r>
      <w:r>
        <w:rPr>
          <w:color w:val="000000" w:themeColor="text1"/>
        </w:rPr>
        <w:t xml:space="preserve"> </w:t>
      </w:r>
    </w:p>
    <w:p>
      <w:pPr>
        <w:pStyle w:val="HEADER2Part1"/>
        <w:keepNext/>
        <w:rPr>
          <w:noProof/>
        </w:rPr>
      </w:pPr>
      <w:r>
        <w:rPr>
          <w:noProof/>
        </w:rPr>
        <w:t>TULOSKEHYS</w:t>
      </w:r>
    </w:p>
    <w:p>
      <w:pPr>
        <w:pStyle w:val="DGTextstand-alone"/>
      </w:pPr>
      <w:r>
        <w:t xml:space="preserve">Vankkojen tuloskehysten täytäntöönpano on välttämätöntä, jotta varmistetaan tiukka keskittyminen tuloksiin, EU:n tuottamaan lisäarvoon ja EU:n ohjelmien moitteettomaan hallinnointiin. EU:n talousarvion tuloskehys on hyvin tarkasti määritelty, ja indeksitasoltaan tehokkain Taloudellisen yhteistyön ja kehityksen järjestön (OECD) valtioiden joukossa tulosbudjetointikehysten standardissa. EU:n talousarvion tuloskehys raportoi useista erilaisista ja eritasoisista strategisista tavoitteista, muista tavoitteista ja osatavoitteista, myös Eurooppa 2020 </w:t>
      </w:r>
      <w:r>
        <w:noBreakHyphen/>
        <w:t xml:space="preserve">strategian ja muiden poliittisten painopisteiden osalta. Siinä on myös otettava huomioon toimintapolitiikkojen ja ohjelmien täydentävyys ja valtavirtaistaminen sekä jäsenvaltioiden keskeinen rooli EU:n talousarvion toteuttamisessa. </w:t>
      </w:r>
    </w:p>
    <w:p>
      <w:pPr>
        <w:pStyle w:val="DGTextstand-alone"/>
        <w:numPr>
          <w:ilvl w:val="0"/>
          <w:numId w:val="20"/>
        </w:numPr>
      </w:pPr>
      <w:r>
        <w:t xml:space="preserve">Ohjelmien oikeusperustoissa esitetään niiden tavoitteet ja indikaattorit, ja komissio raportoi niistä vuosittain talousarvioesityksen liitteenä olevissa </w:t>
      </w:r>
      <w:r>
        <w:rPr>
          <w:b/>
        </w:rPr>
        <w:t>ohjelmaselvityksissä</w:t>
      </w:r>
      <w:r>
        <w:t>. Ohjelmaselvityksissä esitetään kaikki huolellisen ohjelmien valvonnan ja tulosmittauksen kannalta keskeiset tiedot, joita ovat 7-vuotiset rahoitussitoumukset, ohjelmien suorituskyvyn perustaso (politiikkatoimien lähtökohdat), päämäärät (jotka on määrä saavuttaa monivuotisen ohjelmakauden loppuun mennessä) sekä välitavoitteet.</w:t>
      </w:r>
    </w:p>
    <w:p>
      <w:pPr>
        <w:pStyle w:val="DGTextstand-alone"/>
        <w:numPr>
          <w:ilvl w:val="0"/>
          <w:numId w:val="20"/>
        </w:numPr>
      </w:pPr>
      <w:r>
        <w:t>Komissio edistää komission yksiköissä tuloksellisuuskulttuuria varmistaakseen, että resurssit kohdennetaan painopisteisiin ja että jokainen toimi tuottaa paljon hyviä tuloksia ja runsaasti lisäarvoa. Lisäksi komissio on viime vuosina kehittänyt toimintatapaa, jolla edistetään entistä parempaa tasapainoa sääntöjen noudattamisen ja tuloksellisuuden välillä.</w:t>
      </w:r>
    </w:p>
    <w:p>
      <w:pPr>
        <w:pStyle w:val="DGTextstand-alone"/>
        <w:numPr>
          <w:ilvl w:val="0"/>
          <w:numId w:val="20"/>
        </w:numPr>
      </w:pPr>
      <w:r>
        <w:rPr>
          <w:b/>
        </w:rPr>
        <w:t>EU:n talousarviota</w:t>
      </w:r>
      <w:r>
        <w:t xml:space="preserve"> </w:t>
      </w:r>
      <w:r>
        <w:rPr>
          <w:b/>
        </w:rPr>
        <w:t>koskevassa vuotuisessa hallinto- ja tuloksellisuuskertomuksessa</w:t>
      </w:r>
      <w:r>
        <w:t xml:space="preserve"> annetaan kattavat tiedot EU:n talousarvion tuloksellisuudesta, hallinnoinnista ja suojaamisesta. Siinä selitetään, miten EU:n talousarvio tukee unionin poliittisia painopisteitä, ja kerrotaan EU:n talousarviovarojen avulla saavutetuista tuloksista. Siinä tarkastellaan myös, miten komissio toimii pyrkiessään varmistamaan mahdollisimman korkeatasoisen talousarvio- ja varainhallinnon ja kehittämään sitä.</w:t>
      </w:r>
    </w:p>
    <w:p>
      <w:pPr>
        <w:pStyle w:val="DGTextstand-alone"/>
        <w:numPr>
          <w:ilvl w:val="0"/>
          <w:numId w:val="20"/>
        </w:numPr>
      </w:pPr>
      <w:r>
        <w:t xml:space="preserve">Euroopan tilintarkastustuomioistuin soveltaa järjestelmällistä ja perusteellista lähestymistapaa arvioidessaan budjetoinnin laatunäkökohtia, myös tuloksellisuusulottuvuutta, osana tavanomaisten vuosikertomusten sekä erityiskertomusten laadintaa. </w:t>
      </w:r>
    </w:p>
    <w:p>
      <w:pPr>
        <w:pStyle w:val="DGTextstand-alone"/>
      </w:pPr>
      <w:r>
        <w:t>Kaikki nämä osatekijät vahvistavat budjettivallan käyttäjän laajaa mahdollisuutta ottaa tuloksellisuus merkittävänä tekijänä huomioon seuraavaa vuotuista talousarviota koskevassa päätöksenteossa.</w:t>
      </w:r>
    </w:p>
    <w:p>
      <w:pPr>
        <w:pStyle w:val="HEADER2Part1"/>
        <w:rPr>
          <w:noProof/>
        </w:rPr>
      </w:pPr>
      <w:r>
        <w:rPr>
          <w:noProof/>
        </w:rPr>
        <w:t>TILINPÄÄTÖSRAPORTOINTI</w:t>
      </w:r>
    </w:p>
    <w:p>
      <w:pPr>
        <w:pStyle w:val="DGTextstand-alone"/>
      </w:pPr>
      <w:r>
        <w:t xml:space="preserve">EU:n tilinpäätösraportoinnin tärkein osa on </w:t>
      </w:r>
      <w:r>
        <w:rPr>
          <w:b/>
        </w:rPr>
        <w:t>integroitu talous- ja vastuuvelvollisuusraportointi</w:t>
      </w:r>
      <w:r>
        <w:t>, joka sisältää EU:n konsolidoidun tilinpäätöksen, talousarviota koskevan vuotuisen hallinto- ja tuloksellisuuskertomuksen (johon kuuluu myös varainhoitoasetuksen 247 artiklan 1 kohdan e alakohdan mukainen arviointiraportti), vuotuisen sisäisen tarkastuskertomuksen, pitkän aikavälin ennusteen tulevista sisään- ja ulosvirtauksista seuraavien viiden vuoden ajalta ja kertomuksen vastuuvapauspäätösten seurannasta. Integroitu talous- ja vastuuvelvollisuusraportointi tarjoaa suurelle yleisölle vuosittain kattavan kuvan EU:n taloudesta ja toiminnasta.</w:t>
      </w:r>
    </w:p>
    <w:p>
      <w:pPr>
        <w:pStyle w:val="DGTextstand-alone"/>
      </w:pPr>
      <w:r>
        <w:t>EU:n konsolidoidussa tilinpäätöksessä annetaan taloudelliset tiedot toimielinten, virastojen ja muiden elinten toiminnasta sekä suoriteperusteisen kirjanpidon että talousarvion näkökulmasta. Jäsenvaltioiden tilinpäätökset eivät sisälly tähän tilinpäätökseen.</w:t>
      </w:r>
    </w:p>
    <w:p>
      <w:pPr>
        <w:pStyle w:val="DGTextstand-alone"/>
      </w:pPr>
      <w:r>
        <w:t>EU:n konsolidoituun tilinpäätökseen kuuluu kaksi erillistä mutta toisiinsa yhteydessä olevaa osaa:</w:t>
      </w:r>
    </w:p>
    <w:p>
      <w:pPr>
        <w:pStyle w:val="DGTextstand-alone"/>
        <w:ind w:left="1418" w:hanging="698"/>
      </w:pPr>
      <w:r>
        <w:t>a)</w:t>
      </w:r>
      <w:r>
        <w:tab/>
        <w:t>konsolidoitu tilinpäätös; ja</w:t>
      </w:r>
    </w:p>
    <w:p>
      <w:pPr>
        <w:pStyle w:val="DGTextstand-alone"/>
        <w:ind w:left="1440" w:hanging="720"/>
      </w:pPr>
      <w:r>
        <w:t>b)</w:t>
      </w:r>
      <w:r>
        <w:tab/>
        <w:t>talousarvion toteuttamisesta laadittu selvitys, jossa annetaan kootut tiedot talousarvion toteuttamisesta.</w:t>
      </w:r>
    </w:p>
    <w:p>
      <w:pPr>
        <w:pStyle w:val="DGTextstand-alone"/>
      </w:pPr>
      <w:r>
        <w:t xml:space="preserve">Lisäksi EU:n konsolidoidun tilipäätöksen rinnalla julkaistaan ”Tilinpäätöksen sisältö ja analyysi” (Financial Statement Discussion and Analysis, FSDA), jossa esitetään yhteenveto tilinpäätökseen tehdyistä merkittävistä muutoksista ja tärkeimmistä suuntauksista ja selitetään keskeiset riskit ja epävarmuustekijät, jotka EU on kohdannut ja joihin sen on puututtava tulevaisuudessa. </w:t>
      </w:r>
    </w:p>
    <w:p>
      <w:pPr>
        <w:pStyle w:val="DGTextstand-alone"/>
      </w:pPr>
      <w:r>
        <w:t>Raportointi ja vastuuvelvollisuus komissiossa:</w:t>
      </w:r>
    </w:p>
    <w:tbl>
      <w:tblPr>
        <w:tblStyle w:val="TableGrid"/>
        <w:tblW w:w="0" w:type="auto"/>
        <w:tblLook w:val="04A0" w:firstRow="1" w:lastRow="0" w:firstColumn="1" w:lastColumn="0" w:noHBand="0" w:noVBand="1"/>
      </w:tblPr>
      <w:tblGrid>
        <w:gridCol w:w="3180"/>
        <w:gridCol w:w="6674"/>
      </w:tblGrid>
      <w:tr>
        <w:tc>
          <w:tcPr>
            <w:tcW w:w="28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4678B4"/>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jc w:val="left"/>
              <w:rPr>
                <w:b/>
                <w:color w:val="FFFFFF" w:themeColor="background1"/>
              </w:rPr>
            </w:pPr>
            <w:r>
              <w:rPr>
                <w:b/>
                <w:color w:val="FFFFFF" w:themeColor="background1"/>
              </w:rPr>
              <w:t>Integroitu talous- ja vastuuvelvollisuusraportointi</w:t>
            </w:r>
            <w:r>
              <w:rPr>
                <w:b/>
                <w:color w:val="FFFFFF" w:themeColor="background1"/>
              </w:rPr>
              <w:br/>
              <w:t>Varainhoitoasetuksen 247 artikla</w:t>
            </w:r>
          </w:p>
        </w:tc>
        <w:tc>
          <w:tcPr>
            <w:tcW w:w="705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tcPr>
          <w:p>
            <w:pPr>
              <w:pStyle w:val="DGTextstand-alone"/>
              <w:spacing w:before="0" w:after="0"/>
              <w:ind w:left="720"/>
              <w:rPr>
                <w:b/>
                <w:color w:val="FFFFFF" w:themeColor="background1"/>
              </w:rPr>
            </w:pPr>
          </w:p>
          <w:p>
            <w:pPr>
              <w:pStyle w:val="DGTextstand-alone"/>
              <w:numPr>
                <w:ilvl w:val="0"/>
                <w:numId w:val="21"/>
              </w:numPr>
              <w:spacing w:before="0"/>
              <w:rPr>
                <w:b/>
                <w:color w:val="FFFFFF" w:themeColor="background1"/>
              </w:rPr>
            </w:pPr>
            <w:r>
              <w:rPr>
                <w:b/>
                <w:color w:val="FFFFFF" w:themeColor="background1"/>
              </w:rPr>
              <w:t>EU:n konsolidoitu tilinpäätös</w:t>
            </w:r>
          </w:p>
          <w:p>
            <w:pPr>
              <w:pStyle w:val="DGTextstand-alone"/>
              <w:numPr>
                <w:ilvl w:val="0"/>
                <w:numId w:val="21"/>
              </w:numPr>
              <w:spacing w:after="0"/>
              <w:rPr>
                <w:b/>
                <w:color w:val="FFFFFF" w:themeColor="background1"/>
              </w:rPr>
            </w:pPr>
            <w:r>
              <w:rPr>
                <w:b/>
                <w:color w:val="FFFFFF" w:themeColor="background1"/>
              </w:rPr>
              <w:t>EU:n talousarviota koskeva vuotuinen hallinto- ja tuloksellisuuskertomus (ml. raportointi EU:n varoja koskevasta arvioinnista)</w:t>
            </w:r>
          </w:p>
          <w:p>
            <w:pPr>
              <w:pStyle w:val="DGTextstand-alone"/>
              <w:numPr>
                <w:ilvl w:val="0"/>
                <w:numId w:val="21"/>
              </w:numPr>
              <w:spacing w:after="0"/>
              <w:rPr>
                <w:b/>
                <w:color w:val="FFFFFF" w:themeColor="background1"/>
              </w:rPr>
            </w:pPr>
            <w:r>
              <w:rPr>
                <w:b/>
                <w:color w:val="FFFFFF" w:themeColor="background1"/>
              </w:rPr>
              <w:t>Vuotuinen sisäinen tarkastuskertomus</w:t>
            </w:r>
          </w:p>
          <w:p>
            <w:pPr>
              <w:pStyle w:val="DGTextstand-alone"/>
              <w:numPr>
                <w:ilvl w:val="0"/>
                <w:numId w:val="21"/>
              </w:numPr>
              <w:spacing w:after="0"/>
              <w:rPr>
                <w:b/>
                <w:color w:val="FFFFFF" w:themeColor="background1"/>
              </w:rPr>
            </w:pPr>
            <w:r>
              <w:rPr>
                <w:b/>
                <w:color w:val="FFFFFF" w:themeColor="background1"/>
              </w:rPr>
              <w:t>Pitkän aikavälin ennuste tulevista sisään- ja ulosvirtauksista seuraavien viiden vuoden ajalta</w:t>
            </w:r>
          </w:p>
          <w:p>
            <w:pPr>
              <w:pStyle w:val="DGTextstand-alone"/>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b/>
                <w:color w:val="FFFFFF" w:themeColor="background1"/>
              </w:rPr>
            </w:pPr>
            <w:r>
              <w:rPr>
                <w:b/>
                <w:color w:val="FFFFFF" w:themeColor="background1"/>
              </w:rPr>
              <w:t>Kertomus vastuuvapauspäätösten seurannasta</w:t>
            </w:r>
          </w:p>
        </w:tc>
      </w:tr>
      <w:tr>
        <w:tc>
          <w:tcPr>
            <w:tcW w:w="28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4678B4"/>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rPr>
                <w:b/>
                <w:color w:val="FFFFFF" w:themeColor="background1"/>
              </w:rPr>
            </w:pPr>
            <w:r>
              <w:rPr>
                <w:b/>
                <w:color w:val="FFFFFF" w:themeColor="background1"/>
              </w:rPr>
              <w:t>Muut kertomukset</w:t>
            </w:r>
          </w:p>
        </w:tc>
        <w:tc>
          <w:tcPr>
            <w:tcW w:w="705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tcPr>
          <w:p>
            <w:pPr>
              <w:pStyle w:val="DGTextstand-alone"/>
              <w:spacing w:before="0" w:after="0"/>
              <w:ind w:left="720"/>
              <w:rPr>
                <w:b/>
                <w:bCs/>
                <w:color w:val="FFFFFF" w:themeColor="background1"/>
              </w:rPr>
            </w:pPr>
          </w:p>
          <w:p>
            <w:pPr>
              <w:pStyle w:val="DGTextstand-alone"/>
              <w:numPr>
                <w:ilvl w:val="0"/>
                <w:numId w:val="21"/>
              </w:numPr>
              <w:spacing w:before="0"/>
              <w:rPr>
                <w:b/>
                <w:bCs/>
                <w:color w:val="FFFFFF" w:themeColor="background1"/>
              </w:rPr>
            </w:pPr>
            <w:r>
              <w:rPr>
                <w:b/>
                <w:color w:val="FFFFFF" w:themeColor="background1"/>
              </w:rPr>
              <w:t>Viestintäpaketti unionin tilaa koskevan keskustelun yhteydessä</w:t>
            </w:r>
          </w:p>
          <w:p>
            <w:pPr>
              <w:pStyle w:val="DGTextstand-alone"/>
              <w:numPr>
                <w:ilvl w:val="0"/>
                <w:numId w:val="21"/>
              </w:numPr>
              <w:spacing w:before="0"/>
              <w:rPr>
                <w:b/>
                <w:bCs/>
                <w:color w:val="FFFFFF" w:themeColor="background1"/>
              </w:rPr>
            </w:pPr>
            <w:r>
              <w:rPr>
                <w:b/>
                <w:color w:val="FFFFFF" w:themeColor="background1"/>
              </w:rPr>
              <w:t>Yleiskertomus EU:n toiminnasta</w:t>
            </w:r>
          </w:p>
          <w:p>
            <w:pPr>
              <w:pStyle w:val="DGTextstand-alone"/>
              <w:numPr>
                <w:ilvl w:val="0"/>
                <w:numId w:val="21"/>
              </w:numPr>
              <w:rPr>
                <w:b/>
                <w:color w:val="FFFFFF" w:themeColor="background1"/>
              </w:rPr>
            </w:pPr>
            <w:r>
              <w:rPr>
                <w:b/>
                <w:color w:val="FFFFFF" w:themeColor="background1"/>
              </w:rPr>
              <w:t>Pääosastojen vuotuiset toimintakertomukset</w:t>
            </w:r>
          </w:p>
          <w:p>
            <w:pPr>
              <w:pStyle w:val="DGTextstand-alone"/>
              <w:numPr>
                <w:ilvl w:val="0"/>
                <w:numId w:val="21"/>
              </w:numPr>
              <w:spacing w:after="0"/>
              <w:rPr>
                <w:b/>
                <w:color w:val="FFFFFF" w:themeColor="background1"/>
              </w:rPr>
            </w:pPr>
            <w:r>
              <w:rPr>
                <w:b/>
                <w:color w:val="FFFFFF" w:themeColor="background1"/>
              </w:rPr>
              <w:t>Selvitys varainhoitovuoden talousarvio- ja varainhallinnosta</w:t>
            </w:r>
          </w:p>
          <w:p>
            <w:pPr>
              <w:pStyle w:val="DGTextstand-alone"/>
              <w:spacing w:before="0" w:after="0"/>
              <w:ind w:left="720"/>
              <w:rPr>
                <w:b/>
                <w:color w:val="FFFFFF" w:themeColor="background1"/>
              </w:rPr>
            </w:pPr>
          </w:p>
        </w:tc>
      </w:tr>
    </w:tbl>
    <w:p>
      <w:pPr>
        <w:pStyle w:val="HEADER2Part1"/>
        <w:rPr>
          <w:noProof/>
        </w:rPr>
      </w:pPr>
      <w:r>
        <w:rPr>
          <w:noProof/>
        </w:rPr>
        <w:t>ULKOINEN TARKASTUS JA VASTUUVAPAUDEN MYÖNTÄMISMENETTELY</w:t>
      </w:r>
    </w:p>
    <w:p>
      <w:pPr>
        <w:pStyle w:val="HEADER5"/>
        <w:rPr>
          <w:b/>
          <w:noProof/>
        </w:rPr>
      </w:pPr>
      <w:r>
        <w:rPr>
          <w:noProof/>
        </w:rPr>
        <w:t>Ulkoinen tarkastus</w:t>
      </w:r>
    </w:p>
    <w:p>
      <w:pPr>
        <w:pStyle w:val="DGTextstand-alone"/>
        <w:spacing w:before="120"/>
      </w:pPr>
      <w:r>
        <w:t>EU:n toimielinten (ja elinten) ulkopuolisena tilintarkastajana on Euroopan tilintarkastustuomioistuin, jäljempänä ’tilintarkastustuomioistuin’. Tilintarkastustuomioistuimen tehtävänä on kehittää osaltaan EU:n varainhoitoa, edistää vastuuvelvollisuutta ja läpinäkyvyyttä sekä toimia EU:n kansalaisten etuja edistävänä riippumattomana valvojana. Tilintarkastustuomioistuimen tehtävä EU:n riippumattomana ulkoisena tarkastajana on varmistaa, että EU:n varat on kirjattu oikein, että ne on kerätty ja käytetty asianomaisten sääntöjen ja säännösten mukaisesti ja että rahalle on saatu vastinetta.</w:t>
      </w:r>
    </w:p>
    <w:p>
      <w:pPr>
        <w:pStyle w:val="DGTextstand-alone"/>
        <w:spacing w:before="120"/>
      </w:pPr>
      <w:r>
        <w:t>Osana toimintaansa tilintarkastustuomioistuin laatii Euroopan parlamentin neuvoston käyttöön seuraavat asiakirjat:</w:t>
      </w:r>
    </w:p>
    <w:p>
      <w:pPr>
        <w:pStyle w:val="DGTextstand-alone"/>
        <w:spacing w:after="120"/>
        <w:ind w:left="720" w:hanging="720"/>
      </w:pPr>
      <w:r>
        <w:t>1)</w:t>
      </w:r>
      <w:r>
        <w:tab/>
        <w:t>yleisestä talousarviosta rahoitettavia toimintoja koskeva vuosikertomus, jossa esitetään yksityiskohtaisia huomautuksia EU:n tilinpäätöksestä ja sen perustana olevista toimista;</w:t>
      </w:r>
    </w:p>
    <w:p>
      <w:pPr>
        <w:pStyle w:val="DGTextstand-alone"/>
        <w:spacing w:before="0" w:after="120"/>
        <w:ind w:left="720" w:hanging="720"/>
      </w:pPr>
      <w:r>
        <w:t>2)</w:t>
      </w:r>
      <w:r>
        <w:tab/>
        <w:t>tarkastusten perusteella laadittu lausunto, joka sisältyy vuosikertomukseen tarkastuslausuman muodossa ja joka koskee i) tilien luotettavuutta ja ii) tilien perustana olevien toimien (joihin kuuluvat sekä kerätyt tulot että lopullisille tuensaajille suoritetut maksut) laillisuutta ja sääntöjenmukaisuutta; ja</w:t>
      </w:r>
    </w:p>
    <w:p>
      <w:pPr>
        <w:pStyle w:val="DGTextstand-alone"/>
        <w:spacing w:before="120"/>
        <w:ind w:left="720" w:hanging="720"/>
      </w:pPr>
      <w:r>
        <w:t>3)</w:t>
      </w:r>
      <w:r>
        <w:tab/>
        <w:t>erityiskertomukset, joissa käsitellään tiettyjä osa-alueita, sekä erityiset vuosikertomukset (esimerkiksi Euroopan kehitysrahastosta tai EU:n virastoista).</w:t>
      </w:r>
    </w:p>
    <w:p>
      <w:pPr>
        <w:pStyle w:val="HEADER5"/>
        <w:rPr>
          <w:b/>
          <w:noProof/>
        </w:rPr>
      </w:pPr>
      <w:r>
        <w:rPr>
          <w:noProof/>
        </w:rPr>
        <w:t>Vastuuvapaus</w:t>
      </w:r>
    </w:p>
    <w:p>
      <w:pPr>
        <w:pStyle w:val="DGTextstand-alone"/>
      </w:pPr>
      <w:r>
        <w:t>Talousarvioprosessin viimeinen vaihe on vastuuvapauden myöntäminen asianomaiselta varainhoitovuodelta. Vastuuvapauden myöntämistä voidaan pitää talousarvion toteuttamiseen kohdistuvan ulkoisen valvonnan poliittisena ulottuvuutena. ”Vastuuvapauden myöntämisestä vastaava viranomainen” (neuvoston suosituksen perusteella päätöksen tekevä Euroopan parlamentti) vapauttaa komission (ja EU:n muut elimet) tietyn vuoden talousarvion toteuttamiseen liittyvästä vastuusta. Parlamentti tarkastelee päätöksensä perustaksi EU:n konsolidoitua tilinpäätöstä, useita komission kertomuksia (EU:n talousarviota koskeva vuotuinen hallinto- ja tuloksellisuuskertomus, kertomus vastuuvapauden myöntämistä koskevasta seurannasta edellisen varainhoitovuoden osalta sekä vuosikertomus vastuuvapauden myöntävälle viranomaiselle toimitetuista sisäisistä tarkastuksista) sekä Euroopan tilintarkastustuomioistuimen vuosikertomusta, tarkastuslausumaa ja erityiskertomuksia. Parlamentti ottaa huomioon myös komission sille esitettyihin kysymyksiin ja muihin tietopyyntöihin antamat kirjalliset vastaukset sekä talousarviosta vastaavan komission jäsenen, merkittävimmistä menoaloista vastaavien komission jäsenten ja pääjohtajien sekä pääsihteerin kuulemiset Euroopan parlamentin talousarvion valvontavaliokunnassa.</w:t>
      </w:r>
    </w:p>
    <w:p>
      <w:pPr>
        <w:pStyle w:val="DGTextstand-alone"/>
        <w:spacing w:after="0"/>
      </w:pPr>
      <w:r>
        <w:t xml:space="preserve">Vastuuvapauden myöntämismenettely johtaa johonkin seuraavista kolmesta tuloksesta: vastuuvapaus myönnetään, vastuuvapauden myöntämistä lykätään tai vastuuvapautta ei myönnetä. Lopullinen vastuuvapauden myöntämistä koskeva mietintö sisältää myös Euroopan parlamentin ja neuvoston komissiolle esittämät pyynnöt. Komissio laatii näiden pyyntöjen perusteella seurantakertomuksen, jossa esitetään konkreettiset toimet, jotka on jo toteutettu tai aiotaan toteuttaa. </w:t>
      </w:r>
    </w:p>
    <w:p>
      <w:pPr>
        <w:pStyle w:val="Textstand-alone"/>
        <w:sectPr>
          <w:headerReference w:type="even" r:id="rId46"/>
          <w:headerReference w:type="default" r:id="rId47"/>
          <w:footerReference w:type="even" r:id="rId48"/>
          <w:footerReference w:type="default" r:id="rId49"/>
          <w:headerReference w:type="first" r:id="rId50"/>
          <w:footerReference w:type="first" r:id="rId51"/>
          <w:pgSz w:w="11906" w:h="16838"/>
          <w:pgMar w:top="1134" w:right="1134" w:bottom="1134" w:left="1134" w:header="709" w:footer="709" w:gutter="0"/>
          <w:cols w:space="708"/>
          <w:docGrid w:linePitch="360"/>
        </w:sectPr>
      </w:pPr>
      <w:r>
        <w:t xml:space="preserve"> </w:t>
      </w:r>
      <w:bookmarkEnd w:id="10"/>
    </w:p>
    <w:p>
      <w:pPr>
        <w:pStyle w:val="FIRSTCHAPTERPAGE"/>
        <w:rPr>
          <w:noProof/>
        </w:rPr>
      </w:pPr>
      <w:bookmarkStart w:id="11" w:name="_Toc11938926"/>
      <w:bookmarkStart w:id="12" w:name="_Toc17883108"/>
      <w:bookmarkStart w:id="13" w:name="_DMBM_14737"/>
      <w:r>
        <w:rPr>
          <w:noProof/>
        </w:rPr>
        <w:t>KONSOLIDOITUUN TILINPÄÄTÖKSEEN LIITETTY ILMOITUS</w:t>
      </w:r>
      <w:bookmarkEnd w:id="11"/>
      <w:bookmarkEnd w:id="12"/>
    </w:p>
    <w:p>
      <w:pPr>
        <w:pStyle w:val="DGTextstand-alone"/>
      </w:pPr>
    </w:p>
    <w:p>
      <w:pPr>
        <w:pStyle w:val="DGTextstand-alone"/>
      </w:pPr>
      <w:r>
        <w:t>Euroopan unionin vuoden 2018 konsolidoitu tilinpäätös on laadittu käyttäen tietoja, jotka toimielimet ja elimet ovat toimittaneet Euroopan unionin yleiseen talousarvioon sovellettavan varainhoitoasetuksen 246 artiklan 2 kohdan mukaisesti. Vakuutan, että tilinpäätös on laadittu kyseisen varainhoitoasetuksen XIII osaston säännösten sekä tilinpäätöksen liitetiedoissa esitettyjen tilinpäätöksen laadintaperiaatteiden, -sääntöjen ja -menetelmien mukaisesti.</w:t>
      </w:r>
    </w:p>
    <w:p>
      <w:pPr>
        <w:pStyle w:val="DGTextstand-alone"/>
      </w:pPr>
      <w:r>
        <w:t>Olen saanut kyseisten toimielinten ja elinten tilinpitäjiltä kaikki heidän oikeiksi vakuuttamansa tiedot, jotka tarvitaan laadittaessa tilinpäätöstä, josta käyvät ilmi Euroopan unionin varat ja velat sekä talousarvion toteuttaminen.</w:t>
      </w:r>
    </w:p>
    <w:p>
      <w:pPr>
        <w:pStyle w:val="DGTextstand-alone"/>
      </w:pPr>
      <w:r>
        <w:t>Edellä mainittujen tietojen perusteella ja tehtyäni tarpeellisiksi katsomani tarkistukset ennen kuin varmensin Euroopan komission tilinpäätöksen allekirjoituksellani vakuutan olevani riittävän varma siitä, että tilinpäätös antaa kaikilta olennaisilta osiltaan oikean kuvan Euroopan unionin taloudellisesta asemasta, toimien tuloksista ja rahavirroista.</w:t>
      </w:r>
    </w:p>
    <w:p>
      <w:pPr>
        <w:pStyle w:val="DGTextstand-alone"/>
      </w:pPr>
    </w:p>
    <w:p>
      <w:pPr>
        <w:pStyle w:val="Textstand-alone"/>
      </w:pPr>
    </w:p>
    <w:p>
      <w:pPr>
        <w:pStyle w:val="SignatureRightItalic"/>
        <w:rPr>
          <w:noProof/>
        </w:rPr>
      </w:pPr>
      <w:r>
        <w:rPr>
          <w:noProof/>
        </w:rPr>
        <w:t>[allekirjoitus]</w:t>
      </w:r>
    </w:p>
    <w:p>
      <w:pPr>
        <w:pStyle w:val="SignatureRight"/>
        <w:rPr>
          <w:noProof/>
        </w:rPr>
      </w:pPr>
      <w:r>
        <w:rPr>
          <w:noProof/>
        </w:rPr>
        <w:t>Rosa ALDEA BUSQUETS</w:t>
      </w:r>
    </w:p>
    <w:p>
      <w:pPr>
        <w:pStyle w:val="SignatureRightBold"/>
        <w:rPr>
          <w:noProof/>
        </w:rPr>
      </w:pPr>
      <w:r>
        <w:rPr>
          <w:noProof/>
        </w:rPr>
        <w:t>Euroopan komission tilinpitäjä</w:t>
      </w:r>
    </w:p>
    <w:p>
      <w:pPr>
        <w:pStyle w:val="SignatureRightItalic0"/>
        <w:rPr>
          <w:noProof/>
        </w:rPr>
      </w:pPr>
      <w:r>
        <w:rPr>
          <w:noProof/>
        </w:rPr>
        <w:t>21. kesäkuuta 2019</w:t>
      </w:r>
    </w:p>
    <w:p>
      <w:pPr>
        <w:pStyle w:val="SignatureRightItalic0"/>
        <w:rPr>
          <w:noProof/>
        </w:rPr>
        <w:sectPr>
          <w:headerReference w:type="even" r:id="rId52"/>
          <w:headerReference w:type="default" r:id="rId53"/>
          <w:footerReference w:type="even" r:id="rId54"/>
          <w:footerReference w:type="default" r:id="rId55"/>
          <w:headerReference w:type="first" r:id="rId56"/>
          <w:footerReference w:type="first" r:id="rId57"/>
          <w:pgSz w:w="11906" w:h="16838"/>
          <w:pgMar w:top="1134" w:right="1134" w:bottom="1134" w:left="1134" w:header="709" w:footer="709" w:gutter="0"/>
          <w:cols w:space="708"/>
          <w:docGrid w:linePitch="360"/>
        </w:sectPr>
      </w:pPr>
      <w:r>
        <w:rPr>
          <w:noProof/>
        </w:rPr>
        <w:t xml:space="preserve"> </w:t>
      </w:r>
      <w:bookmarkEnd w:id="13"/>
    </w:p>
    <w:p>
      <w:pPr>
        <w:pStyle w:val="FIRSTCHAPTERPAGE"/>
        <w:spacing w:after="0"/>
        <w:rPr>
          <w:noProof/>
        </w:rPr>
      </w:pPr>
      <w:bookmarkStart w:id="14" w:name="_Toc11938927"/>
      <w:bookmarkStart w:id="15" w:name="_Toc17883109"/>
      <w:bookmarkStart w:id="16" w:name="_DMBM_14865"/>
      <w:r>
        <w:rPr>
          <w:noProof/>
        </w:rPr>
        <w:t>VARAINHOITOVUODEN 2018 TÄRKEIMPIÄ TAPAHTUMIA</w:t>
      </w:r>
      <w:bookmarkEnd w:id="14"/>
      <w:bookmarkEnd w:id="15"/>
    </w:p>
    <w:p>
      <w:pPr>
        <w:pStyle w:val="HEADER5"/>
        <w:spacing w:before="240"/>
        <w:rPr>
          <w:noProof/>
          <w:sz w:val="32"/>
        </w:rPr>
      </w:pPr>
      <w:r>
        <w:rPr>
          <w:noProof/>
          <w:sz w:val="32"/>
        </w:rPr>
        <w:t>Unionin vuoden 2018 talousarvion toteuttaminen</w:t>
      </w:r>
    </w:p>
    <w:p>
      <w:pPr>
        <w:pStyle w:val="DGTextstand-alone"/>
      </w:pPr>
      <w:r>
        <w:t>Vuodeksi 2018 hyväksytty talousarvio keskittyi kahteen unionin tärkeimpään painopisteeseen, jotka sisältyivät komission puheenjohtajan Jean-Claude Junckerin tämän komission toimikauden alussa esittämiin kymmeneen painopisteeseen. Toinen koski niitä EU:n toimia, joilla pyritään vastaamaan monimutkaisesta geopoliittisesta ympäristöstä johtuviin uusiin haasteisiin. Näihin kuuluvat muun muassa muuttoliikkeen hallinta, EU:n ulkorajojen suojaaminen sekä EU:n kansalaisten turvallisuuden varmistaminen. Toisena keskeisenä tavoitteena olivat strategiset investoinnit ja kestävä kasvu. Tähän liittyvien toimien tavoitteena on tukea taloudellista yhteenkuuluvuutta ja luoda uusia työpaikkoja etenkin nuorille. Näiden kahden selkeän painopisteen lisäksi EU:n talousarviolla ja muilla rahoitusvälineillä tuettiin vuonna 2018 aiempaan tapaan viljelijöitä ja maaseudun kehittämistä sekä toimia, jotka liittyvät digitaalisten sisämarkkinoiden ja energiaunionin toteuttamiseen ja joiden tarkoituksena on syventää ja vahvistaa EU:n jäsenvaltioiden välisiä strategisia yhteyksiä ja verkostoja. Talousarviosta tuettiin edelleen EU:n ulkoista roolia tärkeänä taloudellisena ja poliittisena kumppanina sekä johtavana kansainvälisenä investoijana ja humanitaarisen avun antajana.</w:t>
      </w:r>
    </w:p>
    <w:p>
      <w:pPr>
        <w:pStyle w:val="DGTextstand-alone"/>
      </w:pPr>
      <w:r>
        <w:t xml:space="preserve">EU:n vuoden 2018 talousarvion maksusitoumusmäärärahat olivat yhteensä 173,1 miljardia euroa ja maksumäärärahat 156,7 miljardia euroa. </w:t>
      </w:r>
    </w:p>
    <w:p>
      <w:pPr>
        <w:pStyle w:val="DGTextstand-alone"/>
      </w:pPr>
      <w:r>
        <w:t xml:space="preserve">Lähes puolet talousarviosta (87,4 miljardia euroa maksusitoumusmäärärahoina) käytettiin älykkään ja osallistavan </w:t>
      </w:r>
      <w:r>
        <w:rPr>
          <w:b/>
        </w:rPr>
        <w:t>kasvun, työpaikkojen, kilpailukyvyn ja koheesion</w:t>
      </w:r>
      <w:r>
        <w:t xml:space="preserve"> edistämiseen. Tähän sisältyy rahoitus tutkimukselle ja innovoinnille Horisontti 2020 </w:t>
      </w:r>
      <w:r>
        <w:noBreakHyphen/>
        <w:t xml:space="preserve">puiteohjelmasta, koulutukselle Erasmus+ -ohjelmasta, pienille ja keskisuurille yrityksille COSME-ohjelmasta, Verkkojen Eurooppa </w:t>
      </w:r>
      <w:r>
        <w:noBreakHyphen/>
        <w:t xml:space="preserve">väline, Euroopan strategisten investointien rahaston (ESIR) takuurahasto, joka on Euroopan investointiohjelman toteuttamisväline, sekä jäsenvaltioiden ja alueiden välisen lähentymisen edistäminen Euroopan rakenne- ja investointirahaston kautta. Lisäksi EU:n talousarviosta myönnettiin tukea </w:t>
      </w:r>
      <w:r>
        <w:rPr>
          <w:b/>
        </w:rPr>
        <w:t>eurooppalaisille maanviljelijöille</w:t>
      </w:r>
      <w:r>
        <w:t xml:space="preserve"> 44,4 miljardia euroa.</w:t>
      </w:r>
    </w:p>
    <w:p>
      <w:pPr>
        <w:pStyle w:val="DGTextstand-alone"/>
      </w:pPr>
      <w:r>
        <w:t xml:space="preserve">Talousarviota käytettiin myös unionin </w:t>
      </w:r>
      <w:r>
        <w:rPr>
          <w:b/>
        </w:rPr>
        <w:t>ulkorajojen</w:t>
      </w:r>
      <w:r>
        <w:t xml:space="preserve"> vahvistamiseen sekä </w:t>
      </w:r>
      <w:r>
        <w:rPr>
          <w:b/>
        </w:rPr>
        <w:t>muuttoliike- ja pakolaiskriisin</w:t>
      </w:r>
      <w:r>
        <w:t xml:space="preserve"> hallintaan rahoittamalla toimia, joihin kuuluivat muun muassa hätäapu, sisäiset siirrot, rajavalvonta ja pakolaisten ja turvapaikanhakijoiden uudelleensijoittaminen, palauttaminen ja kotouttaminen. Talousarviosta jatkettiin myös niiden ohjelmien rahoittamista, joilla tuetaan oikeusvaltion ja perusoikeuksien suojaamista ja sosiaalista yhteenkuuluvuutta. Näin voitiin varmistaa, että eurooppalaiset yhteiskunnat säilyvät osallistavina, vapaina ja oikeudenmukaisina.</w:t>
      </w:r>
    </w:p>
    <w:p>
      <w:pPr>
        <w:pStyle w:val="HEADER5"/>
        <w:spacing w:before="240"/>
        <w:rPr>
          <w:noProof/>
          <w:sz w:val="32"/>
        </w:rPr>
      </w:pPr>
      <w:r>
        <w:rPr>
          <w:noProof/>
          <w:sz w:val="32"/>
        </w:rPr>
        <w:t>Yhdistyneen kuningaskunnan ero Euroopan unionista</w:t>
      </w:r>
    </w:p>
    <w:p>
      <w:pPr>
        <w:pStyle w:val="DGTextstand-alone"/>
        <w:rPr>
          <w:i/>
        </w:rPr>
      </w:pPr>
      <w:r>
        <w:rPr>
          <w:i/>
        </w:rPr>
        <w:t>Taustaa</w:t>
      </w:r>
    </w:p>
    <w:p>
      <w:pPr>
        <w:pStyle w:val="DGTextstand-alone"/>
      </w:pPr>
      <w:r>
        <w:t xml:space="preserve">Yhdistyneessä kuningaskunnassa järjestettiin 23. kesäkuuta 2016 Euroopan unionin jäsenyyttä koskenut kansanäänestys, jossa kansalaisten enemmistö kannatti eroamista EU:sta. Yhdistynyt kuningaskunta ilmoitti Eurooppa-neuvostolle 29. maaliskuuta 2017 virallisesti aikomuksestaan erota EU:sta ja Euroopan atomienergiayhteisöstä (Euratom). Näin se käynnisti Euroopan unionista tehdyn sopimuksen 50 artiklan mukaisen menettelyn, joka koskee jäsenvaltion eroamista unionista. </w:t>
      </w:r>
    </w:p>
    <w:p>
      <w:pPr>
        <w:pStyle w:val="DGTextstand-alone"/>
        <w:rPr>
          <w:i/>
        </w:rPr>
      </w:pPr>
      <w:r>
        <w:rPr>
          <w:i/>
        </w:rPr>
        <w:t xml:space="preserve">Neuvotteluprosessi </w:t>
      </w:r>
    </w:p>
    <w:p>
      <w:pPr>
        <w:pStyle w:val="DGTextstand-alone"/>
      </w:pPr>
      <w:r>
        <w:t>Komissio julkaisi 19. maaliskuuta 2018 erosopimusluonnoksen, jossa selostettiin neuvottelujen etenemistä. Taloudellista selvitysratkaisua koskeva erosopimusluonnoksen osa sisältää EU:n ja Yhdistyneen kuningaskunnan neuvottelujen ensimmäisessä vaiheessa saavutettuun edistymiseen perustuvan oikeudellisen tekstin.</w:t>
      </w:r>
    </w:p>
    <w:p>
      <w:pPr>
        <w:pStyle w:val="DGTextstand-alone"/>
      </w:pPr>
      <w:r>
        <w:t>Marraskuun 14 päivänä 2018 julkaistiin yhteinen raportti, jossa ilmoitettiin neuvottelijoiden tasolla erosopimuksen koko tekstistä saavutetusta sopimuksesta ja luonnoksesta poliittiseksi julistukseksi kehyksestä Euroopan unionin ja Yhdistyneen kuningaskunnan tulevalle suhteelle. Tämä päivitetty ja sovittu erosopimusluonnos julkaistiin samana päivänä. Sopimusluonnoksen mukaan Yhdistynyt kuningaskunta on valmis maksamaan kaikki nykyisen monivuotisen rahoituskehyksen ja aiempien rahoituskehysten mukaiset velvoitteensa ikään kuin se olisi edelleen jäsenvaltio, myös osuutensa unionin veloista ja ehdollisista veloista. Yhdistyneen kuningaskunnan hallitus hyväksyi erosopimusluonnoksen 14. marraskuuta ja Eurooppa-neuvosto hyväksyi sen 25. marraskuuta 2018. Neuvosto (50 artikla) hyväksyi 11. tammikuuta 2019 päätöksen erosopimuksen tekemisestä ja lähetti sen Euroopan parlamentille tämän suostumuksen saamiseksi. Yhdistyneen kuningaskunnan pyynnöstä Eurooppa-neuvosto suostui 21. maaliskuuta 2019 SEUT-sopimuksen 50 artiklan mukaista menettelyä noudattaen lykkäämään Yhdistyneen kuningaskunnan eropäivämäärän 22. päivään toukokuuta 2019, mikäli Yhdistyneen kuningaskunnan parlamentin alahuone hyväksyisi erosopimuksen viimeistään 29. maaliskuuta 2019, ja 12. päivään huhtikuuta 2019, jos näin ei tapahtuisi (Eurooppa-neuvoston päätös (EU) 2019/476, annettu 22 päivänä maaliskuuta 2019, EUVL L 80, 22.3.2019, s. 1). Yhdistyneen kuningaskunnan parlamentin alahuone ei kuitenkaan hyväksynyt erosopimusta 29. maaliskuuta 2019 mennessä. Näin ollen Eurooppa-neuvosto suostui 10. huhtikuuta 2019 – jälleen Yhdistyneen kuningaskunnan pyynnöstä – lykkäämään Yhdistyneen kuningaskunnan eroa 31. päivään lokakuuta 2019 (Eurooppa-neuvoston päätös (EU) 2019/584, annettu 11 päivänä huhtikuuta 2019, EUVL L 101, 11.4.2019, s. 1). Eroamisen olisi tapahduttava sitä päivää seuraavan kuukauden ensimmäisenä päivänä, jona ratifiointimenettelyt on saatu päätökseen tai 1. marraskuuta 2019 sen mukaan, kumpi ajankohta on aikaisempi. Yhdistynyt kuningaskunta pysyy jäsenvaltiona uuteen eropäivään saakka, ja sillä on SEU-sopimuksen 50 artiklan mukaisesti täydet oikeudet ja velvollisuudet sekä oikeus milloin tahansa peruuttaa ilmoituksensa.</w:t>
      </w:r>
    </w:p>
    <w:p>
      <w:pPr>
        <w:pStyle w:val="DGTextstand-alone"/>
        <w:rPr>
          <w:i/>
        </w:rPr>
      </w:pPr>
      <w:r>
        <w:rPr>
          <w:i/>
        </w:rPr>
        <w:t>Taloudellinen selvitysratkaisu ja EU:n vuoden 2018 tilinpäätös</w:t>
      </w:r>
    </w:p>
    <w:p>
      <w:pPr>
        <w:pStyle w:val="DGTextstand-alone"/>
      </w:pPr>
      <w:r>
        <w:t>Taloudellisen selvitysratkaisun osalta 14. marraskuuta 2018 julkaistussa erosopimusluonnoksessa todettiin, että Yhdistynyt kuningaskunta maksaa kaikki nykyisen ja aiempien monivuotisten rahoituskehysten mukaiset velvoitteensa ikään kuin se olisi edelleen jäsenvaltio. Täsmällisemmin esitettynä erosopimusluonnoksessa todetaan, että Yhdistynyt kuningaskunta vastaa erityisesti osuudestaan:</w:t>
      </w:r>
    </w:p>
    <w:p>
      <w:pPr>
        <w:pStyle w:val="DGTextstand-alone"/>
        <w:ind w:left="720" w:hanging="720"/>
      </w:pPr>
      <w:r>
        <w:t>•</w:t>
      </w:r>
      <w:r>
        <w:tab/>
        <w:t>unionin talousarviositoumuksista ja unionin erillisvirastojen 31. joulukuuta 2020 maksamatta olevista määrärahoista – ks. erosopimusluonnoksen 140 artikla;</w:t>
      </w:r>
    </w:p>
    <w:p>
      <w:pPr>
        <w:pStyle w:val="DGTextstand-alone"/>
        <w:ind w:left="720" w:hanging="720"/>
      </w:pPr>
      <w:r>
        <w:t>•</w:t>
      </w:r>
      <w:r>
        <w:tab/>
        <w:t>unionin 31. joulukuuta 2020 mennessä syntyneiden velkojen rahoituksesta tietyin poikkeuksin – ks. 142 artikla;</w:t>
      </w:r>
    </w:p>
    <w:p>
      <w:pPr>
        <w:pStyle w:val="DGTextstand-alone"/>
        <w:ind w:left="720" w:hanging="720"/>
      </w:pPr>
      <w:r>
        <w:t>•</w:t>
      </w:r>
      <w:r>
        <w:tab/>
        <w:t>ennen eropäivää päätetyistä/hyväksytyistä rahoitustoimista syntyneistä unionin ehdollisista rahoitusveloista – ks. 143 ja 144 artikla; sekä</w:t>
      </w:r>
    </w:p>
    <w:p>
      <w:pPr>
        <w:pStyle w:val="DGTextstand-alone"/>
        <w:ind w:left="720" w:hanging="720"/>
      </w:pPr>
      <w:r>
        <w:t>•</w:t>
      </w:r>
      <w:r>
        <w:tab/>
        <w:t>maksuista unionin vapauttamiseksi sellaisista ehdollisista veloista, jotka ovat seurausta unionin taloudellisia etuja koskevista oikeustapauksista (edellyttäen, että oikeudenkäynnin kohteen muodostavat seikat ovat tapahtuneen 31. joulukuuta 2020 mennessä) – ks. 147 artikla.</w:t>
      </w:r>
    </w:p>
    <w:p>
      <w:pPr>
        <w:pStyle w:val="DGTextstand-alone"/>
      </w:pPr>
      <w:r>
        <w:t>Tätä tilinpäätöstä allekirjoitettaessa ja Yhdistyneen kuningaskunnan ratifioinnin puuttuessa tosiasiallinen eropäivämäärä ja eroamisen tapa (sopimuksella vai ilman sopimusta) ei vielä ole tiedossa. Nykyisen tilanteen perusteella eroprosessilla ei ole vaikutusta varainhoitovuotta 2018 koskevaan EU:n konsolidoituun tilinpäätökseen.</w:t>
      </w:r>
    </w:p>
    <w:p>
      <w:pPr>
        <w:pStyle w:val="DGTextstand-alone"/>
        <w:sectPr>
          <w:headerReference w:type="even" r:id="rId58"/>
          <w:headerReference w:type="default" r:id="rId59"/>
          <w:footerReference w:type="even" r:id="rId60"/>
          <w:footerReference w:type="default" r:id="rId61"/>
          <w:headerReference w:type="first" r:id="rId62"/>
          <w:footerReference w:type="first" r:id="rId63"/>
          <w:pgSz w:w="11906" w:h="16838"/>
          <w:pgMar w:top="1134" w:right="1134" w:bottom="1134" w:left="1134" w:header="709" w:footer="709" w:gutter="0"/>
          <w:cols w:space="708"/>
          <w:docGrid w:linePitch="360"/>
        </w:sectPr>
      </w:pPr>
      <w:r>
        <w:t xml:space="preserve"> </w:t>
      </w:r>
      <w:bookmarkEnd w:id="16"/>
    </w:p>
    <w:p>
      <w:pPr>
        <w:pStyle w:val="FinancialYear"/>
        <w:rPr>
          <w:noProof/>
        </w:rPr>
      </w:pPr>
      <w:bookmarkStart w:id="17" w:name="_DMBM_14791"/>
      <w:r>
        <w:rPr>
          <w:noProof/>
        </w:rPr>
        <w:t>EUROOPAN UNIONI</w:t>
      </w:r>
    </w:p>
    <w:p>
      <w:pPr>
        <w:pStyle w:val="FinancialYear"/>
        <w:rPr>
          <w:noProof/>
        </w:rPr>
      </w:pPr>
      <w:r>
        <w:rPr>
          <w:noProof/>
        </w:rPr>
        <w:t>VARAINHOITOVUOSI 2018</w:t>
      </w: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bookmarkStart w:id="18" w:name="_Toc11938928"/>
      <w:bookmarkStart w:id="19" w:name="_Toc17883110"/>
      <w:r>
        <w:rPr>
          <w:noProof/>
        </w:rPr>
        <w:t>KONSOLIDOIDUT TILINPÄÄTÖSLASKELMAT JA LIITETIEDOT</w:t>
      </w:r>
      <w:bookmarkEnd w:id="18"/>
      <w:bookmarkEnd w:id="19"/>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sectPr>
          <w:headerReference w:type="even" r:id="rId64"/>
          <w:headerReference w:type="default" r:id="rId65"/>
          <w:footerReference w:type="even" r:id="rId66"/>
          <w:footerReference w:type="default" r:id="rId67"/>
          <w:headerReference w:type="first" r:id="rId68"/>
          <w:footerReference w:type="first" r:id="rId69"/>
          <w:pgSz w:w="11906" w:h="16838"/>
          <w:pgMar w:top="1134" w:right="1134" w:bottom="1134" w:left="1134" w:header="709" w:footer="709" w:gutter="0"/>
          <w:cols w:space="708"/>
          <w:docGrid w:linePitch="360"/>
        </w:sectPr>
      </w:pPr>
      <w:r>
        <w:rPr>
          <w:noProof/>
        </w:rPr>
        <w:t>On huomattava, että osa taloudellisia tietoja sisältävien taulukoiden luvuista ei näytä täsmäävän, koska numerotiedot on pyöristetty miljooniin euroihin.</w:t>
      </w:r>
      <w:bookmarkEnd w:id="17"/>
    </w:p>
    <w:p>
      <w:pPr>
        <w:pStyle w:val="HEADERTABLE"/>
        <w:rPr>
          <w:noProof/>
        </w:rPr>
      </w:pPr>
      <w:bookmarkStart w:id="20" w:name="_DMBM_14718"/>
      <w:r>
        <w:rPr>
          <w:noProof/>
        </w:rPr>
        <w:t>SISÄLLYSLUETTELO</w:t>
      </w:r>
    </w:p>
    <w:p>
      <w:pPr>
        <w:pStyle w:val="Textstand-alone"/>
      </w:pPr>
    </w:p>
    <w:p>
      <w:pPr>
        <w:pStyle w:val="TOC1"/>
        <w:tabs>
          <w:tab w:val="right" w:leader="dot" w:pos="9628"/>
        </w:tabs>
        <w:rPr>
          <w:rFonts w:asciiTheme="minorHAnsi" w:eastAsiaTheme="minorEastAsia" w:hAnsiTheme="minorHAnsi" w:cstheme="minorBidi"/>
          <w:noProof/>
          <w:color w:val="auto"/>
          <w:szCs w:val="22"/>
          <w:lang w:bidi="ar-SA"/>
        </w:rPr>
      </w:pPr>
      <w:r>
        <w:rPr>
          <w:noProof/>
          <w:color w:val="016894"/>
          <w:sz w:val="20"/>
        </w:rPr>
        <w:fldChar w:fldCharType="begin"/>
      </w:r>
      <w:r>
        <w:rPr>
          <w:noProof/>
          <w:color w:val="016894"/>
          <w:sz w:val="20"/>
        </w:rPr>
        <w:instrText xml:space="preserve"> TOC \o "1-3" \h \z \t "HEADER 1_NOTES;2;HEADER_TITLE_1;1" </w:instrText>
      </w:r>
      <w:r>
        <w:rPr>
          <w:noProof/>
          <w:color w:val="016894"/>
          <w:sz w:val="20"/>
        </w:rPr>
        <w:fldChar w:fldCharType="separate"/>
      </w:r>
      <w:hyperlink w:anchor="_Toc17883223" w:history="1">
        <w:r>
          <w:rPr>
            <w:rStyle w:val="Hyperlink"/>
            <w:noProof/>
          </w:rPr>
          <w:t>TASE</w:t>
        </w:r>
        <w:r>
          <w:rPr>
            <w:noProof/>
            <w:webHidden/>
          </w:rPr>
          <w:tab/>
        </w:r>
        <w:r>
          <w:rPr>
            <w:noProof/>
            <w:webHidden/>
          </w:rPr>
          <w:fldChar w:fldCharType="begin"/>
        </w:r>
        <w:r>
          <w:rPr>
            <w:noProof/>
            <w:webHidden/>
          </w:rPr>
          <w:instrText xml:space="preserve"> PAGEREF _Toc17883223 \h </w:instrText>
        </w:r>
        <w:r>
          <w:rPr>
            <w:noProof/>
            <w:webHidden/>
          </w:rPr>
        </w:r>
        <w:r>
          <w:rPr>
            <w:noProof/>
            <w:webHidden/>
          </w:rPr>
          <w:fldChar w:fldCharType="separate"/>
        </w:r>
        <w:r>
          <w:rPr>
            <w:noProof/>
            <w:webHidden/>
          </w:rPr>
          <w:t>17</w:t>
        </w:r>
        <w:r>
          <w:rPr>
            <w:noProof/>
            <w:webHidden/>
          </w:rPr>
          <w:fldChar w:fldCharType="end"/>
        </w:r>
      </w:hyperlink>
    </w:p>
    <w:p>
      <w:pPr>
        <w:pStyle w:val="TOC1"/>
        <w:tabs>
          <w:tab w:val="right" w:leader="dot" w:pos="9628"/>
        </w:tabs>
        <w:rPr>
          <w:rFonts w:asciiTheme="minorHAnsi" w:eastAsiaTheme="minorEastAsia" w:hAnsiTheme="minorHAnsi" w:cstheme="minorBidi"/>
          <w:noProof/>
          <w:color w:val="auto"/>
          <w:szCs w:val="22"/>
          <w:lang w:bidi="ar-SA"/>
        </w:rPr>
      </w:pPr>
      <w:hyperlink w:anchor="_Toc17883224" w:history="1">
        <w:r>
          <w:rPr>
            <w:rStyle w:val="Hyperlink"/>
            <w:noProof/>
          </w:rPr>
          <w:t>TUOTTO- JA KULULASKELMA</w:t>
        </w:r>
        <w:r>
          <w:rPr>
            <w:noProof/>
            <w:webHidden/>
          </w:rPr>
          <w:tab/>
        </w:r>
        <w:r>
          <w:rPr>
            <w:noProof/>
            <w:webHidden/>
          </w:rPr>
          <w:fldChar w:fldCharType="begin"/>
        </w:r>
        <w:r>
          <w:rPr>
            <w:noProof/>
            <w:webHidden/>
          </w:rPr>
          <w:instrText xml:space="preserve"> PAGEREF _Toc17883224 \h </w:instrText>
        </w:r>
        <w:r>
          <w:rPr>
            <w:noProof/>
            <w:webHidden/>
          </w:rPr>
        </w:r>
        <w:r>
          <w:rPr>
            <w:noProof/>
            <w:webHidden/>
          </w:rPr>
          <w:fldChar w:fldCharType="separate"/>
        </w:r>
        <w:r>
          <w:rPr>
            <w:noProof/>
            <w:webHidden/>
          </w:rPr>
          <w:t>18</w:t>
        </w:r>
        <w:r>
          <w:rPr>
            <w:noProof/>
            <w:webHidden/>
          </w:rPr>
          <w:fldChar w:fldCharType="end"/>
        </w:r>
      </w:hyperlink>
    </w:p>
    <w:p>
      <w:pPr>
        <w:pStyle w:val="TOC1"/>
        <w:tabs>
          <w:tab w:val="right" w:leader="dot" w:pos="9628"/>
        </w:tabs>
        <w:rPr>
          <w:rFonts w:asciiTheme="minorHAnsi" w:eastAsiaTheme="minorEastAsia" w:hAnsiTheme="minorHAnsi" w:cstheme="minorBidi"/>
          <w:noProof/>
          <w:color w:val="auto"/>
          <w:szCs w:val="22"/>
          <w:lang w:bidi="ar-SA"/>
        </w:rPr>
      </w:pPr>
      <w:hyperlink w:anchor="_Toc17883225" w:history="1">
        <w:r>
          <w:rPr>
            <w:rStyle w:val="Hyperlink"/>
            <w:noProof/>
          </w:rPr>
          <w:t>RAHAVIRTALASKELMA</w:t>
        </w:r>
        <w:r>
          <w:rPr>
            <w:noProof/>
            <w:webHidden/>
          </w:rPr>
          <w:tab/>
        </w:r>
        <w:r>
          <w:rPr>
            <w:noProof/>
            <w:webHidden/>
          </w:rPr>
          <w:fldChar w:fldCharType="begin"/>
        </w:r>
        <w:r>
          <w:rPr>
            <w:noProof/>
            <w:webHidden/>
          </w:rPr>
          <w:instrText xml:space="preserve"> PAGEREF _Toc17883225 \h </w:instrText>
        </w:r>
        <w:r>
          <w:rPr>
            <w:noProof/>
            <w:webHidden/>
          </w:rPr>
        </w:r>
        <w:r>
          <w:rPr>
            <w:noProof/>
            <w:webHidden/>
          </w:rPr>
          <w:fldChar w:fldCharType="separate"/>
        </w:r>
        <w:r>
          <w:rPr>
            <w:noProof/>
            <w:webHidden/>
          </w:rPr>
          <w:t>19</w:t>
        </w:r>
        <w:r>
          <w:rPr>
            <w:noProof/>
            <w:webHidden/>
          </w:rPr>
          <w:fldChar w:fldCharType="end"/>
        </w:r>
      </w:hyperlink>
    </w:p>
    <w:p>
      <w:pPr>
        <w:pStyle w:val="TOC1"/>
        <w:tabs>
          <w:tab w:val="right" w:leader="dot" w:pos="9628"/>
        </w:tabs>
        <w:rPr>
          <w:rFonts w:asciiTheme="minorHAnsi" w:eastAsiaTheme="minorEastAsia" w:hAnsiTheme="minorHAnsi" w:cstheme="minorBidi"/>
          <w:noProof/>
          <w:color w:val="auto"/>
          <w:szCs w:val="22"/>
          <w:lang w:bidi="ar-SA"/>
        </w:rPr>
      </w:pPr>
      <w:hyperlink w:anchor="_Toc17883226" w:history="1">
        <w:r>
          <w:rPr>
            <w:rStyle w:val="Hyperlink"/>
            <w:noProof/>
          </w:rPr>
          <w:t>LASKELMA NETTOVAROJEN MUUTOKSISTA</w:t>
        </w:r>
        <w:r>
          <w:rPr>
            <w:noProof/>
            <w:webHidden/>
          </w:rPr>
          <w:tab/>
        </w:r>
        <w:r>
          <w:rPr>
            <w:noProof/>
            <w:webHidden/>
          </w:rPr>
          <w:fldChar w:fldCharType="begin"/>
        </w:r>
        <w:r>
          <w:rPr>
            <w:noProof/>
            <w:webHidden/>
          </w:rPr>
          <w:instrText xml:space="preserve"> PAGEREF _Toc17883226 \h </w:instrText>
        </w:r>
        <w:r>
          <w:rPr>
            <w:noProof/>
            <w:webHidden/>
          </w:rPr>
        </w:r>
        <w:r>
          <w:rPr>
            <w:noProof/>
            <w:webHidden/>
          </w:rPr>
          <w:fldChar w:fldCharType="separate"/>
        </w:r>
        <w:r>
          <w:rPr>
            <w:noProof/>
            <w:webHidden/>
          </w:rPr>
          <w:t>20</w:t>
        </w:r>
        <w:r>
          <w:rPr>
            <w:noProof/>
            <w:webHidden/>
          </w:rPr>
          <w:fldChar w:fldCharType="end"/>
        </w:r>
      </w:hyperlink>
    </w:p>
    <w:p>
      <w:pPr>
        <w:pStyle w:val="TOC1"/>
        <w:tabs>
          <w:tab w:val="right" w:leader="dot" w:pos="9628"/>
        </w:tabs>
        <w:rPr>
          <w:rFonts w:asciiTheme="minorHAnsi" w:eastAsiaTheme="minorEastAsia" w:hAnsiTheme="minorHAnsi" w:cstheme="minorBidi"/>
          <w:noProof/>
          <w:color w:val="auto"/>
          <w:szCs w:val="22"/>
          <w:lang w:bidi="ar-SA"/>
        </w:rPr>
      </w:pPr>
      <w:hyperlink w:anchor="_Toc17883227" w:history="1">
        <w:r>
          <w:rPr>
            <w:rStyle w:val="Hyperlink"/>
            <w:noProof/>
          </w:rPr>
          <w:t>TILINPÄÄTÖKSEN LIITETIEDOT</w:t>
        </w:r>
        <w:r>
          <w:rPr>
            <w:noProof/>
            <w:webHidden/>
          </w:rPr>
          <w:tab/>
        </w:r>
        <w:r>
          <w:rPr>
            <w:noProof/>
            <w:webHidden/>
          </w:rPr>
          <w:fldChar w:fldCharType="begin"/>
        </w:r>
        <w:r>
          <w:rPr>
            <w:noProof/>
            <w:webHidden/>
          </w:rPr>
          <w:instrText xml:space="preserve"> PAGEREF _Toc17883227 \h </w:instrText>
        </w:r>
        <w:r>
          <w:rPr>
            <w:noProof/>
            <w:webHidden/>
          </w:rPr>
        </w:r>
        <w:r>
          <w:rPr>
            <w:noProof/>
            <w:webHidden/>
          </w:rPr>
          <w:fldChar w:fldCharType="separate"/>
        </w:r>
        <w:r>
          <w:rPr>
            <w:noProof/>
            <w:webHidden/>
          </w:rPr>
          <w:t>21</w:t>
        </w:r>
        <w:r>
          <w:rPr>
            <w:noProof/>
            <w:webHidden/>
          </w:rPr>
          <w:fldChar w:fldCharType="end"/>
        </w:r>
      </w:hyperlink>
    </w:p>
    <w:p>
      <w:pPr>
        <w:pStyle w:val="TOC2"/>
        <w:tabs>
          <w:tab w:val="left" w:pos="880"/>
          <w:tab w:val="right" w:leader="dot" w:pos="9628"/>
        </w:tabs>
        <w:rPr>
          <w:rFonts w:asciiTheme="minorHAnsi" w:eastAsiaTheme="minorEastAsia" w:hAnsiTheme="minorHAnsi" w:cstheme="minorBidi"/>
          <w:noProof/>
          <w:color w:val="auto"/>
          <w:szCs w:val="22"/>
          <w:lang w:bidi="ar-SA"/>
        </w:rPr>
      </w:pPr>
      <w:hyperlink w:anchor="_Toc17883228" w:history="1">
        <w:r>
          <w:rPr>
            <w:rStyle w:val="Hyperlink"/>
            <w:noProof/>
          </w:rPr>
          <w:t>1.</w:t>
        </w:r>
        <w:r>
          <w:rPr>
            <w:rFonts w:asciiTheme="minorHAnsi" w:eastAsiaTheme="minorEastAsia" w:hAnsiTheme="minorHAnsi" w:cstheme="minorBidi"/>
            <w:noProof/>
            <w:color w:val="auto"/>
            <w:szCs w:val="22"/>
            <w:lang w:bidi="ar-SA"/>
          </w:rPr>
          <w:tab/>
        </w:r>
        <w:r>
          <w:rPr>
            <w:rStyle w:val="Hyperlink"/>
            <w:noProof/>
          </w:rPr>
          <w:t>TILINPÄÄTÖKSEN KESKEISET LAATIMISPERIAATTEET</w:t>
        </w:r>
        <w:r>
          <w:rPr>
            <w:noProof/>
            <w:webHidden/>
          </w:rPr>
          <w:tab/>
        </w:r>
        <w:r>
          <w:rPr>
            <w:noProof/>
            <w:webHidden/>
          </w:rPr>
          <w:fldChar w:fldCharType="begin"/>
        </w:r>
        <w:r>
          <w:rPr>
            <w:noProof/>
            <w:webHidden/>
          </w:rPr>
          <w:instrText xml:space="preserve"> PAGEREF _Toc17883228 \h </w:instrText>
        </w:r>
        <w:r>
          <w:rPr>
            <w:noProof/>
            <w:webHidden/>
          </w:rPr>
        </w:r>
        <w:r>
          <w:rPr>
            <w:noProof/>
            <w:webHidden/>
          </w:rPr>
          <w:fldChar w:fldCharType="separate"/>
        </w:r>
        <w:r>
          <w:rPr>
            <w:noProof/>
            <w:webHidden/>
          </w:rPr>
          <w:t>22</w:t>
        </w:r>
        <w:r>
          <w:rPr>
            <w:noProof/>
            <w:webHidden/>
          </w:rPr>
          <w:fldChar w:fldCharType="end"/>
        </w:r>
      </w:hyperlink>
    </w:p>
    <w:p>
      <w:pPr>
        <w:pStyle w:val="TOC2"/>
        <w:tabs>
          <w:tab w:val="left" w:pos="880"/>
          <w:tab w:val="right" w:leader="dot" w:pos="9628"/>
        </w:tabs>
        <w:rPr>
          <w:rFonts w:asciiTheme="minorHAnsi" w:eastAsiaTheme="minorEastAsia" w:hAnsiTheme="minorHAnsi" w:cstheme="minorBidi"/>
          <w:noProof/>
          <w:color w:val="auto"/>
          <w:szCs w:val="22"/>
          <w:lang w:bidi="ar-SA"/>
        </w:rPr>
      </w:pPr>
      <w:hyperlink w:anchor="_Toc17883229" w:history="1">
        <w:r>
          <w:rPr>
            <w:rStyle w:val="Hyperlink"/>
            <w:noProof/>
          </w:rPr>
          <w:t>2.</w:t>
        </w:r>
        <w:r>
          <w:rPr>
            <w:rFonts w:asciiTheme="minorHAnsi" w:eastAsiaTheme="minorEastAsia" w:hAnsiTheme="minorHAnsi" w:cstheme="minorBidi"/>
            <w:noProof/>
            <w:color w:val="auto"/>
            <w:szCs w:val="22"/>
            <w:lang w:bidi="ar-SA"/>
          </w:rPr>
          <w:tab/>
        </w:r>
        <w:r>
          <w:rPr>
            <w:rStyle w:val="Hyperlink"/>
            <w:noProof/>
          </w:rPr>
          <w:t>TASEEN LIITETIEDOT</w:t>
        </w:r>
        <w:r>
          <w:rPr>
            <w:noProof/>
            <w:webHidden/>
          </w:rPr>
          <w:tab/>
        </w:r>
        <w:r>
          <w:rPr>
            <w:noProof/>
            <w:webHidden/>
          </w:rPr>
          <w:fldChar w:fldCharType="begin"/>
        </w:r>
        <w:r>
          <w:rPr>
            <w:noProof/>
            <w:webHidden/>
          </w:rPr>
          <w:instrText xml:space="preserve"> PAGEREF _Toc17883229 \h </w:instrText>
        </w:r>
        <w:r>
          <w:rPr>
            <w:noProof/>
            <w:webHidden/>
          </w:rPr>
        </w:r>
        <w:r>
          <w:rPr>
            <w:noProof/>
            <w:webHidden/>
          </w:rPr>
          <w:fldChar w:fldCharType="separate"/>
        </w:r>
        <w:r>
          <w:rPr>
            <w:noProof/>
            <w:webHidden/>
          </w:rPr>
          <w:t>37</w:t>
        </w:r>
        <w:r>
          <w:rPr>
            <w:noProof/>
            <w:webHidden/>
          </w:rPr>
          <w:fldChar w:fldCharType="end"/>
        </w:r>
      </w:hyperlink>
    </w:p>
    <w:p>
      <w:pPr>
        <w:pStyle w:val="TOC2"/>
        <w:tabs>
          <w:tab w:val="left" w:pos="880"/>
          <w:tab w:val="right" w:leader="dot" w:pos="9628"/>
        </w:tabs>
        <w:rPr>
          <w:rFonts w:asciiTheme="minorHAnsi" w:eastAsiaTheme="minorEastAsia" w:hAnsiTheme="minorHAnsi" w:cstheme="minorBidi"/>
          <w:noProof/>
          <w:color w:val="auto"/>
          <w:szCs w:val="22"/>
          <w:lang w:bidi="ar-SA"/>
        </w:rPr>
      </w:pPr>
      <w:hyperlink w:anchor="_Toc17883230" w:history="1">
        <w:r>
          <w:rPr>
            <w:rStyle w:val="Hyperlink"/>
            <w:noProof/>
          </w:rPr>
          <w:t>3.</w:t>
        </w:r>
        <w:r>
          <w:rPr>
            <w:rFonts w:asciiTheme="minorHAnsi" w:eastAsiaTheme="minorEastAsia" w:hAnsiTheme="minorHAnsi" w:cstheme="minorBidi"/>
            <w:noProof/>
            <w:color w:val="auto"/>
            <w:szCs w:val="22"/>
            <w:lang w:bidi="ar-SA"/>
          </w:rPr>
          <w:tab/>
        </w:r>
        <w:r>
          <w:rPr>
            <w:rStyle w:val="Hyperlink"/>
            <w:noProof/>
          </w:rPr>
          <w:t>TUOTTO- JA KULULASKELMAN LIITETIEDOT</w:t>
        </w:r>
        <w:r>
          <w:rPr>
            <w:noProof/>
            <w:webHidden/>
          </w:rPr>
          <w:tab/>
        </w:r>
        <w:r>
          <w:rPr>
            <w:noProof/>
            <w:webHidden/>
          </w:rPr>
          <w:fldChar w:fldCharType="begin"/>
        </w:r>
        <w:r>
          <w:rPr>
            <w:noProof/>
            <w:webHidden/>
          </w:rPr>
          <w:instrText xml:space="preserve"> PAGEREF _Toc17883230 \h </w:instrText>
        </w:r>
        <w:r>
          <w:rPr>
            <w:noProof/>
            <w:webHidden/>
          </w:rPr>
        </w:r>
        <w:r>
          <w:rPr>
            <w:noProof/>
            <w:webHidden/>
          </w:rPr>
          <w:fldChar w:fldCharType="separate"/>
        </w:r>
        <w:r>
          <w:rPr>
            <w:noProof/>
            <w:webHidden/>
          </w:rPr>
          <w:t>67</w:t>
        </w:r>
        <w:r>
          <w:rPr>
            <w:noProof/>
            <w:webHidden/>
          </w:rPr>
          <w:fldChar w:fldCharType="end"/>
        </w:r>
      </w:hyperlink>
    </w:p>
    <w:p>
      <w:pPr>
        <w:pStyle w:val="TOC2"/>
        <w:tabs>
          <w:tab w:val="left" w:pos="880"/>
          <w:tab w:val="right" w:leader="dot" w:pos="9628"/>
        </w:tabs>
        <w:rPr>
          <w:rFonts w:asciiTheme="minorHAnsi" w:eastAsiaTheme="minorEastAsia" w:hAnsiTheme="minorHAnsi" w:cstheme="minorBidi"/>
          <w:noProof/>
          <w:color w:val="auto"/>
          <w:szCs w:val="22"/>
          <w:lang w:bidi="ar-SA"/>
        </w:rPr>
      </w:pPr>
      <w:hyperlink w:anchor="_Toc17883231" w:history="1">
        <w:r>
          <w:rPr>
            <w:rStyle w:val="Hyperlink"/>
            <w:noProof/>
          </w:rPr>
          <w:t>4.</w:t>
        </w:r>
        <w:r>
          <w:rPr>
            <w:rFonts w:asciiTheme="minorHAnsi" w:eastAsiaTheme="minorEastAsia" w:hAnsiTheme="minorHAnsi" w:cstheme="minorBidi"/>
            <w:noProof/>
            <w:color w:val="auto"/>
            <w:szCs w:val="22"/>
            <w:lang w:bidi="ar-SA"/>
          </w:rPr>
          <w:tab/>
        </w:r>
        <w:r>
          <w:rPr>
            <w:rStyle w:val="Hyperlink"/>
            <w:noProof/>
          </w:rPr>
          <w:t>EHDOLLISET VELAT JA VARAT</w:t>
        </w:r>
        <w:r>
          <w:rPr>
            <w:noProof/>
            <w:webHidden/>
          </w:rPr>
          <w:tab/>
        </w:r>
        <w:r>
          <w:rPr>
            <w:noProof/>
            <w:webHidden/>
          </w:rPr>
          <w:fldChar w:fldCharType="begin"/>
        </w:r>
        <w:r>
          <w:rPr>
            <w:noProof/>
            <w:webHidden/>
          </w:rPr>
          <w:instrText xml:space="preserve"> PAGEREF _Toc17883231 \h </w:instrText>
        </w:r>
        <w:r>
          <w:rPr>
            <w:noProof/>
            <w:webHidden/>
          </w:rPr>
        </w:r>
        <w:r>
          <w:rPr>
            <w:noProof/>
            <w:webHidden/>
          </w:rPr>
          <w:fldChar w:fldCharType="separate"/>
        </w:r>
        <w:r>
          <w:rPr>
            <w:noProof/>
            <w:webHidden/>
          </w:rPr>
          <w:t>76</w:t>
        </w:r>
        <w:r>
          <w:rPr>
            <w:noProof/>
            <w:webHidden/>
          </w:rPr>
          <w:fldChar w:fldCharType="end"/>
        </w:r>
      </w:hyperlink>
    </w:p>
    <w:p>
      <w:pPr>
        <w:pStyle w:val="TOC2"/>
        <w:tabs>
          <w:tab w:val="left" w:pos="880"/>
          <w:tab w:val="right" w:leader="dot" w:pos="9628"/>
        </w:tabs>
        <w:rPr>
          <w:rFonts w:asciiTheme="minorHAnsi" w:eastAsiaTheme="minorEastAsia" w:hAnsiTheme="minorHAnsi" w:cstheme="minorBidi"/>
          <w:noProof/>
          <w:color w:val="auto"/>
          <w:szCs w:val="22"/>
          <w:lang w:bidi="ar-SA"/>
        </w:rPr>
      </w:pPr>
      <w:hyperlink w:anchor="_Toc17883232" w:history="1">
        <w:r>
          <w:rPr>
            <w:rStyle w:val="Hyperlink"/>
            <w:noProof/>
          </w:rPr>
          <w:t>5.</w:t>
        </w:r>
        <w:r>
          <w:rPr>
            <w:rFonts w:asciiTheme="minorHAnsi" w:eastAsiaTheme="minorEastAsia" w:hAnsiTheme="minorHAnsi" w:cstheme="minorBidi"/>
            <w:noProof/>
            <w:color w:val="auto"/>
            <w:szCs w:val="22"/>
            <w:lang w:bidi="ar-SA"/>
          </w:rPr>
          <w:tab/>
        </w:r>
        <w:r>
          <w:rPr>
            <w:rStyle w:val="Hyperlink"/>
            <w:noProof/>
          </w:rPr>
          <w:t>TALOUSARVIOSITOUMUKSET JA OIKEUDELLISET SITOUMUKSET</w:t>
        </w:r>
        <w:r>
          <w:rPr>
            <w:noProof/>
            <w:webHidden/>
          </w:rPr>
          <w:tab/>
        </w:r>
        <w:r>
          <w:rPr>
            <w:noProof/>
            <w:webHidden/>
          </w:rPr>
          <w:fldChar w:fldCharType="begin"/>
        </w:r>
        <w:r>
          <w:rPr>
            <w:noProof/>
            <w:webHidden/>
          </w:rPr>
          <w:instrText xml:space="preserve"> PAGEREF _Toc17883232 \h </w:instrText>
        </w:r>
        <w:r>
          <w:rPr>
            <w:noProof/>
            <w:webHidden/>
          </w:rPr>
        </w:r>
        <w:r>
          <w:rPr>
            <w:noProof/>
            <w:webHidden/>
          </w:rPr>
          <w:fldChar w:fldCharType="separate"/>
        </w:r>
        <w:r>
          <w:rPr>
            <w:noProof/>
            <w:webHidden/>
          </w:rPr>
          <w:t>81</w:t>
        </w:r>
        <w:r>
          <w:rPr>
            <w:noProof/>
            <w:webHidden/>
          </w:rPr>
          <w:fldChar w:fldCharType="end"/>
        </w:r>
      </w:hyperlink>
    </w:p>
    <w:p>
      <w:pPr>
        <w:pStyle w:val="TOC2"/>
        <w:tabs>
          <w:tab w:val="left" w:pos="880"/>
          <w:tab w:val="right" w:leader="dot" w:pos="9628"/>
        </w:tabs>
        <w:rPr>
          <w:rFonts w:asciiTheme="minorHAnsi" w:eastAsiaTheme="minorEastAsia" w:hAnsiTheme="minorHAnsi" w:cstheme="minorBidi"/>
          <w:noProof/>
          <w:color w:val="auto"/>
          <w:szCs w:val="22"/>
          <w:lang w:bidi="ar-SA"/>
        </w:rPr>
      </w:pPr>
      <w:hyperlink w:anchor="_Toc17883233" w:history="1">
        <w:r>
          <w:rPr>
            <w:rStyle w:val="Hyperlink"/>
            <w:noProof/>
          </w:rPr>
          <w:t>6.</w:t>
        </w:r>
        <w:r>
          <w:rPr>
            <w:rFonts w:asciiTheme="minorHAnsi" w:eastAsiaTheme="minorEastAsia" w:hAnsiTheme="minorHAnsi" w:cstheme="minorBidi"/>
            <w:noProof/>
            <w:color w:val="auto"/>
            <w:szCs w:val="22"/>
            <w:lang w:bidi="ar-SA"/>
          </w:rPr>
          <w:tab/>
        </w:r>
        <w:r>
          <w:rPr>
            <w:rStyle w:val="Hyperlink"/>
            <w:noProof/>
          </w:rPr>
          <w:t>RAHOITUSRISKIN HALLINTA</w:t>
        </w:r>
        <w:r>
          <w:rPr>
            <w:noProof/>
            <w:webHidden/>
          </w:rPr>
          <w:tab/>
        </w:r>
        <w:r>
          <w:rPr>
            <w:noProof/>
            <w:webHidden/>
          </w:rPr>
          <w:fldChar w:fldCharType="begin"/>
        </w:r>
        <w:r>
          <w:rPr>
            <w:noProof/>
            <w:webHidden/>
          </w:rPr>
          <w:instrText xml:space="preserve"> PAGEREF _Toc17883233 \h </w:instrText>
        </w:r>
        <w:r>
          <w:rPr>
            <w:noProof/>
            <w:webHidden/>
          </w:rPr>
        </w:r>
        <w:r>
          <w:rPr>
            <w:noProof/>
            <w:webHidden/>
          </w:rPr>
          <w:fldChar w:fldCharType="separate"/>
        </w:r>
        <w:r>
          <w:rPr>
            <w:noProof/>
            <w:webHidden/>
          </w:rPr>
          <w:t>85</w:t>
        </w:r>
        <w:r>
          <w:rPr>
            <w:noProof/>
            <w:webHidden/>
          </w:rPr>
          <w:fldChar w:fldCharType="end"/>
        </w:r>
      </w:hyperlink>
    </w:p>
    <w:p>
      <w:pPr>
        <w:pStyle w:val="TOC2"/>
        <w:tabs>
          <w:tab w:val="left" w:pos="880"/>
          <w:tab w:val="right" w:leader="dot" w:pos="9628"/>
        </w:tabs>
        <w:rPr>
          <w:rFonts w:asciiTheme="minorHAnsi" w:eastAsiaTheme="minorEastAsia" w:hAnsiTheme="minorHAnsi" w:cstheme="minorBidi"/>
          <w:noProof/>
          <w:color w:val="auto"/>
          <w:szCs w:val="22"/>
          <w:lang w:bidi="ar-SA"/>
        </w:rPr>
      </w:pPr>
      <w:hyperlink w:anchor="_Toc17883234" w:history="1">
        <w:r>
          <w:rPr>
            <w:rStyle w:val="Hyperlink"/>
            <w:noProof/>
          </w:rPr>
          <w:t>7.</w:t>
        </w:r>
        <w:r>
          <w:rPr>
            <w:rFonts w:asciiTheme="minorHAnsi" w:eastAsiaTheme="minorEastAsia" w:hAnsiTheme="minorHAnsi" w:cstheme="minorBidi"/>
            <w:noProof/>
            <w:color w:val="auto"/>
            <w:szCs w:val="22"/>
            <w:lang w:bidi="ar-SA"/>
          </w:rPr>
          <w:tab/>
        </w:r>
        <w:r>
          <w:rPr>
            <w:rStyle w:val="Hyperlink"/>
            <w:noProof/>
          </w:rPr>
          <w:t>LÄHIPIIRIÄ KOSKEVAT TIEDOT</w:t>
        </w:r>
        <w:r>
          <w:rPr>
            <w:noProof/>
            <w:webHidden/>
          </w:rPr>
          <w:tab/>
        </w:r>
        <w:r>
          <w:rPr>
            <w:noProof/>
            <w:webHidden/>
          </w:rPr>
          <w:fldChar w:fldCharType="begin"/>
        </w:r>
        <w:r>
          <w:rPr>
            <w:noProof/>
            <w:webHidden/>
          </w:rPr>
          <w:instrText xml:space="preserve"> PAGEREF _Toc17883234 \h </w:instrText>
        </w:r>
        <w:r>
          <w:rPr>
            <w:noProof/>
            <w:webHidden/>
          </w:rPr>
        </w:r>
        <w:r>
          <w:rPr>
            <w:noProof/>
            <w:webHidden/>
          </w:rPr>
          <w:fldChar w:fldCharType="separate"/>
        </w:r>
        <w:r>
          <w:rPr>
            <w:noProof/>
            <w:webHidden/>
          </w:rPr>
          <w:t>98</w:t>
        </w:r>
        <w:r>
          <w:rPr>
            <w:noProof/>
            <w:webHidden/>
          </w:rPr>
          <w:fldChar w:fldCharType="end"/>
        </w:r>
      </w:hyperlink>
    </w:p>
    <w:p>
      <w:pPr>
        <w:pStyle w:val="TOC2"/>
        <w:tabs>
          <w:tab w:val="left" w:pos="880"/>
          <w:tab w:val="right" w:leader="dot" w:pos="9628"/>
        </w:tabs>
        <w:rPr>
          <w:rFonts w:asciiTheme="minorHAnsi" w:eastAsiaTheme="minorEastAsia" w:hAnsiTheme="minorHAnsi" w:cstheme="minorBidi"/>
          <w:noProof/>
          <w:color w:val="auto"/>
          <w:szCs w:val="22"/>
          <w:lang w:bidi="ar-SA"/>
        </w:rPr>
      </w:pPr>
      <w:hyperlink w:anchor="_Toc17883235" w:history="1">
        <w:r>
          <w:rPr>
            <w:rStyle w:val="Hyperlink"/>
            <w:rFonts w:eastAsia="Calibri"/>
            <w:noProof/>
          </w:rPr>
          <w:t>8.</w:t>
        </w:r>
        <w:r>
          <w:rPr>
            <w:rFonts w:asciiTheme="minorHAnsi" w:eastAsiaTheme="minorEastAsia" w:hAnsiTheme="minorHAnsi" w:cstheme="minorBidi"/>
            <w:noProof/>
            <w:color w:val="auto"/>
            <w:szCs w:val="22"/>
            <w:lang w:bidi="ar-SA"/>
          </w:rPr>
          <w:tab/>
        </w:r>
        <w:r>
          <w:rPr>
            <w:rStyle w:val="Hyperlink"/>
            <w:noProof/>
          </w:rPr>
          <w:t>TILINPÄÄTÖSPÄIVÄN JÄLKEISET TAPAHTUMAT</w:t>
        </w:r>
        <w:r>
          <w:rPr>
            <w:noProof/>
            <w:webHidden/>
          </w:rPr>
          <w:tab/>
        </w:r>
        <w:r>
          <w:rPr>
            <w:noProof/>
            <w:webHidden/>
          </w:rPr>
          <w:fldChar w:fldCharType="begin"/>
        </w:r>
        <w:r>
          <w:rPr>
            <w:noProof/>
            <w:webHidden/>
          </w:rPr>
          <w:instrText xml:space="preserve"> PAGEREF _Toc17883235 \h </w:instrText>
        </w:r>
        <w:r>
          <w:rPr>
            <w:noProof/>
            <w:webHidden/>
          </w:rPr>
        </w:r>
        <w:r>
          <w:rPr>
            <w:noProof/>
            <w:webHidden/>
          </w:rPr>
          <w:fldChar w:fldCharType="separate"/>
        </w:r>
        <w:r>
          <w:rPr>
            <w:noProof/>
            <w:webHidden/>
          </w:rPr>
          <w:t>100</w:t>
        </w:r>
        <w:r>
          <w:rPr>
            <w:noProof/>
            <w:webHidden/>
          </w:rPr>
          <w:fldChar w:fldCharType="end"/>
        </w:r>
      </w:hyperlink>
    </w:p>
    <w:p>
      <w:pPr>
        <w:pStyle w:val="TOC2"/>
        <w:tabs>
          <w:tab w:val="left" w:pos="880"/>
          <w:tab w:val="right" w:leader="dot" w:pos="9628"/>
        </w:tabs>
        <w:rPr>
          <w:rFonts w:asciiTheme="minorHAnsi" w:eastAsiaTheme="minorEastAsia" w:hAnsiTheme="minorHAnsi" w:cstheme="minorBidi"/>
          <w:noProof/>
          <w:color w:val="auto"/>
          <w:szCs w:val="22"/>
          <w:lang w:bidi="ar-SA"/>
        </w:rPr>
      </w:pPr>
      <w:hyperlink w:anchor="_Toc17883236" w:history="1">
        <w:r>
          <w:rPr>
            <w:rStyle w:val="Hyperlink"/>
            <w:noProof/>
          </w:rPr>
          <w:t>9.</w:t>
        </w:r>
        <w:r>
          <w:rPr>
            <w:rFonts w:asciiTheme="minorHAnsi" w:eastAsiaTheme="minorEastAsia" w:hAnsiTheme="minorHAnsi" w:cstheme="minorBidi"/>
            <w:noProof/>
            <w:color w:val="auto"/>
            <w:szCs w:val="22"/>
            <w:lang w:bidi="ar-SA"/>
          </w:rPr>
          <w:tab/>
        </w:r>
        <w:r>
          <w:rPr>
            <w:rStyle w:val="Hyperlink"/>
            <w:noProof/>
          </w:rPr>
          <w:t>KONSOLIDOINNIN LAAJUUS</w:t>
        </w:r>
        <w:r>
          <w:rPr>
            <w:noProof/>
            <w:webHidden/>
          </w:rPr>
          <w:tab/>
        </w:r>
        <w:r>
          <w:rPr>
            <w:noProof/>
            <w:webHidden/>
          </w:rPr>
          <w:fldChar w:fldCharType="begin"/>
        </w:r>
        <w:r>
          <w:rPr>
            <w:noProof/>
            <w:webHidden/>
          </w:rPr>
          <w:instrText xml:space="preserve"> PAGEREF _Toc17883236 \h </w:instrText>
        </w:r>
        <w:r>
          <w:rPr>
            <w:noProof/>
            <w:webHidden/>
          </w:rPr>
        </w:r>
        <w:r>
          <w:rPr>
            <w:noProof/>
            <w:webHidden/>
          </w:rPr>
          <w:fldChar w:fldCharType="separate"/>
        </w:r>
        <w:r>
          <w:rPr>
            <w:noProof/>
            <w:webHidden/>
          </w:rPr>
          <w:t>101</w:t>
        </w:r>
        <w:r>
          <w:rPr>
            <w:noProof/>
            <w:webHidden/>
          </w:rPr>
          <w:fldChar w:fldCharType="end"/>
        </w:r>
      </w:hyperlink>
    </w:p>
    <w:p>
      <w:pPr>
        <w:pStyle w:val="Textstand-alone"/>
        <w:rPr>
          <w:rFonts w:asciiTheme="minorHAnsi" w:eastAsiaTheme="minorEastAsia" w:hAnsiTheme="minorHAnsi" w:cstheme="minorBidi"/>
          <w:szCs w:val="22"/>
        </w:rPr>
        <w:sectPr>
          <w:headerReference w:type="even" r:id="rId70"/>
          <w:headerReference w:type="default" r:id="rId71"/>
          <w:footerReference w:type="even" r:id="rId72"/>
          <w:footerReference w:type="default" r:id="rId73"/>
          <w:headerReference w:type="first" r:id="rId74"/>
          <w:footerReference w:type="first" r:id="rId75"/>
          <w:pgSz w:w="11906" w:h="16838"/>
          <w:pgMar w:top="1134" w:right="1134" w:bottom="1134" w:left="1134" w:header="709" w:footer="709" w:gutter="0"/>
          <w:cols w:space="708"/>
          <w:docGrid w:linePitch="360"/>
        </w:sectPr>
      </w:pPr>
      <w:r>
        <w:rPr>
          <w:color w:val="016894"/>
          <w:sz w:val="20"/>
          <w:szCs w:val="24"/>
        </w:rPr>
        <w:fldChar w:fldCharType="end"/>
      </w:r>
      <w:r>
        <w:rPr>
          <w:caps/>
          <w:color w:val="016894"/>
          <w:sz w:val="20"/>
        </w:rPr>
        <w:t xml:space="preserve"> </w:t>
      </w:r>
      <w:bookmarkEnd w:id="20"/>
    </w:p>
    <w:p>
      <w:pPr>
        <w:pStyle w:val="HEADERTITLE1"/>
        <w:spacing w:after="0"/>
      </w:pPr>
      <w:bookmarkStart w:id="21" w:name="_Toc11938929"/>
      <w:bookmarkStart w:id="22" w:name="_Toc11939015"/>
      <w:bookmarkStart w:id="23" w:name="_Toc17883111"/>
      <w:bookmarkStart w:id="24" w:name="_Toc17883223"/>
      <w:bookmarkStart w:id="25" w:name="_DMBM_14712"/>
      <w:r>
        <w:t>TASE</w:t>
      </w:r>
      <w:bookmarkEnd w:id="21"/>
      <w:bookmarkEnd w:id="22"/>
      <w:bookmarkEnd w:id="23"/>
      <w:bookmarkEnd w:id="24"/>
    </w:p>
    <w:p>
      <w:pPr>
        <w:pStyle w:val="HEADERTITLE1"/>
        <w:spacing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9"/>
        <w:gridCol w:w="1231"/>
        <w:gridCol w:w="1803"/>
        <w:gridCol w:w="1804"/>
      </w:tblGrid>
      <w:tr>
        <w:trPr>
          <w:trHeight w:val="268"/>
        </w:trPr>
        <w:tc>
          <w:tcPr>
            <w:tcW w:w="5211"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26" w:name="DOC_TBL00001_1_1"/>
            <w:bookmarkEnd w:id="26"/>
          </w:p>
        </w:tc>
        <w:tc>
          <w:tcPr>
            <w:tcW w:w="85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84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 xml:space="preserve"> milj. euroa</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rPr>
            </w:pPr>
            <w:r>
              <w:t>Liitetieto</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31.12.2017</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eastAsia="Times New Roman" w:cs="Verdana"/>
              </w:rPr>
            </w:pPr>
            <w:r>
              <w:t>PITKÄAIKAISET VARAT</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Aineettomat hyödykkeet</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446</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405</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Aineelliset käyttöomaisuushyödykkeet</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11 185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10 745</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Pääomaosuusmenetelmällä arvostetut sijoitukset</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2.3</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591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581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Rahoitusvarat</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2.4</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65 231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59 980</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Ennakkomaksut</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2.5</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26 006</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25 022</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r>
              <w:t>Saamiset vaihtoon perustuvista transaktioista ja kerrytettävissä olevat rahamäärät muista kuin vaihtoon perustuvista transaktioista</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eastAsia="Times New Roman" w:cs="Verdana"/>
              </w:rPr>
            </w:pPr>
            <w:r>
              <w:t>2.6</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416</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611</w:t>
            </w:r>
          </w:p>
        </w:tc>
      </w:tr>
      <w:tr>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Centered"/>
              <w:rPr>
                <w:rFonts w:eastAsia="Times New Roman"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103 875</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97 344</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BoldLeft"/>
              <w:rPr>
                <w:rFonts w:eastAsia="Times New Roman" w:cs="Verdana"/>
              </w:rPr>
            </w:pPr>
            <w:r>
              <w:t>LYHYTAIKAISET VARAT</w:t>
            </w:r>
          </w:p>
        </w:tc>
        <w:tc>
          <w:tcPr>
            <w:tcW w:w="851"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Rahoitusvarat</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2.4</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4 168</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8 655</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Ennakkomaksut</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2.5</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23 968</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24 005</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Saamiset vaihtoon perustuvista transaktioista ja kerrytettävissä olevat rahamäärät muista kuin vaihtoon perustuvista transaktioista</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2.6</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24 248</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11 755</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Vaihto-omaisuus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2.7</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73</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295</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r>
              <w:t xml:space="preserve">Käteisvarat ja muut rahavarat </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eastAsia="Times New Roman" w:cs="Verdana"/>
              </w:rPr>
            </w:pPr>
            <w:r>
              <w:t>2.8</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18 113</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24 111</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ItalicLeft"/>
              <w:rPr>
                <w:rFonts w:eastAsia="Times New Roman" w:cs="Verdana"/>
              </w:rPr>
            </w:pPr>
          </w:p>
        </w:tc>
        <w:tc>
          <w:tcPr>
            <w:tcW w:w="851" w:type="dxa"/>
            <w:tcBorders>
              <w:top w:val="single" w:sz="4" w:space="0" w:color="016794"/>
              <w:left w:val="nil"/>
              <w:bottom w:val="nil"/>
              <w:right w:val="nil"/>
            </w:tcBorders>
            <w:tcMar>
              <w:top w:w="0" w:type="dxa"/>
              <w:left w:w="108" w:type="dxa"/>
              <w:bottom w:w="0" w:type="dxa"/>
              <w:right w:w="108" w:type="dxa"/>
            </w:tcMar>
          </w:tcPr>
          <w:p>
            <w:pPr>
              <w:pStyle w:val="Text9pItalicCentered"/>
              <w:rPr>
                <w:rFonts w:eastAsia="Times New Roman" w:cs="Verdana"/>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rPr>
            </w:pPr>
            <w:r>
              <w:t>70 570</w:t>
            </w: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rPr>
            </w:pPr>
            <w:r>
              <w:t>68 821</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VASTAAVAA YHTEENSÄ</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174 444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166 165</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eastAsia="Times New Roman" w:cs="Verdana"/>
              </w:rPr>
            </w:pP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BoldLeft"/>
              <w:rPr>
                <w:rFonts w:eastAsia="Times New Roman" w:cs="Verdana"/>
              </w:rPr>
            </w:pPr>
            <w:r>
              <w:t>PITKÄAIKAISET VELAT</w:t>
            </w:r>
          </w:p>
        </w:tc>
        <w:tc>
          <w:tcPr>
            <w:tcW w:w="851"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Eläkkeet ja muut työsuhde-etuudet</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2.9</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(80 456)</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(73 122)</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Varaukset</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2.10</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(3 281)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(2 880)</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r>
              <w:t>Rahoitusvelat</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eastAsia="Times New Roman" w:cs="Verdana"/>
              </w:rPr>
            </w:pPr>
            <w:r>
              <w:t>2.11</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(53 289)</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(50 063)</w:t>
            </w:r>
          </w:p>
        </w:tc>
      </w:tr>
      <w:tr>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Centered"/>
              <w:rPr>
                <w:rFonts w:eastAsia="Times New Roman"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(137 025)</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(126 065)</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BoldLeft"/>
              <w:rPr>
                <w:rFonts w:eastAsia="Times New Roman" w:cs="Verdana"/>
              </w:rPr>
            </w:pPr>
            <w:r>
              <w:t>LYHYTAIKAISET VELAT</w:t>
            </w:r>
          </w:p>
        </w:tc>
        <w:tc>
          <w:tcPr>
            <w:tcW w:w="851"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Varaukset</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2.10</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(852)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(659)</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Rahoitusvelat</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2.11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(2 617)</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(6 850)</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Muut lyhytaikaiset velat</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2.12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(32 227)</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(39 048)</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r>
              <w:t>Menojäämät ja tuloennakot</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eastAsia="Times New Roman" w:cs="Verdana"/>
              </w:rPr>
            </w:pPr>
            <w:r>
              <w:t>2.13</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(63 186)</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(63 902)</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ItalicLeft"/>
              <w:rPr>
                <w:rFonts w:eastAsia="Times New Roman" w:cs="Verdana"/>
              </w:rPr>
            </w:pPr>
          </w:p>
        </w:tc>
        <w:tc>
          <w:tcPr>
            <w:tcW w:w="851" w:type="dxa"/>
            <w:tcBorders>
              <w:top w:val="single" w:sz="4" w:space="0" w:color="016794"/>
              <w:left w:val="nil"/>
              <w:bottom w:val="nil"/>
              <w:right w:val="nil"/>
            </w:tcBorders>
            <w:tcMar>
              <w:top w:w="0" w:type="dxa"/>
              <w:left w:w="108" w:type="dxa"/>
              <w:bottom w:w="0" w:type="dxa"/>
              <w:right w:w="108" w:type="dxa"/>
            </w:tcMar>
          </w:tcPr>
          <w:p>
            <w:pPr>
              <w:pStyle w:val="Text9pItalicCentered"/>
              <w:rPr>
                <w:rFonts w:eastAsia="Times New Roman" w:cs="Verdana"/>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rPr>
            </w:pPr>
            <w:r>
              <w:t>(98 882)</w:t>
            </w: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rPr>
            </w:pPr>
            <w:r>
              <w:t>(110 459)</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VASTATTAVAA YHTEENSÄ</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(235 907)</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(236 524)</w:t>
            </w:r>
          </w:p>
        </w:tc>
      </w:tr>
      <w:tr>
        <w:trPr>
          <w:trHeight w:val="124"/>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rPr>
            </w:pP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NETTOVARAT</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(61 463)</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(70 359)</w:t>
            </w:r>
          </w:p>
        </w:tc>
      </w:tr>
      <w:tr>
        <w:trPr>
          <w:trHeight w:val="124"/>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Rahastot</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2.14</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4 961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4 876</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Jäsenvaltioiden rahoitusosuudet*</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2.15</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(66 424)</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(75 234)</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NETTOVARAT</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(61 463)</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(70 359)</w:t>
            </w:r>
          </w:p>
        </w:tc>
      </w:tr>
    </w:tbl>
    <w:p>
      <w:pPr>
        <w:pStyle w:val="Textstand-alone"/>
        <w:tabs>
          <w:tab w:val="left" w:pos="284"/>
        </w:tabs>
        <w:spacing w:before="60"/>
        <w:ind w:left="284" w:hanging="284"/>
        <w:rPr>
          <w:i/>
          <w:sz w:val="14"/>
        </w:rPr>
      </w:pPr>
      <w:r>
        <w:rPr>
          <w:i/>
          <w:sz w:val="14"/>
        </w:rPr>
        <w:t>*</w:t>
      </w:r>
      <w:r>
        <w:tab/>
      </w:r>
      <w:r>
        <w:rPr>
          <w:i/>
          <w:sz w:val="14"/>
        </w:rPr>
        <w:t>Euroopan parlamentin 12. joulukuuta 2018 hyväksymän talousarvion mukaisesti EU:n lyhytaikaiset velat katetaan omista varoista, jotka jäsenvaltiot kantavat tai joiden maksamista pyydetään jäsenvaltioilta vuonna 2019. Lisäksi henkilöstösääntöjen (29. helmikuuta 1968 annettu neuvoston asetus (ETY, Euratom, EHTY) N:o 259/68, sellaisena kuin se on muutettuna) 83 artiklan mukaisesti jäsenvaltiot takaavat yhdessä eläkevastuun kattamisen.</w:t>
      </w:r>
    </w:p>
    <w:p>
      <w:pPr>
        <w:pStyle w:val="Textstand-alone"/>
        <w:rPr>
          <w:i/>
        </w:rPr>
        <w:sectPr>
          <w:headerReference w:type="even" r:id="rId76"/>
          <w:headerReference w:type="default" r:id="rId77"/>
          <w:footerReference w:type="even" r:id="rId78"/>
          <w:footerReference w:type="default" r:id="rId79"/>
          <w:headerReference w:type="first" r:id="rId80"/>
          <w:footerReference w:type="first" r:id="rId81"/>
          <w:pgSz w:w="11906" w:h="16838"/>
          <w:pgMar w:top="1134" w:right="1134" w:bottom="1134" w:left="1134" w:header="709" w:footer="709" w:gutter="0"/>
          <w:cols w:space="708"/>
          <w:docGrid w:linePitch="360"/>
        </w:sectPr>
      </w:pPr>
      <w:r>
        <w:rPr>
          <w:i/>
        </w:rPr>
        <w:t xml:space="preserve"> </w:t>
      </w:r>
      <w:bookmarkEnd w:id="25"/>
    </w:p>
    <w:p>
      <w:pPr>
        <w:pStyle w:val="HEADERTITLE1"/>
        <w:spacing w:after="0"/>
      </w:pPr>
      <w:bookmarkStart w:id="27" w:name="_Toc11938930"/>
      <w:bookmarkStart w:id="28" w:name="_Toc11939016"/>
      <w:bookmarkStart w:id="29" w:name="_Toc17883112"/>
      <w:bookmarkStart w:id="30" w:name="_Toc17883224"/>
      <w:bookmarkStart w:id="31" w:name="_DMBM_14803"/>
      <w:r>
        <w:t>TUOTTO- JA KULULASKELMA</w:t>
      </w:r>
      <w:bookmarkEnd w:id="27"/>
      <w:bookmarkEnd w:id="28"/>
      <w:bookmarkEnd w:id="29"/>
      <w:bookmarkEnd w:id="30"/>
    </w:p>
    <w:p>
      <w:pPr>
        <w:pStyle w:val="HEADERTITLE1"/>
        <w:spacing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3"/>
        <w:gridCol w:w="1231"/>
        <w:gridCol w:w="1761"/>
        <w:gridCol w:w="1762"/>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2" w:name="DOC_TBL00002_1_1"/>
            <w:bookmarkEnd w:id="32"/>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Liitetieto</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 xml:space="preserve">2017     </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TULOT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Tuotot muista kuin vaihtoon perustuvista transaktioista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BKTL-varat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105 780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78 620</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Perinteiset omat varat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22 767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20 520</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Alv-varat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17 624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16 947</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Sakot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6 740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4 664</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Varojen takaisinperintä</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2 215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1 879</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Muut</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3.6</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3 312</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10 376</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158 438</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133 006</w:t>
            </w:r>
          </w:p>
        </w:tc>
      </w:tr>
      <w:tr>
        <w:trPr>
          <w:cantSplit/>
          <w:trHeight w:val="124"/>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Tuotot vaihtoon perustuvista transaktioista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Rahoitustuotot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3 115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1 845</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Muut</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3.8</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1 379</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1 332</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4 494</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3 177</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Tuotot yhteensä</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162 932</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136 183</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KULUT</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Jäsenvaltioiden toteuttamat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Maataloustukirahasto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(43 527)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(44 289)</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Euroopan maaseudun kehittämisen maatalousrahasto ja muut maaseudun kehittämistä koskevat välineet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(13 149)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(11 359)</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Euroopan aluekehitysrahasto ja koheesiorahasto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(30 230)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(17 650)</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Euroopan sosiaalirahasto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(11 935)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(7 353)</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Muut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(2 826)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(1 253)</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Komission, toimeenpanovirastojen ja erityisrahastojen toteuttamat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(17 551)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(15 738)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EU:n muiden virastojen ja elinten toteuttamat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(3 396)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(2 667)</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Kolmansien maiden ja kansainvälisten järjestöjen toteuttamat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(4 016)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(4 115)</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Muiden yhteisöjen toteuttamat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(3 569)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(1 478)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Henkilöstö- ja eläkekulut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(10 929)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(10 002)</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Työsuhde-etuuksiin liittyvien vakuutusmatemaattisten oletusten muutokset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(3 544)</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Rahoituskulut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(1 677)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(1 896)</w:t>
            </w: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Muut kulut</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r>
              <w:t>3.15</w:t>
            </w: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(6 208)</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(6 756)</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Kulut yhteensä</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(149 014)</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(128 101)</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VARAINHOITOVUODEN TALOUDELLINEN TULOS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13 918</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8 082</w:t>
            </w:r>
          </w:p>
        </w:tc>
      </w:tr>
    </w:tbl>
    <w:p>
      <w:pPr>
        <w:pStyle w:val="Textstand-alone"/>
      </w:pPr>
    </w:p>
    <w:p>
      <w:pPr>
        <w:pStyle w:val="Text9pItalicLeft3p"/>
        <w:sectPr>
          <w:headerReference w:type="even" r:id="rId82"/>
          <w:headerReference w:type="default" r:id="rId83"/>
          <w:footerReference w:type="even" r:id="rId84"/>
          <w:footerReference w:type="default" r:id="rId85"/>
          <w:headerReference w:type="first" r:id="rId86"/>
          <w:footerReference w:type="first" r:id="rId87"/>
          <w:pgSz w:w="11906" w:h="16838"/>
          <w:pgMar w:top="1134" w:right="1134" w:bottom="1134" w:left="1134" w:header="709" w:footer="709" w:gutter="0"/>
          <w:cols w:space="708"/>
          <w:docGrid w:linePitch="360"/>
        </w:sectPr>
      </w:pPr>
      <w:r>
        <w:t xml:space="preserve"> </w:t>
      </w:r>
      <w:bookmarkEnd w:id="31"/>
    </w:p>
    <w:p>
      <w:pPr>
        <w:pStyle w:val="HEADERTITLE1"/>
      </w:pPr>
      <w:bookmarkStart w:id="33" w:name="_Toc11938931"/>
      <w:bookmarkStart w:id="34" w:name="_Toc11939017"/>
      <w:bookmarkStart w:id="35" w:name="_Toc17883113"/>
      <w:bookmarkStart w:id="36" w:name="_Toc17883225"/>
      <w:bookmarkStart w:id="37" w:name="_DMBM_14790"/>
      <w:r>
        <w:t>RAHAVIRTALASKELMA</w:t>
      </w:r>
      <w:bookmarkEnd w:id="33"/>
      <w:bookmarkEnd w:id="34"/>
      <w:bookmarkEnd w:id="35"/>
      <w:bookmarkEnd w:id="36"/>
    </w:p>
    <w:p>
      <w:pPr>
        <w:pStyle w:val="DGTextstand-alone"/>
        <w:spacing w:after="0"/>
      </w:pPr>
      <w: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8" w:name="DOC_TBL00003_1_1"/>
            <w:bookmarkEnd w:id="38"/>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Varainhoitovuoden taloudellinen tulos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13 918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8 082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Toiminnan rahavirta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Hankintamenon jaksottaminen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Poistot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998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888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Sijoitusten arvonalentumistappio (arvonalentumistappion peruuttaminen)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Lainojen (lisäys)/väheneminen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1 041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Ennakkomaksujen (lisäys)/väheneminen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(3 557)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Vaihtoon perustuvien saamisten ja muuhun kuin vaihtoon perustuvien kerrytettävissä olevien rahamäärien (lisäys)/väheneminen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(12 299)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(745)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Vaihto-omaisuuden (lisäys)/väheneminen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Eläkkeisiin ja muihin työsuhde-etuuksiin liittyvän velan lisäys/(väheneminen)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7 334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5 891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Varausten lisäys/(väheneminen)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928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Rahoitusvelkojen lisäys/(väheneminen)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(1 007)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Muiden lyhytaikaisten velkojen lisäys/(väheneminen)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(6 821)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(957)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Menojäämien ja tuloennakoiden lisäys/(väheneminen)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(716)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(3 678)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Edellisen varainhoitovuoden ylijäämä, joka kirjataan tuottona, johon ei liity maksutapahtumaa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(6 405)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Työsuhde-etuuksiin liittyvien velkojen uudelleenarvostukset (tuotto- ja kululaskelmaan sisältymättömät transaktiot, joihin ei liity maksutapahtumaa)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(4 396)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Muut transaktiot, joihin ei liity maksutapahtumaa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Investointien rahavirta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Aineettomien hyödykkeiden ja aineellisten käyttöomaisuushyödykkeiden (lisäys)/väheneminen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(1 583)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(1 687)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Pääomaosuusmenetelmällä arvostettujen sijoitusten (lisäys)/väheneminen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Myytävissä olevien rahoitusvarojen (lisäys)/väheneminen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(1 811)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(3 190)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Käypään arvoon tulosvaikutteisesti kirjattavien rahoitusvarojen (lisäys)/väheneminen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NETTORAHAVIRTA</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(5 998)</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(4 474)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Käteisvarojen ja muiden rahavarojen nettomääräinen lisäys/(väheneminen)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(5 998)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(4 474)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Käteisvarat ja muut rahavarat varainhoitovuoden alussa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24 111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28 585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Käteisvarat ja muut rahavarat varainhoitovuoden lopussa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18 113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24 111</w:t>
            </w:r>
          </w:p>
        </w:tc>
      </w:tr>
      <w:bookmarkEnd w:id="37"/>
    </w:tbl>
    <w:p>
      <w:pPr>
        <w:pStyle w:val="HEADERTITLE1"/>
        <w:sectPr>
          <w:headerReference w:type="even" r:id="rId88"/>
          <w:headerReference w:type="default" r:id="rId89"/>
          <w:footerReference w:type="even" r:id="rId90"/>
          <w:footerReference w:type="default" r:id="rId91"/>
          <w:headerReference w:type="first" r:id="rId92"/>
          <w:footerReference w:type="first" r:id="rId93"/>
          <w:pgSz w:w="11906" w:h="16838"/>
          <w:pgMar w:top="1134" w:right="1134" w:bottom="1134" w:left="1134" w:header="709" w:footer="709" w:gutter="0"/>
          <w:cols w:space="708"/>
          <w:docGrid w:linePitch="360"/>
        </w:sectPr>
      </w:pPr>
    </w:p>
    <w:p>
      <w:pPr>
        <w:pStyle w:val="HEADERTITLE1"/>
        <w:spacing w:after="0"/>
      </w:pPr>
      <w:bookmarkStart w:id="39" w:name="_Toc11938932"/>
      <w:bookmarkStart w:id="40" w:name="_Toc11939018"/>
      <w:bookmarkStart w:id="41" w:name="_Toc17883114"/>
      <w:bookmarkStart w:id="42" w:name="_Toc17883226"/>
      <w:bookmarkStart w:id="43" w:name="_DMBM_14720"/>
      <w:r>
        <w:t>LASKELMA NETTOVAROJEN MUUTOKSISTA</w:t>
      </w:r>
      <w:bookmarkEnd w:id="39"/>
      <w:bookmarkEnd w:id="40"/>
      <w:bookmarkEnd w:id="41"/>
      <w:bookmarkEnd w:id="42"/>
    </w:p>
    <w:p>
      <w:pPr>
        <w:pStyle w:val="HEADERTITLE1"/>
        <w:spacing w:after="0"/>
      </w:pPr>
    </w:p>
    <w:tbl>
      <w:tblPr>
        <w:tblW w:w="14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110"/>
        <w:gridCol w:w="1843"/>
        <w:gridCol w:w="1825"/>
        <w:gridCol w:w="1771"/>
      </w:tblGrid>
      <w:tr>
        <w:trPr>
          <w:trHeight w:val="204"/>
        </w:trPr>
        <w:tc>
          <w:tcPr>
            <w:tcW w:w="5070"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44" w:name="DOC_TBL00004_1_1"/>
            <w:bookmarkEnd w:id="44"/>
          </w:p>
        </w:tc>
        <w:tc>
          <w:tcPr>
            <w:tcW w:w="4110" w:type="dxa"/>
            <w:tcBorders>
              <w:top w:val="nil"/>
              <w:left w:val="nil"/>
              <w:bottom w:val="nil"/>
              <w:right w:val="nil"/>
            </w:tcBorders>
            <w:tcMar>
              <w:top w:w="0" w:type="dxa"/>
              <w:left w:w="108" w:type="dxa"/>
              <w:bottom w:w="0" w:type="dxa"/>
              <w:right w:w="108" w:type="dxa"/>
            </w:tcMar>
          </w:tcPr>
          <w:p>
            <w:pPr>
              <w:pStyle w:val="Text8pItalicLeft"/>
              <w:rPr>
                <w:rFonts w:eastAsia="Times New Roman"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Left"/>
              <w:rPr>
                <w:rFonts w:eastAsia="Times New Roman" w:cs="Verdana"/>
                <w:i w:val="0"/>
              </w:rPr>
            </w:pPr>
          </w:p>
        </w:tc>
        <w:tc>
          <w:tcPr>
            <w:tcW w:w="1825" w:type="dxa"/>
            <w:tcBorders>
              <w:top w:val="nil"/>
              <w:left w:val="nil"/>
              <w:bottom w:val="nil"/>
              <w:right w:val="nil"/>
            </w:tcBorders>
            <w:tcMar>
              <w:top w:w="0" w:type="dxa"/>
              <w:left w:w="108" w:type="dxa"/>
              <w:bottom w:w="0" w:type="dxa"/>
              <w:right w:w="108" w:type="dxa"/>
            </w:tcMar>
          </w:tcPr>
          <w:p>
            <w:pPr>
              <w:pStyle w:val="Text8pItalicLeft"/>
              <w:rPr>
                <w:rFonts w:eastAsia="Times New Roman" w:cs="Verdana"/>
                <w:i w:val="0"/>
              </w:rPr>
            </w:pPr>
          </w:p>
        </w:tc>
        <w:tc>
          <w:tcPr>
            <w:tcW w:w="1771" w:type="dxa"/>
            <w:tcBorders>
              <w:top w:val="nil"/>
              <w:left w:val="nil"/>
              <w:bottom w:val="nil"/>
              <w:right w:val="nil"/>
            </w:tcBorders>
            <w:tcMar>
              <w:top w:w="0" w:type="dxa"/>
              <w:left w:w="108" w:type="dxa"/>
              <w:bottom w:w="0" w:type="dxa"/>
              <w:right w:w="108" w:type="dxa"/>
            </w:tcMar>
            <w:vAlign w:val="center"/>
          </w:tcPr>
          <w:p>
            <w:pPr>
              <w:pStyle w:val="Text8pItalicRight025EUR"/>
              <w:rPr>
                <w:rFonts w:eastAsia="Times New Roman" w:cs="Verdana"/>
              </w:rPr>
            </w:pPr>
            <w:r>
              <w:t>milj. euroa</w:t>
            </w:r>
          </w:p>
        </w:tc>
      </w:tr>
      <w:tr>
        <w:trPr>
          <w:trHeight w:val="665"/>
        </w:trPr>
        <w:tc>
          <w:tcPr>
            <w:tcW w:w="507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p>
        </w:tc>
        <w:tc>
          <w:tcPr>
            <w:tcW w:w="411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Jäsenvaltioiden rahoitusosuudet</w:t>
            </w:r>
            <w:r>
              <w:rPr>
                <w:noProof/>
              </w:rPr>
              <w:br/>
              <w:t>Kertynyt ylijäämä/ (alijäämä)</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Muut rahastot</w:t>
            </w:r>
          </w:p>
        </w:tc>
        <w:tc>
          <w:tcPr>
            <w:tcW w:w="182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Käyvän arvon rahasto</w:t>
            </w:r>
          </w:p>
        </w:tc>
        <w:tc>
          <w:tcPr>
            <w:tcW w:w="1771"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Nettovarat</w:t>
            </w:r>
          </w:p>
        </w:tc>
      </w:tr>
      <w:tr>
        <w:trPr>
          <w:trHeight w:val="218"/>
        </w:trPr>
        <w:tc>
          <w:tcPr>
            <w:tcW w:w="507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SALDO 31.12.2016</w:t>
            </w:r>
          </w:p>
        </w:tc>
        <w:tc>
          <w:tcPr>
            <w:tcW w:w="411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(76 881)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4 516</w:t>
            </w:r>
          </w:p>
        </w:tc>
        <w:tc>
          <w:tcPr>
            <w:tcW w:w="182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325</w:t>
            </w:r>
          </w:p>
        </w:tc>
        <w:tc>
          <w:tcPr>
            <w:tcW w:w="17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(72 040)</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Takuurahaston varojen muutos</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20</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Käypään arvoon perustuvat muutokset</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Muut</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62</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(46)</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Jäsenvaltioille siirretty osa talousarvion toteutuksen 2016 tuloksesta</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(6 405)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(6 405)</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Varainhoitovuoden taloudellinen tulos</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8 082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8 082</w:t>
            </w:r>
          </w:p>
        </w:tc>
      </w:tr>
      <w:tr>
        <w:trPr>
          <w:trHeight w:val="218"/>
        </w:trPr>
        <w:tc>
          <w:tcPr>
            <w:tcW w:w="507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SALDO 31.12.2017</w:t>
            </w:r>
          </w:p>
        </w:tc>
        <w:tc>
          <w:tcPr>
            <w:tcW w:w="411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(75 234)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4 598</w:t>
            </w:r>
          </w:p>
        </w:tc>
        <w:tc>
          <w:tcPr>
            <w:tcW w:w="182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278</w:t>
            </w:r>
          </w:p>
        </w:tc>
        <w:tc>
          <w:tcPr>
            <w:tcW w:w="17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(70 359)</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Takuurahaston varojen muutos</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(186)</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186</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Käypään arvoon perustuvat muutokset</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(47)</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(47)</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Työsuhde-etuuksiin liittyvien velkojen uudelleenarvostukset</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(4 396)</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(4 396)</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Muut</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(54)</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(24)</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Jäsenvaltioille siirretty osa talousarvion toteutuksen 2017 tuloksesta</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(556)</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(556)</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Varainhoitovuoden taloudellinen tulos</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13 918</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13 918</w:t>
            </w:r>
          </w:p>
        </w:tc>
      </w:tr>
      <w:tr>
        <w:trPr>
          <w:trHeight w:val="218"/>
        </w:trPr>
        <w:tc>
          <w:tcPr>
            <w:tcW w:w="507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SALDO 31.12.2018</w:t>
            </w:r>
          </w:p>
        </w:tc>
        <w:tc>
          <w:tcPr>
            <w:tcW w:w="411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(66 424)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4 730</w:t>
            </w:r>
          </w:p>
        </w:tc>
        <w:tc>
          <w:tcPr>
            <w:tcW w:w="182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231</w:t>
            </w:r>
          </w:p>
        </w:tc>
        <w:tc>
          <w:tcPr>
            <w:tcW w:w="17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(61 463)</w:t>
            </w:r>
          </w:p>
        </w:tc>
      </w:tr>
    </w:tbl>
    <w:p>
      <w:pPr>
        <w:pStyle w:val="HEADERTITLE1"/>
        <w:spacing w:after="0"/>
      </w:pPr>
    </w:p>
    <w:p>
      <w:pPr>
        <w:pStyle w:val="DGTextstand-alone"/>
      </w:pPr>
      <w:r>
        <w:t xml:space="preserve"> </w:t>
      </w:r>
    </w:p>
    <w:p>
      <w:pPr>
        <w:pStyle w:val="DGTextstand-alone"/>
      </w:pPr>
      <w:r>
        <w:t xml:space="preserve"> </w:t>
      </w:r>
    </w:p>
    <w:bookmarkEnd w:id="43"/>
    <w:p>
      <w:pPr>
        <w:pStyle w:val="DGTextstand-alone"/>
        <w:sectPr>
          <w:headerReference w:type="even" r:id="rId94"/>
          <w:headerReference w:type="default" r:id="rId95"/>
          <w:footerReference w:type="even" r:id="rId96"/>
          <w:footerReference w:type="default" r:id="rId97"/>
          <w:headerReference w:type="first" r:id="rId98"/>
          <w:footerReference w:type="first" r:id="rId99"/>
          <w:pgSz w:w="16838" w:h="11906" w:orient="landscape"/>
          <w:pgMar w:top="1134" w:right="1134" w:bottom="1134" w:left="1134" w:header="708" w:footer="708" w:gutter="0"/>
          <w:cols w:space="708"/>
          <w:docGrid w:linePitch="360"/>
        </w:sectPr>
      </w:pPr>
    </w:p>
    <w:p>
      <w:pPr>
        <w:pStyle w:val="DGTextstand-alone"/>
      </w:pPr>
      <w:bookmarkStart w:id="45" w:name="_DMBM_14714"/>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HEADERTITLE1"/>
        <w:rPr>
          <w:rFonts w:eastAsia="Calibri"/>
        </w:rPr>
      </w:pPr>
      <w:bookmarkStart w:id="46" w:name="_Toc11938933"/>
      <w:bookmarkStart w:id="47" w:name="_Toc11939019"/>
      <w:bookmarkStart w:id="48" w:name="_Toc17883115"/>
      <w:bookmarkStart w:id="49" w:name="_Toc17883227"/>
      <w:r>
        <w:t>TILINPÄÄTÖKSEN LIITETIEDOT</w:t>
      </w:r>
      <w:bookmarkEnd w:id="46"/>
      <w:bookmarkEnd w:id="47"/>
      <w:bookmarkEnd w:id="48"/>
      <w:bookmarkEnd w:id="49"/>
    </w:p>
    <w:p>
      <w:pPr>
        <w:pStyle w:val="DGTextstand-alone"/>
      </w:pPr>
    </w:p>
    <w:p>
      <w:pPr>
        <w:pStyle w:val="DGTextstand-alone"/>
      </w:pPr>
    </w:p>
    <w:p>
      <w:pPr>
        <w:pStyle w:val="DGTextstand-alone"/>
      </w:pPr>
    </w:p>
    <w:p>
      <w:pPr>
        <w:pStyle w:val="DGTextstand-alone"/>
        <w:sectPr>
          <w:headerReference w:type="even" r:id="rId100"/>
          <w:headerReference w:type="default" r:id="rId101"/>
          <w:footerReference w:type="even" r:id="rId102"/>
          <w:footerReference w:type="default" r:id="rId103"/>
          <w:headerReference w:type="first" r:id="rId104"/>
          <w:footerReference w:type="first" r:id="rId105"/>
          <w:pgSz w:w="11906" w:h="16838"/>
          <w:pgMar w:top="1134" w:right="1134" w:bottom="1134" w:left="1134" w:header="709" w:footer="709" w:gutter="0"/>
          <w:cols w:space="708"/>
          <w:docGrid w:linePitch="360"/>
        </w:sectPr>
      </w:pPr>
      <w:r>
        <w:t xml:space="preserve"> </w:t>
      </w:r>
      <w:bookmarkEnd w:id="45"/>
    </w:p>
    <w:p>
      <w:pPr>
        <w:pStyle w:val="HEADER1NOTES"/>
        <w:rPr>
          <w:noProof/>
        </w:rPr>
      </w:pPr>
      <w:bookmarkStart w:id="50" w:name="_Toc11939020"/>
      <w:bookmarkStart w:id="51" w:name="_Toc17883228"/>
      <w:bookmarkStart w:id="52" w:name="_DMBM_14867"/>
      <w:r>
        <w:rPr>
          <w:noProof/>
        </w:rPr>
        <w:t>TILINPÄÄTÖKSEN KESKEISET LAATIMISPERIAATTEET</w:t>
      </w:r>
      <w:bookmarkEnd w:id="50"/>
      <w:bookmarkEnd w:id="51"/>
    </w:p>
    <w:p>
      <w:pPr>
        <w:pStyle w:val="Textstand-alone"/>
        <w:spacing w:before="0" w:after="0"/>
        <w:sectPr>
          <w:headerReference w:type="even" r:id="rId106"/>
          <w:headerReference w:type="default" r:id="rId107"/>
          <w:footerReference w:type="even" r:id="rId108"/>
          <w:footerReference w:type="default" r:id="rId109"/>
          <w:headerReference w:type="first" r:id="rId110"/>
          <w:footerReference w:type="first" r:id="rId111"/>
          <w:pgSz w:w="11906" w:h="16838"/>
          <w:pgMar w:top="1134" w:right="1134" w:bottom="1134" w:left="1134" w:header="709" w:footer="709" w:gutter="0"/>
          <w:cols w:space="708"/>
          <w:docGrid w:linePitch="360"/>
        </w:sectPr>
      </w:pPr>
      <w:bookmarkStart w:id="53" w:name="DOC_TBL00002_1_1_0"/>
      <w:bookmarkStart w:id="54" w:name="DOC_TBL00001_1_1_0"/>
      <w:bookmarkEnd w:id="53"/>
      <w:bookmarkEnd w:id="54"/>
      <w:r>
        <w:t xml:space="preserve"> </w:t>
      </w:r>
      <w:bookmarkEnd w:id="52"/>
    </w:p>
    <w:p>
      <w:pPr>
        <w:pStyle w:val="HEADER2NOTES"/>
        <w:rPr>
          <w:noProof/>
        </w:rPr>
      </w:pPr>
      <w:bookmarkStart w:id="55" w:name="_DMBM_14760"/>
      <w:r>
        <w:rPr>
          <w:noProof/>
        </w:rPr>
        <w:t>OIKEUSPERUSTA JA TILINPÄÄTÖSSÄÄNNÖT</w:t>
      </w:r>
    </w:p>
    <w:p>
      <w:pPr>
        <w:pStyle w:val="DGTextstand-alone"/>
      </w:pPr>
      <w:r>
        <w:t>EU:n kirjanpidossa ja tilinpäätöksen laadinnassa noudatetaan unionin yleiseen talousarvioon sovellettavista varainhoitosäännöistä, asetusten (EU) N:o 1296/2013, (EU) N:o 1301/2013, (EU) N:o 1303/2013, (EU) N:o 1304/2013, (EU) N:o 1309/2013, (EU) N:o 1316/2013, (EU) N:o 223/2014, (EU) N:o 283/2014 ja päätöksen N:o 541/2014/EU muuttamisesta sekä asetuksen (EU, Euratom) N:o 966/2012 kumoamisesta 18 päivänä heinäkuuta 2018 annettua Euroopan parlamentin ja neuvoston asetusta (EU, Euratom) 1046/2018 (EUVL L 193, 30.7.2018, s. 1), jäljempänä ’varainhoitoasetus’.</w:t>
      </w:r>
    </w:p>
    <w:p>
      <w:pPr>
        <w:pStyle w:val="DGTextstand-alone"/>
      </w:pPr>
      <w:r>
        <w:t>Varainhoitoasetuksen 80 artiklan mukaisesti EU laatii tilinpäätöksensä suoriteperusteisena. Kyseiset säännöt perustuvat julkisen sektorin kansainvälisiin tilinpäätösstandardeihin (International Public Sector Accounting Standards, IPSAS). Näitä komission tilinpitäjän vahvistamia kirjanpito- ja tilinpäätössääntöjä on noudatettava kaikissa konsolidoinnin piiriin kuuluvissa EU:n toimielimissä ja elimissä. Tavoitteena on luoda kirjanpitoa, arvostamista sekä tilinpäätöksen laadintaa ja esittämistä koskevat yhdenmukaiset säännöt, jotta voitaisiin varmistaa, että tilinpäätökset laaditaan ja konsolidoidaan yhdenmukaisella tavalla.</w:t>
      </w:r>
    </w:p>
    <w:p>
      <w:pPr>
        <w:pStyle w:val="HEADER5"/>
        <w:rPr>
          <w:noProof/>
        </w:rPr>
      </w:pPr>
      <w:r>
        <w:rPr>
          <w:noProof/>
        </w:rPr>
        <w:t>Euroopan unionin uusien ja tarkistettujen tilinpäätössääntöjen soveltaminen</w:t>
      </w:r>
    </w:p>
    <w:p>
      <w:pPr>
        <w:pStyle w:val="DGTextstand-alone"/>
        <w:rPr>
          <w:u w:val="single"/>
        </w:rPr>
      </w:pPr>
      <w:r>
        <w:rPr>
          <w:u w:val="single"/>
        </w:rPr>
        <w:t>Tarkistettu Euroopan unionin tilinpäätössääntö, joka on voimassa 1. tammikuuta 2018 lähtien alkaneiden varainhoitovuosien osalta</w:t>
      </w:r>
    </w:p>
    <w:p>
      <w:pPr>
        <w:pStyle w:val="DGTextstand-alone"/>
      </w:pPr>
      <w:r>
        <w:t>Seuraavien komission tilinpitäjän vahvistamien kirjanpito- ja tilinpäätössääntöjen soveltamisesta tuli pakollista kuluvana vuonna:</w:t>
      </w:r>
    </w:p>
    <w:p>
      <w:pPr>
        <w:pStyle w:val="DGTextstand-alone"/>
        <w:numPr>
          <w:ilvl w:val="0"/>
          <w:numId w:val="22"/>
        </w:numPr>
      </w:pPr>
      <w:r>
        <w:t xml:space="preserve">Tilinpäätössäännön nro 12 ”Työsuhde-etuudet” tarkistus: Tilinpitäjä hyväksyi tarkistetun tilinpäätössäännön nro 12 vuonna 2017. Tarkistus perustuu uuteen IPSAS 39 </w:t>
      </w:r>
      <w:r>
        <w:noBreakHyphen/>
        <w:t>standardiin ”Työsuhde-etuudet”, joka julkaistiin heinäkuussa 2016. Tarkistetun tilinpäätössäännön nro 12 ensimmäisellä soveltamisella ei ollut merkittäviä vaikutuksia EU:n konsolidoituun tilinpäätökseen lukuun ottamatta vakuutusmatemaattisten oletusten muutoksista saatavien tappioiden tai voittojen kirjaamista. Tarkistetun tilinpäätössäännön mukaan ne on kirjattava suoraan nettovaroihin, kun aiempien vaatimusten mukaan ne otettiin huomioon ylijäämässä tai alijäämässä.</w:t>
      </w:r>
    </w:p>
    <w:p>
      <w:pPr>
        <w:pStyle w:val="DGTextstand-alone"/>
        <w:rPr>
          <w:u w:val="single"/>
        </w:rPr>
      </w:pPr>
      <w:r>
        <w:rPr>
          <w:u w:val="single"/>
        </w:rPr>
        <w:t>Hyväksytty uusi tilinpäätössääntö, jota ei vielä sovellettu 31. joulukuuta 2018</w:t>
      </w:r>
    </w:p>
    <w:p>
      <w:pPr>
        <w:pStyle w:val="DGTextstand-alone"/>
      </w:pPr>
      <w:r>
        <w:t>EU:ssa ei ole sovellettu seuraavaa uutta tilinpäätössääntöä, jonka komission tilinpitäjä on hyväksynyt, mutta joka ei vielä ole voimassa:</w:t>
      </w:r>
    </w:p>
    <w:p>
      <w:pPr>
        <w:pStyle w:val="DGTextstand-alone"/>
        <w:numPr>
          <w:ilvl w:val="0"/>
          <w:numId w:val="22"/>
        </w:numPr>
      </w:pPr>
      <w:r>
        <w:t xml:space="preserve">Uusi tilinpäätössääntö nro 20 ”Julkisen sektorin yhdistelyt” (voimassa 1. tammikuuta 2019 lähtien alkaneiden varainhoitovuosien osalta): IPSAS-standardiin 40 ”Julkisen sektorin yhdistelyt” perustuvassa tilinpäätössäännössä nro 20 annetaan julkisen sektorin yhdistelyn luokitus. Se perustuu kahteen eri tyyppiin riippuen siitä, toteutuuko transaktio yhteisessä valvonnassa vaiko ei: i) sulautuminen, jossa transaktio perustuu EU:hun yhdistetyn yhteisön kirjanpitoarvoihin; ja ii) hankinta, jossa transaktio perustuu EU:n hankkiman yhteisön käypään arvoon hankintapäivänä. Molempien osalta esitetään erilliset vaatimukset ja julkistamisen taso. Tämän tavoitteena on antaa EU:n tilinpäätöksen käyttäjille parempi käsitys vaikutuksista. </w:t>
      </w:r>
    </w:p>
    <w:p>
      <w:pPr>
        <w:pStyle w:val="DGTextstand-alone"/>
        <w:ind w:left="340"/>
      </w:pPr>
      <w:r>
        <w:t>Vaikutus EU:n tilinpäätökseen ensimmäisenä soveltamisvuotena riippuu siitä, toteuttaako EU kyseisenä ajankohtana julkisen sektorin yhdistelyjä koskevia transaktioita.</w:t>
      </w:r>
    </w:p>
    <w:p>
      <w:pPr>
        <w:pStyle w:val="HEADER2NOTES"/>
        <w:keepNext/>
        <w:rPr>
          <w:noProof/>
        </w:rPr>
      </w:pPr>
      <w:r>
        <w:rPr>
          <w:noProof/>
        </w:rPr>
        <w:t>TILINPÄÄTÖKSEN LAATIMISPERIAATTEET</w:t>
      </w:r>
    </w:p>
    <w:p>
      <w:pPr>
        <w:pStyle w:val="DGTextstand-alone"/>
      </w:pPr>
      <w:r>
        <w:t xml:space="preserve">Tilinpäätöksen tarkoituksena on antaa tietoa organisaation taloudellisesta asemasta, sen toiminnan tuloksesta ja sen rahavirroista. Tavoitteena on, että näistä tiedoista on hyötyä laajalle käyttäjäkunnalle. Koska EU on julkisoikeudellinen yhteisö, tilinpäätöksellä on lisäksi tarkoitus antaa tietoja, joista on hyötyä päätöksenteossa, ja osoittaa, että unioni on hoitanut sille uskottuja varoja vastuullisesti. Tämä asiakirja on laadittu näiden periaatteiden mukaisesti. </w:t>
      </w:r>
    </w:p>
    <w:p>
      <w:pPr>
        <w:pStyle w:val="DGTextstand-alone"/>
      </w:pPr>
      <w:r>
        <w:t>Yleiset periaatteet (laskentaperiaatteet), joita noudatetaan tilinpäätöstä laadittaessa, määritetään EU:n tilinpäätössäännössä nro 1 (”Tilinpäätös”), ja ne ovat samat kuin IPSAS 1 -standardissa eli oikean kuvan antaminen, suoriteperuste, toiminnan jatkuvuus, esittämistavan johdonmukaisuus, olennaisuus, erien yhdistäminen, bruttoperiaate ja tietojen vertailtavuus. Tilinpäätösraportoinnin laadulliset ominaisuudet ovat merkityksellisyys, todenmukaisen kuvan antaminen (luotettavuus), ymmärrettävyys, oikea-aikaisuus, vertailukelpoisuus ja todennettavuus.</w:t>
      </w:r>
    </w:p>
    <w:p>
      <w:pPr>
        <w:pStyle w:val="HEADER2NOTES"/>
        <w:rPr>
          <w:noProof/>
        </w:rPr>
      </w:pPr>
      <w:r>
        <w:rPr>
          <w:noProof/>
        </w:rPr>
        <w:t>KONSOLIDOINTI</w:t>
      </w:r>
    </w:p>
    <w:p>
      <w:pPr>
        <w:pStyle w:val="HEADER5"/>
        <w:rPr>
          <w:b/>
          <w:noProof/>
        </w:rPr>
      </w:pPr>
      <w:r>
        <w:rPr>
          <w:noProof/>
        </w:rPr>
        <w:t>Konsolidoinnin laajuus</w:t>
      </w:r>
    </w:p>
    <w:p>
      <w:pPr>
        <w:pStyle w:val="DGTextstand-alone"/>
      </w:pPr>
      <w:r>
        <w:t xml:space="preserve">EU:n konsolidoituun tilinpäätökseen kuuluvat kaikki merkittävät määräysvallassa olevat yhteisöt (eli EU:n toimielimet, mukaan lukien komissio, ja EU:n virastot), osakkuusyritykset ja yhteisyritykset. Konsolidoitujen yhteisöjen täydellinen luettelo on EU:n tilinpäätöksen liitetiedossa </w:t>
      </w:r>
      <w:r>
        <w:rPr>
          <w:b/>
        </w:rPr>
        <w:t>9</w:t>
      </w:r>
      <w:r>
        <w:t xml:space="preserve">. Siihen sisältyy nykyisin 52 määräysvallassa olevaa yhteisöä ja 1 osakkuusyritys. Yhteisöjä, jotka kuuluvat konsolidoinnin piiriin mutta joilla on vähäinen merkitys EU:n konsolidoidussa tilinpäätöksessä, ei tarvitse konsolidoida tai arvostaa pääomaosuusmenetelmällä, jos se veisi kohtuuttomasti aikaa tai aiheuttaisi liian suuret kustannukset EU:lle. Kyseiset ”vähämerkityksiset yhteisöt” luetellaan erikseen liitetiedossa </w:t>
      </w:r>
      <w:r>
        <w:rPr>
          <w:b/>
        </w:rPr>
        <w:t>9</w:t>
      </w:r>
      <w:r>
        <w:t>. Vuonna 2018 vähämerkityksisiksi luokiteltiin 7 yhteisöä.</w:t>
      </w:r>
    </w:p>
    <w:p>
      <w:pPr>
        <w:pStyle w:val="HEADER5"/>
        <w:rPr>
          <w:b/>
          <w:noProof/>
        </w:rPr>
      </w:pPr>
      <w:r>
        <w:rPr>
          <w:noProof/>
        </w:rPr>
        <w:t>Määräysvallassa olevat yhteisöt</w:t>
      </w:r>
    </w:p>
    <w:p>
      <w:pPr>
        <w:pStyle w:val="DGTextstand-alone"/>
        <w:spacing w:after="0"/>
      </w:pPr>
      <w:r>
        <w:t>Päätös yhteisön sisällyttämisestä konsolidointiin perustuu määräysvallan käsitteeseen. Määräysvallassa olevat yhteisöt ovat yhteisöjä, joista EU saa tai sillä on oikeus saada vaihtuvia etuja toimintaan osallistumisesta. EU voi vaikuttaa kyseisten etujen luonteeseen ja määrään käyttämällä määräysvaltaansa yhteisössä. Määräysvallan on oltava käytettävissä kaiken aikaa, ja sen on liityttävä yhteisön relevantteihin toimintoihin. Määräysvallassa olevat yhteisöt konsolidoidaan kokonaisuudessaan. Konsolidointi alkaa siitä päivästä, jona määräysvalta saadaan, ja loppuu kun määräysvaltaa ei enää ole.</w:t>
      </w:r>
    </w:p>
    <w:p>
      <w:pPr>
        <w:pStyle w:val="DGTextstand-alone"/>
      </w:pPr>
      <w:r>
        <w:t>Määräysvallan tavallisimmat osoittajat ovat EU:ssa yhteisön perustaminen perussopimusten tai johdetun oikeuden mukaisesti, yhteisön toiminnan rahoittaminen EU:n talousarviosta saatavalla rahoituksella, äänioikeudet hallintoelimissä, Euroopan tilintarkastustuomioistuimen tekemät tarkastukset ja Euroopan parlamentin myöntämä vastuuvapaus. Kunkin yhteisön osalta on arvioitava erikseen, syntyykö määräysvalta yhden vai kaikkien edellä mainittujen perusteiden seurauksena.</w:t>
      </w:r>
    </w:p>
    <w:p>
      <w:pPr>
        <w:pStyle w:val="DGTextstand-alone"/>
      </w:pPr>
      <w:r>
        <w:t xml:space="preserve">Tämän lähestymistavan mukaisesti EU:n toimielinten (Euroopan keskuspankkia lukuun ottamatta) ja virastojen (entiseen toiseen pilariin kuuluneet virastot pois luettuina) katsotaan olevan EU:n yksinomaisessa määräysvallassa, ja ne on tämän vuoksi otettu konsolidoinnin piiriin. Myös selvitystilassa olevaa Euroopan hiili- ja teräsyhteisöä (EHTY) pidetään määräysvallassa olevana yhteisönä. </w:t>
      </w:r>
    </w:p>
    <w:p>
      <w:pPr>
        <w:pStyle w:val="DGTextstand-alone"/>
      </w:pPr>
      <w:r>
        <w:t>Kaikki EU:n määräysvallassa olevien yhteisöjen väliset olennaiset transaktiot ja rahamäärät eliminoidaan. Sen sijaan näihin transaktioihin liittyvät realisoitumattomat voitot ja tappiot ovat vähäisiä, minkä vuoksi niitä ei ole eliminoitu.</w:t>
      </w:r>
    </w:p>
    <w:p>
      <w:pPr>
        <w:pStyle w:val="HEADER5"/>
        <w:rPr>
          <w:b/>
          <w:noProof/>
        </w:rPr>
      </w:pPr>
      <w:r>
        <w:rPr>
          <w:noProof/>
        </w:rPr>
        <w:t>Yhteisjärjestelyt</w:t>
      </w:r>
    </w:p>
    <w:p>
      <w:pPr>
        <w:pStyle w:val="DGTextstand-alone"/>
      </w:pPr>
      <w:r>
        <w:t xml:space="preserve">Yhteisjärjestely on sopimus, jonka mukaisesti EU:lla ja yhdellä tai useammalla osapuolella on yhteinen määräysvalta. Yhteinen määräysvalta on sopimukseen perustuva, tiettyä järjestelyä koskeva jaettu määräysvalta. Se on olemassa vain silloin, kun asianomaisia toimintoja koskevat päätökset edellyttävät määräysvallan jakavien osapuolten yksimielistä suostumusta. Yhteisjärjestelyt voivat olla joko yhteisiä toimia tai yhteisyrityksiä. Jos yhteisjärjestely on rakenteeltaan erillinen yksikkö ja yhteisjärjestelyn osapuolilla on järjestelyn nettovaroja koskevia oikeuksia, kyseinen yhteisjärjestely luokitellaan yhteisyritykseksi. Osuuksia yhteisyrityksissä käsitellään kirjanpidossa pääomaosuusmenetelmää soveltaen (ks. liitetieto </w:t>
      </w:r>
      <w:r>
        <w:rPr>
          <w:b/>
        </w:rPr>
        <w:t>1.5.4</w:t>
      </w:r>
      <w:r>
        <w:t>). Jos osapuolilla on järjestelyyn liittyen omaisuuseriä koskevia oikeuksia ja velkoja koskevia velvoitteita, kyseinen yhteisjärjestely luokitellaan yhteiseksi toimeksi. EU kirjaa tilinpäätökseensä yhteisiä toimia koskevista osuuksista seuraavat erät: EU:n varat, velat, tulot ja menot sekä EU:n osuus yhteisistä varoista, veloista, tuloista ja menoista.</w:t>
      </w:r>
    </w:p>
    <w:p>
      <w:pPr>
        <w:pStyle w:val="HEADER5"/>
        <w:keepNext/>
        <w:rPr>
          <w:b/>
          <w:noProof/>
        </w:rPr>
      </w:pPr>
      <w:r>
        <w:rPr>
          <w:noProof/>
        </w:rPr>
        <w:t>Osakkuusyritykset</w:t>
      </w:r>
    </w:p>
    <w:p>
      <w:pPr>
        <w:pStyle w:val="DGTextstand-alone"/>
      </w:pPr>
      <w:r>
        <w:t xml:space="preserve">Osakkuusyritykset ovat yhteisöjä, joissa EU:lla on suoraan tai välillisesti huomattava vaikutusvalta, mutta ei määräysvaltaa. Vaikutusvalta katsotaan huomattavaksi, jos EU:lla on suoraan tai välillisesti vähintään 20 prosenttia äänioikeuksista. Osuuksia osakkuusyrityksissä käsitellään kirjanpidossa pääomaosuusmenetelmää soveltaen (ks. liitetieto </w:t>
      </w:r>
      <w:r>
        <w:rPr>
          <w:b/>
        </w:rPr>
        <w:t>1.5.4</w:t>
      </w:r>
      <w:r>
        <w:t>).</w:t>
      </w:r>
    </w:p>
    <w:p>
      <w:pPr>
        <w:pStyle w:val="HEADER5"/>
        <w:rPr>
          <w:b/>
          <w:noProof/>
        </w:rPr>
      </w:pPr>
      <w:r>
        <w:rPr>
          <w:noProof/>
        </w:rPr>
        <w:t>Konsolidoinnin ulkopuoliset yhteisöt, joiden varoja komissio hallinnoi</w:t>
      </w:r>
    </w:p>
    <w:p>
      <w:pPr>
        <w:pStyle w:val="DGTextstand-alone"/>
      </w:pPr>
      <w:r>
        <w:t>Euroopan komissio hallinnoi EU:n henkilöstön sairausvakuutusjärjestelmän, Euroopan kehitysrahaston ja osallistujien takuurahaston varoja niiden puolesta. Näitä yhteisöjä ei kuitenkaan ole konsolidoitu EU:n tilinpäätökseen, koska ne eivät ole EU:n määräysvallassa.</w:t>
      </w:r>
    </w:p>
    <w:p>
      <w:pPr>
        <w:pStyle w:val="HEADER2NOTES"/>
        <w:rPr>
          <w:noProof/>
        </w:rPr>
      </w:pPr>
      <w:r>
        <w:rPr>
          <w:noProof/>
        </w:rPr>
        <w:t>LAATIMISPERUSTA</w:t>
      </w:r>
    </w:p>
    <w:p>
      <w:pPr>
        <w:pStyle w:val="DGTextstand-alone"/>
      </w:pPr>
      <w:r>
        <w:t>Tilinpäätös laaditaan vuosittain. Tilivuosi alkaa 1. tammikuuta ja päättyy 31. joulukuuta.</w:t>
      </w:r>
    </w:p>
    <w:p>
      <w:pPr>
        <w:pStyle w:val="HEADER3NOTES"/>
        <w:rPr>
          <w:noProof/>
        </w:rPr>
      </w:pPr>
      <w:r>
        <w:rPr>
          <w:noProof/>
        </w:rPr>
        <w:t>Valuuttojen muuntaminen euroiksi</w:t>
      </w:r>
    </w:p>
    <w:p>
      <w:pPr>
        <w:pStyle w:val="HEADER5"/>
        <w:rPr>
          <w:b/>
          <w:noProof/>
        </w:rPr>
      </w:pPr>
      <w:r>
        <w:rPr>
          <w:noProof/>
        </w:rPr>
        <w:t>Toimintavaluutta ja raportointivaluutta</w:t>
      </w:r>
    </w:p>
    <w:p>
      <w:pPr>
        <w:pStyle w:val="DGTextstand-alone"/>
      </w:pPr>
      <w:r>
        <w:t>Jos ei toisin mainita, tilinpäätös laaditaan miljoonina euroina, koska euro on EU:n toiminta- ja raportointivaluutta.</w:t>
      </w:r>
    </w:p>
    <w:p>
      <w:pPr>
        <w:pStyle w:val="HEADER5"/>
        <w:rPr>
          <w:b/>
          <w:noProof/>
        </w:rPr>
      </w:pPr>
      <w:r>
        <w:rPr>
          <w:noProof/>
        </w:rPr>
        <w:t>Transaktiot ja saldot</w:t>
      </w:r>
    </w:p>
    <w:p>
      <w:pPr>
        <w:pStyle w:val="DGTextstand-alone"/>
        <w:spacing w:after="0"/>
      </w:pPr>
      <w:r>
        <w:t>Ulkomaan rahan määräiset transaktiot muunnetaan euroiksi transaktiopäivän valuuttakurssiin. Tuotto- ja kululaskelmaan on kirjattu kurssivoitot ja -tappiot, jotka syntyvät ulkomaan rahan määräisten transaktioiden suorittamisesta sekä ulkomaan rahan määräisten monetaaristen varojen ja velkojen muuntamisesta euromääräisiksi vuoden lopun valuuttakursseihin. Myytävissä oleviksi rahoitusvaroiksi luokiteltuihin ei-monetaarisiin rahoitusinstrumentteihin liittyvät muuntoerot kirjataan käyvän arvon rahastoon.</w:t>
      </w:r>
    </w:p>
    <w:p>
      <w:pPr>
        <w:pStyle w:val="DGTextstand-alone"/>
      </w:pPr>
      <w:r>
        <w:t>Poikkeavia muuntomenetelmiä sovelletaan aineellisiin käyttöomaisuushyödykkeisiin ja aineettomiin hyödykkeisiin, jotka arvostetaan euroina niiden hankintapäivänä voimassa olleiden euron kurssien mukaan.</w:t>
      </w:r>
    </w:p>
    <w:p>
      <w:pPr>
        <w:pStyle w:val="DGTextstand-alone"/>
      </w:pPr>
      <w:r>
        <w:t>Ulkomaan rahan määräisten monetaaristen varojen ja velkojen saldot vuoden lopussa muunnetaan euroiksi käyttäen seuraavia 31. joulukuuta voimassa olleita Euroopan keskuspankin (EKP) valuuttakursseja:</w:t>
      </w:r>
    </w:p>
    <w:p>
      <w:pPr>
        <w:pStyle w:val="HEADER5"/>
        <w:rPr>
          <w:b/>
          <w:noProof/>
        </w:rPr>
      </w:pPr>
      <w:r>
        <w:rPr>
          <w:noProof/>
        </w:rPr>
        <w:t>Euron vaihtokurssit</w:t>
      </w:r>
    </w:p>
    <w:p>
      <w:pPr>
        <w:pStyle w:val="DGTextstand-alone"/>
        <w:spacing w:before="0"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625"/>
        <w:gridCol w:w="1624"/>
        <w:gridCol w:w="1625"/>
        <w:gridCol w:w="1624"/>
        <w:gridCol w:w="1625"/>
      </w:tblGrid>
      <w:tr>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Left"/>
              <w:rPr>
                <w:rFonts w:eastAsia="Verdana" w:cs="Verdana"/>
              </w:rPr>
            </w:pPr>
            <w:bookmarkStart w:id="56" w:name="DOC_TBL00005_1_1"/>
            <w:bookmarkEnd w:id="56"/>
            <w:r>
              <w:t>Valuutta</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31.12.2018</w:t>
            </w:r>
          </w:p>
        </w:t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Valuutta</w:t>
            </w:r>
          </w:p>
        </w:t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31.12.2018</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BGN</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1,9558</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1,9558</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PLN</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4,3014</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4,177</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CZK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25,7240</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25,5350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RON</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4,6635</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4,6585</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DKK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7,4673</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7,4449</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SEK</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10,2548</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9,8438</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GBP</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0,8945</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0,8872</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CHF</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1,1269</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1,1702</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HRK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7,4125</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7,4400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JPY</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125,8500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135,01</w:t>
            </w:r>
          </w:p>
        </w:tc>
      </w:tr>
      <w:tr>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025"/>
              <w:ind w:left="0"/>
              <w:rPr>
                <w:rFonts w:eastAsia="Verdana" w:cs="Verdana"/>
              </w:rPr>
            </w:pPr>
            <w:r>
              <w:t>HUF</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320,9800</w:t>
            </w:r>
          </w:p>
        </w:t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310,3300</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USD</w:t>
            </w:r>
          </w:p>
        </w:t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1,145</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1,1993</w:t>
            </w:r>
          </w:p>
        </w:tc>
      </w:tr>
    </w:tbl>
    <w:p>
      <w:pPr>
        <w:pStyle w:val="DGTextstand-alone"/>
        <w:spacing w:before="0" w:after="0"/>
      </w:pPr>
    </w:p>
    <w:p>
      <w:pPr>
        <w:pStyle w:val="HEADER3NOTES"/>
        <w:keepNext/>
        <w:rPr>
          <w:noProof/>
        </w:rPr>
      </w:pPr>
      <w:r>
        <w:rPr>
          <w:noProof/>
        </w:rPr>
        <w:t>Arvioiden käyttäminen</w:t>
      </w:r>
    </w:p>
    <w:p>
      <w:pPr>
        <w:pStyle w:val="DGTextstand-alone"/>
      </w:pPr>
      <w:r>
        <w:t>IPSAS-standardien ja yleisesti hyväksyttyjen tilinpäätösperiaatteiden mukaisesti tilinpäätökseen sisältyy väistämättä määriä, jotka perustuvat johdon tekemiin arvioihin ja oletuksiin, jotka puolestaan perustuvat luotettavimpiin käytettävissä oleviin tietoihin. Merkittäviin arvioihin kuuluvat muun muassa työsuhde-etuuksiin liittyvät velat, varaukset, vaihto-omaisuuteen ja muihin lyhytaikaisiin saamisiin liittyvä taloudellinen riski, tulo- ja menojäämät, ehdolliset varat ja velat, aineettomien hyödykkeiden ja aineellisten käyttöomaisuushyödykkeiden arvon alentuminen sekä rahoitusvälineitä koskevissa liitetiedoissa esitetyt määrät. Kyseisten erien todellinen arvo voi poiketa arvioista. Arvioihin tehtävät muutokset kirjataan kaudella, jonka aikana ne tulevat tietoon.</w:t>
      </w:r>
    </w:p>
    <w:p>
      <w:pPr>
        <w:pStyle w:val="HEADER2NOTES"/>
        <w:rPr>
          <w:noProof/>
        </w:rPr>
      </w:pPr>
      <w:r>
        <w:rPr>
          <w:noProof/>
        </w:rPr>
        <w:t>TASE</w:t>
      </w:r>
    </w:p>
    <w:p>
      <w:pPr>
        <w:pStyle w:val="HEADER3NOTES"/>
        <w:rPr>
          <w:noProof/>
        </w:rPr>
      </w:pPr>
      <w:r>
        <w:rPr>
          <w:noProof/>
        </w:rPr>
        <w:t>Aineettomat hyödykkeet</w:t>
      </w:r>
    </w:p>
    <w:p>
      <w:pPr>
        <w:pStyle w:val="DGTextstand-alone"/>
      </w:pPr>
      <w:r>
        <w:t>Hankitut tietokoneohjelmistojen lisenssit kirjataan alkuperäiseen hankintamenoon, josta on vähennetty kertyneet poistot ja arvonalentumistappiot. Kyseisistä omaisuuseristä tehdään poistot tasapoistomenetelmällä omaisuuserien arvioituna taloudellisena vaikutusaikana (3–11 vuotta). Aineettomien hyödykkeiden arvioitu taloudellinen vaikutusaika riippuu niiden sopimuksessa määritellystä taloudellisesta tai oikeudellisesta käyttöajasta. Sisäisesti tuotetut aineettomat hyödykkeet aktivoidaan, kun EU:n kirjanpito- ja tilinpäätössääntöjen mukaiset kriteerit täyttyvät. Menot liittyvät pelkästään omaisuuserän kehitysvaiheeseen. Aktivoitaviin menoihin kuuluvat kaikki välittömät menot, jotka ovat välttämättömiä hyödykkeen luomiseksi, tuottamiseksi ja saattamiseksi valmiiksi toimimaan johdon tarkoittamalla tavalla. Tutkimustoimintaan liittyvät menot, aktivointikelvottomat kehitysmenot ja ylläpitomenot kirjataan kuluiksi, kun ne syntyvät.</w:t>
      </w:r>
      <w:r>
        <w:tab/>
      </w:r>
    </w:p>
    <w:p>
      <w:pPr>
        <w:pStyle w:val="HEADER3NOTES"/>
        <w:rPr>
          <w:noProof/>
        </w:rPr>
      </w:pPr>
      <w:r>
        <w:rPr>
          <w:noProof/>
        </w:rPr>
        <w:t>Aineelliset käyttöomaisuushyödykkeet</w:t>
      </w:r>
    </w:p>
    <w:p>
      <w:pPr>
        <w:pStyle w:val="DGTextstand-alone"/>
      </w:pPr>
      <w:r>
        <w:t>Kaikki aineelliset käyttöomaisuushyödykkeet kirjataan alkuperäiseen hankintamenoon, josta on vähennetty kertyneet poistot ja arvonalentumistappiot. Hankintamenoon sisältyvät kustannukset, jotka voidaan suoraan kohdistaa omaisuuserän hankintaan, rakentamiseen tai siirtämiseen.</w:t>
      </w:r>
    </w:p>
    <w:p>
      <w:pPr>
        <w:pStyle w:val="DGTextstand-alone"/>
        <w:spacing w:after="0"/>
      </w:pPr>
      <w:r>
        <w:t>Myöhemmin syntyvät menot sisällytetään omaisuuserän kirjanpitoarvoon tai kirjataan erillisenä omaisuuseränä ainoastaan silloin, kun on todennäköistä, että EU saa omaisuuserästä tulevaisuudessa taloudellista hyötyä tai suorituspotentiaalia, ja kun omaisuuserään liittyvät menot voidaan määrittää luotettavasti. Korjaus- ja ylläpitomenot kirjataan kuluiksi tuotto- ja kululaskelmaan sinä varainhoitovuotena, jonka aikana ne syntyvät.</w:t>
      </w:r>
    </w:p>
    <w:p>
      <w:pPr>
        <w:pStyle w:val="DGTextstand-alone"/>
      </w:pPr>
      <w:r>
        <w:t>Maa-alueista ja taideteoksista ei tehdä poistoja, koska niiden taloudellisen vaikutusajan katsotaan olevan rajoittamaton. Myöskään keskeneräisistä hankinnoista ei tehdä poistoja, koska tällaiset omaisuuserät eivät ole vielä käytettävissä. Muista omaisuuseristä tehdään tasapoistot, jotta niiden jäännösarvo voidaan vähentää niiden arvioituna taloudellisena vaikutusaikana seuraavasti: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835"/>
      </w:tblGrid>
      <w:tr>
        <w:tc>
          <w:tcPr>
            <w:tcW w:w="6912"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Left"/>
              <w:rPr>
                <w:rFonts w:eastAsia="Verdana" w:cs="Verdana"/>
              </w:rPr>
            </w:pPr>
            <w:bookmarkStart w:id="57" w:name="DOC_TBL00006_1_1"/>
            <w:bookmarkEnd w:id="57"/>
            <w:r>
              <w:t>Omaisuuserän laji</w:t>
            </w:r>
          </w:p>
        </w:tc>
        <w:tc>
          <w:tcPr>
            <w:tcW w:w="283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Tasapoisto prosentteina</w:t>
            </w:r>
          </w:p>
        </w:tc>
      </w:tr>
      <w:tr>
        <w:tc>
          <w:tcPr>
            <w:tcW w:w="691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Rakennukset</w:t>
            </w:r>
          </w:p>
        </w:tc>
        <w:tc>
          <w:tcPr>
            <w:tcW w:w="283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4–10 %</w:t>
            </w:r>
          </w:p>
        </w:tc>
      </w:tr>
      <w:tr>
        <w:tc>
          <w:tcPr>
            <w:tcW w:w="691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Avaruusresurssit</w:t>
            </w:r>
          </w:p>
        </w:tc>
        <w:tc>
          <w:tcPr>
            <w:tcW w:w="283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8–25 %</w:t>
            </w:r>
          </w:p>
        </w:tc>
      </w:tr>
      <w:tr>
        <w:tc>
          <w:tcPr>
            <w:tcW w:w="691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Koneet ja kalusto</w:t>
            </w:r>
          </w:p>
        </w:tc>
        <w:tc>
          <w:tcPr>
            <w:tcW w:w="283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10–25 %</w:t>
            </w:r>
          </w:p>
        </w:tc>
      </w:tr>
      <w:tr>
        <w:tc>
          <w:tcPr>
            <w:tcW w:w="691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Irtaimisto ja ajoneuvot</w:t>
            </w:r>
          </w:p>
        </w:tc>
        <w:tc>
          <w:tcPr>
            <w:tcW w:w="283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0–25 %</w:t>
            </w:r>
          </w:p>
        </w:tc>
      </w:tr>
      <w:tr>
        <w:tc>
          <w:tcPr>
            <w:tcW w:w="691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Tietokonelaitteet</w:t>
            </w:r>
          </w:p>
        </w:tc>
        <w:tc>
          <w:tcPr>
            <w:tcW w:w="283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25–33 %</w:t>
            </w:r>
          </w:p>
        </w:tc>
      </w:tr>
      <w:tr>
        <w:tc>
          <w:tcPr>
            <w:tcW w:w="6912"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Muut</w:t>
            </w:r>
          </w:p>
        </w:tc>
        <w:tc>
          <w:tcPr>
            <w:tcW w:w="283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Centered"/>
              <w:rPr>
                <w:rFonts w:eastAsia="Verdana" w:cs="Verdana"/>
              </w:rPr>
            </w:pPr>
            <w:r>
              <w:t>10–33 %</w:t>
            </w:r>
          </w:p>
        </w:tc>
      </w:tr>
    </w:tbl>
    <w:p>
      <w:pPr>
        <w:pStyle w:val="DGTextstand-alone"/>
      </w:pPr>
      <w:r>
        <w:t>Omaisuuserien luovutuksesta saatavat voitot ja tappiot määritetään vertaamalla luovutustuloa, josta on vähennetty myyntikustannukset, luovutetun omaisuuserän kirjanpitoarvoon. Kyseiset voitot ja tappiot kirjataan tuotto- ja kululaskelmaan.</w:t>
      </w:r>
    </w:p>
    <w:p>
      <w:pPr>
        <w:pStyle w:val="HEADER5"/>
        <w:keepNext/>
        <w:rPr>
          <w:b/>
          <w:noProof/>
        </w:rPr>
      </w:pPr>
      <w:r>
        <w:rPr>
          <w:noProof/>
        </w:rPr>
        <w:t>Vuokraus</w:t>
      </w:r>
    </w:p>
    <w:p>
      <w:pPr>
        <w:pStyle w:val="DGTextstand-alone"/>
      </w:pPr>
      <w:r>
        <w:t>Aineellisten hyödykkeiden vuokraus luokitellaan rahoitusleasingtoiminnaksi silloin, kun omistamiseen liittyvät riskit ja edut kuuluvat olennaisilta osin EU:lle. Rahoitusleasingilla hankitut omaisuuserät aktivoidaan leasingsopimuksen syntymisajankohtana joko omaisuuserän käypään arvoon tai leasingmaksujen vähimmäismäärän nykyarvoon sen mukaan, kumpi näistä on pienempi. Koron osuus rahoitusleasingmaksusta kirjataan kuluksi vuokra-aikana, jotta jäljellä olevalle velalle tulee kullakin kaudella samansuuruinen korkoprosentti. Vuokravelvoitteet, joista on vähennetty rahoitusmenot, sisällytetään (lyhyt- ja pitkäaikaisiin) rahoitusvelkoihin. Koron osuus rahoituskustannuksista kirjataan kuluksi tuotto- ja kululaskelmaan vuokra-aikana siten, että jäljellä olevalle velalle tulee kullakin kaudella samansuuruinen korkoprosentti. Rahoitusleasingilla hallussa pidettävistä omaisuuseristä tehdään poistot joko omaisuuserien taloudellisena vaikutusaikana tai leasingsopimuksen voimassaoloaikana sen mukaan kumpi näistä on lyhyempi.</w:t>
      </w:r>
    </w:p>
    <w:p>
      <w:pPr>
        <w:pStyle w:val="DGTextstand-alone"/>
      </w:pPr>
      <w:r>
        <w:t>Leasingsopimukset, joissa omistajuuteen liittyvät riskit ja edut säilyvät olennaisilta osin vuokralleantajalla, luokitellaan muiksi leasingsopimuksiksi. Käyttöleasingin maksut kirjataan kuluiksi tuotto- ja kululaskelmaan tasaerinä leasingsopimuksen voimassaoloaikana.</w:t>
      </w:r>
    </w:p>
    <w:p>
      <w:pPr>
        <w:pStyle w:val="HEADER3NOTES"/>
        <w:rPr>
          <w:noProof/>
        </w:rPr>
      </w:pPr>
      <w:r>
        <w:rPr>
          <w:noProof/>
        </w:rPr>
        <w:t>Muiden kuin rahoitusvarojen arvon alentuminen</w:t>
      </w:r>
    </w:p>
    <w:p>
      <w:pPr>
        <w:pStyle w:val="DGTextstand-alone"/>
      </w:pPr>
      <w:r>
        <w:t>Omaisuuseristä, joiden taloudellista vaikutusaikaa ei ole rajoitettu, ei tehdä poistoja / hankintamenon jaksotuksia vaan niiden arvon alentumista testataan vuosittain. Kyseisten omaisuuserien arvon mahdollinen alentuminen selvitetään aina, kun on viitteitä siitä, että kirjanpitoarvoa vastaava rahamäärä ei ole enää kerrytettävissä tapahtumien tai olosuhteiden muuttumisen vuoksi. Arvonalentumistappioksi kirjataan määrä, jolla omaisuuserän kirjanpitoarvo ylittää siitä kerrytettävissä olevan rahamäärän. Kerrytettävissä oleva rahamäärä on omaisuuserän käypä arvo, josta on vähennetty luovutuksesta aiheutuvat menot, tai omaisuuserän käyttöarvo, sen mukaan kumpi näistä on suurempi.</w:t>
      </w:r>
    </w:p>
    <w:p>
      <w:pPr>
        <w:pStyle w:val="DGTextstand-alone"/>
      </w:pPr>
      <w:r>
        <w:t>Aineettomien hyödykkeiden ja aineellisten käyttöomaisuushyödykkeiden jäännösarvoa ja taloudellista vaikutusaikaa tarkistetaan vähintään kerran vuodessa ja muutetaan tarvittaessa. Omaisuuserän kirjanpitoarvoa alennetaan välittömästi vastaamaan siihen liittyvää kerrytettävissä olevaa rahamäärää, jos kirjanpitoarvon havaitaan olevan kerrytettävissä olevaa rahamäärää suurempi. Jos aiempina vuosina kirjattujen arvonalennusten perusteet eivät enää päde, arvonalentumistappiot peruutetaan.</w:t>
      </w:r>
    </w:p>
    <w:p>
      <w:pPr>
        <w:pStyle w:val="HEADER3NOTES"/>
        <w:rPr>
          <w:noProof/>
        </w:rPr>
      </w:pPr>
      <w:r>
        <w:rPr>
          <w:noProof/>
        </w:rPr>
        <w:t>Pääomaosuusmenetelmällä arvostetut sijoitukset</w:t>
      </w:r>
    </w:p>
    <w:p>
      <w:pPr>
        <w:pStyle w:val="HEADER5"/>
        <w:rPr>
          <w:b/>
          <w:noProof/>
        </w:rPr>
      </w:pPr>
      <w:r>
        <w:rPr>
          <w:noProof/>
        </w:rPr>
        <w:t>Osuudet osakkuusyrityksissä ja yhteisyrityksissä</w:t>
      </w:r>
    </w:p>
    <w:p>
      <w:pPr>
        <w:pStyle w:val="DGTextstand-alone"/>
      </w:pPr>
      <w:r>
        <w:t>Sijoitukset, jotka käsitellään kirjanpidossa pääomaosuusmenetelmää soveltaen, kirjataan alun perin hankintamenoon. Myöhemmin tätä kirjanpitoarvoa lisätään tai vähennetään, jotta voidaan arvostaa EU:n osuus sijoittajan ylijäämästä tai alijäämästä hankintapäivämäärän jälkeen. EU:n osuus sijoittajan ylijäämästä tai alijäämästä kirjataan tuotto- ja kululaskelmaan, ja EU:n osuus sijoittajan pääoman muutoksista kirjataan nettovaroihin sisältyviin rahastoihin. Alkuperäinen hankintameno ja kaikki muutokset (myöhemmät rahoitusosuudet, osuus taloudellisista voitoista, tappioista, rahastojen muutoksista, arvon alentumisesta ja osingoista) muodostavat sijoituksen kirjanpitoarvon EU:n tilinpäätöslaskelmissa tilinpäätöspäivänä. Sijoituksesta saatu voitonjako vähentää omaisuuserän kirjanpitoarvoa.</w:t>
      </w:r>
    </w:p>
    <w:p>
      <w:pPr>
        <w:pStyle w:val="DGTextstand-alone"/>
      </w:pPr>
      <w:r>
        <w:t>Jos EU:n osuus kirjanpidossa pääomaosuusmenetelmää käyttäen käsiteltävän sijoituksen tuottamista tappioista on yhtä suuri kuin sen omistusosuus sijoituksesta tai ylittää tämän, EU ei merkitse lisätappioita taseeseensa (”taseeseen merkitsemättömät tappiot”). Kun EU:n osuus on pienentynyt nollan suuruiseksi, lisätappioita otetaan huomioon ja velkaa kirjataan vain siihen määrään asti kuin EU:lla on oikeudellinen tai tosiasiallinen velvoite tai se on suorittanut maksuja osakkuus- tai yhteisyrityksen puolesta.</w:t>
      </w:r>
    </w:p>
    <w:p>
      <w:pPr>
        <w:pStyle w:val="DGTextstand-alone"/>
      </w:pPr>
      <w:r>
        <w:t xml:space="preserve">Jos arvon alentuminen voidaan osoittaa, omaisuuserät kirjataan alempaan kerrytettävissä olevaan rahamäärään. Kerrytettävissä oleva rahamäärä määritetään edellä liitetiedossa </w:t>
      </w:r>
      <w:r>
        <w:rPr>
          <w:b/>
        </w:rPr>
        <w:t>1.5.3</w:t>
      </w:r>
      <w:r>
        <w:t xml:space="preserve"> kuvatulla tavalla. Jos arvon alentumiselle ei myöhempänä ajankohtana ole enää perustetta, arvonalentumistappio peruutetaan kirjaamalla omaisuuserä arvonalentumistappiosta puhdistettuun kirjanpitoarvoon.</w:t>
      </w:r>
    </w:p>
    <w:p>
      <w:pPr>
        <w:pStyle w:val="DGTextstand-alone"/>
      </w:pPr>
      <w:r>
        <w:t>EU ei pyri käyttämään huomattavaa vaikutusvaltaa sellaisissa pääomasijoitusrahastoissa, joissa sillä on vähintään 20 prosentin omistusosuus. Näitä rahastoja pidetään tämän vuoksi myytävissä olevina rahoitusvaroina.</w:t>
      </w:r>
    </w:p>
    <w:p>
      <w:pPr>
        <w:pStyle w:val="DGTextstand-alone"/>
      </w:pPr>
      <w:r>
        <w:t xml:space="preserve">Osakkuusyrityksiä ja yhteisyrityksiä, joiden katsotaan olevan vähämerkityksisiä, ei käsitellä kirjanpidossa pääomaosuusmenetelmää soveltaen. EU:n rahoitusosuudet kyseisissä yhteisöissä kirjataan kuluksi asianomaisella tilikaudella. </w:t>
      </w:r>
    </w:p>
    <w:p>
      <w:pPr>
        <w:pStyle w:val="HEADER3NOTES"/>
        <w:keepNext/>
        <w:rPr>
          <w:noProof/>
        </w:rPr>
      </w:pPr>
      <w:r>
        <w:rPr>
          <w:noProof/>
        </w:rPr>
        <w:t>Rahoitusvarat</w:t>
      </w:r>
    </w:p>
    <w:p>
      <w:pPr>
        <w:pStyle w:val="HEADER5"/>
        <w:rPr>
          <w:b/>
          <w:noProof/>
        </w:rPr>
      </w:pPr>
      <w:r>
        <w:rPr>
          <w:noProof/>
        </w:rPr>
        <w:t>Luokittelu</w:t>
      </w:r>
    </w:p>
    <w:p>
      <w:pPr>
        <w:pStyle w:val="DGTextstand-alone"/>
      </w:pPr>
      <w:r>
        <w:t>EU luokittelee rahoitusvaransa seuraavasti: käypään arvoon tulosvaikutteisesti kirjattavat rahoitusvarat; lainat ja muut saamiset; eräpäivään asti pidettävät sijoitukset; ja myytävissä olevat rahoitusvarat. Rahoitusinstrumenttien luokka määritellään alkuperäisen kirjaamisen ajankohtana, ja sitä tarkastellaan vuosittain tilinpäätöspäivänä.</w:t>
      </w:r>
    </w:p>
    <w:p>
      <w:pPr>
        <w:pStyle w:val="TextSubtitlenumberingRCItalic"/>
        <w:rPr>
          <w:noProof/>
        </w:rPr>
      </w:pPr>
      <w:r>
        <w:rPr>
          <w:noProof/>
        </w:rPr>
        <w:t>Käypään arvoon tulosvaikutteisesti kirjattavat rahoitusvarat</w:t>
      </w:r>
    </w:p>
    <w:p>
      <w:pPr>
        <w:pStyle w:val="DGTextstand-alone"/>
      </w:pPr>
      <w:r>
        <w:t>Rahoitusvaroihin kuuluva erä sijoitetaan tähän luokkaan, jos se on ensisijaisesti hankittu myytäväksi lyhyellä aikavälillä tai jos yhteisö on nimennyt sen myytäväksi lyhyellä aikavälillä. Myös johdannaiset sijoitetaan tähän luokkaan. Tähän luokkaan kuuluvat omaisuuserät sisällytetään lyhytaikaisiin varoihin, jos ne todennäköisesti realisoidaan 12 kuukauden kuluessa tilinpäätöspäivästä.</w:t>
      </w:r>
    </w:p>
    <w:p>
      <w:pPr>
        <w:pStyle w:val="TextSubtitlenumberingRCItalic"/>
        <w:keepNext/>
        <w:rPr>
          <w:noProof/>
        </w:rPr>
      </w:pPr>
      <w:r>
        <w:rPr>
          <w:noProof/>
        </w:rPr>
        <w:t>Lainat ja muut saamiset</w:t>
      </w:r>
    </w:p>
    <w:p>
      <w:pPr>
        <w:pStyle w:val="DGTextstand-alone"/>
      </w:pPr>
      <w:r>
        <w:t>Lainat ja muut saamiset ovat muita kuin johdannaisiin kuuluvia rahoitusvaroja, joihin liittyvät maksusuoritukset ovat kiinteitä tai muuten määritettävissä ja joita ei noteerata toimivilla markkinoilla. Nämä saamiset syntyvät silloin, kun EU antaa velalliselle suoraan rahaa, tavaroita tai palveluita ilman aikomusta käydä saamisella kauppaa tai siinä tapauksessa, että alkuperäisen luotonantajan oikeudet ovat siirtyneet EU:lle sen suoritettua maksun takaussopimuksen mukaisesti. Maksut, jotka erääntyvät 12 kuukauden kuluessa tilinpäätöspäivästä, luokitellaan lyhytaikaisiksi varoiksi. Maksut, jotka erääntyvät yli 12 kuukauden kuluessa tilinpäätöspäivästä, luokitellaan pitkäaikaisiksi varoiksi. Lainoihin ja muihin saamisiin sisältyvät määräaikaistalletukset, joiden alkuperäinen erääntymisaika on pidempi kuin kolme kuukautta.</w:t>
      </w:r>
    </w:p>
    <w:p>
      <w:pPr>
        <w:pStyle w:val="TextSubtitlenumberingRCItalic"/>
        <w:rPr>
          <w:noProof/>
        </w:rPr>
      </w:pPr>
      <w:r>
        <w:rPr>
          <w:noProof/>
        </w:rPr>
        <w:t>Eräpäivään asti pidettävät sijoitukset</w:t>
      </w:r>
    </w:p>
    <w:p>
      <w:pPr>
        <w:pStyle w:val="DGTextstand-alone"/>
      </w:pPr>
      <w:r>
        <w:t xml:space="preserve">Eräpäivään asti pidettävät sijoitukset ovat muita kuin johdannaisiin kuuluvia rahoitusvaroja, joihin liittyvät maksusuoritukset ovat kiinteitä tai muuten määritettävissä, jotka erääntyvät tiettyyn aikaan ja jotka EU aikoo pitää ja pystyy pitämään eräpäivään asti. EU:lla ei ollut tähän luokkaan kuuluvia sijoituksia varainhoitovuonna 2018. </w:t>
      </w:r>
    </w:p>
    <w:p>
      <w:pPr>
        <w:pStyle w:val="TextSubtitlenumberingRCItalic"/>
        <w:rPr>
          <w:noProof/>
        </w:rPr>
      </w:pPr>
      <w:r>
        <w:rPr>
          <w:noProof/>
        </w:rPr>
        <w:t>Myytävissä olevat rahoitusvarat</w:t>
      </w:r>
    </w:p>
    <w:p>
      <w:pPr>
        <w:pStyle w:val="DGTextstand-alone"/>
      </w:pPr>
      <w:r>
        <w:t>Myytävissä olevat rahoitusvarat ovat muita kuin johdannaisia, ja ne on joko nimetty tähän luokkaan kuuluviksi tai niitä ei ole sijoitettu mihinkään muuhun luokkaan. Ne luokitellaan joko lyhyt- tai pitkäaikaisiin varoihin sen mukaan, milloin EU aikoo luovuttaa ne. Sijoitukset yhteisöihin, joita ei ole konsolidoitu ja joita ei käsitellä kirjanpidossa pääomaosuusmenetelmää soveltaen sekä muut oman pääoman tyyppiset sijoitukset (esimerkiksi riskipääomatoimet) luokitellaan myytävissä oleviksi rahoitusvaroiksi.</w:t>
      </w:r>
    </w:p>
    <w:p>
      <w:pPr>
        <w:pStyle w:val="HEADER5"/>
        <w:rPr>
          <w:b/>
          <w:noProof/>
        </w:rPr>
      </w:pPr>
      <w:r>
        <w:rPr>
          <w:noProof/>
        </w:rPr>
        <w:t>Alkuperäinen kirjaaminen ja arvostaminen</w:t>
      </w:r>
    </w:p>
    <w:p>
      <w:pPr>
        <w:pStyle w:val="DGTextstand-alone"/>
      </w:pPr>
      <w:r>
        <w:t>Sellaiset rahoitusvarat, jotka kirjataan tulosvaikutteisesti käypään arvoon, pidetään eräpäivään saakka tai jotka ovat myytävissä, kirjataan kaupankäyntipäivänä eli päivänä, jona Euroopan unioni sitoutuu ostamaan tai myymään omaisuuserän. Muut rahavarat ja lainat kirjataan silloin, kun raha talletetaan rahoituslaitokseen tai siirretään lainanottajille. Rahoitusvälineet kirjataan alun perin käypään arvoon. Alkuperäisen kirjaamisen yhteydessä käypään arvoon lisätään transaktiomenot kaikille rahoitusvaroille, joita ei kirjata tulosvaikutteisesti käypään arvoon. Rahoitusvarat, jotka kirjataan tulosvaikutteisesti käypään arvoon, kirjataan alun perin käypään arvoon, ja transaktiomenot kirjataan kuluiksi tuotto- ja kululaskelmaan.</w:t>
      </w:r>
    </w:p>
    <w:p>
      <w:pPr>
        <w:pStyle w:val="DGTextstand-alone"/>
      </w:pPr>
      <w:r>
        <w:t>Rahoitusvaroihin kuuluvan erän käypä arvo on alkuperäisen kirjaamisen yhteydessä yleensä kauppahinta eli saadun vastikkeen käypä arvo, paitsi jos kyseisen rahoitusinstrumentin käyvästä arvosta saadaan näyttöä vertaamalla sitä muihin saman instrumentin todettavissa oleviin sen hetkisiin markkinatapahtumiin taikka sellaisen arvostusmenetelmän perusteella, jonka muuttujat sisältävät vain seurattavissa olevilta markkinoilta saatuja tietoja (esimerkiksi tietyt johdannaissopimukset). Kun myönnetään pitkäaikainen laina, josta ei peritä korkoa tai perittävä korko on markkinakorkoa alhaisempi, lainan käypänä arvona voidaan pitää kaikkien vastaisten rahavirtojen nykyarvoa, joka saadaan diskonttaamalla tulevat rahavirrat vastaavaan luottoluokkaan kuuluvan vastaavan instrumentin vallitsevalla markkinakorolla.</w:t>
      </w:r>
    </w:p>
    <w:p>
      <w:pPr>
        <w:pStyle w:val="DGTextstand-alone"/>
      </w:pPr>
      <w:r>
        <w:t>Myönnetyt lainat arvostetaan nimellisarvoon, jota pidetään lainan käypänä arvona. Tämä johtuu seuraavista syistä:</w:t>
      </w:r>
    </w:p>
    <w:p>
      <w:pPr>
        <w:pStyle w:val="DGTextstand-alone"/>
        <w:numPr>
          <w:ilvl w:val="0"/>
          <w:numId w:val="23"/>
        </w:numPr>
      </w:pPr>
      <w:r>
        <w:t>EU:n lainanannon ”markkinaympäristö” poikkeaa selvästi tavanomaisista pääomamarkkinoista, joilla kaupallisia ja valtioiden joukkovelkakirjoja lasketaan liikkeeseen. Koska lainanantajilla on näillä markkinoilla myös vaihtoehtoisia sijoituskohteita, ne otetaan huomioon markkinahinnoissa. Tätä vaihtoehtoisten sijoitusten mahdollisuutta ei kuitenkaan sovelleta EU:hun, koska se ei saa sijoittaa rahaa pääomamarkkinoille. Se voi ainoastaan ottaa lainaa markkinoilta lainatakseen sen edelleen samoilla ehdoilla. Tämä tarkoittaa sitä, että EU:lla ei ole ottamilleen lainoille vaihtoehtoista lainaus- tai sijoituskohdetta. Tällöin ei ole myöskään vaihtoehtoiskustannusta eikä vertailuperustaa markkinakorkojen kanssa. EU:n lainaustoiminta muodostaa itse asiassa omat markkinat. Koska vaihtoehtoisia sijoituskohteita ei oteta huomioon, markkinahinta ei vastaa asianmukaisesti EU:n lainatransaktioiden sisältöä. Näin ollen EU:n lainanannon käypää arvoa ei voida määrittää suhteessa kaupallisiin tai valtioiden joukkovelkakirjoihin.</w:t>
      </w:r>
    </w:p>
    <w:p>
      <w:pPr>
        <w:pStyle w:val="DGTextstand-alone"/>
        <w:numPr>
          <w:ilvl w:val="0"/>
          <w:numId w:val="23"/>
        </w:numPr>
      </w:pPr>
      <w:r>
        <w:t>Koska vertailukelpoisia toimivia markkinoita tai vastaavia transaktioita ei ole, Euroopan unionin olisi käytettävä perittyä korkoa määrittäessään käypiä arvoja Euroopan rahoituksenvakautusmekanismiin, maksutaselainoihin ja muihin vastaaviin välineisiin liittyvässä lainanannossa.</w:t>
      </w:r>
    </w:p>
    <w:p>
      <w:pPr>
        <w:pStyle w:val="DGTextstand-alone"/>
        <w:numPr>
          <w:ilvl w:val="0"/>
          <w:numId w:val="23"/>
        </w:numPr>
      </w:pPr>
      <w:r>
        <w:t>Koska näissä lainoissa lainanotto ja lainananto toteutetaan yleensä samoin ehdoin (back-to-back), ne kompensoivat toistensa vaikutuksia. Myönnettyjen lainojen efektiivinen korko on tämän vuoksi sama kuin niiden rahoittamiseksi otettujen lainojen korko. EU:lle koituneet transaktiomenot, jotka peritään lainansaajalta, kirjataan suoraan tuotto- ja kululaskelmaan.</w:t>
      </w:r>
    </w:p>
    <w:p>
      <w:pPr>
        <w:pStyle w:val="DGTextstand-alone"/>
      </w:pPr>
      <w:r>
        <w:t>Rahoitusvälineet poistetaan taseesta, kun EU:lla ei enää ole oikeutta saada rahavirtaa sijoituksista tai kun EU on siirtänyt kaikki olennaiset omistajuuteen liittyvät riskit ja edut toiselle osapuolelle.</w:t>
      </w:r>
    </w:p>
    <w:p>
      <w:pPr>
        <w:pStyle w:val="HEADER5"/>
        <w:rPr>
          <w:noProof/>
        </w:rPr>
      </w:pPr>
      <w:r>
        <w:rPr>
          <w:noProof/>
        </w:rPr>
        <w:t>Myöhempi arvostaminen</w:t>
      </w:r>
    </w:p>
    <w:p>
      <w:pPr>
        <w:pStyle w:val="DGTextstand-alone"/>
        <w:numPr>
          <w:ilvl w:val="0"/>
          <w:numId w:val="24"/>
        </w:numPr>
      </w:pPr>
      <w:r>
        <w:t>Tulosvaikutteisesti käypään arvoon kirjattavat rahoitusvarat kirjataan myöhempänä ajankohtana käypään arvoon. Luokkaan ”tulosvaikutteisesti käypään arvoon kirjattavat rahoitusvälineet” kuuluvien erien käyvän arvon muutoksista aiheutuvat voitot ja tappiot kirjataan tuotto- ja kululaskelmaan kaudella, jolla ne syntyvät.</w:t>
      </w:r>
    </w:p>
    <w:p>
      <w:pPr>
        <w:pStyle w:val="DGTextstand-alone"/>
        <w:numPr>
          <w:ilvl w:val="0"/>
          <w:numId w:val="24"/>
        </w:numPr>
      </w:pPr>
      <w:r>
        <w:t>Lainat ja muut saamiset kirjataan jaksotettuun hankintamenoon efektiivisen koron menetelmää soveltaen. Lainatuista varoista myönnetyissä luotoissa samaa efektiivistä korkoa sovelletaan sekä otto- että antolainaukseen, koska kyseiset lainat ovat luonteeltaan ns. back-to-back-operaatioita, eivätkä otto- ja antolainauksen ehdot ja määrät eroa merkittävästi toisistaan. EU:lle koituneet transaktiomenot, jotka peritään lainansaajalta, kirjataan suoraan tuotto- ja kululaskelmaan.</w:t>
      </w:r>
    </w:p>
    <w:p>
      <w:pPr>
        <w:pStyle w:val="DGTextstand-alone"/>
        <w:numPr>
          <w:ilvl w:val="0"/>
          <w:numId w:val="24"/>
        </w:numPr>
      </w:pPr>
      <w:r>
        <w:t>Eräpäivään saakka pidettävät omaisuuserät kirjataan jaksotettuun hankintamenoon efektiivisen koron menetelmää soveltaen. EU:lla ei tällä hetkellä ole eräpäivään asti pidettäviä sijoituksia.</w:t>
      </w:r>
    </w:p>
    <w:p>
      <w:pPr>
        <w:pStyle w:val="DGTextstand-alone"/>
        <w:numPr>
          <w:ilvl w:val="0"/>
          <w:numId w:val="24"/>
        </w:numPr>
      </w:pPr>
      <w:r>
        <w:t>Myytävissä olevat rahoitusvarat kirjataan myöhempänä ajankohtana käypään arvoon. Myytävissä olevien rahoitusvarojen käyvän arvon muutoksista syntyvät voitot ja tappiot kirjataan käyvän arvon rahastoon lukuun ottamatta monetaaristen varojen muuntoeroja, jotka kirjataan tuotto- ja kululaskelmaan. Kun kyseiset omaisuuserät poistetaan taseesta tai niiden arvo alenee, käyvän arvon rahastoon aiemmin merkityt kumulatiiviset käyvän arvon oikaisut kirjataan tuotto- ja kululaskelmaan. Efektiivisen koron menetelmällä laskettu myytävissä olevien rahoitusvarojen tuottama korko kirjataan tuotto- ja kululaskelmaan. Myytävissä olevista oman pääoman ehtoisista instrumenteista saatavat osingot kirjataan silloin, kun EU:n oikeus saada maksuja syntyy.</w:t>
      </w:r>
    </w:p>
    <w:p>
      <w:pPr>
        <w:pStyle w:val="DGTextstand-alone"/>
      </w:pPr>
      <w:r>
        <w:t xml:space="preserve">Toimivilla markkinoilla noteerattavien sijoitusten käyvät arvot perustuvat voimassa oleviin ostokursseihin. Jos rahoitusvaroihin kuuluvalla erällä ei ole toimivia markkinoita, arvopaperi on noteeraamaton tai kyseessä on OTC-johdannainen, EU määrittää käyvän arvon arvostusmenetelmien avulla. Näihin menetelmiin kuuluvat muun muassa vertailu toisistaan riippumattomien osapuolten välisiin viimeaikaisiin liiketoimiin ja muihin keskeisiltä osiltaan vastaaviin instrumentteihin, diskontattujen rahavirtojen analysointi, optionhinnoittelumallit sekä muut markkinatoimijoiden yleisesti käyttämät arvostusmenetelmät. </w:t>
      </w:r>
    </w:p>
    <w:p>
      <w:pPr>
        <w:pStyle w:val="DGTextstand-alone"/>
      </w:pPr>
      <w:r>
        <w:t>Riskipääomarahastoihin tehdyt sijoitukset, jotka on luokiteltu myytävissä oleviksi rahoitusvaroiksi ja joilla ei ole noteerattua markkinahintaa toimivilla markkinoilla, arvostetaan osuudenomistajille kuuluvien varojen tilinpäätöspäivän nettoarvoon, jonka katsotaan vastaavan niiden käypää arvoa.</w:t>
      </w:r>
    </w:p>
    <w:p>
      <w:pPr>
        <w:pStyle w:val="DGTextstand-alone"/>
      </w:pPr>
      <w:r>
        <w:t>Jos sellaisiin oman pääoman ehtoisiin instrumentteihin, joita ei noteerata toimivilla markkinoilla, tehtyjen sijoitusten käypää arvoa ei voida luotettavasti määrittää, nämä sijoitukset arvostetaan hankintamenoon, josta on vähennetty arvonalentumistappiot.</w:t>
      </w:r>
    </w:p>
    <w:p>
      <w:pPr>
        <w:pStyle w:val="HEADER5"/>
        <w:rPr>
          <w:b/>
          <w:noProof/>
        </w:rPr>
      </w:pPr>
      <w:r>
        <w:rPr>
          <w:noProof/>
        </w:rPr>
        <w:t>Rahoitusvarojen arvon alentuminen</w:t>
      </w:r>
    </w:p>
    <w:p>
      <w:pPr>
        <w:pStyle w:val="DGTextstand-alone"/>
      </w:pPr>
      <w:r>
        <w:t>Rahoitusvaroihin kuuluvan erän arvo on alentunut ja tappio kirjataan ainoastaan siinä tapauksessa, että arvonalentumisesta on objektiivista näyttöä yhden tai useamman, omaisuuserän alkuperäisen kirjaamisen jälkeen toteutuneen tapahtuman seurauksena ja että tappion synnyttävällä tapahtumalla (tai tapahtumilla) on luotettavasti arvioitavissa oleva vaikutus rahoitusvaroihin kuuluvan erän arvioituihin vastaisiin rahavirtoihin. EU arvioi jokaisena tilinpäätöspäivänä, onko objektiivista näyttöä siitä, että rahoitusvaroihin kuuluvan erän arvo on alentunut.</w:t>
      </w:r>
    </w:p>
    <w:p>
      <w:pPr>
        <w:pStyle w:val="TextSubtitleItalicnumberinglettera"/>
        <w:rPr>
          <w:noProof/>
        </w:rPr>
      </w:pPr>
      <w:r>
        <w:rPr>
          <w:noProof/>
        </w:rPr>
        <w:t>Jaksotettuun hankintamenoon taseeseen merkittävät omaisuuserät</w:t>
      </w:r>
    </w:p>
    <w:p>
      <w:pPr>
        <w:pStyle w:val="DGTextstand-alone"/>
      </w:pPr>
      <w:r>
        <w:t>Jos on objektiivista näyttöä siitä, että jaksotettuun hankintamenoon taseeseen merkityistä lainoista ja muista saamisista tai eräpäivään asti pidettävistä sijoituksista on syntynyt arvonalentumistappiota, tappion suuruus määritetään kyseisen rahoitusvaroihin kuuluvan erän kirjanpitoarvon ja sen alkuperäisellä efektiivisellä korolla diskontattujen arvioitujen vastaisten rahavirtojen nykyarvon erotuksena (ottamatta huomioon vastaisia, vielä toteutumattomia luottotappioita). Omaisuuserän kirjanpitoarvoa alennetaan ja tappion määrä kirjataan tuotto- ja kululaskelmaan. Jos lainan tai eräpäivään asti pidettävän sijoituksen korko on vaihtuva, arvonalentumistappiota määritettäessä diskonttauskorkona käytetään sopimuksen perusteella määräytyvää tarkasteluhetken efektiivistä korkoa. Rahoitusvaroihin kuuluvan vakuudellisen erän arvioitujen vastaisten rahavirtojen nykyarvon laskennassa otetaan huomioon rahavirrat, jotka mahdollisesti saadaan vakuuden realisoinnin seurauksena, vähennettyinä vakuuden haltuunotosta ja myynnistä aiheutuvilla menoilla riippumatta siitä, onko vakuuden realisointi todennäköistä vai ei. Jos arvonalentumistappion määrä pienenee jollakin myöhemmällä kaudella ja vähennyksen voidaan objektiivisesti katsoa liittyvän arvonalentumisen kirjaamisen jälkeiseen tapahtumaan, aikaisemmin kirjattu arvonalentumistappio peruutetaan tulosvaikutteisesti.</w:t>
      </w:r>
    </w:p>
    <w:p>
      <w:pPr>
        <w:pStyle w:val="TextSubtitleItalicnumberinglettera"/>
        <w:rPr>
          <w:noProof/>
        </w:rPr>
      </w:pPr>
      <w:r>
        <w:rPr>
          <w:noProof/>
        </w:rPr>
        <w:t>Käypään arvoon taseeseen merkittävät omaisuuserät</w:t>
      </w:r>
    </w:p>
    <w:p>
      <w:pPr>
        <w:pStyle w:val="DGTextstand-alone"/>
      </w:pPr>
      <w:r>
        <w:t>Kun on kyse myytävissä oleviksi rahoitusvaroiksi luokitelluista oman pääoman ehtoisista sijoituksista, arvopaperin käyvän arvon huomattava tai pysyvä (pitkittynyt) alentuminen alle hankintamenon otetaan huomioon määritettäessä sitä, onko arvopaperien arvo alentunut. Jos tällaista näyttöä on myytävissä olevien rahoitusvarojen osalta, kumulatiivinen tappio poistetaan rahastoista ja kirjataan tuotto- ja kululaskelmaan. Kumulatiivinen tappio lasketaan seuraavien erien erotuksena: hankintameno ja tarkasteluhetken käypä arvo, vähennettynä kyseisestä rahoitusvaroihin kuuluvasta erästä aikaisemmin tuotto- ja kululaskelmaan kirjatuilla arvonalentumistappioilla. Oman pääoman ehtoisten instrumenttien tulosvaikutteisesti kirjattuja arvonalentumistappioita ei peruuteta tulosvaikutteisesti. Jos myytävissä oleviksi rahoitusvaroiksi luokitellun vieraan pääoman ehtoisen instrumentin käypä arvo nousee myöhemmällä kaudella ja jos nousun voidaan objektiivisesti katsoa liittyvän arvonalentumistappion kirjaamisen jälkeiseen tapahtumaan, arvonalentumistappio peruutetaan tulosvaikutteisesti.</w:t>
      </w:r>
    </w:p>
    <w:p>
      <w:pPr>
        <w:pStyle w:val="HEADER3NOTES"/>
        <w:rPr>
          <w:noProof/>
        </w:rPr>
      </w:pPr>
      <w:r>
        <w:rPr>
          <w:noProof/>
        </w:rPr>
        <w:t>Vaihto-omaisuus</w:t>
      </w:r>
    </w:p>
    <w:p>
      <w:pPr>
        <w:pStyle w:val="DGTextstand-alone"/>
        <w:spacing w:after="0"/>
      </w:pPr>
      <w:r>
        <w:t>Vaihto-omaisuus arvostetaan hankintamenoon tai nettorealisointiarvoon sen mukaan, kumpi näistä arvioista on pienempi. Hankintamenoa määritettäessä käytetään FIFO-menetelmää. Valmiiden tuotteiden ja keskeneräisen tuotannon hankintameno muodostuu raaka-aineista, välittömistä työsuorituksista johtuvista menoista, muista suoraan kohdistettavissa olevista menoista sekä valmistuksen yleismenoista, jotka perustuvat normaaliin toiminta-asteeseen. Nettorealisointiarvo on tavanomaisessa liiketoiminnassa saatava arvioitu myyntihinta, josta on vähennetty valmiiksi saattamisesta ja myynnistä johtuvat menot. Jos vaihto-omaisuutta säilytetään luovutettavaksi veloituksetta tai nimellistä veloitusta vastaan, se arvostetaan hankintamenoon tai jälleenhankintahintaan, sen mukaan kumpi näistä arvoista on pienempi. Jälleenhankintahinta on hinta, jonka EU maksaisi hankkiessaan omaisuuserän tilinpäätöspäivänä.</w:t>
      </w:r>
    </w:p>
    <w:p>
      <w:pPr>
        <w:pStyle w:val="HEADER3NOTES"/>
        <w:rPr>
          <w:noProof/>
        </w:rPr>
      </w:pPr>
      <w:r>
        <w:rPr>
          <w:noProof/>
        </w:rPr>
        <w:t>Ennakkomaksut</w:t>
      </w:r>
    </w:p>
    <w:p>
      <w:pPr>
        <w:pStyle w:val="DGTextstand-alone"/>
      </w:pPr>
      <w:r>
        <w:t xml:space="preserve">Ennakkomaksun tarkoituksena on tarjota tuensaajalle käteisvaroja. Ennakkomaksu voidaan suorittaa useammassa erässä asianomaisessa sopimuksessa, päätöksessä tai perussäädöksessä kulloinkin määrätyllä ajanjaksolla. Ennakkomaksu joko käytetään tiettyyn tarkoitukseen sopimuksessa määrättynä ajanjaksona tai maksetaan takaisin. Jos tuensaajalle ei aiheudu tukikelpoisia menoja, ennakkomaksu on palautettava EU:lle. Tukikelpoisten kustannusten hyväksyminen (jolloin ne kirjataan kuluksi) voi johtaa ennakkomaksun määrän vähentämiseen tai poistamiseen kokonaan. </w:t>
      </w:r>
    </w:p>
    <w:p>
      <w:pPr>
        <w:pStyle w:val="DGTextstand-alone"/>
      </w:pPr>
      <w:r>
        <w:t xml:space="preserve">Myöhempinä tilinpäätöspäivinä ennakkomaksut arvostetaan alun perin taseeseen kirjattuun määrään, josta on vähennetty tilikauden aikana aiheutuneet tukikelpoiset menot (mukaan lukien tarvittaessa arvioidut määrät). </w:t>
      </w:r>
    </w:p>
    <w:p>
      <w:pPr>
        <w:pStyle w:val="DGTextstand-alone"/>
      </w:pPr>
      <w:r>
        <w:t>Ennakkomaksujen tuottamat korot kirjataan sitä mukaa kuin ne kertyvät ja asianomaisen sopimuksen määräysten mukaisesti. Kertynyt korkotuotto arvioidaan mahdollisimman luotettavien tietojen perusteella vuoden lopussa ja merkitään taseeseen.</w:t>
      </w:r>
    </w:p>
    <w:p>
      <w:pPr>
        <w:pStyle w:val="DGTextstand-alone"/>
      </w:pPr>
      <w:r>
        <w:t>Muut jäsenvaltioille suoritettavat ennakot, joilla EU korvaa jäsenvaltioille ennakkomaksut, jotka ne ovat suorittaneet tuensaajille (ml. yhteistyössä hallinnoitavat rahoitusvälineet) kirjataan varoiksi ja merkitään kirjanpidossa ennakkomaksuiksi. Myöhemmin muut ennakot jäsenvaltioille arvostetaan alun perin taseeseen kirjattuun määrään, josta on vähennetty kohtuullisten ja perusteltavissa olevien oletusten pohjalta muodostettu paras arvio lopullisille tuensaajille aiheutuneista tukikelpoisista menoista.</w:t>
      </w:r>
    </w:p>
    <w:p>
      <w:pPr>
        <w:pStyle w:val="DGTextstand-alone"/>
      </w:pPr>
      <w:r>
        <w:t>EU:n rahoitusosuudet Euroopan kehitysrahaston tai muiden konsolidoinnin ulkopuolisten yhteisöjen erityisrahastoihin luokitellaan myös ennakkomaksuiksi, koska niiden tarkoituksena on tarjota erityisrahastolle käteisvaroja, jotta se voisi rahoittaa tavoitteissaan määriteltyjä erityistoimia. EU:n rahoitusosuudet erityisrahastoihin arvostetaan EU:n rahoitusosuuden alkuperäiseen määrään, josta vähennetään tukikelpoiset menot (ja tarvittaessa myös arvioidut määrät), jotka ovat syntyneet erityisrahastolle raportointikauden aikana ja jotka on kohdennettu EU:n rahoitusosuuteen asianomaisen sopimuksen mukaisesti.</w:t>
      </w:r>
    </w:p>
    <w:p>
      <w:pPr>
        <w:pStyle w:val="HEADER3NOTES"/>
        <w:rPr>
          <w:noProof/>
        </w:rPr>
      </w:pPr>
      <w:r>
        <w:rPr>
          <w:noProof/>
        </w:rPr>
        <w:t>Saamiset vaihtoon perustuvista transaktioista ja kerrytettävissä olevat rahamäärät muista kuin vaihtoon perustuvista transaktioista</w:t>
      </w:r>
    </w:p>
    <w:p>
      <w:pPr>
        <w:pStyle w:val="DGTextstand-alone"/>
      </w:pPr>
      <w:r>
        <w:t>EU:n tilinpäätössäännöissä edellytetään, että vaihtoon perustuvat ja muut kuin vaihtoon perustuvat transaktiot esitetään erikseen. Tämän vuoksi tilinpäätöstä laadittaessa saamisten määritellään syntyvän vaihtoon perustuvista transaktioista ja kerrytettävissä olevien rahamäärien muista kuin vaihtoon perustuvista transaktioista. Viimeksi mainitut transaktiot ovat sellaisia, joissa EU saa arvoa toiselta yhteisöltä antamatta sille suoraan vastineeksi suunnilleen samaa arvoa (esimerkiksi omiin varoihin liittyvät kerrytettävissä olevat rahamäärät jäsenvaltioilta).</w:t>
      </w:r>
    </w:p>
    <w:p>
      <w:pPr>
        <w:pStyle w:val="DGTextstand-alone"/>
      </w:pPr>
      <w:r>
        <w:t xml:space="preserve">Saamiset vaihtoon perustuvista transaktioista ovat rahoitusvälineiden määritelmän mukaisia. Näin ollen ne luokitellaan lainoiksi ja muiksi saamisiksi, ja niiden määrä lasketaan vastaavasti (ks. liitetieto </w:t>
      </w:r>
      <w:r>
        <w:rPr>
          <w:b/>
        </w:rPr>
        <w:t>1.5.5</w:t>
      </w:r>
      <w:r>
        <w:t>). Rahoitusvälineitä koskeviin liitetietoihin, jotka liittyvät saamisiin vaihtoon perustuvista transaktioista, sisältyvät vaihtoon perustuvista transaktioista aiheutuvat tulojäämät ja menoennakot, koska ne ovat vähäisiä. Lisäksi kirjataan aiempaan kokemukseen perustuva yleinen arvonalentuminen sellaisista voimassa olevista perintämääräyksistä, joista ei ole vielä tehty erillistä arvonalentumiskirjausta.</w:t>
      </w:r>
    </w:p>
    <w:p>
      <w:pPr>
        <w:pStyle w:val="DGTextstand-alone"/>
        <w:spacing w:after="0"/>
      </w:pPr>
      <w:r>
        <w:t xml:space="preserve">Kerrytettävissä olevat rahamäärät muista kuin vaihtoon perustuvista transaktioista kirjataan koroilla ja muilla seuraamusmaksuilla oikaistuun alkuperäiseen määräänsä, josta on vähennetty mahdollinen arvon alentuminen. Kerrytettävissä olevien rahamäärien arvon alentuminen todetaan muiden kuin vaihtoon perustuvien transaktioiden osalta silloin, kun on objektiivista näyttöä siitä, ettei EU pysty perimään kaikkia kerrytettävissä olevia rahamääriä muiden kuin vaihtoon perustuvien transaktioiden alkuperäisten ehtojen mukaisesti. Arvon alentumisena kirjattava määrä on omaisuuserän kirjanpitoarvon ja kerrytettävissä olevan rahamäärän erotus. Arvon alentumista vastaava määrä kirjataan tuotto- ja kululaskelmaan. Lisäksi kirjataan aiempaan kokemukseen perustuva yleinen arvonalentuminen sellaisista voimassa olevista perintämääräyksistä, joista ei ole vielä tehty erillistä arvonalentumiskirjausta. Ks. liitetieto </w:t>
      </w:r>
      <w:r>
        <w:rPr>
          <w:b/>
        </w:rPr>
        <w:t>1.5.14</w:t>
      </w:r>
      <w:r>
        <w:t>, joka koskee vuoden lopussa kirjattavien tulojäämien käsittelyä. Määrät, jotka esitetään muista kuin vaihtoon perustuvista transaktioista kerrytettävissä olevina rahamäärinä, eivät ole rahoitusvälineitä, koska ne eivät perustu sopimukseen, joka synnyttää rahoitusvelan tai oman pääoman ehtoisen instrumentin. Tästä huolimatta muista kuin vaihtoon perustuvista transaktioista kerrytettävissä olevat rahamäärät esitetään tilinpäätöksen liitetiedoissa tarpeen mukaan yhdessä vaihtoon perustuvista transaktioista syntyvien saamisten kanssa.</w:t>
      </w:r>
    </w:p>
    <w:p>
      <w:pPr>
        <w:pStyle w:val="HEADER3NOTES"/>
        <w:rPr>
          <w:noProof/>
        </w:rPr>
      </w:pPr>
      <w:r>
        <w:rPr>
          <w:noProof/>
        </w:rPr>
        <w:t>Käteisvarat ja muut rahavarat</w:t>
      </w:r>
    </w:p>
    <w:p>
      <w:pPr>
        <w:pStyle w:val="DGTextstand-alone"/>
      </w:pPr>
      <w:r>
        <w:t>Käteisvarat ja muut rahavarat ovat rahoitusinstrumentteja. Niihin kuuluvat muun muassa käteinen raha, pankeissa olevat vaadittaessa tai lyhyellä varoitusajalla maksettavat talletukset sekä muut lyhytaikaiset, enintään kolmen kuukauden kuluessa erääntyvät erittäin likvidit sijoitukset.</w:t>
      </w:r>
    </w:p>
    <w:p>
      <w:pPr>
        <w:pStyle w:val="HEADER3NOTES"/>
        <w:rPr>
          <w:noProof/>
        </w:rPr>
      </w:pPr>
      <w:r>
        <w:rPr>
          <w:noProof/>
        </w:rPr>
        <w:t>Työsuhde-etuudet</w:t>
      </w:r>
    </w:p>
    <w:p>
      <w:pPr>
        <w:pStyle w:val="DGTextstand-alone"/>
      </w:pPr>
      <w:r>
        <w:t xml:space="preserve">Työsuhde-etuuksia koskevia tilinpäätösperiaatteita on päivitetty tarkistetun tilinpäätössäännön nro 12 ”Työsuhde-etuudet” vaatimusten mukaisesti. Tarkistettu tilinpäätössääntö on voimassa 1. tammikuuta 2018 tai sen jälkeen alkaneiden tilikausien osalta, ja se perustuu heinäkuussa 2016 julkaistuun uuteen IPSAS 39 </w:t>
      </w:r>
      <w:r>
        <w:noBreakHyphen/>
        <w:t>standardiin (Työsuhde-etuudet). Tärkein tilinpäätössäännön nro 12 tarkistuksesta aiheutuva muutos on se, että vakuutusmatemaattiset voitot ja tappiot esitetään nettovarojen muutoksina eikä tuotto- ja kululaskelmassa.</w:t>
      </w:r>
    </w:p>
    <w:p>
      <w:pPr>
        <w:pStyle w:val="DGTextstand-alone"/>
      </w:pPr>
      <w:r>
        <w:t>Etuuspohjaisten järjestelyjen kirjanpitokäsittely on monimutkaista, koska velvoitteen määrittämiseen tarvitaan vakuutusmatemaattisia oletuksia ja harkintaan perustuvia ratkaisuja. Soveltaessaan tarkistettua tilinpäätössääntöä EU on arvioinut uudelleen käytettyjä harkintaan perustuvia ratkaisuja erityisesti työntekijöihin kohdistuvan etuuden lopullisten kustannusten arvioinnin osalta. Tämän seurauksena vahvistettiin, että työntekijän arvioitua aktiivista palveluksessaoloaikaa on asianmukaista käyttää perustana määritettäessä palveluksessaoloaikojen etuuksia. Etuudet, joihin EU:n työntekijöillä on oikeus, myönnetään yhdestä yhteisestä järjestelmästä, joka on jaettu kahteen alajärjestelmään. Etuuksia on kohdeltava samalla tavalla, jotta tilanteesta esitetään tasapuolinen kuva ja jotta esitetty kuva vastaa taloudellista todellisuutta.</w:t>
      </w:r>
    </w:p>
    <w:p>
      <w:pPr>
        <w:pStyle w:val="DGTextstand-alone"/>
      </w:pPr>
      <w:r>
        <w:t>EU tarjoaa työntekijöille tiettyjä etuuksia (palkat ja sosiaaliturva). Kirjanpidossa nämä on luokiteltava lyhytaikaisiin työsuhde-etuuksiin ja työsuhteen päättymisen jälkeisiin etuuksiin.</w:t>
      </w:r>
    </w:p>
    <w:p>
      <w:pPr>
        <w:pStyle w:val="HEADER5"/>
        <w:rPr>
          <w:b/>
          <w:noProof/>
        </w:rPr>
      </w:pPr>
      <w:r>
        <w:rPr>
          <w:noProof/>
        </w:rPr>
        <w:t>Lyhytaikaiset työsuhde-etuudet</w:t>
      </w:r>
    </w:p>
    <w:p>
      <w:pPr>
        <w:pStyle w:val="DGTextstand-alone"/>
      </w:pPr>
      <w:r>
        <w:t>Lyhytaikaiset työsuhde-etuudet ovat etuuksia, jotka on määrä maksaa viimeistään 12 kuukauden kuluttua sen raportointikauden päättymisestä, jonka aikana työntekijät tekivät työsuorituksen. Tällaisia etuuksia ovat esimerkiksi palkat, vuosilomat, palkalliset sairauslomat ja muut lyhytaikaiset korvaukset. Lyhytaikaiset työsuhde-etuudet kirjataan kuluiksi, kun asianomainen työsuoritus tehdään. Velkaa kirjataan siihen määrään asti, joka todennäköisesti maksetaan, jos EU:lla on työntekijän aiemman työsuorituksen seurauksena olemassa oleva oikeudellinen tai tosiasiallinen maksuvelvoite ja velvoite on arvioitavissa luotettavasti.</w:t>
      </w:r>
    </w:p>
    <w:p>
      <w:pPr>
        <w:pStyle w:val="HEADER5"/>
        <w:rPr>
          <w:b/>
          <w:noProof/>
        </w:rPr>
      </w:pPr>
      <w:r>
        <w:rPr>
          <w:noProof/>
        </w:rPr>
        <w:t>Työsuhteen päättymisen jälkeiset etuudet</w:t>
      </w:r>
    </w:p>
    <w:p>
      <w:pPr>
        <w:pStyle w:val="DGTextstand-alone"/>
      </w:pPr>
      <w:r>
        <w:t>EU myöntää työntekijöille tiettyjä työsuhteen päättymisen jälkeisiä etuuksia, joita ovat muun muassa vanhuus-, perhe- ja työkyvyttömyyseläkkeet sekä sairausvakuutus (ks. liitetieto </w:t>
      </w:r>
      <w:r>
        <w:rPr>
          <w:b/>
        </w:rPr>
        <w:t>2.9</w:t>
      </w:r>
      <w:r>
        <w:t xml:space="preserve">). </w:t>
      </w:r>
    </w:p>
    <w:p>
      <w:pPr>
        <w:pStyle w:val="DGTextstand-alone"/>
      </w:pPr>
      <w:r>
        <w:t xml:space="preserve">EU tarjoaa henkilöstölleen työsuhteen päättymisen jälkeisen etuusjärjestelmän, johon sisältyvät seuraavat: </w:t>
      </w:r>
    </w:p>
    <w:p>
      <w:pPr>
        <w:pStyle w:val="DGTextstand-alone"/>
        <w:numPr>
          <w:ilvl w:val="0"/>
          <w:numId w:val="25"/>
        </w:numPr>
      </w:pPr>
      <w:r>
        <w:t>Euroopan unionin virkamiesten eläkejärjestelmä (Pension Scheme of European Officials, PSEO): Tästä laskennallisesti rahoitetusta</w:t>
      </w:r>
      <w:r>
        <w:rPr>
          <w:rStyle w:val="FootnoteReference"/>
        </w:rPr>
        <w:footnoteReference w:id="12"/>
      </w:r>
      <w:r>
        <w:t xml:space="preserve"> järjestelmästä myönnetyt etuudet liittyvät vanhuus-, työkyvyttömyys- ja perhe-eläkkeisiin sekä perhe-etuuksiin tai kuolemaan ennen eläkkeelle jäämistä. Etuuksia sovelletaan EU:n toimielimissä, virastoissa ja muissa EU:n elimissä työskenteleviin tai työskennelleisiin työntekijöihin tai menehtyneiden virkamiesten tai eläkkeensaajien perheenjäseniin. Henkilöstö maksaa palkastaan kolmanneksen näiden etuuksien aiheuttamista arvioiduista kustannuksista. </w:t>
      </w:r>
    </w:p>
    <w:p>
      <w:pPr>
        <w:pStyle w:val="DGTextstand-alone"/>
        <w:numPr>
          <w:ilvl w:val="0"/>
          <w:numId w:val="25"/>
        </w:numPr>
      </w:pPr>
      <w:r>
        <w:t>Yhteinen sairausvakuutusjärjestelmä (JSIS): EU tarjoaa tämän järjestelmän mukaisesti terveydenhuollon Euroopan komission, toimielinten, virastojen ja muiden elinten henkilöstölle korvaamalla sairauskulut. Etuudet, jotka myönnetään tästä järjestelmästä muille edunsaajille kuin nykyisille työntekijöille (kuten eläkeläiset ja orvot), luokitellaan ”työsuhteen päättymisen jälkeisiksi etuuksiksi”.</w:t>
      </w:r>
    </w:p>
    <w:p>
      <w:pPr>
        <w:pStyle w:val="DGTextstand-alone"/>
      </w:pPr>
      <w:r>
        <w:t xml:space="preserve">Lisäksi EU tarjoaa työsuhteen päättymisen jälkeisiä etuuksia EU:n toimielinten jäsenille erillisten eläkejärjestelmien välityksellä. Nämä esitetään kohdassa ”Muut eläke-etuusjärjestelmät”. Näiden järjestelmien mukaisesti EU tarjoaa eläke-etuuksia komission, unionin tuomioistuimen ja yleisen tuomioistuimen, tilintarkastustuomioistuimen, neuvoston, Euroopan parlamentin, oikeusasiamiehen, tietosuojavaltuutetun ja virkamiestuomioistuimen jäsenille. EU tarjoaa sairausvakuutusturvan EU:n toimielinten jäsenille yhteisen sairausvakuutusjärjestelmän kautta. </w:t>
      </w:r>
    </w:p>
    <w:p>
      <w:pPr>
        <w:pStyle w:val="DGTextstand-alone"/>
      </w:pPr>
      <w:r>
        <w:t>Edellä mainitut työsuhteen päättymisen jälkeiset etuudet luokitellaan EU:n etuuspohjaisiksi velvoitteiksi. Ne lasketaan tilinpäätöspäivänä arvioimalla työntekijöiden tarkasteltavana olevan kauden ja aikaisempien kausien aikana ansaitsemien tulevien etuuksien määrä, diskonttaamalla kyseinen määrä ja vähentämällä järjestelyn mahdollisten varojen käypä arvo. Etuuspohjaisesta järjestelystä johtuvan velvoitteen arvo lasketaan vuosittain soveltamalla ennakoituun etuusoikeusyksikköön perustuvaa menetelmää. Velvoitteen nykyarvo määritetään diskonttaamalla järjestelystä maksettavat arvioidut tulevat rahavirrat käyttämällä maksettavien etuuksien kanssa saman valuutan määräisten valtion joukkovelkakirjalainojen korkoja, joiden erääntymisaika vastaa suunnilleen eläkevastuun erääntymisaikaa.</w:t>
      </w:r>
    </w:p>
    <w:p>
      <w:pPr>
        <w:pStyle w:val="DGTextstand-alone"/>
      </w:pPr>
      <w:r>
        <w:t xml:space="preserve">EU:n henkilöstölle myönnettävät työsuhteen päättymisen jälkeiset etuudet sisällytetään yhteen yhteiseen järjestelmään, joka kattaa sekä eläkejärjestelmän (PSEO) että sairausvakuutusjärjestelmän (JSIS). Oikeus JSIS-järjestelmän mukaiseen vakuutusturvaan edellyttää oikeutta PSEO-järjestelmän mukaiseen suojaan. Tämän henkilöstösäännöissä vahvistetun yhden yhteisen järjestelmän mukaan tietyt oikeudet, kuten oikeus siirrettyyn tai vähennettyyn eläkkeeseen PSEO-järjestelmän nojalla, saavutetaan 10 vuoden palveluksessaolon jälkeen. Työntekijän tämän jälkeen palveluksessaoloaikanaan yhdessä yhteisessä järjestelmässä ansaitsemat oikeudet ovat kuitenkin selvästi suuremmat kuin edellä tarkoitetut ensimmäiset oikeudet, kuten vuosittain karttuvat eläkeoikeudet osoittavat. </w:t>
      </w:r>
    </w:p>
    <w:p>
      <w:pPr>
        <w:pStyle w:val="DGTextstand-alone"/>
      </w:pPr>
      <w:r>
        <w:t>Sekä EU:n tilinpäätössäännössä nro 1 että IPSAS-standardien käsitteellisessä viitekehyksessä todetaan, että tilinpäätösraportoinnin laadullisiin ominaisuuksiin kuuluu todenmukaisen kuvan antaminen, mikä edellyttää tilien perustana olevien toimien taloudellisen sisällön kuvaamista. Jotta näin voidaan toimia, aiheutunut rahoituskustannus kerrytetään tasaerinä henkilöstön arvioidun aktiivisen palveluksessaoloajan aikana. Kyseinen kausi alkaa päivästä, jona työntekijän työsuoritus johtaa ensimmäistä kertaa etuuksiin järjestelmän nojalla (riippumatta siitä, onko etuuksien ehtona työsuorituksen jatkuminen), ja päättyy päivään, jona työntekijän työsuorituksen jatkumisesta ei aiheudu huomattavaa määrää uusia etuuksia järjestelmän nojalla, lukuun ottamatta myöhempiä palkankorotuksia. Tätä menetelmää sovelletaan johdonmukaisesti etuuksiin, jotka myönnetään yhdestä yhteisestä järjestelmästä.</w:t>
      </w:r>
    </w:p>
    <w:p>
      <w:pPr>
        <w:pStyle w:val="DGTextstand-alone"/>
      </w:pPr>
      <w:r>
        <w:t xml:space="preserve">Etuuspohjaisen nettovelan uudelleenarvostukset kattavat vakuutusmatemaattiset voitot ja tappiot sekä järjestelyn varojen tuotot, ja ne kirjataan välittömästi nettovaroihin. </w:t>
      </w:r>
    </w:p>
    <w:p>
      <w:pPr>
        <w:pStyle w:val="DGTextstand-alone"/>
      </w:pPr>
      <w:r>
        <w:t>EU kirjaa nettokorkokulut (tuotot) ja muut etuuspohjaisiin järjestelyihin liittyvät kulut tuotto- ja kululaskelman kohtaan ”Henkilöstö- ja eläkekulut”.</w:t>
      </w:r>
    </w:p>
    <w:p>
      <w:pPr>
        <w:pStyle w:val="DGTextstand-alone"/>
      </w:pPr>
      <w:r>
        <w:t>Jos tarjottuja etuuksia muutetaan tai rajoitetaan, aiempaan työsuoritukseen liittyviin etuuksiin tästä aiheutuva muutos tai rajoituksesta aiheutuva voitto tai tappio kirjataan välittömästi tuotto- ja kululaskelmaan. Velvoitteen täyttämisestä johtuvat voitot ja tappiot kirjataan, kun velvoite täytetään. Aiempaan työsuoritukseen perustuvat menot kirjataan välittömästi tuotto- ja kululaskelmaan, paitsi jos muutosten edellytyksenä on, että työntekijät pysyvät palveluksessa määrätyn ajan.</w:t>
      </w:r>
    </w:p>
    <w:p>
      <w:pPr>
        <w:pStyle w:val="HEADER3NOTES"/>
        <w:rPr>
          <w:noProof/>
        </w:rPr>
      </w:pPr>
      <w:r>
        <w:rPr>
          <w:noProof/>
        </w:rPr>
        <w:t>Varaukset</w:t>
      </w:r>
    </w:p>
    <w:p>
      <w:pPr>
        <w:pStyle w:val="DGTextstand-alone"/>
      </w:pPr>
      <w:r>
        <w:t>Varaus kirjataan silloin, kun EU:lla on aikaisempien tapahtumien seurauksena olemassa oleva oikeudellinen tai tosiasiallinen velvoite kolmansia kohtaan, kun on todennäköistä, että velvoitteen täyttäminen edellyttää resurssien siirtymistä pois unionista ja kun velvoitteen määrä on arvioitavissa luotettavasti. Vastaisia toiminnan tappioita varten ei tehdä varauksia. Kirjattava varaus on paras arvio olemassa olevan velvoitteen täyttämisen edellyttämistä menoista tilinpäätöspäivänä. Jos varaukseen liittyy suuri määrä eriä, velvoite arvioidaan painottamalla mahdolliset tulemat niihin liittyvillä todennäköisyyksillä (ns. odotusarvomenetelmä).</w:t>
      </w:r>
    </w:p>
    <w:p>
      <w:pPr>
        <w:pStyle w:val="DGTextstand-alone"/>
      </w:pPr>
      <w:r>
        <w:t>Tappiollisia sopimuksia koskevat varaukset arvostetaan sopimuksen päättämisen arvioitujen kustannusten nykyarvoon tai sopimuksen jatkamisen arvioitujen nettokustannusten nykyarvoon sen mukaan, kumpi niistä on pienempi.</w:t>
      </w:r>
    </w:p>
    <w:p>
      <w:pPr>
        <w:pStyle w:val="HEADER3NOTES"/>
        <w:rPr>
          <w:noProof/>
        </w:rPr>
      </w:pPr>
      <w:r>
        <w:rPr>
          <w:noProof/>
        </w:rPr>
        <w:t>Rahoitusvelat</w:t>
      </w:r>
    </w:p>
    <w:p>
      <w:pPr>
        <w:pStyle w:val="DGTextstand-alone"/>
      </w:pPr>
      <w:r>
        <w:t>Rahoitusvelat luokitellaan tulosvaikutteisesti käypään arvoon kirjattaviksi rahoitusveloiksi tai jaksotettuun hankintamenoon taseeseen merkittäviksi rahoitusveloiksi (lainat) tai rahoitusvakuuksiin liittyviksi veloiksi.</w:t>
      </w:r>
    </w:p>
    <w:p>
      <w:pPr>
        <w:pStyle w:val="DGTextstand-alone"/>
      </w:pPr>
      <w:r>
        <w:t>Lainoja ovat lainat luottolaitoksilta ja velkakirjalainat. Lainat kirjataan alun perin käypään arvoon, joka on saatu rahamäärä (saadun vastikkeen käypä arvo), josta on vähennetty transaktiomenot. Myöhemmässä vaiheessa ne kirjataan jaksotettuun hankintamenoon efektiivisen koron menetelmää soveltaen. Saadun rahamäärän, josta on vähennetty transaktiomenot, ja lunastusarvon välinen mahdollinen erotus kirjataan tuotto- ja kululaskelmaan laina-aikana efektiivisen koron menetelmää soveltaen. Lainatuista varoista myönnetyissä luotoissa efektiivisen koron menetelmää ei olennaisuusseikkojen vuoksi saa soveltaa otto- ja antolainaukseen. EU:lle koituneet transaktiomenot, jotka peritään lainansaajalta, kirjataan suoraan tuotto- ja kululaskelmaan.</w:t>
      </w:r>
    </w:p>
    <w:p>
      <w:pPr>
        <w:pStyle w:val="DGTextstand-alone"/>
      </w:pPr>
      <w:r>
        <w:t>Tulosvaikutteisesti käypään arvoon kirjattavat rahoitusvelat sisältävät johdannaiset, joiden käypä arvo on negatiivinen. Niitä käsitellään kirjanpidossa kuten tulosvaikutteisesti käypään arvoon kirjattavia rahoitusvaroja (ks. liitetieto</w:t>
      </w:r>
      <w:r>
        <w:rPr>
          <w:b/>
        </w:rPr>
        <w:t xml:space="preserve"> 1.5.5</w:t>
      </w:r>
      <w:r>
        <w:t xml:space="preserve">). </w:t>
      </w:r>
    </w:p>
    <w:p>
      <w:pPr>
        <w:pStyle w:val="DGTextstand-alone"/>
      </w:pPr>
      <w:r>
        <w:t xml:space="preserve">Rahoitusvakuuksiin liittyvät velat kirjataan alun perin käypään arvoon, joka on saatu preemio. Myöhemmin rahoitusvakuuksiin liittyvät velat arvostetaan parhaan arvion mukaan odotettavissa olevista menoista rahoitusvakuuksiin liittyvän velan täyttämiseksi tai alun perin kirjattuun määrään, josta on tarvittaessa vähennetty kertyneet jaksotukset, sen mukaan kumpi näistä määristä on suurempi. Euroopan unioni kirjaa rahoitusvakuuksiin liittyvät velat saatuaan vakuuden myöntämistä koskevan vastikkeen, eli markkinaehtoisesti, tai kun käypä arvo voidaan luotettavasti arvioida. Jos täysin vastaavalle vakuussopimukselle ei ole toimivia markkinoita, EU esittää annetun vakuuden ehdollisena velkana (ks. liitetieto </w:t>
      </w:r>
      <w:r>
        <w:rPr>
          <w:b/>
        </w:rPr>
        <w:t>1.7.2</w:t>
      </w:r>
      <w:r>
        <w:t xml:space="preserve">) tai kun on todennäköisempää, että velvoitteen täyttäminen edellyttää resurssien siirtymistä pois yhteisöstä, EU kirjaa varauksen (ks. liitetieto </w:t>
      </w:r>
      <w:r>
        <w:rPr>
          <w:b/>
        </w:rPr>
        <w:t>1.5.11</w:t>
      </w:r>
      <w:r>
        <w:t>).</w:t>
      </w:r>
    </w:p>
    <w:p>
      <w:pPr>
        <w:pStyle w:val="DGTextstand-alone"/>
      </w:pPr>
      <w:r>
        <w:t xml:space="preserve">Rahoitusvelat luokitellaan pitkäaikaisiksi veloiksi lukuun ottamatta niitä omaisuuseriä, joiden eräpäivä on alle 12 kuukauden kuluessa tilinpäätöspäivästä. </w:t>
      </w:r>
    </w:p>
    <w:p>
      <w:pPr>
        <w:pStyle w:val="DGTextstand-alone"/>
      </w:pPr>
      <w:r>
        <w:t>EU:n erityisrahastot, joiden katsotaan kuuluvan komission operatiiviseen toimintaan, kirjataan komission tileihin ja konsolidoidaan EU:n tilinpäätökseen. Näin ollen muiden rahoittajien rahoitusosuudet EU:n erityisrahastoihin täyttävät muista kuin vaihtoon perustuvista ehtoja sisältävistä transaktioista saatavien tulojen edellytykset, ja ne esitetään rahoitusvelkoina siihen asti, kun siirrettyihin rahoitusosuuksiin liittyvät ehdot ovat täyttyneet eli tukikelpoiset menot ovat syntyneet erityisrahastolle. Erityisrahaston tehtävänä on rahoittaa erityishankkeita ja palauttaa jäljellä olevat varat toiminnan päätyttyä. Tilinpäätöspäivänä jäljellä olevat rahoitusosuuksiin liittyvät velat arvostetaan saatujen rahoitusosuuksien määrään, josta vähennetään erityisrahastolle aiheutuneet menot (ja tarvittaessa myös arvioidut määrät). Raportointia varten nettomenot kohdennetaan muiden rahoittajien rahoitusosuuksiin 31. joulukuuta mennessä maksettujen nettorahoitusosuuksien suhteessa. Rahoitusosuuksien kohdentaminen on vain suuntaa antava. Kun erityisrahasto lopetetaan, erityisrahaston hallintoneuvosto päättää jäljellä olevien varojen lopullisesta jakamisesta.</w:t>
      </w:r>
    </w:p>
    <w:p>
      <w:pPr>
        <w:pStyle w:val="HEADER3NOTES"/>
        <w:rPr>
          <w:noProof/>
        </w:rPr>
      </w:pPr>
      <w:r>
        <w:rPr>
          <w:noProof/>
        </w:rPr>
        <w:t>Muut lyhytaikaiset velat</w:t>
      </w:r>
    </w:p>
    <w:p>
      <w:pPr>
        <w:pStyle w:val="DGTextstand-alone"/>
      </w:pPr>
      <w:r>
        <w:t>Huomattava osa Euroopan unionin muista lyhytaikaisista veloista on maksamattomia maksupyyntöjä tuensaajilta, joille on myönnetty avustuksia tai muuta EU:n rahoitusta (muut kuin vaihtoon perustuvat transaktiot). Ne kirjataan maksupyynnössä esitetyn määrän suuruisiksi veloiksi, kun maksupyyntö vastaanotetaan. Rahoituksen hallinnoinnista vastaavat virkamiehet hyväksyvät tarkastuksen jälkeen kyseisten menojen tukikelpoisuuden.</w:t>
      </w:r>
    </w:p>
    <w:p>
      <w:pPr>
        <w:pStyle w:val="DGTextstand-alone"/>
      </w:pPr>
      <w:r>
        <w:t>Tavaroiden ja palvelujen ostamisesta johtuvat muut lyhytaikaiset velat kirjataan alkuperäiseen määrään laskun saapuessa, ja vastaavat menot kirjataan, kun Euroopan unioni on vastaanottanut ja hyväksynyt tavara- tai palvelutoimituksen.</w:t>
      </w:r>
    </w:p>
    <w:p>
      <w:pPr>
        <w:pStyle w:val="HEADER3NOTES"/>
        <w:keepNext/>
        <w:rPr>
          <w:noProof/>
        </w:rPr>
      </w:pPr>
      <w:r>
        <w:rPr>
          <w:noProof/>
        </w:rPr>
        <w:t>Siirtovelat ja -saamiset sekä tulo- ja menoennakot</w:t>
      </w:r>
    </w:p>
    <w:p>
      <w:pPr>
        <w:pStyle w:val="DGTextstand-alone"/>
      </w:pPr>
      <w:r>
        <w:t>Liiketoimet ja muut tapahtumat kirjataan tilinpäätöstä laadittaessa sille tilikaudelle, jolle ne kuuluvat. Jos EU:n toimittamia tavaroita tai palveluita ei vuoden lopussa ole vielä laskutettu tai jos sopimusvelvoite on olemassa (esim. perussopimuksen perusteella) vaikka laskua ei vielä ole tehty, tilinpäätöksen merkitään vastaava tulojäämä. Vastaavasti jos vielä toimittamatta olevat tavarat tai palvelut on vuoden loppuun mennessä jo laskutettu, vastaavat tulot merkitään tilinpäätökseen siirtovelaksi ja kirjataan vasta seuraavalla tilikaudella.</w:t>
      </w:r>
    </w:p>
    <w:p>
      <w:pPr>
        <w:pStyle w:val="DGTextstand-alone"/>
      </w:pPr>
      <w:r>
        <w:t>Myös menot kirjataan sille tilikaudelle, jolle ne kuuluvat. Tilikauden päättyessä menojäämät kirjataan sen määrän mukaisesti, jonka arvioidaan vastaavan siirtovelvoitetta kyseisellä kaudella. Menojäämät lasketaan komission antamien yksityiskohtaisten käytännön toimintaohjeiden mukaisesti. Kyseisillä ohjeilla pyritään varmistamaan, että tilinpäätös antaa todenmukaisen kuvan esitetyistä taloudellisista ja muista tapahtumista. Vastaavasti jos vielä toimittamatta olevista palveluista tai tavaroista on suoritettu maksu etukäteen, vastaavat menot merkitään tilinpäätökseen siirtosaamisiin menoennakoksi ja kirjataan vasta seuraavalla tilikaudella.</w:t>
      </w:r>
    </w:p>
    <w:p>
      <w:pPr>
        <w:pStyle w:val="HEADER2NOTES"/>
        <w:rPr>
          <w:noProof/>
        </w:rPr>
      </w:pPr>
      <w:r>
        <w:rPr>
          <w:noProof/>
        </w:rPr>
        <w:t>TUOTTO- JA KULULASKELMA</w:t>
      </w:r>
    </w:p>
    <w:p>
      <w:pPr>
        <w:pStyle w:val="HEADER3NOTES"/>
        <w:rPr>
          <w:noProof/>
        </w:rPr>
      </w:pPr>
      <w:r>
        <w:rPr>
          <w:noProof/>
        </w:rPr>
        <w:t>Tulot</w:t>
      </w:r>
    </w:p>
    <w:p>
      <w:pPr>
        <w:pStyle w:val="HEADER5"/>
        <w:rPr>
          <w:b/>
          <w:noProof/>
        </w:rPr>
      </w:pPr>
      <w:r>
        <w:rPr>
          <w:noProof/>
        </w:rPr>
        <w:t>TUOTOT MUISTA KUIN VAIHTOON PERUSTUVISTA TRANSAKTIOISTA</w:t>
      </w:r>
    </w:p>
    <w:p>
      <w:pPr>
        <w:pStyle w:val="DGTextstand-alone"/>
      </w:pPr>
      <w:r>
        <w:t>Suurin osa EU:n tuloista saadaan muista kuin vaihtoon perustuvista transaktioista:</w:t>
      </w:r>
    </w:p>
    <w:p>
      <w:pPr>
        <w:pStyle w:val="HEADER5"/>
        <w:rPr>
          <w:b/>
          <w:noProof/>
        </w:rPr>
      </w:pPr>
      <w:r>
        <w:rPr>
          <w:noProof/>
        </w:rPr>
        <w:t>Alv- ja BKTL-varat</w:t>
      </w:r>
    </w:p>
    <w:p>
      <w:pPr>
        <w:pStyle w:val="DGTextstand-alone"/>
      </w:pPr>
      <w:r>
        <w:t>Tulot kirjataan sillä kaudella, jolla komissio lähettää jäsenvaltioille pyynnön maksaa niiden rahoitusosuudet. Nämä summat arvostetaan ”pyydettyyn määrään”. Koska alv- ja BKTL-varat perustuvat asianomaista varainhoitovuotta koskeviin arvioihin, niiden määriä voidaan tarkistaa muutosten perusteella siihen saakka, kunnes jäsenvaltiot ilmoittavat lopulliset tiedot. Arvioon tehdyn muutoksen vaikutukset otetaan huomioon määritettäessä sen kauden nettoylijäämää tai -alijäämää, jolla muutos tapahtui.</w:t>
      </w:r>
    </w:p>
    <w:p>
      <w:pPr>
        <w:pStyle w:val="HEADER5"/>
        <w:rPr>
          <w:b/>
          <w:noProof/>
        </w:rPr>
      </w:pPr>
      <w:r>
        <w:rPr>
          <w:noProof/>
        </w:rPr>
        <w:t>Perinteiset omat varat</w:t>
      </w:r>
    </w:p>
    <w:p>
      <w:pPr>
        <w:pStyle w:val="DGTextstand-alone"/>
      </w:pPr>
      <w:r>
        <w:t>Kerrytettävissä olevat rahamäärät muista kuin vaihtoon perustuvista transaktioista ja niihin liittyvät tuotot kirjataan, kun vastaavat A-kirjanpitoon liittyvät kuukausikatsaukset saadaan jäsenvaltioilta (ml. kannetut tullimaksut ja sellaiset erääntyneet määrät, joille on vakuus ja joita ei ole riitautettu). Jäsenvaltioiden keräämät varainhoitovuotta koskevat tulot, joita ei ole vielä maksettu komissiolle, arvioidaan tilinpäätöspäivänä ja merkitään taseeseen siirtosaamiseksi. B-kirjanpitoon liittyvät jäsenvaltioiden toimittamat neljännesvuosikatsaukset (ml. tullimaksut, joita ei ole kannettu ja joilla ei ole vakuutta, sekä vakuudelliset määrät, jotka velallinen on riitauttanut) kirjataan tuotoiksi, joista on vähennetty osuus, jonka jäsenvaltiot saavat pidättää kantokuluina. Lisäksi kirjataan arvonalennus, joka vastaa perimättä jäävien saamisten määrästä tehtyä arviota.</w:t>
      </w:r>
    </w:p>
    <w:p>
      <w:pPr>
        <w:pStyle w:val="HEADER5"/>
        <w:rPr>
          <w:b/>
          <w:noProof/>
        </w:rPr>
      </w:pPr>
      <w:r>
        <w:rPr>
          <w:noProof/>
        </w:rPr>
        <w:t>Sakot</w:t>
      </w:r>
    </w:p>
    <w:p>
      <w:pPr>
        <w:pStyle w:val="DGTextstand-alone"/>
      </w:pPr>
      <w:r>
        <w:t>Sakoista saatavat tuotot kirjataan silloin kun komissio on tehnyt päätöksen sakon määräämisestä ja asiasta on virallisesti ilmoitettu vastapuolelle. Jos yrityksen maksukykyä pidetään epävarmana, saamisen arvoa alennetaan kirjanpidossa. Sakkopäätöksen tekemisen jälkeen velallisen on kahden kuukauden kuluessa päätöksen tiedoksiantamisesta:</w:t>
      </w:r>
    </w:p>
    <w:p>
      <w:pPr>
        <w:pStyle w:val="DGTextstand-alone"/>
        <w:numPr>
          <w:ilvl w:val="0"/>
          <w:numId w:val="26"/>
        </w:numPr>
      </w:pPr>
      <w:r>
        <w:t>joko hyväksyttävä päätös ja maksettava sakko määräajassa, jolloin EU kirjaa saamisen lopullisesti perityksi;</w:t>
      </w:r>
    </w:p>
    <w:p>
      <w:pPr>
        <w:pStyle w:val="DGTextstand-alone"/>
        <w:numPr>
          <w:ilvl w:val="0"/>
          <w:numId w:val="26"/>
        </w:numPr>
      </w:pPr>
      <w:r>
        <w:t xml:space="preserve">tai oltava hyväksymättä päätöstä ja nostettava kanne EU:n lainsäädännön mukaisesti. </w:t>
      </w:r>
    </w:p>
    <w:p>
      <w:pPr>
        <w:pStyle w:val="DGTextstand-alone"/>
      </w:pPr>
      <w:r>
        <w:t>Sakko on kuitenkin aina maksettava kolmen kuukauden määräajassa, koska kanteella ei ole lykkäävää vaikutusta (perussopimuksen 278 artikla). Sakkoa vastaavalle määrälle voidaan tietyissä olosuhteissa komission tilinpitäjän suostumuksella antaa vaihtoehtoisesti pankkitakaus.</w:t>
      </w:r>
    </w:p>
    <w:p>
      <w:pPr>
        <w:pStyle w:val="DGTextstand-alone"/>
      </w:pPr>
      <w:r>
        <w:t>Jos velallinen, joka on jo maksanut sakon alustavasti, nostaa kanteen päätöksestä, sakkoa vastaava määrä esitetään ehdollisissa veloissa. Koska velallisen nostamalla kanteella ei kuitenkaan ole lykkäävää vaikutusta EU:n tekemään päätökseen, saatu rahamäärä käytetään kerrytettävissä olevan rahamäärän kuittaamiseen. Jos maksun sijaan saadaan vakuus, sakko kirjataan kerrytettävissä olevaksi rahamääräksi. Jos pidetään mahdollisena, että unionin yleinen tuomioistuin antaa EU:n vastaisen tuomion, kirjataan varaus, joka kattaa kyseisen riskin. Jos alustavan maksun sijaan on saatu vakuus, kerrytettävissä olevaa rahamäärää pienennetään kirjanpidossa vastaavasti. Komission saamat korot, jotka kertyvät pankkitileiltä, joille saadut maksut talletetaan, kirjataan tuotoiksi, ja ehdollisten velkojen määrää korotetaan vastaavasti.</w:t>
      </w:r>
    </w:p>
    <w:p>
      <w:pPr>
        <w:pStyle w:val="DGTextstand-alone"/>
      </w:pPr>
      <w:r>
        <w:t>Vuodesta 2010 komissio on hallinnoinut alustavasti maksettuja sakkoja erillisessä rahastossa (BUFI). Varat sijoitetaan rahoitusvälineisiin.</w:t>
      </w:r>
    </w:p>
    <w:p>
      <w:pPr>
        <w:pStyle w:val="HEADER5"/>
        <w:rPr>
          <w:b/>
          <w:noProof/>
        </w:rPr>
      </w:pPr>
      <w:r>
        <w:rPr>
          <w:noProof/>
        </w:rPr>
        <w:t>TUOTOT VAIHTOON PERUSTUVISTA TRANSAKTIOISTA</w:t>
      </w:r>
    </w:p>
    <w:p>
      <w:pPr>
        <w:pStyle w:val="DGTextstand-alone"/>
      </w:pPr>
      <w:r>
        <w:t>Tavaroiden ja palvelujen myynnistä saatavat tuotot kirjataan silloin, kun niiden omistajuuteen liittyvät riskit ja edut siirtyvät olennaisilta osin ostajalle. Palvelujen tarjoamista koskevaan liiketoimeen liittyviä tuottoja kirjattaessa otetaan huomioon se, missä vaiheessa liiketoimi on tilinpäätöspäivänä.</w:t>
      </w:r>
    </w:p>
    <w:p>
      <w:pPr>
        <w:pStyle w:val="HEADER5"/>
        <w:rPr>
          <w:b/>
          <w:noProof/>
        </w:rPr>
      </w:pPr>
      <w:r>
        <w:rPr>
          <w:noProof/>
        </w:rPr>
        <w:t xml:space="preserve">Korkotuotot ja </w:t>
      </w:r>
      <w:r>
        <w:rPr>
          <w:noProof/>
        </w:rPr>
        <w:noBreakHyphen/>
        <w:t>kulut</w:t>
      </w:r>
    </w:p>
    <w:p>
      <w:pPr>
        <w:pStyle w:val="DGTextstand-alone"/>
      </w:pPr>
      <w:r>
        <w:t xml:space="preserve">Korkotuotot ja </w:t>
      </w:r>
      <w:r>
        <w:noBreakHyphen/>
        <w:t xml:space="preserve">kulut kirjataan tuotto- ja kululaskelmaan efektiivisen koron menetelmää soveltaen. Tällä menetelmällä lasketaan rahoitusvaroihin tai </w:t>
      </w:r>
      <w:r>
        <w:noBreakHyphen/>
        <w:t xml:space="preserve">velkoihin kuuluvan erän jaksotettu hankintameno ja kohdistetaan korkotuotot ja </w:t>
      </w:r>
      <w:r>
        <w:noBreakHyphen/>
        <w:t>kulut asianomaiselle kaudelle. Efektiivistä korkokantaa laskiessaan EU arvioi rahavirrat ottamalla huomioon rahoitusvälineen kaikki sopimusehdot (kuten mahdollisuuden suorittaa maksu ennen eräpäivää), mutta huomioon ei oteta vastaisia luottotappioita. Laskelmaan sisällytetään kaikki sellaiset sopimuspuolten välillä suoritettavat tai saatavat palkkiot ja korkopisteet, jotka ovat kiinteä osa efektiivistä korkoa, transaktiomenot sekä kaikki muut yli- tai alikurssit.</w:t>
      </w:r>
    </w:p>
    <w:p>
      <w:pPr>
        <w:pStyle w:val="DGTextstand-alone"/>
      </w:pPr>
      <w:r>
        <w:t>Siitä alkaen, kun rahoitusvaroihin kuuluvan erän tai samankaltaisten rahoitusvarojen muodostaman ryhmän kirjanpitoarvoa on alennettu arvonalentumistappion johdosta, korkotuotto kirjataan käyttämällä sitä korkokantaa, jota on käytetty vastaisten rahavirtojen diskonttaamiseen arvonalentumistappiota määritettäessä.</w:t>
      </w:r>
    </w:p>
    <w:p>
      <w:pPr>
        <w:pStyle w:val="HEADER5"/>
        <w:rPr>
          <w:b/>
          <w:noProof/>
        </w:rPr>
      </w:pPr>
      <w:r>
        <w:rPr>
          <w:noProof/>
        </w:rPr>
        <w:t>Osinkotuotot</w:t>
      </w:r>
    </w:p>
    <w:p>
      <w:pPr>
        <w:pStyle w:val="DGTextstand-alone"/>
      </w:pPr>
      <w:r>
        <w:t>Osinkotuotot ja vastaavien voitonjakojen tuotot kirjataan silloin, kun oikeus maksun saamiseen on syntynyt.</w:t>
      </w:r>
    </w:p>
    <w:p>
      <w:pPr>
        <w:pStyle w:val="HEADER3NOTES"/>
        <w:rPr>
          <w:noProof/>
        </w:rPr>
      </w:pPr>
      <w:r>
        <w:rPr>
          <w:noProof/>
        </w:rPr>
        <w:t>Menot</w:t>
      </w:r>
    </w:p>
    <w:p>
      <w:pPr>
        <w:pStyle w:val="DGTextstand-alone"/>
      </w:pPr>
      <w:r>
        <w:t>Muista kuin vaihtoon perustuvista transaktioista aiheutuvat menot ovat tyypillisiä EU:lle, ja ne muodostavat valtaosan unionin menoista. Ne liittyvät varojen siirtoon tuensaajille, ja ne voidaan jakaa seuraaviin kolmeen ryhmään: saamiset; sopimuksen mukaiset siirrot sekä harkinnanvaraiset avustukset; rahoitusosuudet ja lahjoitukset.</w:t>
      </w:r>
    </w:p>
    <w:p>
      <w:pPr>
        <w:pStyle w:val="DGTextstand-alone"/>
      </w:pPr>
      <w:r>
        <w:t>Siirrot kirjataan kuluiksi sille jaksolle, jonka aikana siirron perustana oleva tapahtuma toteutuu, edellyttäen, että siirto tapahtuu säännösten (varainhoitoasetus, henkilöstösäännöt tai muu lainsäädäntö) mukaisesti tai että siirron valtuuttava sopimus on allekirjoitettu. Lisäksi tuensaajan on täytettävä kaikki tukikelpoisuuskriteerit ja velvoitteen määrä on voitava arvioida riittävän luotettavasti.</w:t>
      </w:r>
    </w:p>
    <w:p>
      <w:pPr>
        <w:pStyle w:val="DGTextstand-alone"/>
      </w:pPr>
      <w:r>
        <w:t>Kun kirjausperusteet täyttävä maksupyyntö vastaanotetaan, tukikelpoinen määrä kirjataan kuluksi. Sellaiset vuoden loppuun mennessä kertyneet tukikelpoiset menot, jotka EU on velkaa tuensaajille mutta joita ei vielä ole kirjattu, arvioidaan ja merkitään taseeseen menojäämiksi.</w:t>
      </w:r>
    </w:p>
    <w:p>
      <w:pPr>
        <w:pStyle w:val="DGTextstand-alone"/>
      </w:pPr>
      <w:r>
        <w:t>Tavaroiden ja palvelujen ostamiseen liittyvistä vaihtoon perustuvista transaktioista aiheutuvat menot kirjataan silloin, kun EU vastaanottaa ja hyväksyy kyseiset tavarat ja palvelut. Ne arvostetaan laskun osoittamaan alkuperäiseen määrään. Lisäksi tilinpäätöspäivänä tarjottuun palveluun liittyvät kustannukset sen ajanjakson aikana, jona lasku ei ole vielä saatu eikä hyväksyä, arvioidaan ja kirjataan tuotto- ja kululaskelmaan.</w:t>
      </w:r>
    </w:p>
    <w:p>
      <w:pPr>
        <w:pStyle w:val="HEADER2NOTES"/>
        <w:keepNext/>
        <w:rPr>
          <w:noProof/>
        </w:rPr>
      </w:pPr>
      <w:r>
        <w:rPr>
          <w:noProof/>
        </w:rPr>
        <w:t>EHDOLLISET VARAT JA VELAT</w:t>
      </w:r>
    </w:p>
    <w:p>
      <w:pPr>
        <w:pStyle w:val="HEADER3NOTES"/>
        <w:keepNext/>
        <w:rPr>
          <w:noProof/>
        </w:rPr>
      </w:pPr>
      <w:r>
        <w:rPr>
          <w:noProof/>
        </w:rPr>
        <w:t>Ehdolliset varat</w:t>
      </w:r>
    </w:p>
    <w:p>
      <w:pPr>
        <w:pStyle w:val="DGTextstand-alone"/>
      </w:pPr>
      <w:r>
        <w:t>Ehdollinen omaisuuserä on potentiaalinen omaisuuserä, joka on syntynyt aikaisempien tapahtumien seurauksena ja jonka olemassaolo varmistuu vasta, kun yksi tai useampi epävarma tapahtuma, joka ei ole kokonaan EKR:n määräysvallassa, toteutuu tai jää toteutumatta tulevaisuudessa. Ehdollinen omaisuuserä ilmoitetaan tilinpäätöksessä silloin kun se todennäköisesti tuottaa taloudellista hyötyä tai suorituspotentiaalia.</w:t>
      </w:r>
    </w:p>
    <w:p>
      <w:pPr>
        <w:pStyle w:val="HEADER3NOTES"/>
        <w:rPr>
          <w:noProof/>
        </w:rPr>
      </w:pPr>
      <w:r>
        <w:rPr>
          <w:noProof/>
        </w:rPr>
        <w:t>Ehdolliset velat</w:t>
      </w:r>
    </w:p>
    <w:p>
      <w:pPr>
        <w:pStyle w:val="DGTextstand-alone"/>
      </w:pPr>
      <w:r>
        <w:t>Ehdollinen velka on mahdollinen velvoite, joka on syntynyt aikaisempien tapahtumien seurauksena ja jonka olemassaolo varmistuu vasta kun yksi tai useampi epävarma tapahtuma, joka ei ole kokonaan EU:n määräysvallassa, toteutuu tai jää toteutumatta tulevaisuudessa. Se voi olla myös olemassa oleva velvoite, joka on syntynyt aikaisempien tapahtumien seurauksena mutta jota ei merkitä taseeseen, koska ei ole todennäköistä, että velvoitteen täyttäminen edellyttää taloudellista hyötyä tai suorituspotentiaalia ilmentävien resurssien siirtymistä pois rahastosta tai (poikkeuksellisissa tapauksissa) velvoitteen suuruus ei ole määritettävissä riittävän luotettavasti.</w:t>
      </w:r>
    </w:p>
    <w:p>
      <w:pPr>
        <w:pStyle w:val="HEADER2NOTES"/>
        <w:rPr>
          <w:noProof/>
        </w:rPr>
      </w:pPr>
      <w:r>
        <w:rPr>
          <w:noProof/>
        </w:rPr>
        <w:t>RAHAVIRTALASKELMA</w:t>
      </w:r>
    </w:p>
    <w:p>
      <w:pPr>
        <w:pStyle w:val="DGTextstand-alone"/>
      </w:pPr>
      <w:r>
        <w:t>Rahavirtalaskelman sisältämien tietojen perusteella arvioidaan, miten hyvin EU kykenee kerryttämään käteisvaroja ja muita rahavaroja ja millainen näiden varojen tarve on.</w:t>
      </w:r>
    </w:p>
    <w:p>
      <w:pPr>
        <w:pStyle w:val="DGTextstand-alone"/>
      </w:pPr>
      <w:r>
        <w:t>Rahavirtalaskelman laadinta perustuu epäsuoraan esittämistapaan. Tämä tarkoittaa sitä, että varainhoitovuoden taloudellista tulosta oikaistaan sellaisten toimien vaikutuksella, joihin ei liity maksutapahtumaa, aikaisempien tai tulevien tilikausien toimintaan kuuluvien maksujen jaksotuksilla sekä investointien rahavirtoihin kuuluvilla tuotto- ja kuluerillä.</w:t>
      </w:r>
    </w:p>
    <w:p>
      <w:pPr>
        <w:pStyle w:val="DGTextstand-alone"/>
      </w:pPr>
      <w:r>
        <w:t>Ulkomaanrahan määräisten toimien rahavirrat kirjataan EU:n tilinpäätösvaluuttana (euroina). Muuntokurssina käytetään rahavirtalaskelman laatimispäivän euron kurssia.</w:t>
      </w:r>
    </w:p>
    <w:p>
      <w:pPr>
        <w:pStyle w:val="DGTextstand-alone"/>
      </w:pPr>
      <w:r>
        <w:t>Rahavirtalaskelmassa esitetään tilikauden rahavirrat jaoteltuina toiminnan ja investointien rahavirtoihin (EU:lla ei ole rahoitustoimiin liittyviä rahavirtoja).</w:t>
      </w:r>
    </w:p>
    <w:p>
      <w:pPr>
        <w:pStyle w:val="DGTextstand-alone"/>
      </w:pPr>
      <w:r>
        <w:t xml:space="preserve">Toiminnan rahavirrat sisältävät muusta EU:n toiminnasta kuin investoinneista kertyvät rahavirrat. Rahavirroista suurin osa kuuluu näihin rahavirtoihin. Tuensaajille myönnettyjä lainoja (ja mahdollisesti niiden rahoittamiseksi otettuja lainoja) ei katsota investoinneiksi (eikä rahoitustoiminnaksi), koska ne kuuluvat EU:n yleisiin tavoitteisiin ja ovat näin osa EU:n päivittäistä toimintaa. </w:t>
      </w:r>
    </w:p>
    <w:p>
      <w:pPr>
        <w:pStyle w:val="DGTextstand-alone"/>
      </w:pPr>
      <w:r>
        <w:t>Investointien rahavirrat sisältävät aineettomien hyödykkeiden ja aineellisten käyttöomaisuushyödykkeiden hankinnat ja luovutukset sekä sellaiset muihin investointeihin liittyvät hankinnat ja luovutukset, joita ei sisällytetä muihin rahavaroihin. Tuensaajille myönnettyjä lainoja ei ole sisällytetty investointien rahavirtaan. Tavoitteena on esittää vain EU:n varsinaiset investoinnit.</w:t>
      </w:r>
    </w:p>
    <w:p>
      <w:pPr>
        <w:pStyle w:val="DGTextstand-alone"/>
        <w:sectPr>
          <w:headerReference w:type="even" r:id="rId112"/>
          <w:headerReference w:type="default" r:id="rId113"/>
          <w:footerReference w:type="even" r:id="rId114"/>
          <w:footerReference w:type="default" r:id="rId115"/>
          <w:headerReference w:type="first" r:id="rId116"/>
          <w:footerReference w:type="first" r:id="rId117"/>
          <w:type w:val="continuous"/>
          <w:pgSz w:w="11906" w:h="16838"/>
          <w:pgMar w:top="1134" w:right="1134" w:bottom="1134" w:left="1134" w:header="709" w:footer="709" w:gutter="0"/>
          <w:cols w:space="708"/>
          <w:docGrid w:linePitch="360"/>
        </w:sectPr>
      </w:pPr>
      <w:r>
        <w:t xml:space="preserve"> </w:t>
      </w:r>
      <w:bookmarkEnd w:id="55"/>
    </w:p>
    <w:p>
      <w:pPr>
        <w:pStyle w:val="HEADER1NOTES"/>
        <w:rPr>
          <w:noProof/>
        </w:rPr>
      </w:pPr>
      <w:bookmarkStart w:id="58" w:name="_Toc11939021"/>
      <w:bookmarkStart w:id="59" w:name="_Toc17883229"/>
      <w:bookmarkStart w:id="60" w:name="_DMBM_14793"/>
      <w:r>
        <w:rPr>
          <w:noProof/>
        </w:rPr>
        <w:t>TASEEN LIITETIEDOT</w:t>
      </w:r>
      <w:bookmarkEnd w:id="58"/>
      <w:bookmarkEnd w:id="59"/>
    </w:p>
    <w:p>
      <w:pPr>
        <w:pStyle w:val="Textstand-alone"/>
        <w:spacing w:before="0"/>
        <w:sectPr>
          <w:headerReference w:type="even" r:id="rId118"/>
          <w:headerReference w:type="default" r:id="rId119"/>
          <w:footerReference w:type="even" r:id="rId120"/>
          <w:footerReference w:type="default" r:id="rId121"/>
          <w:headerReference w:type="first" r:id="rId122"/>
          <w:footerReference w:type="first" r:id="rId123"/>
          <w:pgSz w:w="11906" w:h="16838"/>
          <w:pgMar w:top="1134" w:right="1134" w:bottom="1134" w:left="1134" w:header="709" w:footer="709" w:gutter="0"/>
          <w:cols w:space="708"/>
          <w:docGrid w:linePitch="360"/>
        </w:sectPr>
      </w:pPr>
      <w:r>
        <w:t xml:space="preserve"> </w:t>
      </w:r>
      <w:bookmarkEnd w:id="60"/>
    </w:p>
    <w:p>
      <w:pPr>
        <w:pStyle w:val="HEADERTABLE"/>
        <w:spacing w:after="0"/>
        <w:rPr>
          <w:noProof/>
        </w:rPr>
      </w:pPr>
      <w:bookmarkStart w:id="61" w:name="_DMBM_14783"/>
      <w:r>
        <w:rPr>
          <w:noProof/>
        </w:rPr>
        <w:t>VARAT</w:t>
      </w:r>
    </w:p>
    <w:p>
      <w:pPr>
        <w:pStyle w:val="Textstand-alone"/>
        <w:spacing w:before="0" w:after="0"/>
        <w:sectPr>
          <w:headerReference w:type="even" r:id="rId124"/>
          <w:headerReference w:type="default" r:id="rId125"/>
          <w:footerReference w:type="even" r:id="rId126"/>
          <w:footerReference w:type="default" r:id="rId127"/>
          <w:headerReference w:type="first" r:id="rId128"/>
          <w:footerReference w:type="first" r:id="rId129"/>
          <w:type w:val="continuous"/>
          <w:pgSz w:w="11906" w:h="16838"/>
          <w:pgMar w:top="1134" w:right="1134" w:bottom="1134" w:left="1134" w:header="709" w:footer="709" w:gutter="0"/>
          <w:cols w:space="708"/>
          <w:docGrid w:linePitch="360"/>
        </w:sectPr>
      </w:pPr>
      <w:r>
        <w:t xml:space="preserve"> </w:t>
      </w:r>
      <w:bookmarkEnd w:id="61"/>
    </w:p>
    <w:p>
      <w:pPr>
        <w:pStyle w:val="HEADER2NOTES"/>
        <w:rPr>
          <w:noProof/>
        </w:rPr>
      </w:pPr>
      <w:bookmarkStart w:id="62" w:name="_DMBM_14772"/>
      <w:r>
        <w:rPr>
          <w:noProof/>
        </w:rPr>
        <w:t>AINEETTOMAT HYÖDYKKEET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63" w:name="DOC_TBL00007_1_1"/>
            <w:bookmarkEnd w:id="63"/>
          </w:p>
        </w:tc>
        <w:tc>
          <w:tcPr>
            <w:tcW w:w="2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Kirjanpitoarvo 31.12.2017, brutto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940</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Lisäykset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152</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Luovutukset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Omaisuusluokkien väliset siirrot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w:t>
            </w:r>
          </w:p>
        </w:tc>
      </w:tr>
      <w:tr>
        <w:tc>
          <w:tcPr>
            <w:tcW w:w="762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Muut muutokset</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762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Kirjanpitoarvo 31.12.2018, brutto</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1 073</w:t>
            </w:r>
          </w:p>
        </w:tc>
      </w:tr>
      <w:tr>
        <w:tc>
          <w:tcPr>
            <w:tcW w:w="762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Kertyneet poistot 31.12.2017</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(535)</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Poistot varainhoitovuoden aikana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(105)</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Palautuneet poistot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Luovutukset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Omaisuusluokkien väliset siirrot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762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Muut muutokset</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r>
      <w:tr>
        <w:tc>
          <w:tcPr>
            <w:tcW w:w="762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Kertyneet poistot 31.12.2018</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(627)</w:t>
            </w:r>
          </w:p>
        </w:tc>
      </w:tr>
      <w:tr>
        <w:tc>
          <w:tcPr>
            <w:tcW w:w="762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762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Kirjanpitoarvo 31.12.2018, netto</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446</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Kirjanpitoarvo 31.12.2017, netto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405</w:t>
            </w:r>
          </w:p>
        </w:tc>
      </w:tr>
    </w:tbl>
    <w:p>
      <w:pPr>
        <w:pStyle w:val="Textstand-alone"/>
        <w:spacing w:after="0"/>
      </w:pPr>
      <w:r>
        <w:t xml:space="preserve">Suurin osa näistä määristä liittyy tietokoneohjelmistoihin. </w:t>
      </w:r>
    </w:p>
    <w:bookmarkEnd w:id="62"/>
    <w:p>
      <w:pPr>
        <w:pStyle w:val="Textstand-alone"/>
        <w:spacing w:before="0" w:after="0"/>
        <w:sectPr>
          <w:headerReference w:type="even" r:id="rId130"/>
          <w:headerReference w:type="default" r:id="rId131"/>
          <w:footerReference w:type="even" r:id="rId132"/>
          <w:footerReference w:type="default" r:id="rId133"/>
          <w:headerReference w:type="first" r:id="rId134"/>
          <w:footerReference w:type="first" r:id="rId135"/>
          <w:type w:val="continuous"/>
          <w:pgSz w:w="11906" w:h="16838"/>
          <w:pgMar w:top="1134" w:right="1134" w:bottom="1134" w:left="1134" w:header="709" w:footer="709" w:gutter="0"/>
          <w:cols w:space="708"/>
          <w:docGrid w:linePitch="360"/>
        </w:sectPr>
      </w:pPr>
    </w:p>
    <w:p>
      <w:pPr>
        <w:pStyle w:val="HEADER2NOTES"/>
        <w:rPr>
          <w:noProof/>
        </w:rPr>
      </w:pPr>
      <w:bookmarkStart w:id="64" w:name="_DMBM_14740"/>
      <w:r>
        <w:rPr>
          <w:noProof/>
        </w:rPr>
        <w:t>AINEELLISET KÄYTTÖOMAISUUSHYÖDYKKEET</w:t>
      </w:r>
    </w:p>
    <w:p>
      <w:pPr>
        <w:pStyle w:val="Textstand-alone"/>
      </w:pPr>
      <w:bookmarkStart w:id="65" w:name="DOC_TBL00001_1_1_1"/>
      <w:bookmarkEnd w:id="65"/>
      <w:r>
        <w:t>Avaruusresurssien luokka kattaa käyttöomaisuushyödykkeet, jotka liittyvät EU:n kahteen avaruusohjelmaan: maailmanlaajuiset satelliittinavigointijärjestelmät (Galileo ja EGNOS) ja Euroopan maanseurantaohjelma (Copernicus). Avaruusjärjestelmien resurssit, jotka eivät vielä ole toiminnassa, sisältyvät keskeneräisiin hankintoihin.</w:t>
      </w:r>
    </w:p>
    <w:p>
      <w:pPr>
        <w:pStyle w:val="Textstand-alone"/>
      </w:pPr>
      <w:r>
        <w:t>Galileo-järjestelmään lisättiin vuonna 2018 neljä uutta satelliittia, joten siihen kuuluu 22 satelliittia. Galileo-järjestelmän toimintaan liittyvien käyttöomaisuushyödykkeiden (sekä satelliitit että maa-asemat) arvo poistojen jälkeen oli 2 410 miljoonaa euroa 31. joulukuuta 2018 (2 276 miljoonaa euroa vuonna 2017). Jäljellä olevia keskeneräisiä hankintoja oli 1 324 miljoonaa euroa (1 026 miljoonaa euroa vuonna 2017). Niihin sisältyi neljä heinäkuun 2018 aikana avaruuteen lähetettyä satelliittia, joiden testaus kiertoradalla ei ollut vielä päättynyt tilinpäätöspäivänä. Galileo-järjestelmän kehitystyö jatkuu niin kauan että täysi toimintakapasiteetti saavutetaan. Järjestelmän valmistuttua siihen kuuluu 24 toiminnassa olevaa satelliittia ja 6 varasatelliittia.</w:t>
      </w:r>
    </w:p>
    <w:p>
      <w:pPr>
        <w:pStyle w:val="Textstand-alone"/>
      </w:pPr>
      <w:r>
        <w:t>Copernicus-ohjelman osalta kaksi uutta satelliittia (Sentinel 5P ja 3B) aloittivat toimintansa vuonna 2018 viiden muun jo toiminnassa olleen satelliitin lisäksi, ja Copernicuksen toimintaan liittyvien käyttöomaisuushyödykkeiden arvo poistojen jälkeen oli 1 455 miljoonaa euroa (1 140 miljoonaa euroa vuonna 2017). Lisäksi keskeneräisiin hankintoihin kirjattiin vuonna Copernicus-satelliittien osalta 1 207 miljoonaa euroa (1 443 miljoonaa euroa vuonna 2017).</w:t>
      </w:r>
    </w:p>
    <w:p>
      <w:pPr>
        <w:pStyle w:val="Textstand-alone"/>
      </w:pPr>
      <w:r>
        <w:t>Avaruusresurssien otsakkeeseen on sisällytetty myös Euroopan geostationaarisen navigointilisäjärjestelmän (EGNOS) maainfrastruktuuriin liittyviä käyttöomaisuushyödykkeitä 52 miljoonan euron arvosta (67 miljoonaa euroa vuonna 2017). Lisäksi EGNOS-järjestelmän omaisuuseriä kirjattiin keskeneräisiin hankintoihin 130 miljoonaa euroa (52 miljoonaa euroa vuonna 2017).</w:t>
      </w:r>
    </w:p>
    <w:p>
      <w:pPr>
        <w:pStyle w:val="Textstand-alone"/>
        <w:sectPr>
          <w:headerReference w:type="even" r:id="rId136"/>
          <w:headerReference w:type="default" r:id="rId137"/>
          <w:footerReference w:type="even" r:id="rId138"/>
          <w:footerReference w:type="default" r:id="rId139"/>
          <w:headerReference w:type="first" r:id="rId140"/>
          <w:footerReference w:type="first" r:id="rId141"/>
          <w:type w:val="continuous"/>
          <w:pgSz w:w="11906" w:h="16838"/>
          <w:pgMar w:top="1134" w:right="1134" w:bottom="1134" w:left="1134" w:header="709" w:footer="709" w:gutter="0"/>
          <w:cols w:space="708"/>
          <w:docGrid w:linePitch="360"/>
        </w:sectPr>
      </w:pPr>
      <w:r>
        <w:t xml:space="preserve">EU:n avaruusohjelmiin liittyviä omaisuuseriä on rakennettu Euroopan avaruusjärjestön (ESA) avustuksella.  </w:t>
      </w:r>
      <w:bookmarkEnd w:id="64"/>
    </w:p>
    <w:p>
      <w:pPr>
        <w:pStyle w:val="HEADERTABLE"/>
        <w:rPr>
          <w:noProof/>
        </w:rPr>
      </w:pPr>
      <w:bookmarkStart w:id="66" w:name="_DMBM_14716"/>
      <w:r>
        <w:rPr>
          <w:noProof/>
        </w:rPr>
        <w:t>Aineelliset käyttöomaisuushyödykkeet</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84"/>
        <w:gridCol w:w="1134"/>
        <w:gridCol w:w="1134"/>
        <w:gridCol w:w="1134"/>
        <w:gridCol w:w="1417"/>
        <w:gridCol w:w="1134"/>
        <w:gridCol w:w="992"/>
        <w:gridCol w:w="1134"/>
        <w:gridCol w:w="1418"/>
        <w:gridCol w:w="1134"/>
      </w:tblGrid>
      <w:tr>
        <w:trPr>
          <w:cantSplit/>
        </w:trPr>
        <w:tc>
          <w:tcPr>
            <w:tcW w:w="3936" w:type="dxa"/>
            <w:gridSpan w:val="2"/>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67" w:name="DOC_TBL00008_1_1"/>
            <w:bookmarkEnd w:id="67"/>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99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2552" w:type="dxa"/>
            <w:gridSpan w:val="2"/>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milj. euroa</w:t>
            </w:r>
          </w:p>
        </w:tc>
      </w:tr>
      <w:tr>
        <w:trPr>
          <w:cantSplit/>
          <w:trHeight w:val="437"/>
        </w:trPr>
        <w:tc>
          <w:tcPr>
            <w:tcW w:w="3652" w:type="dxa"/>
            <w:tcBorders>
              <w:top w:val="nil"/>
              <w:left w:val="nil"/>
              <w:bottom w:val="nil"/>
              <w:right w:val="nil"/>
            </w:tcBorders>
            <w:shd w:val="clear" w:color="auto" w:fill="016794"/>
            <w:tcMar>
              <w:top w:w="0" w:type="dxa"/>
              <w:left w:w="108" w:type="dxa"/>
              <w:bottom w:w="0" w:type="dxa"/>
              <w:right w:w="108" w:type="dxa"/>
            </w:tcMar>
          </w:tcPr>
          <w:p>
            <w:pPr>
              <w:pStyle w:val="Heading8pNormalLeft"/>
              <w:rPr>
                <w:rFonts w:cs="Verdana"/>
                <w:noProof/>
              </w:rPr>
            </w:pPr>
          </w:p>
        </w:tc>
        <w:tc>
          <w:tcPr>
            <w:tcW w:w="1418" w:type="dxa"/>
            <w:gridSpan w:val="2"/>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Maa-alueet ja rakennukset</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Avaruus</w:t>
            </w:r>
            <w:r>
              <w:softHyphen/>
              <w:t>resurssit</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Koneet ja kalusto</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Irtaimisto ja ajoneuvot</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Tietokone</w:t>
            </w:r>
            <w:r>
              <w:softHyphen/>
              <w:t>laitteet</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Muut</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Rahoitus</w:t>
            </w:r>
            <w:r>
              <w:softHyphen/>
              <w:t>leasing</w:t>
            </w:r>
            <w:r>
              <w:softHyphen/>
              <w:t>sopimukset</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Keskeneräiset hankinnat</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Yhteensä</w:t>
            </w:r>
          </w:p>
        </w:tc>
      </w:tr>
      <w:tr>
        <w:trPr>
          <w:cantSplit/>
        </w:trPr>
        <w:tc>
          <w:tcPr>
            <w:tcW w:w="3936" w:type="dxa"/>
            <w:gridSpan w:val="2"/>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Kirjanpitoarvo 31.12.2017, brutto</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5 456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4 264</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597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266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675</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309</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2 787</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2 920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17 273</w:t>
            </w:r>
          </w:p>
        </w:tc>
      </w:tr>
      <w:tr>
        <w:trPr>
          <w:cantSplit/>
        </w:trPr>
        <w:tc>
          <w:tcPr>
            <w:tcW w:w="3936" w:type="dxa"/>
            <w:gridSpan w:val="2"/>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Lisäykset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38</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14</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48</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55</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10</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1 311</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1 509</w:t>
            </w:r>
          </w:p>
        </w:tc>
      </w:tr>
      <w:tr>
        <w:trPr>
          <w:cantSplit/>
        </w:trPr>
        <w:tc>
          <w:tcPr>
            <w:tcW w:w="3936" w:type="dxa"/>
            <w:gridSpan w:val="2"/>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Luovutukset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(39)</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(22)</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(103)</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(5)</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(9)</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(8)</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(196)</w:t>
            </w:r>
          </w:p>
        </w:tc>
      </w:tr>
      <w:tr>
        <w:trPr>
          <w:cantSplit/>
        </w:trPr>
        <w:tc>
          <w:tcPr>
            <w:tcW w:w="3936" w:type="dxa"/>
            <w:gridSpan w:val="2"/>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Omaisuusluokkien väliset siirrot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202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982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5</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(170)</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(1 023)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r>
      <w:tr>
        <w:trPr>
          <w:cantSplit/>
        </w:trPr>
        <w:tc>
          <w:tcPr>
            <w:tcW w:w="3936" w:type="dxa"/>
            <w:gridSpan w:val="2"/>
            <w:tcBorders>
              <w:top w:val="nil"/>
              <w:left w:val="nil"/>
              <w:bottom w:val="single" w:sz="4" w:space="0" w:color="016794"/>
              <w:right w:val="nil"/>
            </w:tcBorders>
            <w:tcMar>
              <w:top w:w="0" w:type="dxa"/>
              <w:left w:w="108" w:type="dxa"/>
              <w:bottom w:w="0" w:type="dxa"/>
              <w:right w:w="108" w:type="dxa"/>
            </w:tcMar>
          </w:tcPr>
          <w:p>
            <w:pPr>
              <w:pStyle w:val="Text8pItalicLeft"/>
              <w:rPr>
                <w:rFonts w:eastAsia="Times New Roman" w:cs="Verdana"/>
              </w:rPr>
            </w:pPr>
            <w:r>
              <w:t>Muut muutokset</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(31)</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17</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2</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1</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(11)</w:t>
            </w:r>
          </w:p>
        </w:tc>
      </w:tr>
      <w:tr>
        <w:trPr>
          <w:cantSplit/>
        </w:trPr>
        <w:tc>
          <w:tcPr>
            <w:tcW w:w="3936" w:type="dxa"/>
            <w:gridSpan w:val="2"/>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eastAsia="Times New Roman" w:cs="Verdana"/>
              </w:rPr>
            </w:pPr>
            <w:r>
              <w:t>Kirjanpitoarvo 31.12.2018, brutto</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5 626</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5 259</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641</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270</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634</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327</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2 620</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3 199</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18 575</w:t>
            </w:r>
          </w:p>
        </w:tc>
      </w:tr>
      <w:tr>
        <w:trPr>
          <w:cantSplit/>
        </w:trPr>
        <w:tc>
          <w:tcPr>
            <w:tcW w:w="3936" w:type="dxa"/>
            <w:gridSpan w:val="2"/>
            <w:tcBorders>
              <w:top w:val="single" w:sz="4" w:space="0" w:color="016794"/>
              <w:left w:val="nil"/>
              <w:bottom w:val="nil"/>
              <w:right w:val="nil"/>
            </w:tcBorders>
            <w:tcMar>
              <w:top w:w="0" w:type="dxa"/>
              <w:left w:w="108" w:type="dxa"/>
              <w:bottom w:w="0" w:type="dxa"/>
              <w:right w:w="108" w:type="dxa"/>
            </w:tcMar>
          </w:tcPr>
          <w:p>
            <w:pPr>
              <w:pStyle w:val="Text8pItalicLeft"/>
              <w:rPr>
                <w:rFonts w:eastAsia="Times New Roman" w:cs="Verdana"/>
              </w:rPr>
            </w:pPr>
            <w:r>
              <w:t>Kertyneet poistot 31.12.2017</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(3 035)</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(780)</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(502)</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(188)</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(553)</w:t>
            </w:r>
          </w:p>
        </w:tc>
        <w:tc>
          <w:tcPr>
            <w:tcW w:w="9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(226)</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(1 244)</w:t>
            </w:r>
          </w:p>
        </w:tc>
        <w:tc>
          <w:tcPr>
            <w:tcW w:w="1418"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(6 528)</w:t>
            </w:r>
          </w:p>
        </w:tc>
      </w:tr>
      <w:tr>
        <w:trPr>
          <w:cantSplit/>
        </w:trPr>
        <w:tc>
          <w:tcPr>
            <w:tcW w:w="3936" w:type="dxa"/>
            <w:gridSpan w:val="2"/>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Poistot varainhoitovuoden aikana</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(180)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(561)</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(47)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(19)</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(63)</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(34)</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(98)</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(1 003)</w:t>
            </w:r>
          </w:p>
        </w:tc>
      </w:tr>
      <w:tr>
        <w:trPr>
          <w:cantSplit/>
        </w:trPr>
        <w:tc>
          <w:tcPr>
            <w:tcW w:w="3936" w:type="dxa"/>
            <w:gridSpan w:val="2"/>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Palautetut poistot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5</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6</w:t>
            </w:r>
          </w:p>
        </w:tc>
      </w:tr>
      <w:tr>
        <w:trPr>
          <w:cantSplit/>
        </w:trPr>
        <w:tc>
          <w:tcPr>
            <w:tcW w:w="3936" w:type="dxa"/>
            <w:gridSpan w:val="2"/>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Luovutukset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14</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9</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96</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5</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7</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142</w:t>
            </w:r>
          </w:p>
        </w:tc>
      </w:tr>
      <w:tr>
        <w:trPr>
          <w:cantSplit/>
        </w:trPr>
        <w:tc>
          <w:tcPr>
            <w:tcW w:w="3936" w:type="dxa"/>
            <w:gridSpan w:val="2"/>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Omaisuusluokkien väliset siirrot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(74)</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(5)</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79</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r>
      <w:tr>
        <w:trPr>
          <w:cantSplit/>
        </w:trPr>
        <w:tc>
          <w:tcPr>
            <w:tcW w:w="3936" w:type="dxa"/>
            <w:gridSpan w:val="2"/>
            <w:tcBorders>
              <w:top w:val="nil"/>
              <w:left w:val="nil"/>
              <w:bottom w:val="single" w:sz="4" w:space="0" w:color="016794"/>
              <w:right w:val="nil"/>
            </w:tcBorders>
            <w:tcMar>
              <w:top w:w="0" w:type="dxa"/>
              <w:left w:w="108" w:type="dxa"/>
              <w:bottom w:w="0" w:type="dxa"/>
              <w:right w:w="108" w:type="dxa"/>
            </w:tcMar>
          </w:tcPr>
          <w:p>
            <w:pPr>
              <w:pStyle w:val="Text8pItalicLeft"/>
              <w:rPr>
                <w:rFonts w:eastAsia="Times New Roman" w:cs="Verdana"/>
              </w:rPr>
            </w:pPr>
            <w:r>
              <w:t>Muut muutokset</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(5)</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(1)</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(1)</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(7)</w:t>
            </w:r>
          </w:p>
        </w:tc>
      </w:tr>
      <w:tr>
        <w:trPr>
          <w:cantSplit/>
        </w:trPr>
        <w:tc>
          <w:tcPr>
            <w:tcW w:w="3936" w:type="dxa"/>
            <w:gridSpan w:val="2"/>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eastAsia="Times New Roman" w:cs="Verdana"/>
              </w:rPr>
            </w:pPr>
            <w:r>
              <w:t>Kertyneet poistot 31.12.2018</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(3 279)</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(1 342)</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(540)</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(198)</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(521)</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(255)</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(1 257)</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(7 390)</w:t>
            </w:r>
          </w:p>
        </w:tc>
      </w:tr>
      <w:tr>
        <w:trPr>
          <w:cantSplit/>
        </w:trPr>
        <w:tc>
          <w:tcPr>
            <w:tcW w:w="3936" w:type="dxa"/>
            <w:gridSpan w:val="2"/>
            <w:tcBorders>
              <w:top w:val="single" w:sz="4" w:space="0" w:color="016794"/>
              <w:left w:val="nil"/>
              <w:bottom w:val="nil"/>
              <w:right w:val="nil"/>
            </w:tcBorders>
            <w:tcMar>
              <w:top w:w="0" w:type="dxa"/>
              <w:left w:w="108" w:type="dxa"/>
              <w:bottom w:w="0" w:type="dxa"/>
              <w:right w:w="108" w:type="dxa"/>
            </w:tcMar>
          </w:tcPr>
          <w:p>
            <w:pPr>
              <w:pStyle w:val="Text8pItalicLeft"/>
              <w:rPr>
                <w:rFonts w:eastAsia="Times New Roman"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9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8"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p>
        </w:tc>
      </w:tr>
      <w:tr>
        <w:trPr>
          <w:cantSplit/>
        </w:trPr>
        <w:tc>
          <w:tcPr>
            <w:tcW w:w="3936" w:type="dxa"/>
            <w:gridSpan w:val="2"/>
            <w:tcBorders>
              <w:top w:val="nil"/>
              <w:left w:val="nil"/>
              <w:bottom w:val="nil"/>
              <w:right w:val="nil"/>
            </w:tcBorders>
            <w:shd w:val="clear" w:color="auto" w:fill="CCE1EA"/>
            <w:tcMar>
              <w:top w:w="0" w:type="dxa"/>
              <w:left w:w="108" w:type="dxa"/>
              <w:bottom w:w="0" w:type="dxa"/>
              <w:right w:w="108" w:type="dxa"/>
            </w:tcMar>
          </w:tcPr>
          <w:p>
            <w:pPr>
              <w:pStyle w:val="Text8pBoldLeft"/>
              <w:rPr>
                <w:rFonts w:eastAsia="Times New Roman" w:cs="Verdana"/>
              </w:rPr>
            </w:pPr>
            <w:r>
              <w:t>KIRJANPITOARVO 31.12.2018, NETTO</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2 347</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3 917</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101</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72</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113</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72</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1 363</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3 199</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11 185</w:t>
            </w:r>
          </w:p>
        </w:tc>
      </w:tr>
      <w:tr>
        <w:trPr>
          <w:cantSplit/>
        </w:trPr>
        <w:tc>
          <w:tcPr>
            <w:tcW w:w="3936" w:type="dxa"/>
            <w:gridSpan w:val="2"/>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KIRJANPITOARVO 31.12.2017, NETTO</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2 422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3 484</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95</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78</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122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83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1 543</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2 920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10 745</w:t>
            </w:r>
          </w:p>
        </w:tc>
      </w:tr>
    </w:tbl>
    <w:p>
      <w:pPr>
        <w:pStyle w:val="HEADERTABLE"/>
        <w:rPr>
          <w:noProof/>
        </w:rPr>
      </w:pPr>
      <w:r>
        <w:rPr>
          <w:noProof/>
        </w:rPr>
        <w:t xml:space="preserve"> </w:t>
      </w:r>
    </w:p>
    <w:bookmarkEnd w:id="66"/>
    <w:p>
      <w:pPr>
        <w:pStyle w:val="HEADERTABLE"/>
        <w:rPr>
          <w:noProof/>
        </w:rPr>
        <w:sectPr>
          <w:headerReference w:type="even" r:id="rId142"/>
          <w:headerReference w:type="default" r:id="rId143"/>
          <w:footerReference w:type="even" r:id="rId144"/>
          <w:footerReference w:type="default" r:id="rId145"/>
          <w:headerReference w:type="first" r:id="rId146"/>
          <w:footerReference w:type="first" r:id="rId147"/>
          <w:pgSz w:w="16838" w:h="11906" w:orient="landscape"/>
          <w:pgMar w:top="1134" w:right="1134" w:bottom="1134" w:left="1134" w:header="708" w:footer="708" w:gutter="0"/>
          <w:cols w:space="708"/>
          <w:docGrid w:linePitch="360"/>
        </w:sectPr>
      </w:pPr>
    </w:p>
    <w:p>
      <w:pPr>
        <w:pStyle w:val="HEADER2NOTES"/>
        <w:rPr>
          <w:noProof/>
        </w:rPr>
      </w:pPr>
      <w:bookmarkStart w:id="68" w:name="_DMBM_14800"/>
      <w:r>
        <w:rPr>
          <w:noProof/>
        </w:rPr>
        <w:t>PÄÄOMAOSUUSMENETELMÄLLÄ ARVOSTETUT SIJOITUKSET</w:t>
      </w:r>
    </w:p>
    <w:p>
      <w:pPr>
        <w:pStyle w:val="DGTextstand-alone"/>
      </w:pPr>
      <w:r>
        <w:t xml:space="preserve">Komission edustaman EU:n osuutta Euroopan investointirahastossa (EIR) käsitellään kirjanpidossa osakkuusyrityksenä pääomaosuusmenetelmää soveltaen. EIR toimii EU:n rahoituslaitoksena. Se on erikoistunut tarjoamaan riskipääomaa ja takauksia pienille ja keskisuurille yrityksille (pk-yritykset). EIR on sijoittautunut Luxemburgiin. Se toimii julkisen ja yksityisen sektorin kumppanuutena, jonka jäseniä ovat Euroopan investointipankki (EIP), EU ja ryhmä rahoituslaitoksia. EU:n </w:t>
      </w:r>
      <w:bookmarkStart w:id="69" w:name="OLE_LINK1"/>
      <w:bookmarkStart w:id="70" w:name="OLE_LINK2"/>
      <w:r>
        <w:t xml:space="preserve">omistusosuus </w:t>
      </w:r>
      <w:bookmarkEnd w:id="69"/>
      <w:bookmarkEnd w:id="70"/>
      <w:r>
        <w:t>EIR:ssä oli 29,7 prosenttia 31. joulukuuta 2018 (29,7 prosenttia vuonna 2017) ja ääniosuus 29,7 prosenttia (29,7 prosenttia vuonna 2017). EIR:n on perussääntönsä mukaisesti siirrettävä vuotuisesta nettotuloksestaan vähintään 20 prosenttia sääntömääräiseen rahastoon, kunnes rahaston kumulatiiviset varat ovat 10 prosenttia merkitystä pääomasta. Tätä rahastoa ei saa käyttää voitonjakoon.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3"/>
        <w:gridCol w:w="2154"/>
      </w:tblGrid>
      <w:tr>
        <w:tc>
          <w:tcPr>
            <w:tcW w:w="762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1" w:name="DOC_TBL00009_1_1"/>
            <w:bookmarkEnd w:id="71"/>
          </w:p>
        </w:tc>
        <w:tc>
          <w:tcPr>
            <w:tcW w:w="2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Euroopan investointirahasto</w:t>
            </w:r>
          </w:p>
        </w:tc>
      </w:tr>
      <w:tr>
        <w:tc>
          <w:tcPr>
            <w:tcW w:w="762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Osuus 31.12.2017</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581</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Rahoitusosuudet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Saadut osingot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Osuus nettotuloksesta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37</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Osuus nettovaroista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r>
      <w:tr>
        <w:tc>
          <w:tcPr>
            <w:tcW w:w="762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Osuus 31.12.2018</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591</w:t>
            </w:r>
          </w:p>
        </w:tc>
      </w:tr>
    </w:tbl>
    <w:p>
      <w:pPr>
        <w:pStyle w:val="DGTextstand-alone"/>
      </w:pPr>
      <w:r>
        <w:t>Seuraavat kirjanpitoarvot on kohdistettu EU:lle käyttäen perusteena sen prosenttilukuna ilmaistuja osuuksia: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2" w:name="DOC_TBL00010_1_1"/>
            <w:bookmarkEnd w:id="72"/>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EIR yhteensä</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EIR yhteensä</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Varat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2 662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2 488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Velat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(532)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Tulot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291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263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Menot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Ylijäämä/(alijäämä)</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110</w:t>
            </w:r>
          </w:p>
        </w:tc>
      </w:tr>
    </w:tbl>
    <w:p>
      <w:pPr>
        <w:pStyle w:val="DGTextstand-alone"/>
      </w:pPr>
      <w:r>
        <w:t>Edellä esitetty taloudellisten tietojen yhteenveto täsmäytetään EIR:ssä olevan omistusosuuden kirjanpitoarvon kanssa seuraavasti:</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3" w:name="DOC_TBL00011_1_1"/>
            <w:bookmarkEnd w:id="73"/>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Osakkuusyrityksen nettovarat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1 988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1 956</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Euroopan komission omistusosuus EIR:ssä</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29,7 %</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29,7 %</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Kirjanpitoarvo</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591</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581</w:t>
            </w:r>
          </w:p>
        </w:tc>
      </w:tr>
    </w:tbl>
    <w:p>
      <w:pPr>
        <w:pStyle w:val="DGTextstand-alone"/>
      </w:pPr>
      <w:r>
        <w:t>Komission edustama EU on maksanut merkitsemistään osakkeista EIR:n pääomasta 20 prosenttia 31. joulukuuta 2018. Jäljelle jäävä osuus, jota ei ole vaadittu maksettavaksi on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4" w:name="DOC_TBL00012_1_1"/>
            <w:bookmarkEnd w:id="74"/>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EIR:n pääoma yhteensä</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EU:n merkitsemä osuus</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Osakepääoma yhteensä</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4 500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1 337</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Maksettu</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(900)</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(267)</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Maksamista ei ole pyydetty</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3 600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1 070</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DGTextstand-alone"/>
        <w:spacing w:before="0" w:after="0"/>
        <w:sectPr>
          <w:headerReference w:type="even" r:id="rId148"/>
          <w:headerReference w:type="default" r:id="rId149"/>
          <w:footerReference w:type="even" r:id="rId150"/>
          <w:footerReference w:type="default" r:id="rId151"/>
          <w:headerReference w:type="first" r:id="rId152"/>
          <w:footerReference w:type="first" r:id="rId153"/>
          <w:pgSz w:w="11906" w:h="16838"/>
          <w:pgMar w:top="1134" w:right="1134" w:bottom="1134" w:left="1134" w:header="709" w:footer="709" w:gutter="0"/>
          <w:cols w:space="708"/>
          <w:docGrid w:linePitch="360"/>
        </w:sectPr>
      </w:pPr>
      <w:r>
        <w:t xml:space="preserve"> </w:t>
      </w:r>
      <w:bookmarkEnd w:id="68"/>
    </w:p>
    <w:p>
      <w:pPr>
        <w:pStyle w:val="HEADER2NOTES"/>
        <w:rPr>
          <w:noProof/>
        </w:rPr>
      </w:pPr>
      <w:bookmarkStart w:id="75" w:name="_DMBM_14792"/>
      <w:r>
        <w:rPr>
          <w:noProof/>
        </w:rPr>
        <w:t>RAHOITUSVARAT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2"/>
        <w:gridCol w:w="1231"/>
        <w:gridCol w:w="1812"/>
        <w:gridCol w:w="1812"/>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6" w:name="DOC_TBL00013_1_1"/>
            <w:bookmarkEnd w:id="76"/>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Liitetieto</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Pitkäaikaiset rahoitusvarat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Myytävissä olevat rahoitusvarat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13 657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11 758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Käypään arvoon tulosvaikutteisesti kirjattavat rahoitusvarat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Lainat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51 560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48 205</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65 231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59 980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Lyhytaikaiset rahoitusvarat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Myytävissä olevat rahoitusvarat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1 786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Käypään arvoon tulosvaikutteisesti kirjattavat rahoitusvarat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Lainat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2 380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6 776</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4 168</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8 655</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Yhteensä</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69 398</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68 635</w:t>
            </w:r>
          </w:p>
        </w:tc>
      </w:tr>
    </w:tbl>
    <w:p>
      <w:pPr>
        <w:pStyle w:val="HEADER3NOTES"/>
        <w:spacing w:after="0"/>
        <w:rPr>
          <w:noProof/>
        </w:rPr>
      </w:pPr>
      <w:r>
        <w:rPr>
          <w:noProof/>
        </w:rPr>
        <w:t>Myytävissä olevat rahoitusvarat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7" w:name="DOC_TBL00014_1_1"/>
            <w:bookmarkEnd w:id="77"/>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BUFI-sijoitukset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1 888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2 158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Selvitystilassa oleva EHTY</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1 506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1 658</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Euroopan jälleenrakennus- ja kehityspankki</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188</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3 582</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4 004</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Talousarviotakauksia varten perustetut takuurahastot:</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ESIR-takuurahasto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5 000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3 414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Ulkosuhteisiin liittyvien hankkeiden takuurahasto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2 465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2 199</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EKKR-takuurahasto</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7 474</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5 613</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EU:n talousarviosta rahoitetut rahoitusvälineet:</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Horisontti 2020</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2 031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1 730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Riskinjakorahoitusväline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665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Verkkojen Eurooppa </w:t>
            </w:r>
            <w:r>
              <w:noBreakHyphen/>
              <w:t>väline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540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Pk-yrityksille tarkoitetut EU:n pääomajärjestelyt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464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Euroopan Kaakkois-Euroopparahasto (EFSE)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Riskipääomatoimet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113</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Muut</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444</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397</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4 386</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4 014</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Yhteensä</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15 443</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13 632</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Pitkäaikaiset</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13 657</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11 758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Lyhytaikaiset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1 786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1 873</w:t>
            </w:r>
          </w:p>
        </w:tc>
      </w:tr>
    </w:tbl>
    <w:p>
      <w:pPr>
        <w:pStyle w:val="DGTextstand-alone"/>
        <w:spacing w:before="120" w:after="0"/>
      </w:pPr>
      <w:r>
        <w:t>Edellä esitetystä yhteensä 15 443 miljoonan euron kokonaismäärästä EU:lla on myytävissä olevia rahoitusvaroja velkapapereina (esim. joukkovelkakirjat) 13 993 miljoonaa euroa (12 048 miljoonaa euroa vuonna 2017), oman pääoman ehtoisina instrumentteina 1 365 miljoonaa euroa (1 333 miljoonaa euroa vuonna 2017) ja EIP:n Unitary-rahamarkkinarahastoon sijoitettuna 85 miljoonaa euroa (251 miljoonaa euroa vuonna 2017). Velkapapereita ja EIP:n Unitary-rahastossa olevia varoja käytetään pääasiassa sijoitettaessa väliaikaisesti EU:n takaus- ja riskinjakovälineisiin kohdennettuja varoja, joita voidaan ajan mittaan joutua käyttämään takauksiin perustuviin maksuvaatimuksiin.</w:t>
      </w:r>
    </w:p>
    <w:p>
      <w:pPr>
        <w:pStyle w:val="DGTextstand-alone"/>
        <w:spacing w:before="0" w:after="0"/>
      </w:pPr>
    </w:p>
    <w:p>
      <w:pPr>
        <w:pStyle w:val="HEADER5"/>
        <w:rPr>
          <w:noProof/>
        </w:rPr>
      </w:pPr>
      <w:r>
        <w:rPr>
          <w:noProof/>
        </w:rPr>
        <w:t>BUFI-sijoitukset</w:t>
      </w:r>
    </w:p>
    <w:p>
      <w:pPr>
        <w:pStyle w:val="DGTextstand-alone"/>
        <w:spacing w:before="120" w:after="0"/>
      </w:pPr>
      <w:r>
        <w:t>Kilpailuasioihin liittyvät alustavasti maksetut sakot kohdennetaan erilliseen rahastoon (BUFI). Komissio sijoittaa kyseiset varat myytävissä oleviksi rahoitusvaroiksi luokiteltaviin vieraan pääoman ehtoisiin rahoitusvälineisiin.</w:t>
      </w:r>
    </w:p>
    <w:p>
      <w:pPr>
        <w:pStyle w:val="DGTextstand-alone"/>
        <w:spacing w:before="0" w:after="0"/>
      </w:pPr>
    </w:p>
    <w:p>
      <w:pPr>
        <w:pStyle w:val="HEADER5"/>
        <w:keepNext/>
        <w:rPr>
          <w:noProof/>
        </w:rPr>
      </w:pPr>
      <w:r>
        <w:rPr>
          <w:noProof/>
        </w:rPr>
        <w:t>Selvitystilassa oleva EHTY</w:t>
      </w:r>
    </w:p>
    <w:p>
      <w:pPr>
        <w:pStyle w:val="Textstand-alone"/>
      </w:pPr>
      <w:r>
        <w:t>Kaikki selvitystilassa olevan Euroopan hiili- ja teräsyhteisön (EHTY) myytävissä oleviin rahoitusvaroihin kuuluvat sijoitukset ovat toimivilla markkinoilla noteerattuja euromääräisiä vieraan pääoman ehtoisia arvopapereita.</w:t>
      </w:r>
    </w:p>
    <w:p>
      <w:pPr>
        <w:pStyle w:val="HEADER5"/>
        <w:rPr>
          <w:noProof/>
        </w:rPr>
      </w:pPr>
    </w:p>
    <w:p>
      <w:pPr>
        <w:pStyle w:val="HEADER5"/>
        <w:rPr>
          <w:noProof/>
        </w:rPr>
      </w:pPr>
      <w:r>
        <w:rPr>
          <w:noProof/>
        </w:rPr>
        <w:t>Euroopan jälleenrakennus- ja kehityspankki</w:t>
      </w:r>
    </w:p>
    <w:p>
      <w:pPr>
        <w:pStyle w:val="Textstand-alone"/>
        <w:spacing w:after="0"/>
      </w:pPr>
      <w:r>
        <w:t>EU on investoinut Euroopan jälleenrakennus- ja kehityspankin (EBRD) pääomaan, josta sillä oli 90 044 osaketta 31. joulukuuta 2018 (90 044 osaketta myös vuonna 2017). Niiden osuus on kolme prosenttia merkitystä osakepääomasta yhteensä. EU on sijoittanut yhteensä 900 miljoonaa euroa osakepääomaa, josta 713 miljoonaa ei ole pyydetty maksettavaksi. EBRD:n perustamissopimuksen mukaan osakkailla on sopimusperusteisia rajoituksia, joiden mukaan esimerkiksi osakkeet eivät ole siirrettäviä ja omistusosuus voidaan myydä enintään hankintahintaan.</w:t>
      </w:r>
    </w:p>
    <w:p>
      <w:pPr>
        <w:pStyle w:val="Textstand-alone"/>
        <w:spacing w:after="0"/>
      </w:pPr>
      <w:r>
        <w:t>EU:n investoinnit EBRD:ssä arvostetaan käypään arvoon. Alkuperäinen hankintahinta katsotaan parhaaksi arvioksi käyvästä hinnasta, erityisesti edellä mainittujen sopimusperusteisten rajoitteiden vuoksi. Vaikka EBRD:n osakkeita ei noteerata pörssissä, sen pääomaa koskevia transaktioita on tehty viime aikoina (pääoman nimellisarvon mukainen liikkeeseenlasku), mikä viittaa siihen, että hankintahinta on tässä tilanteessa paras arvio käyvästä hinnasta.</w:t>
      </w:r>
    </w:p>
    <w:p>
      <w:pPr>
        <w:pStyle w:val="Textstand-alone"/>
        <w:spacing w:before="0"/>
      </w:pPr>
    </w:p>
    <w:p>
      <w:pPr>
        <w:pStyle w:val="HEADER5"/>
        <w:rPr>
          <w:noProof/>
        </w:rPr>
      </w:pPr>
      <w:r>
        <w:rPr>
          <w:noProof/>
        </w:rPr>
        <w:t>TALOUSARVIOTAKAUKSIA VARTEN PERUSTETUT TAKUURAHASTOT</w:t>
      </w:r>
    </w:p>
    <w:p>
      <w:pPr>
        <w:pStyle w:val="HEADER5"/>
        <w:rPr>
          <w:noProof/>
        </w:rPr>
      </w:pPr>
    </w:p>
    <w:p>
      <w:pPr>
        <w:pStyle w:val="HEADER5"/>
        <w:rPr>
          <w:noProof/>
        </w:rPr>
      </w:pPr>
      <w:r>
        <w:rPr>
          <w:noProof/>
        </w:rPr>
        <w:t>ESIR-takuurahasto</w:t>
      </w:r>
    </w:p>
    <w:p>
      <w:pPr>
        <w:pStyle w:val="DGTextstand-alone"/>
        <w:spacing w:before="120"/>
      </w:pPr>
      <w:r>
        <w:t xml:space="preserve">ESIR-takuurahasto on perustettu ESIR-asetuksen (asetus (EU) 2015/2017) mukaisesti likviditeettipuskuriksi potentiaalisten tappioiden varalta, joita EIP voi joutua kattamaan niiden rahoitus- ja investointitoimiensa osalta, joille on ESIR-sopimuksen nojalla myönnetty ESIR-rahaston EU-takaus – ks. liitetieto </w:t>
      </w:r>
      <w:r>
        <w:rPr>
          <w:b/>
        </w:rPr>
        <w:t>4.1.1</w:t>
      </w:r>
      <w:r>
        <w:t>. ESIR-takuurahasto rahoitetaan EU:n talousarviosta saatavilla rahoitusosuuksilla. Se saa rahoitusta myös sijoittamiensa varojen tuotoista sekä tuotoista, jotka EU saa palkkioksi ESIR-sopimuksen mukaisesti myönnetyistä takauksista. Takuurahastolle siirretään myös varat, jotka EIP perii takaisin niiltä velallisilta, joiden maksulaiminlyöntien vuoksi on jouduttu suorittamaan maksuja takauksen perusteella. Rahastoa hallinnoi komissio, joka on valtuutettu sijoittamaan ESIR-takuurahaston varat rahoitusmarkkinoille moitteettoman varainhoidon periaatetta ja asianmukaisia vakavaraisuussääntöjä noudattaen. ESIR-takuurahasto aloitti toimintansa huhtikuussa 2016. ESIR-asetuksen mukaan, sellaisena kuin se on muutettuna vuonna 2017 (asetus (EU) 2017/2396), sitä rahoitetaan asteittain, kunnes varoja on 9,1 miljardia euroa, eli 35 prosenttia ESIR-rahaston EU-takauksien kokonaismäärästä.</w:t>
      </w:r>
    </w:p>
    <w:p>
      <w:pPr>
        <w:pStyle w:val="HEADER5"/>
        <w:rPr>
          <w:noProof/>
        </w:rPr>
      </w:pPr>
      <w:r>
        <w:rPr>
          <w:noProof/>
        </w:rPr>
        <w:t>Ulkosuhteisiin liittyvien hankkeiden takuurahasto</w:t>
      </w:r>
    </w:p>
    <w:p>
      <w:pPr>
        <w:pStyle w:val="DGTextstand-alone"/>
        <w:spacing w:before="120"/>
      </w:pPr>
      <w:r>
        <w:t xml:space="preserve">Ulkosuhteisiin liittyviä hankkeita varten perustetusta takuurahastosta katetaan lainat, joille on myönnetty takaus EU:n talousarviosta. Tällaisiin kuuluvat etenkin EIP:n omista varoista rahoitetut EU:n ulkopuolelle myönnetyt EIP:n lainat, makrotaloudellisena rahoitusapuna myönnetyt lainat ja EU:n ulkopuolisille maille myönnetyt Euratom-lainat – ks. liitetieto </w:t>
      </w:r>
      <w:r>
        <w:rPr>
          <w:b/>
        </w:rPr>
        <w:t>4.1.1</w:t>
      </w:r>
      <w:r>
        <w:t>. Takuurahasto on EIP:n hallinnoima pitkäaikainen väline (pitkäaikaiset varat ovat 2 275 miljoonaa euroa), jolla katetaan EU:n takaamiin lainoihin liittyvät maksujen laiminlyönnit. Rahastoa rahoitetaan unionin talousarviosta suoritettavilla maksuilla, rahaston sijoitusten korkotuotoilla ja maksuvelvoitteensa laiminlyöneiltä velallisilta perityillä varoilla, jos rahasto on suorittanut maksuja takauksen perusteella. Rahastolla pitäisi olla varoja tavoitemäärä, joka vastaa 9:ää prosenttia lainakannasta vuoden lopussa. Tavoitemäärän ja rahaston varojen vuoden lopun arvon välinen erotus katetaan EU:n talousarviosta vuonna n + 2, ja mahdollinen ylijäämä maksetaan takaisin EU:n talousarvioon.</w:t>
      </w:r>
    </w:p>
    <w:p>
      <w:pPr>
        <w:pStyle w:val="HEADER5"/>
        <w:rPr>
          <w:noProof/>
        </w:rPr>
      </w:pPr>
      <w:r>
        <w:rPr>
          <w:noProof/>
        </w:rPr>
        <w:t>EKKR-takuurahasto</w:t>
      </w:r>
    </w:p>
    <w:p>
      <w:pPr>
        <w:pStyle w:val="DGTextstand-alone"/>
        <w:spacing w:before="120"/>
      </w:pPr>
      <w:r>
        <w:t xml:space="preserve">EKKR-asetuksen (26 päivänä syyskuuta 2017 annettu Euroopan parlamentin ja neuvoston asetus (EU) 2017/1601) mukaisesti on perustettu EKKR-takuurahasto. Se toimii likviditeettipuskurina, jos unionin takuun perusteella esitetään maksuvaatimuksia asianomaisten EKKR-takuusopimusten mukaisesti. EKKR-takuurahastoa rahoitetaan EU:n talousarviosta maksettavin rahoitusosuuksin, 11. EKR:sta EU:n talousarvioon maksettavin rahoitusosuuksin sekä jäsenvaltioiden ja muiden rahoittajien vapaaehtoisin rahoitusosuuksin. Rahasto saa rahoitusta myös sijoitettujen varojen tuotoista, maksut laiminlyöneiltä velallisilta takaisinperityistä määristä sekä tuloista ja kaikista muista maksuista, jotka EU on saanut EKKR-takuusopimusten perusteella. Rahastoa hallinnoi komissio, joka on valtuutettu sijoittamaan rahaston varat moitteettoman varainhoidon periaatetta ja asianmukaisia vakavaraisuussääntöjä noudattaen. Ensimmäiset EU:n talousarviosta EKKR-takuurahastoon maksetut rahoitusosuudet suoritettiin elokuussa 2018. Saatujen maksujen kokonaismäärä vuonna 2018 oli 275,1 miljoonaa euroa. Tästä summasta 9 miljoonaa euroa on sijoitettu myytävissä oleviin rahoitusvaroihin 31. joulukuuta 2018. Rahaston varoista on sidottu 325 miljoonaa euroa (275 miljoonaa euroa vuonna 2017). Kyseisiä varoja ei vielä ole maksettu, joten ne sisältyvät maksamatta oleviin sitoumuksiin liitetiedossa </w:t>
      </w:r>
      <w:r>
        <w:rPr>
          <w:b/>
        </w:rPr>
        <w:t>5.1</w:t>
      </w:r>
      <w:r>
        <w:t xml:space="preserve">. EKKR-takuurahastoa rahoitetaan asteittain, kunnes varoja on 750 miljoonaa euroa eli 50 prosenttia EU:n talousarviosta katettavien EKKR-takausvelvoitteiden kokonaismäärästä. Rahastoa voidaan kasvattaa tämänkin jälkeen muista rahoitusosuuksista peräisin olevilla varoilla. </w:t>
      </w:r>
    </w:p>
    <w:p>
      <w:pPr>
        <w:pStyle w:val="DGTextstand-alone"/>
        <w:spacing w:before="120"/>
      </w:pPr>
    </w:p>
    <w:p>
      <w:pPr>
        <w:pStyle w:val="HEADER5"/>
        <w:rPr>
          <w:noProof/>
        </w:rPr>
      </w:pPr>
      <w:r>
        <w:rPr>
          <w:noProof/>
        </w:rPr>
        <w:t>EU:N TALOUSARVIOSTA RAHOITETUT RAHOITUSVÄLINEET</w:t>
      </w:r>
    </w:p>
    <w:p>
      <w:pPr>
        <w:pStyle w:val="HEADER5"/>
        <w:rPr>
          <w:rFonts w:eastAsia="Calibri"/>
          <w:noProof/>
          <w:color w:val="auto"/>
        </w:rPr>
      </w:pPr>
    </w:p>
    <w:p>
      <w:pPr>
        <w:pStyle w:val="HEADER5"/>
        <w:spacing w:after="120"/>
        <w:rPr>
          <w:noProof/>
        </w:rPr>
      </w:pPr>
      <w:r>
        <w:rPr>
          <w:noProof/>
        </w:rPr>
        <w:t>Horisontti 2020</w:t>
      </w:r>
    </w:p>
    <w:p>
      <w:pPr>
        <w:pStyle w:val="DGTextstand-alone"/>
        <w:spacing w:before="120"/>
      </w:pPr>
      <w:r>
        <w:t xml:space="preserve">Tutkimuksen ja innovoinnin puiteohjelman Horisontti 2020:n (2014–2020) perustamisasetuksen mukaisesti on otettu käyttöön uusia rahoitusvälineitä, joilla voidaan parantaa tutkimus- ja innovointitoimintaa (T&amp;I) harjoittavien yhteisöjen rahoituksen saantia. Nämä välineet ovat seuraavat: </w:t>
      </w:r>
      <w:r>
        <w:rPr>
          <w:i/>
        </w:rPr>
        <w:t>InnovFin-laina- ja takauspalvelu T&amp;I-toimintaa varten</w:t>
      </w:r>
      <w:r>
        <w:t xml:space="preserve">, jonka puitteissa komissio jakaa taloudellisen riskin, joka liittyy EIP:n toteuttamien uusien rahoitustoimien salkkuun; </w:t>
      </w:r>
      <w:r>
        <w:rPr>
          <w:i/>
        </w:rPr>
        <w:t>pk-yritysten InnovFin-takausjärjestelmä, mukaan lukien pk-yrityksiä koskevaan aloitteeseen sisältyvä rajaamatonta vakuutta koskeva väline (SIUGI)</w:t>
      </w:r>
      <w:r>
        <w:t xml:space="preserve">, joka muodostuu EIR:n hallinnoimista takausjärjestelyistä, joista tarjotaan takauksia ja vastatakauksia rahoituksen välittäjien uusille lainasalkuille (komissio jakaa SIUGIn puitteissa jäsenvaltioiden, EIR:n ja EIP:n kanssa annettuihin takauksiin liittyvän taloudellisen riskin); ja EIR:n hallinnoima </w:t>
      </w:r>
      <w:r>
        <w:rPr>
          <w:i/>
        </w:rPr>
        <w:t>InnovFin-pääomajärjestely T&amp;I-toimintaa varten</w:t>
      </w:r>
      <w:r>
        <w:t xml:space="preserve">, josta tarjotaan sijoituksia pääomasijoitusrahastoihin. </w:t>
      </w:r>
    </w:p>
    <w:p>
      <w:pPr>
        <w:pStyle w:val="HEADER5"/>
        <w:keepNext/>
        <w:spacing w:after="120"/>
        <w:rPr>
          <w:noProof/>
        </w:rPr>
      </w:pPr>
      <w:r>
        <w:rPr>
          <w:noProof/>
        </w:rPr>
        <w:t>Riskinjakorahoitusväline</w:t>
      </w:r>
    </w:p>
    <w:p>
      <w:pPr>
        <w:pStyle w:val="DGTextstand-alone"/>
        <w:spacing w:before="120"/>
        <w:rPr>
          <w:rFonts w:ascii="Times New Roman" w:hAnsi="Times New Roman"/>
          <w:szCs w:val="20"/>
        </w:rPr>
      </w:pPr>
      <w:r>
        <w:t>Riskinjakorahoitusvälinettä (Risk Sharing Finance Facility, RSFF) hallinnoi EIP. Komission sijoitussalkkua käytetään kattamaan taloudellista riskiä, joka liittyy tukikelpoisille tutkimushankkeille myönnettyihin EIP:n lainoihin ja takauksiin. EU on budjetoinut vuosien 2007–2013 rahoituskehyksen puitteissa riskinjakorahoitusvälineelle yhteensä enintään 1 miljardi euroa. Vuosia 2014–2020 koskevassa monivuotisessa rahoituskehyksessä riskinjakorahoitusvälineelle ei ole osoitettu uusia rahoitusosuuksia EU:n talousarviosta. EU:n kokonaisriski on rajoitettu määrään, jonka se on sijoittanut riskinjakorahoitusvälineeseen.</w:t>
      </w:r>
    </w:p>
    <w:p>
      <w:pPr>
        <w:pStyle w:val="HEADER5"/>
        <w:spacing w:after="120"/>
        <w:rPr>
          <w:noProof/>
        </w:rPr>
      </w:pPr>
      <w:r>
        <w:rPr>
          <w:noProof/>
        </w:rPr>
        <w:t xml:space="preserve">Verkkojen Eurooppa </w:t>
      </w:r>
      <w:r>
        <w:rPr>
          <w:noProof/>
        </w:rPr>
        <w:noBreakHyphen/>
        <w:t>väline</w:t>
      </w:r>
    </w:p>
    <w:p>
      <w:pPr>
        <w:pStyle w:val="DGTextstand-alone"/>
        <w:spacing w:before="120"/>
      </w:pPr>
      <w:r>
        <w:t xml:space="preserve">Verkkojen Eurooppa </w:t>
      </w:r>
      <w:r>
        <w:noBreakHyphen/>
        <w:t xml:space="preserve">välineen vieraan pääoman ehtoinen rahoitusväline on perustettu asetuksen (EU) N:o 1316/2013 mukaisesti helpottamaan infrastruktuurihankkeiden mahdollisuuksia saada rahoitusta liikenteen, televiestinnän ja energian aloilla. Sitä hallinnoi EIR EU:n kanssa tehdyn sopimuksen mukaisesti. Tämä vieraan pääoman ehtoinen rahoitusväline on jatkoa TEN-T-hankkeiden lainavakuusjärjestelmälle ja hankejoukkolainoja koskevan aloitteen pilottivaiheelle. Kyseiset kaksi järjestelyä yhdistettiin Verkkojen Eurooppa </w:t>
      </w:r>
      <w:r>
        <w:noBreakHyphen/>
        <w:t>välineen vieraan pääoman ehtoiseksi rahoitusvälineeksi 1. tammikuuta 2016. Vieraan pääoman ehtoinen väline tarjoaa lainarahoituksen riskinjakoa etuoikeutettujen ja etuoikeusasemaltaan huonompien lainojen ja takausten muodossa.</w:t>
      </w:r>
    </w:p>
    <w:p>
      <w:pPr>
        <w:pStyle w:val="HEADER5"/>
        <w:spacing w:after="120"/>
        <w:rPr>
          <w:noProof/>
        </w:rPr>
      </w:pPr>
      <w:r>
        <w:rPr>
          <w:noProof/>
        </w:rPr>
        <w:t>Pk-yrityksille tarkoitetut EU:n pääomajärjestelyt</w:t>
      </w:r>
    </w:p>
    <w:p>
      <w:pPr>
        <w:pStyle w:val="DGTextstand-alone"/>
        <w:spacing w:before="120" w:after="480"/>
      </w:pPr>
      <w:r>
        <w:t>Nämä ovat EIR:n hallinnoimia oman pääoman ehtoisia rahoitusvälineitä, jotka rahoitetaan COSME-ohjelmasta, CIP- ja MAP-ohjelmista sekä teknologian siirron pilottihankkeesta. Niillä tuetaan pk-yritysten perustamista ja käynnistys- (start-up) ja kasvuvaiheessa olevien pk-yritysten rahoittamista EU:ssa investoimalla sopiviin erikoistuneisiin pääomasijoitusrahastoihin.</w:t>
      </w:r>
    </w:p>
    <w:p>
      <w:pPr>
        <w:pStyle w:val="HEADER3NOTES"/>
        <w:spacing w:after="0"/>
        <w:rPr>
          <w:noProof/>
        </w:rPr>
      </w:pPr>
      <w:r>
        <w:rPr>
          <w:noProof/>
        </w:rPr>
        <w:t>Käypään arvoon tulosvaikutteisesti kirjattavat rahoitusvarat</w:t>
      </w:r>
    </w:p>
    <w:p>
      <w:pPr>
        <w:pStyle w:val="DGTextstand-alone"/>
        <w:spacing w:before="0"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8" w:name="DOC_TBL00015_1_1"/>
            <w:bookmarkEnd w:id="78"/>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31.12.2018</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31.12.2017</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Johdannaistyyppi</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Nimellis</w:t>
            </w:r>
            <w:r>
              <w:softHyphen/>
              <w:t xml:space="preserve">arvo </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Käypä arvo</w:t>
            </w:r>
          </w:p>
        </w:tc>
        <w:tc>
          <w:tcPr>
            <w:tcW w:w="141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Nimellis</w:t>
            </w:r>
            <w:r>
              <w:softHyphen/>
              <w:t xml:space="preserve">arvo </w:t>
            </w:r>
          </w:p>
        </w:tc>
        <w:tc>
          <w:tcPr>
            <w:tcW w:w="1559"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 xml:space="preserve">Käypä </w:t>
            </w:r>
            <w:r>
              <w:br/>
              <w:t>arvo</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Valuuttatermiinisopimus</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476</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634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6</w:t>
            </w:r>
          </w:p>
        </w:tc>
      </w:tr>
      <w:tr>
        <w:tc>
          <w:tcPr>
            <w:tcW w:w="3794"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NormalLeft"/>
              <w:rPr>
                <w:rFonts w:eastAsia="Verdana" w:cs="Verdana"/>
                <w:i/>
              </w:rPr>
            </w:pPr>
            <w:r>
              <w:rPr>
                <w:i/>
              </w:rPr>
              <w:t>Pääomasijoitussalkun takaus</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674</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14</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258</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16</w:t>
            </w:r>
          </w:p>
        </w:tc>
      </w:tr>
      <w:tr>
        <w:tc>
          <w:tcPr>
            <w:tcW w:w="379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Yhteensä</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1 150</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16</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892</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23</w:t>
            </w:r>
          </w:p>
        </w:tc>
      </w:tr>
      <w:tr>
        <w:tc>
          <w:tcPr>
            <w:tcW w:w="379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Pitkäaikaiset</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674</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14</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258</w:t>
            </w: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16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Lyhytaikaiset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476</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634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6</w:t>
            </w:r>
          </w:p>
        </w:tc>
      </w:tr>
    </w:tbl>
    <w:p>
      <w:pPr>
        <w:pStyle w:val="DGTextstand-alone"/>
      </w:pPr>
      <w:r>
        <w:t xml:space="preserve">EU tekee valuuttatermiinisopimuksia suojautuakseen ESIR-takuurahaston hallussa oleviin Yhdysvaltain dollarin määräisiin velkapapereihin liittyvältä valuuttariskiltä. Valuuttatermiinisopimusten mukaisesti EU on velvollinen maksamaan edellä olevassa taulukossa esitetyn sovitun nimellismäärän ulkomaan valuutassa (pay leg), ja sille maksetaan sovittu nimellismäärä euroissa (receive leg) sopimuksen erääntymispäivänä. Nämä johdannaissopimukset arvostetaan käypään arvoon tilinpäätöspäivänä ja luokitellaan käypään arvoon tulosvaikutteisesti kirjattaviksi rahoitusvaroiksi tai </w:t>
      </w:r>
      <w:r>
        <w:noBreakHyphen/>
        <w:t xml:space="preserve">veloiksi riippuen siitä, onko niiden käypä arvo positiivinen vai negatiivinen. </w:t>
      </w:r>
    </w:p>
    <w:p>
      <w:pPr>
        <w:pStyle w:val="DGTextstand-alone"/>
        <w:spacing w:after="0"/>
      </w:pPr>
      <w:r>
        <w:t>EU:n EIP-ryhmälle antama pääomasijoitussalkkua koskeva ESIR-takaus luokitellaan johdannaissopimukseksi ja merkitään kirjanpitoon käypään arvoon tulosvaikutteisesti arvostettuina rahoitusvaroina tai rahoitusvelkoina, ks. liitetieto </w:t>
      </w:r>
      <w:r>
        <w:rPr>
          <w:b/>
        </w:rPr>
        <w:t>4.1.1</w:t>
      </w:r>
      <w:r>
        <w:t xml:space="preserve">. EIP:n ja EIR:n oman pääoman ehtoisten sijoitusten nostettu määrä 31. joulukuuta 2018 oli 674 miljoonaa euroa, ja ESIR-rahaston pääomasijoitussalkun EU-takauksen käypä arvo yhteensä 14 miljoonaa euroa. </w:t>
      </w:r>
    </w:p>
    <w:p>
      <w:pPr>
        <w:pStyle w:val="HEADER5"/>
        <w:rPr>
          <w:noProof/>
        </w:rPr>
      </w:pPr>
    </w:p>
    <w:p>
      <w:pPr>
        <w:pStyle w:val="HEADER5"/>
        <w:rPr>
          <w:noProof/>
        </w:rPr>
      </w:pPr>
      <w:r>
        <w:rPr>
          <w:noProof/>
        </w:rPr>
        <w:t>Käypään arvoon kirjattavien rahoitusvarojen hierarkia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9" w:name="DOC_TBL00016_1_1"/>
            <w:bookmarkEnd w:id="79"/>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Taso 1: Toimivilla markkinoilla noteeratut hinnat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13 993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11 983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Taso 2: Muut todettavissa olevat tiedot kuin noteeratut hinnat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275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510</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Taso 3: Arvostusmenetelmät, joissa käytetyt tiedot eivät perustu todettavissa olevaan markkinatietoon</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1 191</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1 161</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Yhteensä</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15 459</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13 654</w:t>
            </w:r>
          </w:p>
        </w:tc>
      </w:tr>
    </w:tbl>
    <w:p>
      <w:pPr>
        <w:pStyle w:val="Textstand-alone"/>
        <w:spacing w:after="480"/>
      </w:pPr>
      <w:r>
        <w:t>Varainhoitovuoden aikana ei tehty siirtoja tasojen 1 ja 2 välillä.</w:t>
      </w:r>
    </w:p>
    <w:p>
      <w:pPr>
        <w:pStyle w:val="HEADER5"/>
        <w:rPr>
          <w:noProof/>
        </w:rPr>
      </w:pPr>
      <w:r>
        <w:rPr>
          <w:noProof/>
        </w:rPr>
        <w:t>Niiden rahoitusvarojen täsmäytys, joiden arvo määritettiin arvostusmenetelmillä, joissa käytetyt tiedot eivät perustu todettavissa olevaan markkinatietoon (taso 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0" w:name="DOC_TBL00017_1_1"/>
            <w:bookmarkEnd w:id="80"/>
          </w:p>
        </w:tc>
        <w:tc>
          <w:tcPr>
            <w:tcW w:w="2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Alkusaldo 1.1.2018</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1 161</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Ostot, myynnit, liikkeeseenlaskut ja suoritukset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104</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Kauden aikana syntyneet voitot tai tappiot, jotka kirjataan </w:t>
            </w:r>
            <w:r>
              <w:br/>
              <w:t>rahoitustuottoihin tai -kuluihin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(36)</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Voitot tai tappiot, jotka kirjataan nettovaroihin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(37)</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Siirrot tasolle 3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Siirrot tasolta 3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762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Muut</w:t>
            </w:r>
          </w:p>
        </w:tc>
        <w:tc>
          <w:tcPr>
            <w:tcW w:w="2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762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Loppusaldo 31.12.2018</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1 191</w:t>
            </w:r>
          </w:p>
        </w:tc>
      </w:tr>
    </w:tbl>
    <w:p>
      <w:pPr>
        <w:pStyle w:val="HEADER3NOTES"/>
        <w:rPr>
          <w:noProof/>
        </w:rPr>
      </w:pPr>
      <w:r>
        <w:rPr>
          <w:noProof/>
        </w:rPr>
        <w:t>Lainat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7"/>
        <w:gridCol w:w="1231"/>
        <w:gridCol w:w="1814"/>
        <w:gridCol w:w="1815"/>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1" w:name="DOC_TBL00018_1_1"/>
            <w:bookmarkEnd w:id="81"/>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Liitetieto</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Rahoitusapuna myönnetyt lainat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2.4.3.1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53 873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54 844</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Muut lainat</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r>
              <w:t>2.4.3.2</w:t>
            </w: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137</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Yhteensä</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53 939</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54 981</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Pitkäaikaiset</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51 560</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48 205</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Lyhytaikaiset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2 380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6 776</w:t>
            </w:r>
          </w:p>
        </w:tc>
      </w:tr>
    </w:tbl>
    <w:p>
      <w:pPr>
        <w:pStyle w:val="HEADER3NOTES"/>
        <w:numPr>
          <w:ilvl w:val="0"/>
          <w:numId w:val="0"/>
        </w:numPr>
        <w:rPr>
          <w:noProof/>
        </w:rPr>
      </w:pPr>
    </w:p>
    <w:p>
      <w:pPr>
        <w:rPr>
          <w:rFonts w:ascii="Verdana" w:hAnsi="Verdana"/>
          <w:noProof/>
          <w:color w:val="016794"/>
          <w:sz w:val="20"/>
          <w:szCs w:val="20"/>
        </w:rPr>
      </w:pPr>
      <w:r>
        <w:rPr>
          <w:noProof/>
        </w:rPr>
        <w:br w:type="page"/>
      </w:r>
    </w:p>
    <w:p>
      <w:pPr>
        <w:pStyle w:val="HEADER4NOTES"/>
        <w:keepNext/>
        <w:spacing w:after="0"/>
        <w:rPr>
          <w:noProof/>
        </w:rPr>
      </w:pPr>
      <w:r>
        <w:rPr>
          <w:noProof/>
        </w:rPr>
        <w:t>Rahoitusapuna myönnetyt lainat</w:t>
      </w:r>
    </w:p>
    <w:p>
      <w:pPr>
        <w:pStyle w:val="DGTextstand-alone"/>
        <w:spacing w:before="0" w:after="0"/>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134"/>
        <w:gridCol w:w="1134"/>
        <w:gridCol w:w="1417"/>
        <w:gridCol w:w="142"/>
        <w:gridCol w:w="1134"/>
        <w:gridCol w:w="1134"/>
        <w:gridCol w:w="1276"/>
      </w:tblGrid>
      <w:tr>
        <w:trPr>
          <w:cantSplit/>
        </w:trPr>
        <w:tc>
          <w:tcPr>
            <w:tcW w:w="2660"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82" w:name="DOC_TBL00019_1_1"/>
            <w:bookmarkEnd w:id="82"/>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6" w:type="dxa"/>
            <w:gridSpan w:val="2"/>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pPr>
              <w:pStyle w:val="Text7pItalicLeft"/>
              <w:rPr>
                <w:rFonts w:eastAsia="Times New Roman" w:cs="Verdana"/>
              </w:rPr>
            </w:pPr>
            <w:r>
              <w:t>milj. euroa</w:t>
            </w:r>
          </w:p>
        </w:tc>
      </w:tr>
      <w:tr>
        <w:trPr>
          <w:cantSplit/>
          <w:trHeight w:val="247"/>
        </w:trPr>
        <w:tc>
          <w:tcPr>
            <w:tcW w:w="2660"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ERVM</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Maksu</w:t>
            </w:r>
            <w:r>
              <w:rPr>
                <w:noProof/>
              </w:rPr>
              <w:softHyphen/>
              <w:t>tasetuki</w:t>
            </w:r>
          </w:p>
        </w:tc>
        <w:tc>
          <w:tcPr>
            <w:tcW w:w="1559"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Makro</w:t>
            </w:r>
            <w:r>
              <w:rPr>
                <w:noProof/>
              </w:rPr>
              <w:softHyphen/>
              <w:t>taloudellinen rahoitusapu</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Euratom</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Selvitys</w:t>
            </w:r>
            <w:r>
              <w:rPr>
                <w:noProof/>
              </w:rPr>
              <w:softHyphen/>
              <w:t>tilassa oleva EHTY</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Yhteensä</w:t>
            </w:r>
          </w:p>
        </w:tc>
      </w:tr>
      <w:tr>
        <w:trPr>
          <w:cantSplit/>
          <w:trHeight w:val="247"/>
        </w:trPr>
        <w:tc>
          <w:tcPr>
            <w:tcW w:w="266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Yhteensä 31.12.2017</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47 456</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3 114</w:t>
            </w: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3 924</w:t>
            </w:r>
          </w:p>
        </w:tc>
        <w:tc>
          <w:tcPr>
            <w:tcW w:w="1276" w:type="dxa"/>
            <w:gridSpan w:val="2"/>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250</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100</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54 844</w:t>
            </w:r>
          </w:p>
        </w:tc>
      </w:tr>
      <w:tr>
        <w:trPr>
          <w:cantSplit/>
          <w:trHeight w:val="247"/>
        </w:trPr>
        <w:tc>
          <w:tcPr>
            <w:tcW w:w="266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Uudet lainat</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4 500</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515</w:t>
            </w:r>
          </w:p>
        </w:tc>
        <w:tc>
          <w:tcPr>
            <w:tcW w:w="1276" w:type="dxa"/>
            <w:gridSpan w:val="2"/>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50</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5 065</w:t>
            </w:r>
          </w:p>
        </w:tc>
      </w:tr>
      <w:tr>
        <w:trPr>
          <w:cantSplit/>
          <w:trHeight w:val="247"/>
        </w:trPr>
        <w:tc>
          <w:tcPr>
            <w:tcW w:w="266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Takaisinmaksut</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(4 500)</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(1 350)</w:t>
            </w: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(56)</w:t>
            </w:r>
          </w:p>
        </w:tc>
        <w:tc>
          <w:tcPr>
            <w:tcW w:w="1276" w:type="dxa"/>
            <w:gridSpan w:val="2"/>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(46)</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(5 952)</w:t>
            </w:r>
          </w:p>
        </w:tc>
      </w:tr>
      <w:tr>
        <w:trPr>
          <w:cantSplit/>
          <w:trHeight w:val="247"/>
        </w:trPr>
        <w:tc>
          <w:tcPr>
            <w:tcW w:w="266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Valuuttakurssierot</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276" w:type="dxa"/>
            <w:gridSpan w:val="2"/>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w:t>
            </w:r>
          </w:p>
        </w:tc>
      </w:tr>
      <w:tr>
        <w:trPr>
          <w:cantSplit/>
          <w:trHeight w:val="247"/>
        </w:trPr>
        <w:tc>
          <w:tcPr>
            <w:tcW w:w="266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Kirjanpitoarvon muutokset</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(56)</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(30)</w:t>
            </w: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w:t>
            </w:r>
          </w:p>
        </w:tc>
        <w:tc>
          <w:tcPr>
            <w:tcW w:w="1276" w:type="dxa"/>
            <w:gridSpan w:val="2"/>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(84)</w:t>
            </w:r>
          </w:p>
        </w:tc>
      </w:tr>
      <w:tr>
        <w:trPr>
          <w:cantSplit/>
          <w:trHeight w:val="247"/>
        </w:trPr>
        <w:tc>
          <w:tcPr>
            <w:tcW w:w="2660"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r>
              <w:t>Arvonalennus</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w:t>
            </w:r>
          </w:p>
        </w:tc>
        <w:tc>
          <w:tcPr>
            <w:tcW w:w="1276" w:type="dxa"/>
            <w:gridSpan w:val="2"/>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w:t>
            </w:r>
          </w:p>
        </w:tc>
      </w:tr>
      <w:tr>
        <w:trPr>
          <w:cantSplit/>
          <w:trHeight w:val="247"/>
        </w:trPr>
        <w:tc>
          <w:tcPr>
            <w:tcW w:w="2660"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eastAsia="Times New Roman" w:cs="Verdana"/>
              </w:rPr>
            </w:pPr>
            <w:r>
              <w:t>Yhteensä 31.12.2018</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47 400</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1 734</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4 388</w:t>
            </w:r>
          </w:p>
        </w:tc>
        <w:tc>
          <w:tcPr>
            <w:tcW w:w="1276" w:type="dxa"/>
            <w:gridSpan w:val="2"/>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 xml:space="preserve"> 254</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 xml:space="preserve"> 98</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53 873</w:t>
            </w:r>
          </w:p>
        </w:tc>
      </w:tr>
      <w:tr>
        <w:trPr>
          <w:cantSplit/>
          <w:trHeight w:val="247"/>
        </w:trPr>
        <w:tc>
          <w:tcPr>
            <w:tcW w:w="2660" w:type="dxa"/>
            <w:tcBorders>
              <w:top w:val="single" w:sz="4" w:space="0" w:color="016794"/>
              <w:left w:val="nil"/>
              <w:bottom w:val="nil"/>
              <w:right w:val="nil"/>
            </w:tcBorders>
            <w:tcMar>
              <w:top w:w="0" w:type="dxa"/>
              <w:left w:w="108" w:type="dxa"/>
              <w:bottom w:w="0" w:type="dxa"/>
              <w:right w:w="108" w:type="dxa"/>
            </w:tcMar>
          </w:tcPr>
          <w:p>
            <w:pPr>
              <w:pStyle w:val="Text9pItalicLeft"/>
              <w:rPr>
                <w:rFonts w:eastAsia="Times New Roman" w:cs="Verdana"/>
                <w:color w:val="016794"/>
              </w:rPr>
            </w:pPr>
            <w:r>
              <w:rPr>
                <w:color w:val="016794"/>
              </w:rPr>
              <w:t>Pitkäaikaiset</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46 800</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 xml:space="preserve"> 200</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4 309</w:t>
            </w:r>
          </w:p>
        </w:tc>
        <w:tc>
          <w:tcPr>
            <w:tcW w:w="1276" w:type="dxa"/>
            <w:gridSpan w:val="2"/>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 xml:space="preserve"> 213</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51 521</w:t>
            </w:r>
          </w:p>
        </w:tc>
      </w:tr>
      <w:tr>
        <w:trPr>
          <w:cantSplit/>
          <w:trHeight w:val="247"/>
        </w:trPr>
        <w:tc>
          <w:tcPr>
            <w:tcW w:w="266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color w:val="016794"/>
              </w:rPr>
            </w:pPr>
            <w:r>
              <w:rPr>
                <w:color w:val="016794"/>
              </w:rPr>
              <w:t>Lyhytaikaiset</w:t>
            </w:r>
          </w:p>
        </w:tc>
        <w:tc>
          <w:tcPr>
            <w:tcW w:w="1134" w:type="dxa"/>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 xml:space="preserve"> 600</w:t>
            </w:r>
          </w:p>
        </w:tc>
        <w:tc>
          <w:tcPr>
            <w:tcW w:w="1134" w:type="dxa"/>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1 534</w:t>
            </w:r>
          </w:p>
        </w:tc>
        <w:tc>
          <w:tcPr>
            <w:tcW w:w="1417" w:type="dxa"/>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 xml:space="preserve"> 79</w:t>
            </w:r>
          </w:p>
        </w:tc>
        <w:tc>
          <w:tcPr>
            <w:tcW w:w="1276" w:type="dxa"/>
            <w:gridSpan w:val="2"/>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 xml:space="preserve"> 41</w:t>
            </w:r>
          </w:p>
        </w:tc>
        <w:tc>
          <w:tcPr>
            <w:tcW w:w="1134" w:type="dxa"/>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 xml:space="preserve"> 98</w:t>
            </w:r>
          </w:p>
        </w:tc>
        <w:tc>
          <w:tcPr>
            <w:tcW w:w="1276" w:type="dxa"/>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2 351</w:t>
            </w:r>
          </w:p>
        </w:tc>
      </w:tr>
    </w:tbl>
    <w:p>
      <w:pPr>
        <w:pStyle w:val="DGTextstand-alone"/>
        <w:spacing w:before="120" w:after="120"/>
      </w:pPr>
      <w:r>
        <w:t>Rahoitusapuna myönnettävien lainojen nimellisarvo oli 53 206 miljoonaa euroa 31. joulukuuta 2018 (54 093 miljoonaa euroa vuonna 2017). Kirjanpitoarvon muutos vastaa kertyneen koron muutosta.</w:t>
      </w:r>
    </w:p>
    <w:p>
      <w:pPr>
        <w:pStyle w:val="DGTextstand-alone"/>
        <w:spacing w:before="120" w:after="120"/>
      </w:pPr>
      <w:r>
        <w:t>Euroopan rahoituksenvakautusmekanismista voidaan myöntää jäsenvaltiolle unionin taloudellista apua, jos poikkeukselliset tapahtumat, joihin jäsenvaltio ei voi vaikuttaa, ovat aiheuttaneet kyseiselle jäsenvaltiolle vaikeuksia tai vakavasti uhkaavat aiheuttaa sille suuria vaikeuksia. Taloudellinen apu myönnetään lainan tai luottojärjestelyn muodossa. Toukokuun 9. päivänä 2010 kokoontuneen Ecofin-neuvoston päätelmissä järjestelyn enimmäismäärä rajoitetaan 60 miljardiin euroon, mutta jäsenvaltioille myönnettävien lainojen tai luottojärjestelyjen pääoma rajoitetaan omien varojen enimmäismäärän mukaisten maksumäärärahojen liikkumavaraan. ERVM:n puitteissa myönnettyjen lainojen rahoittamiseksi otetuille lainoille annetaan takaus EU:n talousarviosta. Nykyisten suunnitelmien mukaan Euroopan rahoituksenvakautusmekanismi ei enää osallistu uusiin rahoitusohjelmiin eikä tee uusia sopimuksia lainajärjestelyistä. Molemmat edunsaajamaat – Irlanti ja Portugali – pyysivät 31. joulukuuta 2018 päättyneen vuoden aikana maksuajan pidennystä lainoille, jotka erääntyivät vuonna 2018. Irlannin osalta erääntyvä määrä oli 3,9 miljardia euroa ja Portugalin 0,6 miljardia euroa.</w:t>
      </w:r>
    </w:p>
    <w:p>
      <w:pPr>
        <w:pStyle w:val="DGTextstand-alone"/>
        <w:spacing w:before="120" w:after="120"/>
      </w:pPr>
      <w:r>
        <w:t>Maksutaselaina on politiikkalähtöinen rahoitusväline, jolla tarjotaan keskipitkän aikavälin rahoitustukea EU:n jäsenvaltioille, jotka eivät ole ottaneet euroa käyttöön. Välineestä voidaan myöntää lainoja jäsenvaltioille, joilla on maksutasetta tai pääomatasetta koskevia vaikeuksia tai joita tällaiset vaikeudet vakavasti uhkaavat. Välineestä myönnettävien maksamatta olevien lainojen enimmäismäärä on rajoitettu 50 miljardiin euroon. Maksutaselainojen rahoittamiseksi otetuille lainoille annetaan takaus EU:n talousarviosta.</w:t>
      </w:r>
    </w:p>
    <w:p>
      <w:pPr>
        <w:pStyle w:val="DGTextstand-alone"/>
        <w:spacing w:before="120" w:after="120"/>
      </w:pPr>
      <w:r>
        <w:t>Makrotaloudellinen rahoitusapu</w:t>
      </w:r>
      <w:r>
        <w:rPr>
          <w:b/>
        </w:rPr>
        <w:t xml:space="preserve"> </w:t>
      </w:r>
      <w:r>
        <w:t>on EU:n rahoitusväline, josta myönnetään maksutasetukea kumppanimaille, joilla on maksutasetta koskeva kriisi. Makrotaloudellinen rahoitusapu muodostuu keskipitkän ja/tai pitkän aikavälin lainoista tai avustuksista tai tällaisten lainojen ja avustusten tarkoituksenmukaisesta yhdistelmästä. Yleensä sillä täydennetään Kansainvälisen valuuttarahaston (IMF) tukemien rakennemuutos- ja uudistusohjelmien rahoitusta. Näille lainoille on myönnetty takaus ulkosuhteisiin liittyviä hankkeita varten perustetusta takuurahastosta. Makrotaloudelliseen rahoitusapuun kuuluvia lainoja nostettiin 31. joulukuuta 2018 päättyneen vuoden aikana yhteensä 515 miljoonaa euroa. Summasta 500 miljoonaa euroa maksettiin Ukrainalle ja 15 miljoonaa euroa Georgialle – ks. myös liitetieto </w:t>
      </w:r>
      <w:r>
        <w:rPr>
          <w:b/>
        </w:rPr>
        <w:t>4.1.2</w:t>
      </w:r>
      <w:r>
        <w:t>.</w:t>
      </w:r>
    </w:p>
    <w:p>
      <w:pPr>
        <w:pStyle w:val="DGTextstand-alone"/>
        <w:spacing w:before="120" w:after="120"/>
      </w:pPr>
      <w:r>
        <w:t>Euroopan atomienergiayhteisö (Euratom, jota edustaa komissio) myöntää lainoja sekä jäsenvaltioille että muille maille sekä molempien yhteisöille energia-alan laitoksiin liittyvien hankkeiden rahoittamista varten. Euratom-lainojen kattamiseksi oli saatu 254 miljoonan euron takaukset (250 miljoonaa euroa vuonna 2017) kolmansilta osapuolilta – ks. liitetieto </w:t>
      </w:r>
      <w:r>
        <w:rPr>
          <w:b/>
        </w:rPr>
        <w:t>4.1.2</w:t>
      </w:r>
      <w:r>
        <w:t>.</w:t>
      </w:r>
    </w:p>
    <w:p>
      <w:pPr>
        <w:pStyle w:val="DGTextstand-alone"/>
      </w:pPr>
      <w:r>
        <w:t>Selvitystilassa olevan EHTY:n myöntämät lainat eivät ole rahoitusapuna myönnettäviä lainoja vaan velkakirjoja, joiden avulla rahavirrat pidetään samalla tasolla lainojen kanssa. Niitä kuitenkin myönnetään kuten rahoitusapuna myönnettäviä lainoja lainavaroista EHTY:n perustamissopimuksen 54 ja 56 artiklan mukaisesti hankkeiden rahoitukseen.</w:t>
      </w:r>
    </w:p>
    <w:p>
      <w:pPr>
        <w:rPr>
          <w:rFonts w:ascii="Verdana" w:eastAsia="Calibri" w:hAnsi="Verdana"/>
          <w:noProof/>
          <w:sz w:val="18"/>
          <w:szCs w:val="18"/>
          <w:bdr w:val="nil"/>
        </w:rPr>
      </w:pPr>
      <w:r>
        <w:rPr>
          <w:noProof/>
        </w:rPr>
        <w:br w:type="page"/>
      </w:r>
    </w:p>
    <w:p>
      <w:pPr>
        <w:pStyle w:val="HEADER5"/>
        <w:keepNext/>
        <w:rPr>
          <w:noProof/>
        </w:rPr>
      </w:pPr>
      <w:r>
        <w:rPr>
          <w:noProof/>
        </w:rPr>
        <w:t>Lainojen efektiivinen korko (ilmoitetaan korkojen vaihteluvälinä)</w:t>
      </w:r>
    </w:p>
    <w:p>
      <w:pPr>
        <w:pStyle w:val="HEADER5"/>
        <w:rPr>
          <w:noProof/>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2410"/>
        <w:gridCol w:w="1985"/>
      </w:tblGrid>
      <w:tr>
        <w:tc>
          <w:tcPr>
            <w:tcW w:w="5353"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bookmarkStart w:id="83" w:name="DOC_TBL00020_1_1"/>
            <w:bookmarkEnd w:id="83"/>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r>
      <w:tr>
        <w:tc>
          <w:tcPr>
            <w:tcW w:w="535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Makrotaloudellisena rahoitusapuna myönnettävät lainat</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3,82 %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4,54 %</w:t>
            </w:r>
          </w:p>
        </w:tc>
      </w:tr>
      <w:tr>
        <w:tc>
          <w:tcPr>
            <w:tcW w:w="535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Euratom-lainat</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0,08 % – 5,76 %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0,08 % – 5,76 %</w:t>
            </w:r>
          </w:p>
        </w:tc>
      </w:tr>
      <w:tr>
        <w:tc>
          <w:tcPr>
            <w:tcW w:w="535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Maksutaselainat</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2,88 % – 3,38 %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2,88 % – 3,38 %</w:t>
            </w:r>
          </w:p>
        </w:tc>
      </w:tr>
      <w:tr>
        <w:tc>
          <w:tcPr>
            <w:tcW w:w="535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Euroopan rahoituksenvakautusmekanismi (ERVM)</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0,50 % – 3,75 %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0,62 % – 3,75 %</w:t>
            </w:r>
          </w:p>
        </w:tc>
      </w:tr>
      <w:tr>
        <w:tc>
          <w:tcPr>
            <w:tcW w:w="535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Selvitystilassa oleva EHTY</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5,23 % – 5,81 %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5,23 % – 5,81 %</w:t>
            </w:r>
          </w:p>
        </w:tc>
      </w:tr>
    </w:tbl>
    <w:p>
      <w:pPr>
        <w:pStyle w:val="HEADER4NOTES"/>
        <w:rPr>
          <w:noProof/>
        </w:rPr>
      </w:pPr>
      <w:r>
        <w:rPr>
          <w:noProof/>
        </w:rPr>
        <w:t>Muut lainat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4" w:name="DOC_TBL00021_1_1"/>
            <w:bookmarkEnd w:id="84"/>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Erityisehdoin myönnetyt lainat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Selvitystilassa olevan EHTY:n myöntämät asuntolainat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Määräaikaistalletukset</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Yhteensä</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67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137</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Pitkäaikaiset</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38</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61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Lyhytaikaiset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28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76</w:t>
            </w:r>
          </w:p>
        </w:tc>
      </w:tr>
    </w:tbl>
    <w:p>
      <w:pPr>
        <w:pStyle w:val="DGTextstand-alone"/>
      </w:pPr>
      <w:r>
        <w:t>Muiden lainojen nimellisarvo oli 617 miljoonaa euroa 31. joulukuuta 2018 (561 miljoonaa euroa vuonna 2017).</w:t>
      </w:r>
    </w:p>
    <w:p>
      <w:pPr>
        <w:pStyle w:val="DGTextstand-alone"/>
      </w:pPr>
      <w:r>
        <w:t>Tähän kohtaan kuuluvat erityisehdoin myönnetyt lainat ovat halpakorkoisia lainoja, joita myönnetään osana EU:n ulkopuolisten maiden kanssa tehtävää yhteistyötä.</w:t>
      </w:r>
    </w:p>
    <w:p>
      <w:pPr>
        <w:pStyle w:val="DGTextstand-alone"/>
      </w:pPr>
      <w:r>
        <w:t>Määräaikaistalletukset sisältävät pääasiassa määrät, joiden maturiteetti on 3–12 kuukautta ja jotka eivät täytä muiden rahavarojen määritelmää.</w:t>
      </w:r>
    </w:p>
    <w:p>
      <w:pPr>
        <w:pStyle w:val="HEADER5"/>
        <w:rPr>
          <w:noProof/>
        </w:rPr>
      </w:pPr>
    </w:p>
    <w:p>
      <w:pPr>
        <w:pStyle w:val="HEADER5"/>
        <w:rPr>
          <w:noProof/>
        </w:rPr>
      </w:pPr>
      <w:r>
        <w:rPr>
          <w:noProof/>
        </w:rPr>
        <w:t>Muiden lainojen arvon alentuminen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1275"/>
        <w:gridCol w:w="1418"/>
        <w:gridCol w:w="1134"/>
        <w:gridCol w:w="1276"/>
        <w:gridCol w:w="1417"/>
      </w:tblGrid>
      <w:t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5" w:name="DOC_TBL00022_1_1"/>
            <w:bookmarkEnd w:id="85"/>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milj. euroa</w:t>
            </w:r>
          </w:p>
        </w:tc>
      </w:tr>
      <w:tr>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Lisäykset</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Peruutukset</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Luotto</w:t>
            </w:r>
            <w:r>
              <w:softHyphen/>
              <w:t xml:space="preserve">tappiot </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Muut</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31.12.2018</w:t>
            </w: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Erityisehdoin myönnetyt lainat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8</w:t>
            </w:r>
          </w:p>
        </w:tc>
      </w:tr>
      <w:tr>
        <w:trPr>
          <w:trHeight w:val="24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8pItalicLeft"/>
              <w:rPr>
                <w:rFonts w:eastAsia="Verdana" w:cs="Verdana"/>
              </w:rPr>
            </w:pPr>
            <w:r>
              <w:t>EU:lle siirretyt lainat</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432</w:t>
            </w:r>
          </w:p>
        </w:tc>
        <w:tc>
          <w:tcPr>
            <w:tcW w:w="127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147</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7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579</w:t>
            </w:r>
          </w:p>
        </w:tc>
      </w:tr>
      <w:tr>
        <w:trPr>
          <w:trHeight w:val="247"/>
        </w:trPr>
        <w:tc>
          <w:tcPr>
            <w:tcW w:w="19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r>
              <w:t>Yhteensä</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440</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148</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(0)</w:t>
            </w:r>
          </w:p>
        </w:tc>
        <w:tc>
          <w:tcPr>
            <w:tcW w:w="127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587</w:t>
            </w:r>
          </w:p>
        </w:tc>
      </w:tr>
    </w:tbl>
    <w:p>
      <w:pPr>
        <w:pStyle w:val="DGTextstand-alone"/>
      </w:pPr>
      <w:r>
        <w:t>EU:lle siirretyt lainat ovat EU:n takaamia EIP:n myöntämiä lainoja, joiden takaisinmaksu on laiminlyöty. Kaikki näihin lainoihin liittyvät oikeudet on siirretty EU:lle sen jälkeen kun maksut suoritettiin ulkosuhteisiin liittyviä hankkeita varten perustetusta takuurahastosta tai ESIR-takuurahastosta. Näiden kokonaan luottotappioiksi kirjattujen lainojen kokonaismäärä on 579 miljoonaa euroa (432 miljoonaa euroa vuonna 2017). Vuonna 2018 esitetyt takauksiin perustuvat vaatimukset katettiin osittain aiempina vuosina tehdyillä rahoitustoimintaa koskevilla varauksilla. EU:n ja EIP:n välisten asiaa koskevien sopimusten mukaisesti EIP toteuttaa EU:n puolesta takaisinperintämenettelyt.</w:t>
      </w:r>
    </w:p>
    <w:p>
      <w:pPr>
        <w:rPr>
          <w:rFonts w:ascii="Verdana" w:hAnsi="Verdana"/>
          <w:noProof/>
          <w:sz w:val="18"/>
          <w:szCs w:val="18"/>
        </w:rPr>
      </w:pPr>
      <w:r>
        <w:rPr>
          <w:noProof/>
        </w:rPr>
        <w:br w:type="page"/>
      </w:r>
    </w:p>
    <w:p>
      <w:pPr>
        <w:pStyle w:val="Textstand-alone"/>
        <w:spacing w:before="0"/>
        <w:sectPr>
          <w:headerReference w:type="even" r:id="rId154"/>
          <w:headerReference w:type="default" r:id="rId155"/>
          <w:footerReference w:type="even" r:id="rId156"/>
          <w:footerReference w:type="default" r:id="rId157"/>
          <w:headerReference w:type="first" r:id="rId158"/>
          <w:footerReference w:type="first" r:id="rId159"/>
          <w:pgSz w:w="11906" w:h="16838"/>
          <w:pgMar w:top="1134" w:right="1134" w:bottom="1134" w:left="1134" w:header="709" w:footer="709" w:gutter="0"/>
          <w:cols w:space="708"/>
          <w:docGrid w:linePitch="360"/>
        </w:sectPr>
      </w:pPr>
      <w:r>
        <w:t xml:space="preserve"> </w:t>
      </w:r>
      <w:bookmarkEnd w:id="75"/>
    </w:p>
    <w:p>
      <w:pPr>
        <w:pStyle w:val="HEADER2NOTES"/>
        <w:rPr>
          <w:noProof/>
        </w:rPr>
      </w:pPr>
      <w:bookmarkStart w:id="86" w:name="_DMBM_14799"/>
      <w:r>
        <w:rPr>
          <w:noProof/>
        </w:rPr>
        <w:t>ENNAKKOMAKSUT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1"/>
        <w:gridCol w:w="1231"/>
        <w:gridCol w:w="1812"/>
        <w:gridCol w:w="1813"/>
      </w:tblGrid>
      <w:tr>
        <w:trPr>
          <w:trHeight w:val="268"/>
        </w:trPr>
        <w:tc>
          <w:tcPr>
            <w:tcW w:w="5211"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87" w:name="DOC_TBL00023_1_1"/>
            <w:bookmarkEnd w:id="87"/>
          </w:p>
        </w:tc>
        <w:tc>
          <w:tcPr>
            <w:tcW w:w="85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84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milj. euroa</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rPr>
            </w:pPr>
            <w:r>
              <w:t>Liitetieto</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31.12.2017</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eastAsia="Times New Roman" w:cs="Verdana"/>
              </w:rPr>
            </w:pPr>
            <w:r>
              <w:t>Pitkäaikaiset ennakkomaksut</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Ennakkomaksut</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2.5.1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21 814</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21 939</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Muut ennakot jäsenvaltioille</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2.5.2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4 122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3 018</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Rahoitusosuudet erityisrahastoissa</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71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64</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26 006</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25 022</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eastAsia="Times New Roman" w:cs="Verdana"/>
              </w:rPr>
            </w:pPr>
            <w:r>
              <w:t>Lyhytaikaiset ennakkomaksut</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Ennakkomaksut</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2.5.1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21 572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22 361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Muut ennakot jäsenvaltioille</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2.5.2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2 396</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1 645</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23 968</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24 005</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BoldLeft"/>
              <w:rPr>
                <w:rFonts w:eastAsia="Times New Roman" w:cs="Verdana"/>
              </w:rPr>
            </w:pPr>
            <w:r>
              <w:t>Yhteensä</w:t>
            </w:r>
          </w:p>
        </w:tc>
        <w:tc>
          <w:tcPr>
            <w:tcW w:w="851"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49 974</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49 027</w:t>
            </w:r>
          </w:p>
        </w:tc>
      </w:tr>
    </w:tbl>
    <w:p>
      <w:pPr>
        <w:pStyle w:val="DGTextstand-alone"/>
      </w:pPr>
      <w:r>
        <w:t xml:space="preserve">Eri ohjelmista suoritettavien ennakkomaksujen on oltava riittävän suuria, jotta tuensaajalla on riittävästi käteisvaroja hankkeen aloittamista varten. Samalla on kuitenkin suojattava EU:n taloudelliset edut ja otettava huomioon oikeudelliset, operatiiviset ja kustannustehokkuuteen liittyvät rajoitteet. Ennakkomaksujen kokonaismäärän kasvu liittyy pääasiassa kasvuun kohdassa ”Muut ennakot jäsenvaltioille” (ks. liitetieto </w:t>
      </w:r>
      <w:r>
        <w:rPr>
          <w:b/>
        </w:rPr>
        <w:t>2.5.2</w:t>
      </w:r>
      <w:r>
        <w:t>).</w:t>
      </w:r>
    </w:p>
    <w:p>
      <w:pPr>
        <w:rPr>
          <w:rFonts w:ascii="Verdana" w:hAnsi="Verdana"/>
          <w:noProof/>
          <w:color w:val="016794"/>
          <w:sz w:val="20"/>
          <w:szCs w:val="20"/>
        </w:rPr>
      </w:pPr>
      <w:r>
        <w:rPr>
          <w:noProof/>
        </w:rPr>
        <w:br w:type="page"/>
      </w:r>
    </w:p>
    <w:p>
      <w:pPr>
        <w:pStyle w:val="HEADER3NOTES"/>
        <w:rPr>
          <w:noProof/>
        </w:rPr>
      </w:pPr>
      <w:r>
        <w:rPr>
          <w:noProof/>
        </w:rPr>
        <w:t>Ennakkomaksut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276"/>
        <w:gridCol w:w="1417"/>
        <w:gridCol w:w="1276"/>
        <w:gridCol w:w="1276"/>
        <w:gridCol w:w="1417"/>
      </w:tblGrid>
      <w:tr>
        <w:tc>
          <w:tcPr>
            <w:tcW w:w="1809"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88" w:name="DOC_TBL00024_1_1"/>
            <w:bookmarkEnd w:id="88"/>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pPr>
              <w:pStyle w:val="Text7pItalicRight025"/>
              <w:rPr>
                <w:rFonts w:eastAsia="Times New Roman" w:cs="Verdana"/>
              </w:rPr>
            </w:pPr>
            <w:r>
              <w:t>milj. euroa</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Bruttomäärä</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Kuitattu kuluja vastaan</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Nettomäärä 31.12.2018</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Bruttomäärä</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Kuitattu kuluja vastaan</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Nettomäärä 31.12.2017</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BoldLeft"/>
              <w:rPr>
                <w:rFonts w:eastAsia="Times New Roman" w:cs="Verdana"/>
              </w:rPr>
            </w:pPr>
            <w:r>
              <w:t>Yhteistyöhön perustuva hallinnointi</w:t>
            </w:r>
          </w:p>
        </w:tc>
        <w:tc>
          <w:tcPr>
            <w:tcW w:w="1276" w:type="dxa"/>
            <w:tcBorders>
              <w:top w:val="nil"/>
              <w:left w:val="nil"/>
              <w:bottom w:val="nil"/>
              <w:right w:val="nil"/>
            </w:tcBorders>
            <w:tcMar>
              <w:top w:w="0" w:type="dxa"/>
              <w:left w:w="108" w:type="dxa"/>
              <w:bottom w:w="0" w:type="dxa"/>
              <w:right w:w="108" w:type="dxa"/>
            </w:tcMar>
          </w:tcPr>
          <w:p>
            <w:pPr>
              <w:pStyle w:val="Figures8pBold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pPr>
              <w:pStyle w:val="Figures8pBoldRight025"/>
              <w:rPr>
                <w:rFonts w:eastAsia="Times New Roman"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BoldRight025"/>
              <w:rPr>
                <w:rFonts w:eastAsia="Times New Roman"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Bold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pPr>
              <w:pStyle w:val="Figures8pBoldRight025"/>
              <w:rPr>
                <w:rFonts w:eastAsia="Times New Roman" w:cs="Verdana"/>
              </w:rPr>
            </w:pPr>
          </w:p>
        </w:tc>
        <w:tc>
          <w:tcPr>
            <w:tcW w:w="1417" w:type="dxa"/>
            <w:tcBorders>
              <w:top w:val="nil"/>
              <w:left w:val="nil"/>
              <w:bottom w:val="nil"/>
              <w:right w:val="nil"/>
            </w:tcBorders>
            <w:tcMar>
              <w:top w:w="0" w:type="dxa"/>
              <w:left w:w="108" w:type="dxa"/>
              <w:bottom w:w="0" w:type="dxa"/>
              <w:right w:w="108" w:type="dxa"/>
            </w:tcMar>
          </w:tcPr>
          <w:p>
            <w:pPr>
              <w:pStyle w:val="Figures8pBoldRight025"/>
              <w:rPr>
                <w:rFonts w:eastAsia="Times New Roman"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eastAsia="Times New Roman" w:cs="Verdana"/>
              </w:rPr>
            </w:pPr>
            <w:r>
              <w:t>Maaseuturahasto ja muut maaseudun kehittämisen välineet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3 743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eastAsia="Times New Roman" w:cs="Verdana"/>
              </w:rPr>
            </w:pPr>
            <w:r>
              <w:t>3 743</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eastAsia="Times New Roman" w:cs="Verdana"/>
              </w:rPr>
            </w:pPr>
            <w:r>
              <w:t>3 735</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3 735</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eastAsia="Times New Roman" w:cs="Verdana"/>
              </w:rPr>
            </w:pPr>
            <w:r>
              <w:t>EAKR ja koheesiorahasto</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18 088</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(3 461)</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eastAsia="Times New Roman" w:cs="Verdana"/>
              </w:rPr>
            </w:pPr>
            <w:r>
              <w:t>14 627</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eastAsia="Times New Roman" w:cs="Verdana"/>
              </w:rPr>
            </w:pPr>
            <w:r>
              <w:t>20 561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(5 678)</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14 883</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eastAsia="Times New Roman" w:cs="Verdana"/>
              </w:rPr>
            </w:pPr>
            <w:r>
              <w:t>Euroopan sosiaalirahasto</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6 548</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(1 147)</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eastAsia="Times New Roman" w:cs="Verdana"/>
              </w:rPr>
            </w:pPr>
            <w:r>
              <w:t>5 401</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eastAsia="Times New Roman" w:cs="Verdana"/>
              </w:rPr>
            </w:pPr>
            <w:r>
              <w:t>6 792</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(1 182)</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5 610</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
              <w:ind w:left="200"/>
              <w:rPr>
                <w:rFonts w:eastAsia="Times New Roman" w:cs="Verdana"/>
              </w:rPr>
            </w:pPr>
            <w:r>
              <w:t>Muut</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4 684</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(2 498)</w:t>
            </w:r>
          </w:p>
        </w:tc>
        <w:tc>
          <w:tcPr>
            <w:tcW w:w="1417" w:type="dxa"/>
            <w:tcBorders>
              <w:top w:val="nil"/>
              <w:left w:val="nil"/>
              <w:bottom w:val="single" w:sz="4" w:space="0" w:color="016794"/>
              <w:right w:val="single" w:sz="4" w:space="0" w:color="016794"/>
            </w:tcBorders>
            <w:tcMar>
              <w:top w:w="0" w:type="dxa"/>
              <w:left w:w="108" w:type="dxa"/>
              <w:bottom w:w="0" w:type="dxa"/>
              <w:right w:w="108" w:type="dxa"/>
            </w:tcMar>
          </w:tcPr>
          <w:p>
            <w:pPr>
              <w:pStyle w:val="Figures8pItalicRight025"/>
              <w:rPr>
                <w:rFonts w:eastAsia="Times New Roman" w:cs="Verdana"/>
              </w:rPr>
            </w:pPr>
            <w:r>
              <w:t>2 186</w:t>
            </w:r>
          </w:p>
        </w:tc>
        <w:tc>
          <w:tcPr>
            <w:tcW w:w="1276"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5 037</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(2 267)</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2 770</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ind w:left="200"/>
              <w:rPr>
                <w:rFonts w:eastAsia="Times New Roman" w:cs="Verdana"/>
              </w:rPr>
            </w:pP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33 063</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(7 105)</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eastAsia="Times New Roman" w:cs="Verdana"/>
              </w:rPr>
            </w:pPr>
            <w:r>
              <w:t>25 958</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36 125</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(9 127)</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26 998</w:t>
            </w:r>
          </w:p>
        </w:tc>
      </w:tr>
      <w:tr>
        <w:trPr>
          <w:trHeight w:val="247"/>
        </w:trPr>
        <w:tc>
          <w:tcPr>
            <w:tcW w:w="1809" w:type="dxa"/>
            <w:tcBorders>
              <w:top w:val="single" w:sz="4" w:space="0" w:color="016794"/>
              <w:left w:val="nil"/>
              <w:bottom w:val="nil"/>
              <w:right w:val="nil"/>
            </w:tcBorders>
            <w:tcMar>
              <w:top w:w="0" w:type="dxa"/>
              <w:left w:w="108" w:type="dxa"/>
              <w:bottom w:w="0" w:type="dxa"/>
              <w:right w:w="108" w:type="dxa"/>
            </w:tcMar>
          </w:tcPr>
          <w:p>
            <w:pPr>
              <w:pStyle w:val="Text8pBoldLeft"/>
              <w:rPr>
                <w:rFonts w:eastAsia="Times New Roman" w:cs="Verdana"/>
              </w:rPr>
            </w:pPr>
            <w:r>
              <w:t>Suora hallinnointi</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p>
        </w:tc>
        <w:tc>
          <w:tcPr>
            <w:tcW w:w="1417" w:type="dxa"/>
            <w:tcBorders>
              <w:top w:val="single" w:sz="4" w:space="0" w:color="016794"/>
              <w:left w:val="nil"/>
              <w:bottom w:val="nil"/>
              <w:right w:val="single" w:sz="4" w:space="0" w:color="016794"/>
            </w:tcBorders>
            <w:tcMar>
              <w:top w:w="0" w:type="dxa"/>
              <w:left w:w="108" w:type="dxa"/>
              <w:bottom w:w="0" w:type="dxa"/>
              <w:right w:w="108" w:type="dxa"/>
            </w:tcMar>
          </w:tcPr>
          <w:p>
            <w:pPr>
              <w:pStyle w:val="Figures8pBoldRight025"/>
              <w:rPr>
                <w:rFonts w:eastAsia="Times New Roman" w:cs="Verdana"/>
              </w:rPr>
            </w:pPr>
          </w:p>
        </w:tc>
        <w:tc>
          <w:tcPr>
            <w:tcW w:w="1276" w:type="dxa"/>
            <w:tcBorders>
              <w:top w:val="single" w:sz="4" w:space="0" w:color="016794"/>
              <w:left w:val="single" w:sz="4" w:space="0" w:color="016794"/>
              <w:bottom w:val="nil"/>
              <w:right w:val="nil"/>
            </w:tcBorders>
            <w:tcMar>
              <w:top w:w="0" w:type="dxa"/>
              <w:left w:w="108" w:type="dxa"/>
              <w:bottom w:w="0" w:type="dxa"/>
              <w:right w:w="108" w:type="dxa"/>
            </w:tcMar>
          </w:tcPr>
          <w:p>
            <w:pPr>
              <w:pStyle w:val="Figures8pBoldRight025"/>
              <w:rPr>
                <w:rFonts w:eastAsia="Times New Roman" w:cs="Verdana"/>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 xml:space="preserve">Toteuttaja: </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eastAsia="Times New Roman"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eastAsia="Times New Roman" w:cs="Verdana"/>
              </w:rPr>
            </w:pPr>
            <w:r>
              <w:t>Komissio</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12 531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(8 262)</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eastAsia="Times New Roman" w:cs="Verdana"/>
              </w:rPr>
            </w:pPr>
            <w:r>
              <w:t>4 269</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eastAsia="Times New Roman" w:cs="Verdana"/>
              </w:rPr>
            </w:pPr>
            <w:r>
              <w:t>12 165</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(8 331)</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3 834</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eastAsia="Times New Roman" w:cs="Verdana"/>
              </w:rPr>
            </w:pPr>
            <w:r>
              <w:t>EU:n toimeenpano</w:t>
            </w:r>
            <w:r>
              <w:softHyphen/>
              <w:t>virastot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15 012</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(9 540)</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eastAsia="Times New Roman" w:cs="Verdana"/>
              </w:rPr>
            </w:pPr>
            <w:r>
              <w:t>5 472</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eastAsia="Times New Roman" w:cs="Verdana"/>
              </w:rPr>
            </w:pPr>
            <w:r>
              <w:t>13 843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(8 749)</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5 094</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
              <w:ind w:left="200"/>
              <w:rPr>
                <w:rFonts w:eastAsia="Times New Roman" w:cs="Verdana"/>
              </w:rPr>
            </w:pPr>
            <w:r>
              <w:t>Erityisrahastot</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585</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(433)</w:t>
            </w:r>
          </w:p>
        </w:tc>
        <w:tc>
          <w:tcPr>
            <w:tcW w:w="1417" w:type="dxa"/>
            <w:tcBorders>
              <w:top w:val="nil"/>
              <w:left w:val="nil"/>
              <w:bottom w:val="single" w:sz="4" w:space="0" w:color="016794"/>
              <w:right w:val="single" w:sz="4" w:space="0" w:color="016794"/>
            </w:tcBorders>
            <w:tcMar>
              <w:top w:w="0" w:type="dxa"/>
              <w:left w:w="108" w:type="dxa"/>
              <w:bottom w:w="0" w:type="dxa"/>
              <w:right w:w="108" w:type="dxa"/>
            </w:tcMar>
          </w:tcPr>
          <w:p>
            <w:pPr>
              <w:pStyle w:val="Figures8pItalicRight025"/>
              <w:rPr>
                <w:rFonts w:eastAsia="Times New Roman" w:cs="Verdana"/>
              </w:rPr>
            </w:pPr>
            <w:r>
              <w:t xml:space="preserve"> 152</w:t>
            </w:r>
          </w:p>
        </w:tc>
        <w:tc>
          <w:tcPr>
            <w:tcW w:w="1276"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440</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(212)</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228</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ind w:left="200"/>
              <w:rPr>
                <w:rFonts w:eastAsia="Times New Roman" w:cs="Verdana"/>
              </w:rPr>
            </w:pP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28 127</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(18 234)</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eastAsia="Times New Roman" w:cs="Verdana"/>
              </w:rPr>
            </w:pPr>
            <w:r>
              <w:t>9 893</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26 447</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(17 292)</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9 155</w:t>
            </w:r>
          </w:p>
        </w:tc>
      </w:tr>
      <w:tr>
        <w:trPr>
          <w:trHeight w:val="247"/>
        </w:trPr>
        <w:tc>
          <w:tcPr>
            <w:tcW w:w="1809" w:type="dxa"/>
            <w:tcBorders>
              <w:top w:val="single" w:sz="4" w:space="0" w:color="016794"/>
              <w:left w:val="nil"/>
              <w:bottom w:val="nil"/>
              <w:right w:val="nil"/>
            </w:tcBorders>
            <w:tcMar>
              <w:top w:w="0" w:type="dxa"/>
              <w:left w:w="108" w:type="dxa"/>
              <w:bottom w:w="0" w:type="dxa"/>
              <w:right w:w="108" w:type="dxa"/>
            </w:tcMar>
          </w:tcPr>
          <w:p>
            <w:pPr>
              <w:pStyle w:val="Text8pBoldLeft"/>
              <w:rPr>
                <w:rFonts w:eastAsia="Times New Roman" w:cs="Verdana"/>
              </w:rPr>
            </w:pPr>
            <w:r>
              <w:t>Välillinen hallinnointi</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p>
        </w:tc>
        <w:tc>
          <w:tcPr>
            <w:tcW w:w="1417" w:type="dxa"/>
            <w:tcBorders>
              <w:top w:val="single" w:sz="4" w:space="0" w:color="016794"/>
              <w:left w:val="nil"/>
              <w:bottom w:val="nil"/>
              <w:right w:val="single" w:sz="4" w:space="0" w:color="016794"/>
            </w:tcBorders>
            <w:tcMar>
              <w:top w:w="0" w:type="dxa"/>
              <w:left w:w="108" w:type="dxa"/>
              <w:bottom w:w="0" w:type="dxa"/>
              <w:right w:w="108" w:type="dxa"/>
            </w:tcMar>
          </w:tcPr>
          <w:p>
            <w:pPr>
              <w:pStyle w:val="Figures8pBoldRight025"/>
              <w:rPr>
                <w:rFonts w:eastAsia="Times New Roman" w:cs="Verdana"/>
              </w:rPr>
            </w:pPr>
          </w:p>
        </w:tc>
        <w:tc>
          <w:tcPr>
            <w:tcW w:w="1276" w:type="dxa"/>
            <w:tcBorders>
              <w:top w:val="single" w:sz="4" w:space="0" w:color="016794"/>
              <w:left w:val="single" w:sz="4" w:space="0" w:color="016794"/>
              <w:bottom w:val="nil"/>
              <w:right w:val="nil"/>
            </w:tcBorders>
            <w:tcMar>
              <w:top w:w="0" w:type="dxa"/>
              <w:left w:w="108" w:type="dxa"/>
              <w:bottom w:w="0" w:type="dxa"/>
              <w:right w:w="108" w:type="dxa"/>
            </w:tcMar>
          </w:tcPr>
          <w:p>
            <w:pPr>
              <w:pStyle w:val="Figures8pBoldRight025"/>
              <w:rPr>
                <w:rFonts w:eastAsia="Times New Roman" w:cs="Verdana"/>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Toteuttaja:</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eastAsia="Times New Roman"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eastAsia="Times New Roman" w:cs="Verdana"/>
              </w:rPr>
            </w:pPr>
            <w:r>
              <w:t>Muut EU:n virastot ja elimet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762</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(207)</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eastAsia="Times New Roman" w:cs="Verdana"/>
              </w:rPr>
            </w:pPr>
            <w:r>
              <w:t xml:space="preserve"> 555</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eastAsia="Times New Roman" w:cs="Verdana"/>
              </w:rPr>
            </w:pPr>
            <w:r>
              <w:t xml:space="preserve"> 723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(148)</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575</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eastAsia="Times New Roman" w:cs="Verdana"/>
              </w:rPr>
            </w:pPr>
            <w:r>
              <w:t>Kolmannet maat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1 546</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(879)</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eastAsia="Times New Roman" w:cs="Verdana"/>
              </w:rPr>
            </w:pPr>
            <w:r>
              <w:t xml:space="preserve"> 667</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eastAsia="Times New Roman" w:cs="Verdana"/>
              </w:rPr>
            </w:pPr>
            <w:r>
              <w:t>1 586</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(956)</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630</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eastAsia="Times New Roman" w:cs="Verdana"/>
              </w:rPr>
            </w:pPr>
            <w:r>
              <w:t>Kansainväliset järjestöt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7 684</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(5 053)</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eastAsia="Times New Roman" w:cs="Verdana"/>
              </w:rPr>
            </w:pPr>
            <w:r>
              <w:t>2 631</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eastAsia="Times New Roman" w:cs="Verdana"/>
              </w:rPr>
            </w:pPr>
            <w:r>
              <w:t>9 000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(5 879)</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3 121</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
              <w:ind w:left="200"/>
              <w:rPr>
                <w:rFonts w:eastAsia="Times New Roman" w:cs="Verdana"/>
              </w:rPr>
            </w:pPr>
            <w:r>
              <w:t>Muut yhteisöt</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9 107</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(5 426)</w:t>
            </w:r>
          </w:p>
        </w:tc>
        <w:tc>
          <w:tcPr>
            <w:tcW w:w="1417" w:type="dxa"/>
            <w:tcBorders>
              <w:top w:val="nil"/>
              <w:left w:val="nil"/>
              <w:bottom w:val="single" w:sz="4" w:space="0" w:color="016794"/>
              <w:right w:val="single" w:sz="4" w:space="0" w:color="016794"/>
            </w:tcBorders>
            <w:tcMar>
              <w:top w:w="0" w:type="dxa"/>
              <w:left w:w="108" w:type="dxa"/>
              <w:bottom w:w="0" w:type="dxa"/>
              <w:right w:w="108" w:type="dxa"/>
            </w:tcMar>
          </w:tcPr>
          <w:p>
            <w:pPr>
              <w:pStyle w:val="Figures8pItalicRight025"/>
              <w:rPr>
                <w:rFonts w:eastAsia="Times New Roman" w:cs="Verdana"/>
              </w:rPr>
            </w:pPr>
            <w:r>
              <w:t>3 681</w:t>
            </w:r>
          </w:p>
        </w:tc>
        <w:tc>
          <w:tcPr>
            <w:tcW w:w="1276"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7 753</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(3 933)</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3 820</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ind w:left="200"/>
              <w:rPr>
                <w:rFonts w:eastAsia="Times New Roman" w:cs="Verdana"/>
              </w:rPr>
            </w:pP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19 099</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(11 565)</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eastAsia="Times New Roman" w:cs="Verdana"/>
              </w:rPr>
            </w:pPr>
            <w:r>
              <w:t>7 534</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19 062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(10 916)</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8 146</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eastAsia="Times New Roman" w:cs="Verdana"/>
              </w:rPr>
            </w:pPr>
            <w:r>
              <w:t>Yhteensä</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80 289</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(36 904)</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eastAsia="Times New Roman" w:cs="Verdana"/>
              </w:rPr>
            </w:pPr>
            <w:r>
              <w:t>43 386</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81 635</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(37 335)</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44 300</w:t>
            </w:r>
          </w:p>
        </w:tc>
      </w:tr>
      <w:tr>
        <w:trPr>
          <w:trHeight w:val="247"/>
        </w:trPr>
        <w:tc>
          <w:tcPr>
            <w:tcW w:w="1809" w:type="dxa"/>
            <w:tcBorders>
              <w:top w:val="single" w:sz="4" w:space="0" w:color="016794"/>
              <w:left w:val="nil"/>
              <w:bottom w:val="nil"/>
              <w:right w:val="nil"/>
            </w:tcBorders>
            <w:tcMar>
              <w:top w:w="0" w:type="dxa"/>
              <w:left w:w="108" w:type="dxa"/>
              <w:bottom w:w="0" w:type="dxa"/>
              <w:right w:w="108" w:type="dxa"/>
            </w:tcMar>
          </w:tcPr>
          <w:p>
            <w:pPr>
              <w:pStyle w:val="Text8pItalicleftBlue"/>
              <w:rPr>
                <w:rFonts w:eastAsia="Times New Roman" w:cs="Verdana"/>
              </w:rPr>
            </w:pPr>
            <w:r>
              <w:t>Pitkäaikaiset</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eastAsia="Times New Roman" w:cs="Verdana"/>
              </w:rPr>
            </w:pPr>
            <w:r>
              <w:t>21 814</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eastAsia="Times New Roman" w:cs="Verdana"/>
              </w:rPr>
            </w:pPr>
            <w:r>
              <w:t>–</w:t>
            </w:r>
          </w:p>
        </w:tc>
        <w:tc>
          <w:tcPr>
            <w:tcW w:w="1417" w:type="dxa"/>
            <w:tcBorders>
              <w:top w:val="single" w:sz="4" w:space="0" w:color="016794"/>
              <w:left w:val="nil"/>
              <w:bottom w:val="nil"/>
              <w:right w:val="single" w:sz="4" w:space="0" w:color="016794"/>
            </w:tcBorders>
            <w:tcMar>
              <w:top w:w="0" w:type="dxa"/>
              <w:left w:w="108" w:type="dxa"/>
              <w:bottom w:w="0" w:type="dxa"/>
              <w:right w:w="108" w:type="dxa"/>
            </w:tcMar>
          </w:tcPr>
          <w:p>
            <w:pPr>
              <w:pStyle w:val="Figures8pItalicBlueRight"/>
              <w:rPr>
                <w:rFonts w:eastAsia="Times New Roman" w:cs="Verdana"/>
              </w:rPr>
            </w:pPr>
            <w:r>
              <w:t>21 814</w:t>
            </w:r>
          </w:p>
        </w:tc>
        <w:tc>
          <w:tcPr>
            <w:tcW w:w="1276" w:type="dxa"/>
            <w:tcBorders>
              <w:top w:val="single" w:sz="4" w:space="0" w:color="016794"/>
              <w:left w:val="single" w:sz="4" w:space="0" w:color="016794"/>
              <w:bottom w:val="nil"/>
              <w:right w:val="nil"/>
            </w:tcBorders>
            <w:tcMar>
              <w:top w:w="0" w:type="dxa"/>
              <w:left w:w="108" w:type="dxa"/>
              <w:bottom w:w="0" w:type="dxa"/>
              <w:right w:w="108" w:type="dxa"/>
            </w:tcMar>
          </w:tcPr>
          <w:p>
            <w:pPr>
              <w:pStyle w:val="Figures8pItalicBlueRight"/>
              <w:rPr>
                <w:rFonts w:eastAsia="Times New Roman" w:cs="Verdana"/>
              </w:rPr>
            </w:pPr>
            <w:r>
              <w:t>21 939</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eastAsia="Times New Roman" w:cs="Verdana"/>
              </w:rPr>
            </w:pPr>
            <w:r>
              <w:t>–</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eastAsia="Times New Roman" w:cs="Verdana"/>
              </w:rPr>
            </w:pPr>
            <w:r>
              <w:t>21 939</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Blue"/>
              <w:rPr>
                <w:rFonts w:eastAsia="Times New Roman" w:cs="Verdana"/>
              </w:rPr>
            </w:pPr>
            <w:r>
              <w:t>Lyhytaikaiset</w:t>
            </w: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eastAsia="Times New Roman" w:cs="Verdana"/>
              </w:rPr>
            </w:pPr>
            <w:r>
              <w:t>58 476</w:t>
            </w: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eastAsia="Times New Roman" w:cs="Verdana"/>
              </w:rPr>
            </w:pPr>
            <w:r>
              <w:t>(36 904)</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BlueRight"/>
              <w:rPr>
                <w:rFonts w:eastAsia="Times New Roman" w:cs="Verdana"/>
              </w:rPr>
            </w:pPr>
            <w:r>
              <w:t>21 572</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BlueRight"/>
              <w:rPr>
                <w:rFonts w:eastAsia="Times New Roman" w:cs="Verdana"/>
              </w:rPr>
            </w:pPr>
            <w:r>
              <w:t>59 696</w:t>
            </w: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eastAsia="Times New Roman" w:cs="Verdana"/>
              </w:rPr>
            </w:pPr>
            <w:r>
              <w:t>(37 335)</w:t>
            </w:r>
          </w:p>
        </w:tc>
        <w:tc>
          <w:tcPr>
            <w:tcW w:w="1417" w:type="dxa"/>
            <w:tcBorders>
              <w:top w:val="nil"/>
              <w:left w:val="nil"/>
              <w:bottom w:val="nil"/>
              <w:right w:val="nil"/>
            </w:tcBorders>
            <w:tcMar>
              <w:top w:w="0" w:type="dxa"/>
              <w:left w:w="108" w:type="dxa"/>
              <w:bottom w:w="0" w:type="dxa"/>
              <w:right w:w="108" w:type="dxa"/>
            </w:tcMar>
          </w:tcPr>
          <w:p>
            <w:pPr>
              <w:pStyle w:val="Figures8pItalicBlueRight"/>
              <w:rPr>
                <w:rFonts w:eastAsia="Times New Roman" w:cs="Verdana"/>
              </w:rPr>
            </w:pPr>
            <w:r>
              <w:t>22 361</w:t>
            </w:r>
          </w:p>
        </w:tc>
      </w:tr>
    </w:tbl>
    <w:p>
      <w:pPr>
        <w:pStyle w:val="DGTextstand-alone"/>
      </w:pPr>
      <w:r>
        <w:t>Ennakkomaksut ovat maksettua rahaa, joten ne ovat toteutuneita maksumäärärahoja. Kuten liitetiedossa </w:t>
      </w:r>
      <w:r>
        <w:rPr>
          <w:b/>
        </w:rPr>
        <w:t>1.5.7</w:t>
      </w:r>
      <w:r>
        <w:t xml:space="preserve"> todetaan, kyse on ennakoista, joita ei ole vielä kirjattu kuluiksi. Vaikka ennakkomaksut vähentävät maksattamatta olevia sitoumuksia (ks. liitetieto </w:t>
      </w:r>
      <w:r>
        <w:rPr>
          <w:b/>
        </w:rPr>
        <w:t>5.1</w:t>
      </w:r>
      <w:r>
        <w:t>), ne ovat menoja, joita ei ole vielä kirjattu tuotto- ja kululaskelmaan.</w:t>
      </w:r>
    </w:p>
    <w:p>
      <w:pPr>
        <w:pStyle w:val="DGTextstand-alone"/>
      </w:pPr>
      <w:r>
        <w:t xml:space="preserve">Yhteistyöhön perustuvassa hallinnoinnissa lähes kaikki ennakkomaksut liittyvät nykyiseen ohjelmakauteen. Alkuvaiheessa maksettavat ensimmäiset ennakkomaksut, joita ei kuitata ennen ohjelmakauden päättymistä, kirjataan pitkäaikaisiksi ennakkomaksuiksi. Niiden lisäksi maksetaan vuotuisia ennakkomaksuja, jotka kuitataan vuosittain ja jotka kirjataan lyhytaikaisiksi ennakkomaksuiksi. Vuonna 2018 uusia ennakkomaksuja maksettiin 10 miljardia euroa. Yhteistyöhön perustuvaan hallinnointiin liittyvät ennakkomaksumäärät pysyivät vakaina vuoteen 2017 verrattuna lukuun ottamatta määrien vähenemistä kohdassa ”Muut”. Tämä vähennys liittyy Euroopan unionin solidaarisuusrahastoon (Italiassa vuosina 2016 ja 2017 tapahtuneiden maanjäristysten jälkeisen jälleenrakentamisen tukemiseen osoitetut määrät). Nämä määrät maksettiin ennakkomaksuina vuonna 2017 ja kirjattiin kuluiksi vuonna 2018. </w:t>
      </w:r>
    </w:p>
    <w:p>
      <w:pPr>
        <w:pStyle w:val="DGTextstand-alone"/>
      </w:pPr>
      <w:r>
        <w:t xml:space="preserve">Suoraan hallinnoitavissa maksuissa ennakkomaksujen määrä liittyy pääasiassa Horisontti 2020 </w:t>
      </w:r>
      <w:r>
        <w:noBreakHyphen/>
        <w:t xml:space="preserve">ohjelmaan ja Verkkojen Eurooppa </w:t>
      </w:r>
      <w:r>
        <w:noBreakHyphen/>
        <w:t>välineeseen.</w:t>
      </w:r>
    </w:p>
    <w:p>
      <w:pPr>
        <w:pStyle w:val="DGTextstand-alone"/>
      </w:pPr>
      <w:r>
        <w:t xml:space="preserve">Välillisen hallinnoinnin osalta ennakkomaksut kattavat pääasiassa Erasmuksen, Galileon ja EGNOSin kaltaisia sisäisten politiikkojen ohjelmia, mutta myös ulkosuhteisiin liittyviä välineitä, joita ovat esimerkiksi Euroopan naapuruuspolitiikan rahoitusväline, kehitysyhteistyöväline ja humanitaarinen apu. </w:t>
      </w:r>
    </w:p>
    <w:p>
      <w:pPr>
        <w:pStyle w:val="HEADER5"/>
        <w:rPr>
          <w:b/>
          <w:noProof/>
        </w:rPr>
      </w:pPr>
      <w:r>
        <w:rPr>
          <w:noProof/>
        </w:rPr>
        <w:t>Ennakkomaksujen osalta saadut vakuudet</w:t>
      </w:r>
    </w:p>
    <w:p>
      <w:pPr>
        <w:pStyle w:val="DGTextstand-alone"/>
      </w:pPr>
      <w:r>
        <w:t>Tämä erä sisältää vakuudet, joita komissio edellyttää joissakin tapauksissa tuensaajilta maksaessaan näille ennakkomaksuja. Tällaisista vakuuksista ilmoitetaan kaksi arvoa, jotka ovat nimellisarvo ja käypä arvo. Kun kyse on nimellisarvosta, kirjauksen synnyttävä tapahtuma liittyy vakuuden olemassaoloon. Kun kyse on käyvästä arvosta, kirjauksen synnyttävä tapahtuma on ennakkomaksun suorittaminen ja/tai kuittaukset, jotka tämän jälkeen tehdään ennakkomaksua vastaan. Komissiolle ennakkomaksujen kattamiseksi annettujen vakuuksien nimellisarvo 31. joulukuuta 2018 oli 516 miljoonaa euroa (620 milj. euroa vuonna 2017). Vakuuksien käypä arvo oli 420 miljoonaa euroa (462 milj. euroa vuonna 2017).</w:t>
      </w:r>
    </w:p>
    <w:p>
      <w:pPr>
        <w:pStyle w:val="DGTextstand-alone"/>
      </w:pPr>
      <w:r>
        <w:t xml:space="preserve">Tietyt seitsemännen tutkimuksen ja teknologian kehittämisen puiteohjelman (FP7) ja Horisontti 2020 </w:t>
      </w:r>
      <w:r>
        <w:noBreakHyphen/>
        <w:t xml:space="preserve">ohjelman mukaisesti suoritetut ennakkomaksut katetaan käytännössä osallistujien takuurahastosta. Kyseinen rahasto on monenkeskinen väline, jolla pyritään kattamaan riskit, jotka liittyvät siihen, että tuensaajat eivät suorita maksujaan seitsemänteen puiteohjelmaan ja Horisontti 2020 </w:t>
      </w:r>
      <w:r>
        <w:noBreakHyphen/>
        <w:t>ohjelmaan kuuluvien epäsuorien toimien toteuttamisen aikana. Kaikki epäsuoriin toimiin osallistuvat, jotka saavat avustuksia EU:lta, maksavat 5 prosentin osuuden osallistujien takuurahaston kokonaispääomasta.</w:t>
      </w:r>
    </w:p>
    <w:p>
      <w:pPr>
        <w:pStyle w:val="DGTextstand-alone"/>
      </w:pPr>
      <w:r>
        <w:t>Osallistujien takuurahastosta katettavien ennakkomaksujen kokonaismäärä oli 2 miljardia euroa 31. joulukuuta 2018 (1,9 miljardia euroa vuonna 2017). EU (komission edustamana) on osallistujien takuurahaston toimeenpaneva elin, mutta osallistujat omistavat rahaston.</w:t>
      </w:r>
    </w:p>
    <w:p>
      <w:pPr>
        <w:pStyle w:val="DGTextstand-alone"/>
      </w:pPr>
      <w:r>
        <w:t>Osallistujien takuurahaston kokonaisvarat olivat vuoden lopussa yhteensä 2,1 miljardia euroa (2,0 miljardia euroa vuonna 2017). Osallistujien takuurahaston varoihin kuuluvat myös rahoitusvarat, joita hallinnoi komissiossa talouden ja rahoituksen pääosasto. Koska osallistujien takuurahasto on erillinen yhteisö, sen varoja ei konsolidoida EU:n tilinpäätökseen.</w:t>
      </w:r>
    </w:p>
    <w:p>
      <w:pPr>
        <w:pStyle w:val="HEADER3NOTES"/>
        <w:rPr>
          <w:noProof/>
        </w:rPr>
      </w:pPr>
      <w:r>
        <w:rPr>
          <w:noProof/>
        </w:rPr>
        <w:t>Muut ennakot jäsenvaltioille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89" w:name="DOC_TBL00025_1_1"/>
            <w:bookmarkEnd w:id="89"/>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milj. euroa</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Yhteistyössä hallinnoitaviin rahoitusvälineisiin liittyvät ennakot jäsenvaltioille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3 675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2 768</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r>
              <w:t>Tukiohjelmat</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2 843</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1 895</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eastAsia="Times New Roman" w:cs="Verdana"/>
              </w:rPr>
            </w:pPr>
            <w:r>
              <w:t>Yhteensä</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6 518</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4 663</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ItalicleftBlue"/>
              <w:rPr>
                <w:rFonts w:eastAsia="Times New Roman" w:cs="Verdana"/>
              </w:rPr>
            </w:pPr>
            <w:r>
              <w:t>Pitkäaikaiset</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4 122</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3 018</w:t>
            </w:r>
          </w:p>
        </w:tc>
      </w:tr>
      <w:tr>
        <w:tc>
          <w:tcPr>
            <w:tcW w:w="5637" w:type="dxa"/>
            <w:tcBorders>
              <w:top w:val="nil"/>
              <w:left w:val="nil"/>
              <w:bottom w:val="nil"/>
              <w:right w:val="nil"/>
            </w:tcBorders>
            <w:tcMar>
              <w:top w:w="0" w:type="dxa"/>
              <w:left w:w="108" w:type="dxa"/>
              <w:bottom w:w="0" w:type="dxa"/>
              <w:right w:w="108" w:type="dxa"/>
            </w:tcMar>
          </w:tcPr>
          <w:p>
            <w:pPr>
              <w:pStyle w:val="Text9pItalicleftBlue"/>
              <w:rPr>
                <w:rFonts w:eastAsia="Times New Roman" w:cs="Verdana"/>
              </w:rPr>
            </w:pPr>
            <w:r>
              <w:t>Lyhytaikaiset</w:t>
            </w:r>
          </w:p>
        </w:tc>
        <w:tc>
          <w:tcPr>
            <w:tcW w:w="2126" w:type="dxa"/>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2 396</w:t>
            </w:r>
          </w:p>
        </w:tc>
        <w:tc>
          <w:tcPr>
            <w:tcW w:w="1985" w:type="dxa"/>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1 645</w:t>
            </w:r>
          </w:p>
        </w:tc>
      </w:tr>
    </w:tbl>
    <w:p>
      <w:pPr>
        <w:pStyle w:val="Heading8pNormalCentered"/>
      </w:pPr>
    </w:p>
    <w:p>
      <w:pPr>
        <w:pStyle w:val="HEADER5"/>
        <w:rPr>
          <w:noProof/>
        </w:rPr>
      </w:pPr>
      <w:r>
        <w:rPr>
          <w:noProof/>
        </w:rPr>
        <w:t>Yhteistyössä hallinnoitaviin rahoitusvälineisiin liittyvät ennakot jäsenvaltioille</w:t>
      </w:r>
    </w:p>
    <w:p>
      <w:pPr>
        <w:pStyle w:val="Textstand-alone"/>
      </w:pPr>
      <w:r>
        <w:t>Euroopan rakenne- ja investointirahastojen (ERI-rahastot) puitteissa jäsenvaltioille voidaan suorittaa EU:n talousarviosta ennakkomaksuja, joilla tuetaan niiden osallistumista rahoitusvälineisiin (lainoihin, takauksiin tai oman pääoman ehtoisiin sijoituksiin). Näiden rahoitusvälineiden perustaminen ja hallinnointi ei ole komission vaan jäsenvaltioiden vastuulla. Näistä rahoitusvälineistä vuoden lopussa käyttämättä olevat rahamäärät ovat kuitenkin EU:n omaisuutta (kuten kaikki ennakkomaksut), ja niitä käsitellään EU:n taseessa omaisuuserinä.</w:t>
      </w:r>
    </w:p>
    <w:p>
      <w:pPr>
        <w:pStyle w:val="Textstand-alone"/>
        <w:spacing w:before="0"/>
        <w:rPr>
          <w:i/>
        </w:rPr>
      </w:pPr>
      <w:r>
        <w:rPr>
          <w:i/>
        </w:rPr>
        <w:t>Kausi 2014–2020:</w:t>
      </w:r>
    </w:p>
    <w:p>
      <w:pPr>
        <w:pStyle w:val="DGTextstand-alone"/>
      </w:pPr>
      <w:r>
        <w:t>Koheesiopolitiikan osalta maksetuista 5 790 miljoonasta eurosta oli 31. joulukuuta 2018 käyttämättä arvion mukaan 3 590 miljoonaa euroa. Kokonaismäärään sisältyy jäsenvaltioiden rahoitusosuus pk-yrityksiä koskevassa aloitteessa. Se on rahoitusväline, jolla pyritään kannustamaan pankkisektoria myöntämään enemmän lainoja pk-yrityksille (1 213 miljoonaa euroa on maksettu, ja arviolta 391 miljoonaa euroa on käyttämättä).</w:t>
      </w:r>
    </w:p>
    <w:p>
      <w:pPr>
        <w:pStyle w:val="DGTextstand-alone"/>
      </w:pPr>
      <w:r>
        <w:t>Maaseudun kehittämiseen myönnetyistä varoista oli käyttämättä 83 miljoonaa euroa vuoden 2018 lopussa.</w:t>
      </w:r>
    </w:p>
    <w:p>
      <w:pPr>
        <w:pStyle w:val="Textstand-alone"/>
        <w:spacing w:before="0"/>
        <w:rPr>
          <w:i/>
        </w:rPr>
      </w:pPr>
      <w:r>
        <w:rPr>
          <w:i/>
        </w:rPr>
        <w:t xml:space="preserve">Kausi 2007–2013: </w:t>
      </w:r>
    </w:p>
    <w:p>
      <w:pPr>
        <w:pStyle w:val="DGTextstand-alone"/>
      </w:pPr>
      <w:r>
        <w:t>Kaikki koheesiopolitiikkaan liittyvät varat katsotaan joko käytetyiksi tai kohdennetuksi uudelleen muihin toimenpiteisiin, joten taseeseen ei jäänyt omaisuuseriä 31. joulukuuta 2018. On todettava, että eri välineiden tosiasiallista täytäntöönpanoa tarkastellaan osana ohjelmien päättämisprosessia.</w:t>
      </w:r>
    </w:p>
    <w:p>
      <w:pPr>
        <w:pStyle w:val="HEADER5"/>
        <w:rPr>
          <w:b/>
          <w:noProof/>
        </w:rPr>
      </w:pPr>
      <w:r>
        <w:rPr>
          <w:noProof/>
        </w:rPr>
        <w:t>Tukiohjelmat</w:t>
      </w:r>
    </w:p>
    <w:p>
      <w:pPr>
        <w:pStyle w:val="Textstand-alone"/>
      </w:pPr>
      <w:r>
        <w:t>Vastaavasti jäsenvaltioiden maksamat useisiin tukiohjelmiin (valtiontuki, maataloustukirahaston markkinatoimet ja maaseuturahaston investointitoimet) liittyvät ennakkomaksut, joita ei ollut käytetty vuoden loppuun mennessä, kirjataan omaisuuseriksi (ennakoiksi) EU:n taseeseen. Komissio on arvioinut näiden ennakkomaksujen arvon jäsenvaltioiden toimittamien tietojen perusteella; kyseiset määrät sisältyvät edellä kohtaan ”Tukiohjelmat”.</w:t>
      </w:r>
    </w:p>
    <w:p>
      <w:pPr>
        <w:pStyle w:val="Textstand-alone"/>
        <w:spacing w:before="0"/>
        <w:rPr>
          <w:i/>
        </w:rPr>
      </w:pPr>
      <w:r>
        <w:rPr>
          <w:i/>
        </w:rPr>
        <w:t>Kausi 2014–2020:</w:t>
      </w:r>
    </w:p>
    <w:p>
      <w:pPr>
        <w:pStyle w:val="Textstand-alone"/>
        <w:spacing w:before="0"/>
      </w:pPr>
      <w:r>
        <w:t>Koheesiopolitiikassa varoista oli käyttämättä 1 477 miljoonaa euroa ja maatalouden ja maaseudun kehittämisen alalla 1 171 miljoonaa euroa vuoden 2018 lopussa.</w:t>
      </w:r>
    </w:p>
    <w:p>
      <w:pPr>
        <w:pStyle w:val="Textstand-alone"/>
        <w:spacing w:before="0"/>
        <w:rPr>
          <w:i/>
        </w:rPr>
      </w:pPr>
      <w:r>
        <w:rPr>
          <w:i/>
        </w:rPr>
        <w:t>Kausi 2007–2013:</w:t>
      </w:r>
    </w:p>
    <w:p>
      <w:pPr>
        <w:pStyle w:val="Textstand-alone"/>
        <w:spacing w:before="0" w:after="0"/>
      </w:pPr>
      <w:r>
        <w:t>Arvioiden mukaan maatalouden kehittämisen yhteydessä maksetuista varoista käyttämättä oli 195 miljoonaa euroa vuoden 2018 lopussa.</w:t>
      </w:r>
    </w:p>
    <w:p>
      <w:pPr>
        <w:pStyle w:val="Textstand-alone"/>
        <w:spacing w:before="0" w:after="0"/>
        <w:sectPr>
          <w:headerReference w:type="even" r:id="rId160"/>
          <w:headerReference w:type="default" r:id="rId161"/>
          <w:footerReference w:type="even" r:id="rId162"/>
          <w:footerReference w:type="default" r:id="rId163"/>
          <w:headerReference w:type="first" r:id="rId164"/>
          <w:footerReference w:type="first" r:id="rId165"/>
          <w:type w:val="continuous"/>
          <w:pgSz w:w="11906" w:h="16838"/>
          <w:pgMar w:top="1134" w:right="1134" w:bottom="1134" w:left="1134" w:header="709" w:footer="709" w:gutter="0"/>
          <w:cols w:space="708"/>
          <w:docGrid w:linePitch="360"/>
        </w:sectPr>
      </w:pPr>
      <w:r>
        <w:t xml:space="preserve"> </w:t>
      </w:r>
      <w:bookmarkEnd w:id="86"/>
    </w:p>
    <w:p>
      <w:pPr>
        <w:pStyle w:val="HEADER2NOTES"/>
        <w:rPr>
          <w:noProof/>
        </w:rPr>
      </w:pPr>
      <w:bookmarkStart w:id="90" w:name="_DMBM_14753"/>
      <w:r>
        <w:rPr>
          <w:noProof/>
        </w:rPr>
        <w:t>VAIHTOON PERUSTUVAT SAAMISET JA MUUT KUIN VAIHTOON PERUSTUVAT KERRYTETTÄVISSÄ OLEVAT RAHAMÄÄRÄT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1231"/>
        <w:gridCol w:w="1813"/>
        <w:gridCol w:w="1814"/>
      </w:tblGrid>
      <w:tr>
        <w:trPr>
          <w:trHeight w:val="268"/>
        </w:trPr>
        <w:tc>
          <w:tcPr>
            <w:tcW w:w="5211"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91" w:name="DOC_TBL00026_1_1"/>
            <w:bookmarkEnd w:id="91"/>
          </w:p>
        </w:tc>
        <w:tc>
          <w:tcPr>
            <w:tcW w:w="85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84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milj. euroa</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rPr>
            </w:pPr>
            <w:r>
              <w:t>Liitetieto</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31.12.2017</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eastAsia="Times New Roman" w:cs="Verdana"/>
              </w:rPr>
            </w:pPr>
            <w:r>
              <w:t>Pitkäaikaiset</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Kerrytettävissä olevat rahamäärät muista kuin vaihtoon perustuvista transaktioista</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2.6.1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397</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594</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Saamiset vaihtoon perustuvista transaktioista</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2.6.2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19</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17</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416</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611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eastAsia="Times New Roman" w:cs="Verdana"/>
              </w:rPr>
            </w:pPr>
            <w:r>
              <w:t>Lyhytaikaiset</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Kerrytettävissä olevat rahamäärät muista kuin vaihtoon perustuvista transaktioista</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2.6.1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22 212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11 065</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Saamiset vaihtoon perustuvista transaktioista</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2.6.2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2 036</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689</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24 248</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11 755</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BoldLeft"/>
              <w:rPr>
                <w:rFonts w:eastAsia="Times New Roman" w:cs="Verdana"/>
              </w:rPr>
            </w:pPr>
            <w:r>
              <w:t>Yhteensä</w:t>
            </w:r>
          </w:p>
        </w:tc>
        <w:tc>
          <w:tcPr>
            <w:tcW w:w="851"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24 664</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12 366</w:t>
            </w:r>
          </w:p>
        </w:tc>
      </w:tr>
    </w:tbl>
    <w:p>
      <w:pPr>
        <w:pStyle w:val="HEADER3NOTES"/>
        <w:spacing w:after="0"/>
        <w:rPr>
          <w:noProof/>
        </w:rPr>
      </w:pPr>
      <w:r>
        <w:rPr>
          <w:noProof/>
        </w:rPr>
        <w:t>Kerrytettävissä olevat rahamäärät muista kuin vaihtoon perustuvista transaktioista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8"/>
        <w:gridCol w:w="1231"/>
        <w:gridCol w:w="1814"/>
        <w:gridCol w:w="1814"/>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2" w:name="DOC_TBL00027_1_1"/>
            <w:bookmarkEnd w:id="92"/>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Liitetieto</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Pitkäaikaiset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Jäsenvaltiot</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2.6.1.1</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397</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594</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397</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594</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Lyhytaikaiset</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Jäsenvaltiot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10 900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6 190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Kilpailun alalla määrätyt sakot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9 727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4 225</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Tulojäämät ja menoennakot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1 511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570</w:t>
            </w:r>
          </w:p>
        </w:tc>
      </w:tr>
      <w:tr>
        <w:trPr>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Muut kerrytettävissä olevat rahamäärät</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74</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22 212</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11 065</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Yhteensä</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22 609</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11 659</w:t>
            </w:r>
          </w:p>
        </w:tc>
      </w:tr>
    </w:tbl>
    <w:p>
      <w:pPr>
        <w:pStyle w:val="HEADER4NOTES"/>
        <w:numPr>
          <w:ilvl w:val="0"/>
          <w:numId w:val="0"/>
        </w:numPr>
        <w:spacing w:after="0"/>
        <w:rPr>
          <w:noProof/>
        </w:rPr>
      </w:pPr>
    </w:p>
    <w:p>
      <w:pPr>
        <w:rPr>
          <w:rFonts w:ascii="Verdana" w:hAnsi="Verdana"/>
          <w:noProof/>
          <w:color w:val="016794"/>
          <w:sz w:val="18"/>
          <w:szCs w:val="18"/>
        </w:rPr>
      </w:pPr>
      <w:r>
        <w:rPr>
          <w:noProof/>
        </w:rPr>
        <w:br w:type="page"/>
      </w:r>
    </w:p>
    <w:p>
      <w:pPr>
        <w:pStyle w:val="HEADER4NOTES"/>
        <w:spacing w:after="0"/>
        <w:rPr>
          <w:noProof/>
        </w:rPr>
      </w:pPr>
      <w:r>
        <w:rPr>
          <w:noProof/>
        </w:rPr>
        <w:t>Kerrytettävissä olevat rahamäärät jäsenvaltioilta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93" w:name="DOC_TBL00028_1_1"/>
            <w:bookmarkEnd w:id="93"/>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milj. euroa</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A-kirjanpitoon kirjatut perinteiset omat varat</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5 609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3 113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Erilliseen kirjanpitoon kirjatut perinteiset omat varat</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1 612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1 617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Omiin varoihin kuuluvat saamiset</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2 758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Arvonalennus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(991)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(997)</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r>
              <w:t>Muut</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86</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56</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eastAsia="Times New Roman" w:cs="Verdana"/>
              </w:rPr>
            </w:pPr>
            <w:r>
              <w:t>Omista varoista kerrytettävissä olevat rahamäärät</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9 075</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3 836</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ItalicLeft"/>
              <w:rPr>
                <w:rFonts w:eastAsia="Times New Roman" w:cs="Verdana"/>
              </w:rPr>
            </w:pPr>
            <w:r>
              <w:t>Euroopan maatalouden tukirahasto (maataloustukirahasto)</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rPr>
            </w:pPr>
            <w:r>
              <w:t>1 708</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rPr>
            </w:pPr>
            <w:r>
              <w:t>2 280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Euroopan maaseudun kehittämisen maatalousrahasto (maaseuturahasto)</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859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955</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Maaseudun väliaikainen kehittämisväline (TRDI)</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Maatalouden ja maaseudun kehittämisen erityinen liittymisohjelma (Sapard)</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82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136</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r>
              <w:t>Arvonalennus</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(788)</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(804)</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eastAsia="Times New Roman" w:cs="Verdana"/>
              </w:rPr>
            </w:pPr>
            <w:r>
              <w:t>Maataloustukirahastoon ja maaseudun kehittämiseen liittyvät kerrytettävissä olevat rahamäärät</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1 875</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2 583</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eastAsia="Times New Roman" w:cs="Verdana"/>
              </w:rPr>
            </w:pPr>
            <w:r>
              <w:t>Arvio takaisin perittävistä ennakkomaksuista</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 xml:space="preserve"> 145</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 xml:space="preserve"> 182</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eastAsia="Times New Roman" w:cs="Verdana"/>
              </w:rPr>
            </w:pPr>
            <w:r>
              <w:t>Maksettu ja kerrytettävissä oleva arvonlisävero</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 xml:space="preserve"> 45</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 xml:space="preserve"> 64</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eastAsia="Times New Roman" w:cs="Verdana"/>
              </w:rPr>
            </w:pPr>
            <w:r>
              <w:t>Muut kerrytettävissä olevat rahamäärät jäsenvaltioilta</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 xml:space="preserve"> 158</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 xml:space="preserve"> 120</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eastAsia="Times New Roman" w:cs="Verdana"/>
              </w:rPr>
            </w:pPr>
            <w:r>
              <w:t>Yhteensä</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11 297</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6 784</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ItalicleftBlue"/>
              <w:rPr>
                <w:rFonts w:eastAsia="Times New Roman" w:cs="Verdana"/>
              </w:rPr>
            </w:pPr>
            <w:r>
              <w:t>Pitkäaikaiset</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 xml:space="preserve"> 397</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 xml:space="preserve"> 594</w:t>
            </w:r>
          </w:p>
        </w:tc>
      </w:tr>
      <w:tr>
        <w:tc>
          <w:tcPr>
            <w:tcW w:w="5637" w:type="dxa"/>
            <w:tcBorders>
              <w:top w:val="nil"/>
              <w:left w:val="nil"/>
              <w:bottom w:val="nil"/>
              <w:right w:val="nil"/>
            </w:tcBorders>
            <w:tcMar>
              <w:top w:w="0" w:type="dxa"/>
              <w:left w:w="108" w:type="dxa"/>
              <w:bottom w:w="0" w:type="dxa"/>
              <w:right w:w="108" w:type="dxa"/>
            </w:tcMar>
          </w:tcPr>
          <w:p>
            <w:pPr>
              <w:pStyle w:val="Text9pItalicleftBlue"/>
              <w:rPr>
                <w:rFonts w:eastAsia="Times New Roman" w:cs="Verdana"/>
              </w:rPr>
            </w:pPr>
            <w:r>
              <w:t>Lyhytaikaiset</w:t>
            </w:r>
          </w:p>
        </w:tc>
        <w:tc>
          <w:tcPr>
            <w:tcW w:w="2126" w:type="dxa"/>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10 900</w:t>
            </w:r>
          </w:p>
        </w:tc>
        <w:tc>
          <w:tcPr>
            <w:tcW w:w="1985" w:type="dxa"/>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6 190</w:t>
            </w:r>
          </w:p>
        </w:tc>
      </w:tr>
    </w:tbl>
    <w:p>
      <w:pPr>
        <w:pStyle w:val="Textstand-alone"/>
        <w:rPr>
          <w:rFonts w:eastAsia="Calibri"/>
        </w:rPr>
      </w:pPr>
      <w:r>
        <w:t xml:space="preserve">Jäsenvaltioilta olevat pitkäaikaiset saamiset liittyvät pääasiassa täytäntöönpanoa odottaviin, Euroopan maatalouden tukirahastoa (maataloustukirahasto) ja Euroopan maaseudun kehittämisen maatalousrahastoa (maaseuturahasto) koskeviin sääntöjenmukaisuuspäätöksiin. Näihin päätöksiin liittyvät rahamäärät peritään vuotuisina erinä. </w:t>
      </w:r>
    </w:p>
    <w:p>
      <w:pPr>
        <w:pStyle w:val="Textstand-alone"/>
        <w:rPr>
          <w:b/>
        </w:rPr>
      </w:pPr>
      <w:r>
        <w:rPr>
          <w:color w:val="016794"/>
        </w:rPr>
        <w:t>Omista varoista kerrytettävissä olevat rahamäärät</w:t>
      </w:r>
    </w:p>
    <w:p>
      <w:pPr>
        <w:pStyle w:val="DGTextstand-alone"/>
      </w:pPr>
      <w:r>
        <w:t>”A-kirjanpito” viittaa kuukausikatsauksiin, joissa jäsenvaltiot ilmoittavat komissiolle todettuihin mutta vielä perimättä oleviin perinteisiin omiin varoihin liittyvien saamisten määrän. Jäsenvaltiot kantavat komission puolesta perinteiset omat varat, jotka muodostuvat tullimaksuista ja sokerimaksuista.</w:t>
      </w:r>
    </w:p>
    <w:p>
      <w:pPr>
        <w:pStyle w:val="DGTextstand-alone"/>
      </w:pPr>
      <w:r>
        <w:t>Vuonna 2018 A-kirjanpidon määrä sisältää perinteiset omat varat, jotka ovat peräisin jäljempänä kuvatusta rikkomistapauksesta sekä tarkastuskertomuksista. Nämä tapaukset ovat vaikuttaneet kohdan ”A-kirjanpito” kasvuun. Koska 1,3 miljardin euron viivästyskorkoa sovelletaan, kyseiset määrät ilmoitetaan myös tässä tilinpäätöksessä (ks. liitetiedot </w:t>
      </w:r>
      <w:r>
        <w:rPr>
          <w:b/>
        </w:rPr>
        <w:t>2.6.2</w:t>
      </w:r>
      <w:r>
        <w:t xml:space="preserve"> ja </w:t>
      </w:r>
      <w:r>
        <w:rPr>
          <w:b/>
        </w:rPr>
        <w:t>3.7</w:t>
      </w:r>
      <w:r>
        <w:t>).</w:t>
      </w:r>
    </w:p>
    <w:p>
      <w:pPr>
        <w:pStyle w:val="DGTextstand-alone"/>
      </w:pPr>
      <w:r>
        <w:t>Rikkomistapauksen yhteydessä Euroopan komissio lähetti 8. maaliskuuta 2018 virallisen ilmoituksen (rikkominen nro 2018/2008) Yhdistyneelle kuningaskunnalle, koska tämä kieltäytyi asettamasta tullimaksuja EU:n talousarvion käyttöön, vaikka unionin lainsäädännössä niin edellytetään. Koska komissio ei saanut Yhdistyneeltä kuningaskunnalta tyydyttävää vastausta, komissio lähetti sille 24. syyskuuta 2018 perustellun lausunnon ja päätti 19. joulukuuta 2018 siirtää tapauksen käsittelyn Euroopan unionin tuomioistuimeen. Yhdistynyt kuningaskunta vastasi perusteltuun lausuntoon 11. helmikuuta 2019. Tätäkin vastausta pidettiin riittämättömänä, joten komissio vahvisti 6. maaliskuuta 2019 päätöksensä siirtää rikkomisen käsittelyn Euroopan unionin tuomioistuimeen. Kanne nostettiin 7. maaliskuuta 2019. OLAFin vuonna 2017 laatimassa kertomuksessa todettiin, että Yhdistyneessä kuningaskunnassa toimivat maahantuojat olivat välttäneet suuren määrän tullimaksuja käyttämällä tuonnin yhteydessä tekaistuja laskuja ja virheellisiä tullausarvoilmoituksia. OLAFin ja Yhteisen tutkimuskeskuksen kehittämien menetelmien ja saatavilla olevien tietojen perusteella komissio arvioi, että EU:n lainsäädännön rikkominen aiheutti marraskuun 2011 ja lokakuun 2017 välisenä aikana 2,1 miljardin euron tappiot EU:n talousarvioon (netto, eli bruttomäärä 2,7 miljardia euroa vähennettynä Yhdistyneen kuningaskunnan pidättämillä kantokuluilla). Yhdistynyt kuningaskunta ei hyväksy menetelmiä, joita komissio on käyttänyt arvioidessaan kyseiset tappiot.</w:t>
      </w:r>
    </w:p>
    <w:p>
      <w:pPr>
        <w:pStyle w:val="DGTextstand-alone"/>
      </w:pPr>
      <w:r>
        <w:t>Lisäksi komissio sisällytti kirjanpitoon hallinnon arvion vahvistetuista tullimaksuista. Arvio oli 0,7 miljardia euroa (ja summasta suurin osa on sovellettavia korkoja). Yhdistynyt kuningaskunta on eri mieltä tästä määrästä.</w:t>
      </w:r>
    </w:p>
    <w:p>
      <w:pPr>
        <w:pStyle w:val="DGTextstand-alone"/>
      </w:pPr>
      <w:r>
        <w:t xml:space="preserve">”Erillinen kirjanpito” tarkoittaa vahvistettuja saamisia, joita ei ole sisällytetty A-kirjanpitoon, koska jäsenvaltiot eivät ole perineet niitä eikä vakuutta ole annettu (tai vakuus on annettu, mutta saaminen on kiistetty). Näistä saamisista tehdään arvonalennus jäsenvaltioiden vuosittain toimittamien tietojen perusteella. </w:t>
      </w:r>
    </w:p>
    <w:p>
      <w:pPr>
        <w:pStyle w:val="DGTextstand-alone"/>
      </w:pPr>
      <w:r>
        <w:t>”Omiin varoihin kuuluvat saamiset” viittaa 12. joulukuuta 2018 hyväksyttyyn lisätalousarvioon nro 6/2018 perustuviin kerrytettävissä oleviin rahamääriin. Jäsenvaltioiden oli tuloutettava rahamäärät tammikuun 2019 ensimmäisenä pankkipäivänä.</w:t>
      </w:r>
    </w:p>
    <w:p>
      <w:pPr>
        <w:pStyle w:val="Textstand-alone"/>
        <w:rPr>
          <w:b/>
        </w:rPr>
      </w:pPr>
      <w:r>
        <w:rPr>
          <w:color w:val="016794"/>
        </w:rPr>
        <w:t>Maataloustukirahastoon ja maaseudun kehittämiseen liittyvät saamiset</w:t>
      </w:r>
    </w:p>
    <w:p>
      <w:pPr>
        <w:pStyle w:val="DGTextstand-alone"/>
      </w:pPr>
      <w:r>
        <w:t>Kohtaan on kirjattu pääasiassa jäsenvaltioiden ilmoittamat ja vahvistamat saamiset (tilanne 15. lokakuuta 2018) maataloustukirahaston tuensaajilta 31. joulukuuta 2018. Kerrytettävissä olevat rahamäärät jaksolta, joka ulottuu edellä tarkoitetun ilmoituksen jättämisestä vuoden 2018 joulukuun 31. päivään, on arvioitu. Komissio tekee lisäksi arvion arvonalennuksesta, joka vastaa sitä osaa edunsaajien velasta, jota ei todennäköisesti saada perittyä takaisin. Arvonalennuksen kirjaaminen ei kuitenkaan merkitse sitä, että komissio luopuisi kyseisten määrien perimisestä. Oikaistuun määrään sisältyy myös 20 prosentin osuus, jonka jäsenvaltiot pidättävät hallintokustannusten kattamista varten.</w:t>
      </w:r>
    </w:p>
    <w:p>
      <w:pPr>
        <w:pStyle w:val="HEADER4NOTES"/>
        <w:spacing w:after="0"/>
        <w:rPr>
          <w:noProof/>
        </w:rPr>
      </w:pPr>
      <w:r>
        <w:rPr>
          <w:noProof/>
        </w:rPr>
        <w:t>Kilpailun alalla määrättyihin sakkoihin liittyvät saamiset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4" w:name="DOC_TBL00029_1_1"/>
            <w:bookmarkEnd w:id="94"/>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Sakkoihin liittyvät saamiset bruttomäärä</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13 022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7 679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Alustavat maksut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(3 131)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(3 282)</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Arvonalennus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(164)</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(172)</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Yhteensä</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9 727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4 225</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Pitkäaikaiset</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Lyhytaikaiset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9 727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4 225</w:t>
            </w:r>
          </w:p>
        </w:tc>
      </w:tr>
    </w:tbl>
    <w:p>
      <w:pPr>
        <w:pStyle w:val="DGTextstand-alone"/>
      </w:pPr>
      <w:r>
        <w:t xml:space="preserve">Alustavat maksut liittyvät pääasiassa suoritettuihin maksuihin yrityksiltä, jotka ovat kuitenkin hakeneet muutosta tai joilla on edelleen mahdollisuus hakea EU:n tuomioistuimissa muutosta sakkopäätökseen. Ehdollinen velka esitetään, koska nämä määrät joudutaan mahdollisesti maksamaan takaisin yrityksille (ks. liitetieto </w:t>
      </w:r>
      <w:r>
        <w:rPr>
          <w:b/>
        </w:rPr>
        <w:t>4.1.4</w:t>
      </w:r>
      <w:r>
        <w:t xml:space="preserve">). </w:t>
      </w:r>
    </w:p>
    <w:p>
      <w:pPr>
        <w:pStyle w:val="DGTextstand-alone"/>
      </w:pPr>
      <w:r>
        <w:t xml:space="preserve">Yritykset, joille on määrätty sakko ja jotka ovat hakeneet tai aikovat hakea muutosta, voivat joko suorittaa alustavan maksun tai toimittaa komissiolle pankkitakauksen. Komissio on hyväksynyt takaukset vuoden loppuun mennessä maksamattomien sakkojen osalta määrästä, joka on 9 354 miljoonaa euroa (4 004 miljoonaa euroa vuonna 2017). </w:t>
      </w:r>
    </w:p>
    <w:p>
      <w:pPr>
        <w:pStyle w:val="DGTextstand-alone"/>
      </w:pPr>
      <w:r>
        <w:t>Arvonalennusten määrät vastaavat komission tapauskohtaista arviointia maksamattomista sakkomääristä tai määristä, joita takaus ei kata, joita komissio ei odota perittävän takaisin.</w:t>
      </w:r>
    </w:p>
    <w:p>
      <w:pPr>
        <w:pStyle w:val="DGTextstand-alone"/>
      </w:pPr>
      <w:r>
        <w:t xml:space="preserve">Kilpailusakoista kerrytettävien määrien lisääntyminen johtuu pääasiassa kahdesta merkittävästä sakosta (yhteensä 5 339 miljoonaa euroa), joiden osalta kyseiset yritykset antoivat komissiolle hyväksytyn pankkitakauksen. </w:t>
      </w:r>
    </w:p>
    <w:p>
      <w:pPr>
        <w:pStyle w:val="HEADER4NOTES"/>
        <w:spacing w:after="0"/>
        <w:rPr>
          <w:noProof/>
        </w:rPr>
      </w:pPr>
      <w:r>
        <w:rPr>
          <w:noProof/>
        </w:rPr>
        <w:t>Tulojäämät ja menoennakot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95" w:name="DOC_TBL00030_1_1"/>
            <w:bookmarkEnd w:id="95"/>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milj. euroa</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Muut tulojäämät</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1 240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328</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r>
              <w:t>Muihin kuin vaihtoon perustuviin transaktioihin liittyvät menoennakot</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272</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241</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eastAsia="Times New Roman" w:cs="Verdana"/>
              </w:rPr>
            </w:pPr>
            <w:r>
              <w:t>Yhteensä</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1 511</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 xml:space="preserve"> 570</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ItalicleftBlue"/>
              <w:rPr>
                <w:rFonts w:eastAsia="Times New Roman" w:cs="Verdana"/>
              </w:rPr>
            </w:pPr>
            <w:r>
              <w:t>Pitkäaikaiset</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w:t>
            </w:r>
          </w:p>
        </w:tc>
      </w:tr>
      <w:tr>
        <w:tc>
          <w:tcPr>
            <w:tcW w:w="5637" w:type="dxa"/>
            <w:tcBorders>
              <w:top w:val="nil"/>
              <w:left w:val="nil"/>
              <w:bottom w:val="nil"/>
              <w:right w:val="nil"/>
            </w:tcBorders>
            <w:tcMar>
              <w:top w:w="0" w:type="dxa"/>
              <w:left w:w="108" w:type="dxa"/>
              <w:bottom w:w="0" w:type="dxa"/>
              <w:right w:w="108" w:type="dxa"/>
            </w:tcMar>
          </w:tcPr>
          <w:p>
            <w:pPr>
              <w:pStyle w:val="Text9pItalicleftBlue"/>
              <w:rPr>
                <w:rFonts w:eastAsia="Times New Roman" w:cs="Verdana"/>
              </w:rPr>
            </w:pPr>
            <w:r>
              <w:t>Lyhytaikaiset</w:t>
            </w:r>
          </w:p>
        </w:tc>
        <w:tc>
          <w:tcPr>
            <w:tcW w:w="2126" w:type="dxa"/>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1 511</w:t>
            </w:r>
          </w:p>
        </w:tc>
        <w:tc>
          <w:tcPr>
            <w:tcW w:w="1985" w:type="dxa"/>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 xml:space="preserve"> 570</w:t>
            </w:r>
          </w:p>
        </w:tc>
      </w:tr>
    </w:tbl>
    <w:p>
      <w:pPr>
        <w:pStyle w:val="DGTextstand-alone"/>
        <w:rPr>
          <w:color w:val="000000" w:themeColor="text1"/>
        </w:rPr>
      </w:pPr>
      <w:r>
        <w:rPr>
          <w:color w:val="000000" w:themeColor="text1"/>
        </w:rPr>
        <w:t>Muihin tulojäämiin sisältyy 1 146 miljoonaa euroa, jonka komissio odottaa perivänsä takaisin jäsenvaltioilta koheesiopolitiikan alalla. Perintä toteutetaan jäsenvaltioiden 15. helmikuuta 2019 mennessä toimittamien tilinpäätösten tarkastelun ja hyväksynnän perusteella. Jäsenvaltioiden tilinpäätösten hyväksymismenettely otettiin ensi kertaa käyttöön koheesioalalla ohjelmakaudelle 2014–2020.</w:t>
      </w:r>
    </w:p>
    <w:p>
      <w:pPr>
        <w:rPr>
          <w:rFonts w:ascii="Verdana" w:hAnsi="Verdana"/>
          <w:noProof/>
          <w:color w:val="016794"/>
          <w:sz w:val="20"/>
          <w:szCs w:val="20"/>
        </w:rPr>
      </w:pPr>
      <w:r>
        <w:rPr>
          <w:noProof/>
        </w:rPr>
        <w:br w:type="page"/>
      </w:r>
    </w:p>
    <w:p>
      <w:pPr>
        <w:pStyle w:val="HEADER3NOTES"/>
        <w:spacing w:after="0"/>
        <w:rPr>
          <w:noProof/>
        </w:rPr>
      </w:pPr>
      <w:r>
        <w:rPr>
          <w:noProof/>
        </w:rPr>
        <w:t>Saamiset vaihtoon perustuvista transaktioista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6" w:name="DOC_TBL00031_1_1"/>
            <w:bookmarkEnd w:id="96"/>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Pitkäaikaiset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Muut saamiset</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19</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17</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Lyhytaikaiset</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Tuensaajat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Tuensaajilta olevien saamisten arvon alentuminen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Muihin kuin vaihtoon perustuviin transaktioihin liittyvät menoennakot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259</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Muut</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1 704</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331</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2 036</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689</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Yhteensä</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2 055</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707</w:t>
            </w:r>
          </w:p>
        </w:tc>
      </w:tr>
    </w:tbl>
    <w:p>
      <w:pPr>
        <w:pStyle w:val="DGTextstand-alone"/>
        <w:spacing w:before="0" w:after="0"/>
      </w:pPr>
    </w:p>
    <w:p>
      <w:pPr>
        <w:pStyle w:val="DGTextstand-alone"/>
        <w:spacing w:before="0" w:after="0"/>
      </w:pPr>
      <w:r>
        <w:t xml:space="preserve">Saamiset kohdassa ”Muut” sisältävät 1,4 miljardia euroa omista varoista kertyneitä viivästyskorkoja, joista 1,3 miljardia euroa liittyy liitetiedossa </w:t>
      </w:r>
      <w:r>
        <w:rPr>
          <w:b/>
        </w:rPr>
        <w:t>2.6.1.1</w:t>
      </w:r>
      <w:r>
        <w:t xml:space="preserve"> jo mainittuihin tapauksiin.</w:t>
      </w:r>
    </w:p>
    <w:p>
      <w:pPr>
        <w:pStyle w:val="DGTextstand-alone"/>
        <w:spacing w:before="0" w:after="0"/>
        <w:sectPr>
          <w:headerReference w:type="even" r:id="rId166"/>
          <w:headerReference w:type="default" r:id="rId167"/>
          <w:footerReference w:type="even" r:id="rId168"/>
          <w:footerReference w:type="default" r:id="rId169"/>
          <w:headerReference w:type="first" r:id="rId170"/>
          <w:footerReference w:type="first" r:id="rId171"/>
          <w:type w:val="continuous"/>
          <w:pgSz w:w="11906" w:h="16838"/>
          <w:pgMar w:top="1134" w:right="1134" w:bottom="1134" w:left="1134" w:header="709" w:footer="709" w:gutter="0"/>
          <w:cols w:space="708"/>
          <w:docGrid w:linePitch="360"/>
        </w:sectPr>
      </w:pPr>
      <w:r>
        <w:t xml:space="preserve"> </w:t>
      </w:r>
      <w:bookmarkEnd w:id="90"/>
    </w:p>
    <w:p>
      <w:pPr>
        <w:pStyle w:val="HEADER2NOTES"/>
        <w:rPr>
          <w:noProof/>
        </w:rPr>
      </w:pPr>
      <w:bookmarkStart w:id="97" w:name="_DMBM_14768"/>
      <w:r>
        <w:rPr>
          <w:noProof/>
        </w:rPr>
        <w:t xml:space="preserve">VAIHTO-OMAISUUS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8" w:name="DOC_TBL00032_1_1"/>
            <w:bookmarkEnd w:id="98"/>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Tutkimusmateriaali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Muut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250</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Yhteensä</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73</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295</w:t>
            </w:r>
          </w:p>
        </w:tc>
      </w:tr>
    </w:tbl>
    <w:p>
      <w:pPr>
        <w:pStyle w:val="Textstand-alone"/>
        <w:spacing w:before="0" w:after="0"/>
        <w:sectPr>
          <w:headerReference w:type="even" r:id="rId172"/>
          <w:headerReference w:type="default" r:id="rId173"/>
          <w:footerReference w:type="even" r:id="rId174"/>
          <w:footerReference w:type="default" r:id="rId175"/>
          <w:headerReference w:type="first" r:id="rId176"/>
          <w:footerReference w:type="first" r:id="rId177"/>
          <w:type w:val="continuous"/>
          <w:pgSz w:w="11906" w:h="16838"/>
          <w:pgMar w:top="1134" w:right="1134" w:bottom="1134" w:left="1134" w:header="709" w:footer="709" w:gutter="0"/>
          <w:cols w:space="708"/>
          <w:docGrid w:linePitch="360"/>
        </w:sectPr>
      </w:pPr>
      <w:r>
        <w:t xml:space="preserve"> </w:t>
      </w:r>
      <w:bookmarkEnd w:id="97"/>
    </w:p>
    <w:p>
      <w:pPr>
        <w:pStyle w:val="HEADER2NOTES"/>
        <w:rPr>
          <w:noProof/>
        </w:rPr>
      </w:pPr>
      <w:bookmarkStart w:id="99" w:name="_DMBM_14754"/>
      <w:r>
        <w:rPr>
          <w:noProof/>
        </w:rPr>
        <w:t>KÄTEISVARAT JA MUUT RAHAVARAT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3"/>
        <w:gridCol w:w="1231"/>
        <w:gridCol w:w="1811"/>
        <w:gridCol w:w="1812"/>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0" w:name="DOC_TBL00033_1_1"/>
            <w:bookmarkEnd w:id="100"/>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Liitetieto</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Tilit valtiokonttoreissa ja keskuspankeissa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12 932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20 078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Käyttötilit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152</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Ennakkomaksutilit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Siirrot (siirrettävinä olevat käteisvarat)</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Talousarvion toteuttamisessa käytettävät pankkitilit</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r>
              <w:rPr>
                <w:i w:val="0"/>
              </w:rPr>
              <w:t>2.8.1</w:t>
            </w: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13 017</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20 236</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Rahoitusvälineisiin liittyvät käteisvarat</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r>
              <w:rPr>
                <w:i w:val="0"/>
              </w:rPr>
              <w:t>2.8.2</w:t>
            </w: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2 377</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1 608</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Sakkoihin liittyvät käteisvarat</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r>
              <w:rPr>
                <w:i w:val="0"/>
              </w:rPr>
              <w:t>2.8.3</w:t>
            </w: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1 438</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1 234</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Muihin toimielimiin, virastoihin ja elimiin liittyvät käteisvarat</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1 167</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999</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Erityisrahastoihin liittyvät käteisvarat</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114</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34</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Yhteensä</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18 113</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24 111</w:t>
            </w:r>
          </w:p>
        </w:tc>
      </w:tr>
    </w:tbl>
    <w:p>
      <w:pPr>
        <w:pStyle w:val="HEADER3NOTES"/>
        <w:rPr>
          <w:noProof/>
        </w:rPr>
      </w:pPr>
      <w:r>
        <w:rPr>
          <w:noProof/>
        </w:rPr>
        <w:t>Talousarvion toteuttamisessa käytettävät pankkitilit</w:t>
      </w:r>
    </w:p>
    <w:p>
      <w:pPr>
        <w:pStyle w:val="DGTextstand-alone"/>
      </w:pPr>
      <w:r>
        <w:t>Tähän kohtaan kuuluvat varat, joita komissio säilyttää jäsenvaltioissa ja Efta-maissa olevilla pankkitileillään (valtiokonttori tai keskuspankki) tai käyttötileillä liikepankeissa, ennakkomaksutileillä tai käteiskassoissa. Kassavarojen määrä vuoden 2018 lopussa johtuu pääasiassa seuraavista syistä:</w:t>
      </w:r>
    </w:p>
    <w:p>
      <w:pPr>
        <w:pStyle w:val="DGTextstand-alone"/>
        <w:numPr>
          <w:ilvl w:val="0"/>
          <w:numId w:val="27"/>
        </w:numPr>
        <w:rPr>
          <w:sz w:val="16"/>
        </w:rPr>
      </w:pPr>
      <w:r>
        <w:t>Omien varojen osalta vuoden lopun saldoon sisältyy 0,75 miljardia euroa joidenkin jäsenvaltioiden ennakkoon maksamia määriä, jotka perustuvat vuonna 2018 hyväksyttyyn lisätalousarvion nro 6.</w:t>
      </w:r>
    </w:p>
    <w:p>
      <w:pPr>
        <w:pStyle w:val="DGTextstand-alone"/>
        <w:numPr>
          <w:ilvl w:val="0"/>
          <w:numId w:val="27"/>
        </w:numPr>
        <w:rPr>
          <w:sz w:val="16"/>
        </w:rPr>
      </w:pPr>
      <w:r>
        <w:t>Vuonna 2018 maksettiin lopullisesti 1,4 miljardia euroa sakkoja, jotka komissio on määrännyt kilpailusääntöjen rikkomisesta ja jotka eivät vielä sisälly yhteenkään lisätalousarvioon. Nämä sakot sisältyvät kassavarojen vuoden lopun saldoon</w:t>
      </w:r>
    </w:p>
    <w:p>
      <w:pPr>
        <w:pStyle w:val="DGTextstand-alone"/>
        <w:numPr>
          <w:ilvl w:val="0"/>
          <w:numId w:val="27"/>
        </w:numPr>
        <w:rPr>
          <w:sz w:val="16"/>
        </w:rPr>
      </w:pPr>
      <w:r>
        <w:t>Kassavaroihin sisältyy myös 7,4 miljardia euroa käyttötarkoitukseensa sidottuja tuloja ja muita maksumäärärahoja.</w:t>
      </w:r>
    </w:p>
    <w:p>
      <w:pPr>
        <w:pStyle w:val="HEADER3NOTES"/>
        <w:rPr>
          <w:noProof/>
        </w:rPr>
      </w:pPr>
      <w:r>
        <w:rPr>
          <w:noProof/>
        </w:rPr>
        <w:t>Rahoitusvälineisiin liittyvät käteisvarat</w:t>
      </w:r>
    </w:p>
    <w:p>
      <w:pPr>
        <w:pStyle w:val="Textstand-alone"/>
      </w:pPr>
      <w:r>
        <w:t xml:space="preserve">Tässä kohdassa esitetyt määrät ovat pääasiassa muita rahavaroja, jotka komissio on antanut ulkopuolisten tahojen hoidettavaksi ja jotka käytetään EU:n talousarviosta rahoitettavien yksittäisten rahoitusvälineohjelmien rahoittamiseen, sekä talousarviotakauksiin liittyvissä takuurahastoissa olevia käteisvaroja ja muita rahavaroja (ks. liitetieto </w:t>
      </w:r>
      <w:r>
        <w:rPr>
          <w:b/>
        </w:rPr>
        <w:t>2.4.1</w:t>
      </w:r>
      <w:r>
        <w:t>). Rahoitusvälineisiin ja takuurahastoihin liittyvät käteisvarat voidaan siis käyttää ainoastaan asianomaisissa ohjelmissa.</w:t>
      </w:r>
    </w:p>
    <w:p>
      <w:pPr>
        <w:pStyle w:val="HEADER3NOTES"/>
        <w:rPr>
          <w:noProof/>
        </w:rPr>
      </w:pPr>
      <w:r>
        <w:rPr>
          <w:noProof/>
        </w:rPr>
        <w:t>Sakkoihin liittyvät käteisvarat</w:t>
      </w:r>
    </w:p>
    <w:p>
      <w:pPr>
        <w:pStyle w:val="Textstand-alone"/>
      </w:pPr>
      <w:r>
        <w:t xml:space="preserve">Nämä käteisvarat sisältävät määrät, jotka komissio on saanut määräämiensä sakkojen perusteella sellaisissa tapauksissa, joissa asian käsittely on vielä kesken. Näitä varoja säilytetään erityisillä talletustileillä, joita ei käytetä muihin tarkoituksiin. Jos toinen osapuoli on hakenut muutosta komission päätökseen tai ei ole tiedossa, haetaanko päätökseen muutosta, sakkoa vastaava määrä esitetään ehdollisena velkana liitetiedossa </w:t>
      </w:r>
      <w:r>
        <w:rPr>
          <w:b/>
        </w:rPr>
        <w:t>4.1.4</w:t>
      </w:r>
      <w:r>
        <w:t>.</w:t>
      </w:r>
    </w:p>
    <w:p>
      <w:pPr>
        <w:pStyle w:val="Textstand-alone"/>
        <w:spacing w:after="0"/>
      </w:pPr>
      <w:r>
        <w:t xml:space="preserve">Vuodesta 2010 komissio on hallinnoinut kaikkia alustavasti maksettuihin sakkoihin liittyviä varoja BUFI-rahastossa. Kyseiset varat sijoitetaan myytävissä oleviksi rahoitusvaroiksi luokiteltuihin rahoitusvälineisiin (ks. liitetieto </w:t>
      </w:r>
      <w:r>
        <w:rPr>
          <w:b/>
        </w:rPr>
        <w:t>2.4.1</w:t>
      </w:r>
      <w:r>
        <w:t>).</w:t>
      </w:r>
    </w:p>
    <w:p>
      <w:pPr>
        <w:pStyle w:val="Textstand-alone"/>
        <w:spacing w:before="0"/>
        <w:sectPr>
          <w:headerReference w:type="even" r:id="rId178"/>
          <w:headerReference w:type="default" r:id="rId179"/>
          <w:footerReference w:type="even" r:id="rId180"/>
          <w:footerReference w:type="default" r:id="rId181"/>
          <w:headerReference w:type="first" r:id="rId182"/>
          <w:footerReference w:type="first" r:id="rId183"/>
          <w:type w:val="continuous"/>
          <w:pgSz w:w="11906" w:h="16838"/>
          <w:pgMar w:top="1134" w:right="1134" w:bottom="1134" w:left="1134" w:header="709" w:footer="709" w:gutter="0"/>
          <w:cols w:space="708"/>
          <w:docGrid w:linePitch="360"/>
        </w:sectPr>
      </w:pPr>
      <w:r>
        <w:t xml:space="preserve"> </w:t>
      </w:r>
      <w:bookmarkEnd w:id="99"/>
    </w:p>
    <w:p>
      <w:pPr>
        <w:pStyle w:val="HEADERTABLE"/>
        <w:spacing w:after="0"/>
        <w:rPr>
          <w:noProof/>
        </w:rPr>
      </w:pPr>
      <w:bookmarkStart w:id="101" w:name="_DMBM_14748"/>
      <w:r>
        <w:rPr>
          <w:noProof/>
        </w:rPr>
        <w:t>VELAT</w:t>
      </w:r>
    </w:p>
    <w:p>
      <w:pPr>
        <w:pStyle w:val="Textstand-alone"/>
        <w:spacing w:before="0" w:after="0"/>
        <w:sectPr>
          <w:headerReference w:type="even" r:id="rId184"/>
          <w:headerReference w:type="default" r:id="rId185"/>
          <w:footerReference w:type="even" r:id="rId186"/>
          <w:footerReference w:type="default" r:id="rId187"/>
          <w:headerReference w:type="first" r:id="rId188"/>
          <w:footerReference w:type="first" r:id="rId189"/>
          <w:pgSz w:w="11906" w:h="16838"/>
          <w:pgMar w:top="1134" w:right="1134" w:bottom="1134" w:left="1134" w:header="709" w:footer="709" w:gutter="0"/>
          <w:cols w:space="708"/>
          <w:docGrid w:linePitch="360"/>
        </w:sectPr>
      </w:pPr>
      <w:r>
        <w:t xml:space="preserve"> </w:t>
      </w:r>
      <w:bookmarkEnd w:id="101"/>
    </w:p>
    <w:p>
      <w:pPr>
        <w:pStyle w:val="HEADER2NOTES"/>
        <w:rPr>
          <w:noProof/>
        </w:rPr>
      </w:pPr>
      <w:bookmarkStart w:id="102" w:name="_DMBM_14770"/>
      <w:r>
        <w:rPr>
          <w:noProof/>
        </w:rPr>
        <w:t>ELÄKKEET JA MUUT TYÖSUHDE-ETUUDET</w:t>
      </w:r>
    </w:p>
    <w:p>
      <w:pPr>
        <w:pStyle w:val="HEADER5"/>
        <w:rPr>
          <w:noProof/>
        </w:rPr>
      </w:pPr>
      <w:r>
        <w:rPr>
          <w:noProof/>
        </w:rPr>
        <w:t>Työsuhde-etuusjärjestelmän nettovelka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1523"/>
        <w:gridCol w:w="1450"/>
        <w:gridCol w:w="1912"/>
        <w:gridCol w:w="1405"/>
        <w:gridCol w:w="1448"/>
      </w:tblGrid>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3" w:name="DOC_TBL00034_1_1"/>
            <w:bookmarkEnd w:id="103"/>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rPr>
          <w:cantSplit/>
        </w:trP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Euroopan unionin virkamiesten eläke</w:t>
            </w:r>
            <w:r>
              <w:rPr>
                <w:noProof/>
              </w:rPr>
              <w:softHyphen/>
              <w:t>järjestelmä</w:t>
            </w:r>
          </w:p>
        </w:tc>
        <w:tc>
          <w:tcPr>
            <w:tcW w:w="1306"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noProof/>
              </w:rPr>
            </w:pPr>
            <w:r>
              <w:rPr>
                <w:noProof/>
              </w:rPr>
              <w:t xml:space="preserve">Muut </w:t>
            </w:r>
          </w:p>
          <w:p>
            <w:pPr>
              <w:pStyle w:val="Heading9pNormalRight025"/>
              <w:rPr>
                <w:noProof/>
              </w:rPr>
            </w:pPr>
            <w:r>
              <w:rPr>
                <w:noProof/>
              </w:rPr>
              <w:t>eläke-etuus-järjestelmät</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Yhteinen sairausvakuutus</w:t>
            </w:r>
            <w:r>
              <w:rPr>
                <w:noProof/>
              </w:rPr>
              <w:softHyphen/>
              <w:t>järjestelmä</w:t>
            </w:r>
          </w:p>
        </w:tc>
        <w:tc>
          <w:tcPr>
            <w:tcW w:w="112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31.12.2018 Yhteensä</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31.12.2017 Yhteensä</w:t>
            </w:r>
          </w:p>
        </w:tc>
      </w:tr>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Etuuspohjaiset velvoitteet</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70 017</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1 865</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8 990</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80 871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73 560</w:t>
            </w:r>
          </w:p>
        </w:tc>
      </w:tr>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Järjestelmän varat</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(119)</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(296)</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(415)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(438)</w:t>
            </w:r>
          </w:p>
        </w:tc>
      </w:tr>
      <w:tr>
        <w:trPr>
          <w:cantSplit/>
        </w:trPr>
        <w:tc>
          <w:tcPr>
            <w:tcW w:w="321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Nettovelka</w:t>
            </w:r>
          </w:p>
        </w:tc>
        <w:tc>
          <w:tcPr>
            <w:tcW w:w="127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70 017</w:t>
            </w:r>
          </w:p>
        </w:tc>
        <w:tc>
          <w:tcPr>
            <w:tcW w:w="130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1 746</w:t>
            </w:r>
          </w:p>
        </w:tc>
        <w:tc>
          <w:tcPr>
            <w:tcW w:w="127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8 694</w:t>
            </w:r>
          </w:p>
        </w:tc>
        <w:tc>
          <w:tcPr>
            <w:tcW w:w="112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80 456</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73 122</w:t>
            </w:r>
          </w:p>
        </w:tc>
      </w:tr>
    </w:tbl>
    <w:p>
      <w:pPr>
        <w:pStyle w:val="DGTextstand-alone"/>
      </w:pPr>
      <w:r>
        <w:t>Työsuhde-etuuksiin liittyvän velan kasvu johtuu pääasiassa Euroopan unionin virkamiesten eläkejärjestelmän nettovelan kasvusta. Vuoden aikana työsuoritusten ansiosta karttuneet oikeudet ovat suuremmat kuin vuoden aikana maksetut etuudet. Lisäksi tähän vaikuttavat vuotuiset korkomenot (vastuiden diskonttauksen purkaminen) ja kokemusperäiset vakuutusmatemaattiset tappiot, joista merkittävä määrä liittyy liitetiedossa </w:t>
      </w:r>
      <w:r>
        <w:rPr>
          <w:b/>
        </w:rPr>
        <w:t>2.9.1</w:t>
      </w:r>
      <w:r>
        <w:t xml:space="preserve"> mainittuun parannukseen.</w:t>
      </w:r>
    </w:p>
    <w:p>
      <w:pPr>
        <w:pStyle w:val="HEADER3NOTES"/>
        <w:rPr>
          <w:noProof/>
        </w:rPr>
      </w:pPr>
      <w:r>
        <w:rPr>
          <w:noProof/>
        </w:rPr>
        <w:t>Euroopan unionin virkamiesten eläkejärjestelmä</w:t>
      </w:r>
    </w:p>
    <w:p>
      <w:pPr>
        <w:pStyle w:val="DGTextstand-alone"/>
      </w:pPr>
      <w:r>
        <w:t>Tämä etuuspohjainen velvoite on tarkasteltavana olevan kauden ja aikaisempien kausien työsuorituksiin perustuvien, eläkevelvoitteiden täyttämiseksi EU:lta vaadittavien odotettavissa olevien vastaisten maksujen nykyarvo. Järjestelmä on jatkuva, ja siksi kaikki järjestelmästä vuoden aikana vaaditut maksut sisällytetään EU:n talousarvioon vuosittain.</w:t>
      </w:r>
    </w:p>
    <w:p>
      <w:pPr>
        <w:pStyle w:val="DGTextstand-alone"/>
      </w:pPr>
      <w:r>
        <w:t xml:space="preserve">Henkilöstösääntöjen 83 artiklan mukaan eläkejärjestelmän mukaiset etuudet maksetaan EU:n talousarviosta. Järjestelmä on laskennallisesti rahoitettu, ja jäsenvaltiot ovat sitoutuneet yhdessä rahoittamaan kyseiset etuudet. Lisäksi työelämässä olevien jäsenten peruspalkasta vähennetään pakollinen eläkemaksu, joka on nykyään 10,0 prosenttia. Nämä maksuosuudet ovat varainhoitovuoden talousarviotuloja, joilla rahoitetaan osaltaan EU:n yleisiä menoja – ks. myös liitetieto </w:t>
      </w:r>
      <w:r>
        <w:rPr>
          <w:b/>
        </w:rPr>
        <w:t>3.6</w:t>
      </w:r>
      <w:r>
        <w:t>.</w:t>
      </w:r>
    </w:p>
    <w:p>
      <w:pPr>
        <w:pStyle w:val="DGTextstand-alone"/>
      </w:pPr>
      <w:r>
        <w:t>Eläkejärjestelmän vastuita arvioitiin 31. joulukuuta 2018 henkilöstön ja eläkkeellä olevan henkilöstön määrän sekä kyseisenä päivänä voimassa olleiden henkilöstösääntöjen perusteella. Arviointi tehtiin kansainvälisen tilinpäätösstandardin IPSAS 39 (ja näin ollen myös EU:n tilinpäätössäännön nro 12) mukaisesti. Kuten jo vuoden 2017 tilinpäätöksessä todettiin, komission asiasta vastaavat yksiköt ovat toteuttaneet toimia, joilla tehostetaan tiedonkeruumenetelmiä sekä parannetaan oletuksia ja laskentamenetelmiä. Yksi tämän työn tuloksista on ollut perheenjäsenten eläkkeisiin (eli tapaukset, joissa järjestelmän jäsen on menehtynyt) liittyvän vastuun aiempaa tarkempi arviointi, jossa sovelletaan ajantasaisinta vakuutusmatemaattista käytäntöä. Tämän parannetun menetelmän käyttö kasvattaa vuoden 2018 vastuuta 2,1 miljardilla eurolla. Jos tätä menetelmää olisi käytetty vuonna 2017, kyseinen vastuu olisi ollut 2,3 miljardia euroa suurempi kuin aiemmalla menetelmällä määritetty vastuu.</w:t>
      </w:r>
    </w:p>
    <w:p>
      <w:pPr>
        <w:pStyle w:val="HEADER3NOTES"/>
        <w:rPr>
          <w:noProof/>
        </w:rPr>
      </w:pPr>
      <w:r>
        <w:rPr>
          <w:noProof/>
        </w:rPr>
        <w:t>Muut eläke-etuusjärjestelmät</w:t>
      </w:r>
    </w:p>
    <w:p>
      <w:pPr>
        <w:pStyle w:val="DGTextstand-alone"/>
      </w:pPr>
      <w:r>
        <w:t>Tämä kohta sisältää komission, unionin tuomioistuimen (ja yleisen tuomioistuimen) ja tilintarkastustuomioistuimen nykyisten ja entisten jäsenten sekä neuvoston, Euroopan oikeusasiamiesten, Euroopan tietosuojavaltuutettujen ja Euroopan unionin virkamiestuomioistuimen jäsenten eläkevastuut. Tähän kohtaan on sisällytetty myös Euroopan parlamentin jäsenten eläkevastuut.</w:t>
      </w:r>
    </w:p>
    <w:p>
      <w:pPr>
        <w:pStyle w:val="HEADER3NOTES"/>
        <w:rPr>
          <w:noProof/>
        </w:rPr>
      </w:pPr>
      <w:r>
        <w:rPr>
          <w:noProof/>
        </w:rPr>
        <w:t>Yhteinen sairausvakuutusjärjestelmä</w:t>
      </w:r>
    </w:p>
    <w:p>
      <w:pPr>
        <w:pStyle w:val="DGTextstand-alone"/>
      </w:pPr>
      <w:r>
        <w:t>Edellä mainittujen eläke-etuusjärjestelmien lisäksi määritetään arvioitu vastuu, joka EU:lla on yhteisessä sairausvakuutusjärjestelmässä (JSIS) terveydenhuollon kustannuksista, jotka on maksettava työsuhteen jälkeiseltä ajalta (vähennettynä työntekijöiden omalla maksuosuudellaan). Kuten liitetiedossa </w:t>
      </w:r>
      <w:r>
        <w:rPr>
          <w:b/>
        </w:rPr>
        <w:t>1.5.10</w:t>
      </w:r>
      <w:r>
        <w:t xml:space="preserve"> todetaan, tämän vastuun laskennassa otetaan huomioon koko aktiivinen palveluksessaoloaika. Näin varmistetaan, että henkilöstön työsuhteen päättymisen jälkeiseen järjestelmään kuuluvat eläke- ja sairausvakuutusjärjestelmät kirjataan johdonmukaisesti. Sekä EU:n tilinpäätössääntöjen että IPSAS-standardien mukaan velvollisuutena on kuvata todenmukaisesti asianomaisen tilanteen taloudellista sisältöä. Siksi IPSAS 39 </w:t>
      </w:r>
      <w:r>
        <w:noBreakHyphen/>
        <w:t>standardia ei ole tulkittu tiukemmin määritettäessä palveluksessaoloaikojen etuuksia. Jos JSIS-järjestelmän rahoituskustannus kertyisi täysimääräisesti 10 vuoden aikana kaikille virkamiehille eikä työntekijän aktiivisen palveluksessaoloajan perusteella, kyseistä menetelmää käyttämällä etuuspohjaiset velvoitteet olisivat vuoden lopussa 3 miljardia euroa suuremmat. Kuten jo kuitenkin todettiin, tämä tiukempi lähestymistapa ei olisi yhteensopiva todenmukaisen kuvan antamista koskevan laadullisen ominaisuuden kanssa. Siksi sen ei katsota tarjoavan luotettavaa tietoa EU:n tilinpäätössäännön nro 1 ja IPSAS-standardien käsitteellisen viitekehyksen mukaisesti. Arvio on erityisen herkkä nykyisen henkilöstön hallinnollisen aseman muutoksille (erityisesti tämä koskee niiden määräaikaisten työntekijöiden määrää, joista odotetaan tulevan virkamiehiä tulevaisuudessa).</w:t>
      </w:r>
    </w:p>
    <w:p>
      <w:pPr>
        <w:pStyle w:val="HEADER5"/>
        <w:rPr>
          <w:b/>
          <w:noProof/>
        </w:rPr>
      </w:pPr>
      <w:r>
        <w:rPr>
          <w:noProof/>
        </w:rPr>
        <w:t>Työntekijöiden etuuspohjaisesta järjestelystä johtuvan velvoitteen nykyarvon muutos</w:t>
      </w:r>
    </w:p>
    <w:p>
      <w:pPr>
        <w:pStyle w:val="DGTextstand-alone"/>
      </w:pPr>
      <w:r>
        <w:t xml:space="preserve">Etuuspohjaisen velvoitteen nykyarvo on tarkasteltavana olevan kauden ja aikaisempien kausien työsuorituksiin perustuvan velvoitteen täyttämiseksi vaadittavien, odotettavissa olevien vastaisten maksujen diskontattu arvo.  </w:t>
      </w:r>
    </w:p>
    <w:p>
      <w:pPr>
        <w:pStyle w:val="DGTextstand-alone"/>
      </w:pPr>
      <w:r>
        <w:t>Seuraavassa analysoidaan etuuspohjaisen velvoitteen muutosta varainhoitovuonna: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4" w:name="DOC_TBL00035_1_1"/>
            <w:bookmarkEnd w:id="104"/>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rPr>
          <w:cantSplit/>
        </w:trP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jc w:val="right"/>
              <w:rPr>
                <w:rFonts w:eastAsia="Verdana" w:cs="Verdana"/>
              </w:rPr>
            </w:pPr>
            <w:r>
              <w:t>Euroopan unionin virkamiesten eläke</w:t>
            </w:r>
            <w:r>
              <w:softHyphen/>
              <w:t xml:space="preserve">järjestelmä </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jc w:val="right"/>
            </w:pPr>
            <w:r>
              <w:t xml:space="preserve">Muut </w:t>
            </w:r>
          </w:p>
          <w:p>
            <w:pPr>
              <w:pStyle w:val="Heading-9pNormalCentered"/>
              <w:jc w:val="right"/>
            </w:pPr>
            <w:r>
              <w:t>eläke-</w:t>
            </w:r>
          </w:p>
          <w:p>
            <w:pPr>
              <w:pStyle w:val="Heading-9pNormalCentered"/>
              <w:jc w:val="right"/>
              <w:rPr>
                <w:rFonts w:eastAsia="Verdana" w:cs="Verdana"/>
              </w:rPr>
            </w:pPr>
            <w:r>
              <w:t>etuus-järjestelmät</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jc w:val="right"/>
              <w:rPr>
                <w:rFonts w:eastAsia="Verdana" w:cs="Verdana"/>
              </w:rPr>
            </w:pPr>
            <w:r>
              <w:t>Yhteinen sairaus</w:t>
            </w:r>
            <w:r>
              <w:softHyphen/>
              <w:t>vakuutus</w:t>
            </w:r>
            <w:r>
              <w:softHyphen/>
              <w:t>järjestelmä</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jc w:val="right"/>
              <w:rPr>
                <w:rFonts w:eastAsia="Verdana" w:cs="Verdana"/>
              </w:rPr>
            </w:pPr>
            <w:r>
              <w:t>Yhteensä</w:t>
            </w:r>
          </w:p>
        </w:tc>
      </w:tr>
      <w:tr>
        <w:trPr>
          <w:cantSplit/>
        </w:trPr>
        <w:tc>
          <w:tcPr>
            <w:tcW w:w="3794"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Nykyarvo 31.12.2017</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63 951</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1 854</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7 756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73 560</w:t>
            </w:r>
          </w:p>
        </w:tc>
      </w:tr>
      <w:tr>
        <w:trPr>
          <w:cantSplit/>
        </w:trPr>
        <w:tc>
          <w:tcPr>
            <w:tcW w:w="379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Kirjattu tuotto- ja kululaskelmaan</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Kauden työsuoritukseen perustuva meno</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2 716</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270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3 074</w:t>
            </w: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Korkomenot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1 215</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1 402</w:t>
            </w: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Kirjattu nettovaroihin</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Työsuhde-etuuksiin liittyvien velkojen uudelleenarvostukset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ind w:left="200"/>
              <w:rPr>
                <w:rFonts w:eastAsia="Verdana" w:cs="Verdana"/>
                <w:i/>
              </w:rPr>
            </w:pPr>
            <w:r>
              <w:rPr>
                <w:i/>
              </w:rPr>
              <w:t>Kokemusperäiset vakuutusmatemaattiset (voitot)/tappiot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3 380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3 369</w:t>
            </w: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ind w:left="200"/>
              <w:rPr>
                <w:rFonts w:eastAsia="Verdana" w:cs="Verdana"/>
                <w:i/>
              </w:rPr>
            </w:pPr>
            <w:r>
              <w:rPr>
                <w:i/>
              </w:rPr>
              <w:t>Demografisista oletuksista johtuvat vakuutusmatemaattiset (voitot)/tappiot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w:t>
            </w: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ind w:left="200"/>
              <w:rPr>
                <w:rFonts w:eastAsia="Verdana" w:cs="Verdana"/>
                <w:i/>
              </w:rPr>
            </w:pPr>
            <w:r>
              <w:rPr>
                <w:i/>
              </w:rPr>
              <w:t>Rahoitusta koskevista oletuksista johtuvat vakuutusmatemaattiset (voitot)/tappiot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251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901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1 115</w:t>
            </w: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Muut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r>
      <w:tr>
        <w:trPr>
          <w:cantSplit/>
        </w:trPr>
        <w:tc>
          <w:tcPr>
            <w:tcW w:w="3794"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Maksetut etuudet</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(1 496)</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(1 650)</w:t>
            </w:r>
          </w:p>
        </w:tc>
      </w:tr>
      <w:tr>
        <w:trPr>
          <w:cantSplit/>
        </w:trPr>
        <w:tc>
          <w:tcPr>
            <w:tcW w:w="379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Nykyarvo 31.12.2018</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70 017</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1 865</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8 990</w:t>
            </w: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80 872</w:t>
            </w:r>
          </w:p>
        </w:tc>
      </w:tr>
    </w:tbl>
    <w:p>
      <w:pPr>
        <w:pStyle w:val="HEADER5"/>
        <w:rPr>
          <w:rFonts w:eastAsia="Calibri"/>
          <w:noProof/>
          <w:color w:val="auto"/>
        </w:rPr>
      </w:pPr>
    </w:p>
    <w:p>
      <w:pPr>
        <w:pStyle w:val="DGTextstand-alone"/>
      </w:pPr>
      <w:r>
        <w:t xml:space="preserve">Kauden työsuoritukseen perustuvat menot muodostuvat etuuspohjaisen velvoitteen nykyarvon kasvusta, joka johtuu järjestelmän nykyisten jäsenten työsuorituksesta kauden aikana. </w:t>
      </w:r>
    </w:p>
    <w:p>
      <w:pPr>
        <w:pStyle w:val="DGTextstand-alone"/>
      </w:pPr>
      <w:r>
        <w:t xml:space="preserve">Korkomenoilla tarkoitetaan korkomenoja, jotka muodostuvat etuuspohjaisen velvoitteen nykyarvon kasvusta varainhoitovuoden aikana, koska etuuksien suorittaminen on yhtä kautta lähempänä. </w:t>
      </w:r>
    </w:p>
    <w:p>
      <w:pPr>
        <w:pStyle w:val="DGTextstand-alone"/>
      </w:pPr>
      <w:r>
        <w:t>Kokemusperäiset vakuutusmatemaattiset voitot ja tappiot viittaavat vuotta 2018 koskevien edellisten vakuutusmatemaattisten oletusten ja vuoden 2018 toteutumien välisten erojen vaikutuksiin. Tämä määrä sisältää liitetiedossa </w:t>
      </w:r>
      <w:r>
        <w:rPr>
          <w:b/>
        </w:rPr>
        <w:t>2.9.1</w:t>
      </w:r>
      <w:r>
        <w:t xml:space="preserve"> mainitun parannuksen.</w:t>
      </w:r>
      <w:r>
        <w:rPr>
          <w:b/>
        </w:rPr>
        <w:t xml:space="preserve"> </w:t>
      </w:r>
    </w:p>
    <w:p>
      <w:pPr>
        <w:pStyle w:val="DGTextstand-alone"/>
      </w:pPr>
      <w:r>
        <w:t xml:space="preserve">Vakuutusmatemaattisista oletuksista (demografiset ja taloudelliset, kuten diskonttokorot ja ennustetut palkankorotukset) johtuvia vakuutusmatemaattisia voittoja ja tappioita aiheutuu, kun näitä oletuksia päivitetään, jotta ne vastaavat muutoksia niiden perustana olevassa tilanteessa. </w:t>
      </w:r>
    </w:p>
    <w:p>
      <w:pPr>
        <w:pStyle w:val="DGTextstand-alone"/>
      </w:pPr>
      <w:r>
        <w:t>Etuudet (esimerkiksi eläkkeet tai terveydenhoitomenojen korvaukset) maksetaan vuoden aikana järjestelmän sääntöjen mukaisesti. Näiden maksettujen etuuksien vuoksi etuuspohjaisesta järjestelystä johtuva velvoite väheni.</w:t>
      </w:r>
    </w:p>
    <w:p>
      <w:pPr>
        <w:pStyle w:val="HEADER5"/>
        <w:rPr>
          <w:noProof/>
        </w:rPr>
      </w:pPr>
      <w:r>
        <w:rPr>
          <w:noProof/>
        </w:rPr>
        <w:t>Järjestelmän varat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2450"/>
        <w:gridCol w:w="3127"/>
        <w:gridCol w:w="1384"/>
      </w:tblGrid>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5" w:name="DOC_TBL00036_1_1"/>
            <w:bookmarkEnd w:id="105"/>
          </w:p>
        </w:tc>
        <w:tc>
          <w:tcPr>
            <w:tcW w:w="2551" w:type="dxa"/>
            <w:tcBorders>
              <w:top w:val="nil"/>
              <w:left w:val="nil"/>
              <w:bottom w:val="nil"/>
              <w:right w:val="nil"/>
            </w:tcBorders>
            <w:shd w:val="clear" w:color="auto" w:fill="auto"/>
            <w:tcMar>
              <w:top w:w="0" w:type="dxa"/>
              <w:left w:w="108" w:type="dxa"/>
              <w:bottom w:w="0" w:type="dxa"/>
              <w:right w:w="108" w:type="dxa"/>
            </w:tcMar>
          </w:tcPr>
          <w:p>
            <w:pPr>
              <w:rPr>
                <w:noProof/>
              </w:rPr>
            </w:pPr>
          </w:p>
        </w:tc>
        <w:tc>
          <w:tcPr>
            <w:tcW w:w="2552" w:type="dxa"/>
            <w:tcBorders>
              <w:top w:val="nil"/>
              <w:left w:val="nil"/>
              <w:bottom w:val="nil"/>
              <w:right w:val="nil"/>
            </w:tcBorders>
            <w:shd w:val="clear" w:color="auto" w:fill="auto"/>
            <w:tcMar>
              <w:top w:w="0" w:type="dxa"/>
              <w:left w:w="108" w:type="dxa"/>
              <w:bottom w:w="0" w:type="dxa"/>
              <w:right w:w="108" w:type="dxa"/>
            </w:tcMar>
          </w:tcPr>
          <w:p>
            <w:pPr>
              <w:rPr>
                <w:noProof/>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rPr>
          <w:cantSplit/>
        </w:trPr>
        <w:tc>
          <w:tcPr>
            <w:tcW w:w="322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55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Muut eläke-etuusjärjestelmät</w:t>
            </w:r>
          </w:p>
        </w:tc>
        <w:tc>
          <w:tcPr>
            <w:tcW w:w="255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Yhteinen sairausvakuutusjärjestelmä</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Yhteensä</w:t>
            </w:r>
          </w:p>
        </w:tc>
      </w:tr>
      <w:tr>
        <w:trPr>
          <w:cantSplit/>
        </w:trP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Nykyarvo 31.12.2017</w:t>
            </w:r>
          </w:p>
        </w:tc>
        <w:tc>
          <w:tcPr>
            <w:tcW w:w="25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137</w:t>
            </w:r>
          </w:p>
        </w:tc>
        <w:tc>
          <w:tcPr>
            <w:tcW w:w="255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301</w:t>
            </w:r>
          </w:p>
        </w:tc>
        <w:tc>
          <w:tcPr>
            <w:tcW w:w="141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438</w:t>
            </w:r>
          </w:p>
        </w:tc>
      </w:tr>
      <w:tr>
        <w:trPr>
          <w:cantSplit/>
        </w:trPr>
        <w:tc>
          <w:tcPr>
            <w:tcW w:w="3227"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Järjestelmän varojen nettomuutos</w:t>
            </w:r>
          </w:p>
        </w:tc>
        <w:tc>
          <w:tcPr>
            <w:tcW w:w="2551"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w:t>
            </w:r>
          </w:p>
        </w:tc>
        <w:tc>
          <w:tcPr>
            <w:tcW w:w="2552"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417"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r>
      <w:tr>
        <w:trPr>
          <w:cantSplit/>
        </w:trPr>
        <w:tc>
          <w:tcPr>
            <w:tcW w:w="322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Nykyarvo 31.12.2018</w:t>
            </w:r>
          </w:p>
        </w:tc>
        <w:tc>
          <w:tcPr>
            <w:tcW w:w="25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119</w:t>
            </w:r>
          </w:p>
        </w:tc>
        <w:tc>
          <w:tcPr>
            <w:tcW w:w="255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296</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415</w:t>
            </w:r>
          </w:p>
        </w:tc>
      </w:tr>
      <w:tr>
        <w:trPr>
          <w:cantSplit/>
        </w:trPr>
        <w:tc>
          <w:tcPr>
            <w:tcW w:w="322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5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255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HEADER5"/>
        <w:rPr>
          <w:noProof/>
        </w:rPr>
      </w:pPr>
    </w:p>
    <w:p>
      <w:pPr>
        <w:pStyle w:val="HEADER5"/>
        <w:rPr>
          <w:noProof/>
        </w:rPr>
      </w:pPr>
      <w:r>
        <w:rPr>
          <w:noProof/>
        </w:rPr>
        <w:t>Vakuutusmatemaattiset oletukset – Työsuhde-etuudet</w:t>
      </w:r>
    </w:p>
    <w:p>
      <w:pPr>
        <w:pStyle w:val="DGTextstand-alone"/>
      </w:pPr>
      <w:r>
        <w:t>Seuraavassa esitetään tärkeimmät vakuutusmatemaattiset oletukset, joita käytetään määritettäessä EU:n kahden tärkeimmän työsuhde-etuusjärjestelmän arvoa.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1"/>
        <w:gridCol w:w="2123"/>
        <w:gridCol w:w="2084"/>
      </w:tblGrid>
      <w:tr>
        <w:trPr>
          <w:cantSplit/>
        </w:trP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bookmarkStart w:id="106" w:name="DOC_TBL00037_1_1"/>
            <w:bookmarkEnd w:id="106"/>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Euroopan unionin virkamiesten eläkejärjestelmä</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Yhteinen sairausvakuutus-järjestelmä</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2018</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Nimellinen diskonttokorko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1,9 %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Ennustettu inflaatiovauhti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1,4 %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Reaalinen diskonttokorko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0,5 %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0,5 %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Palkankorotusten ennustettu taso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1,9 %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1,8 %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Terveydenhoitomenojen kehityssuunnat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w:t>
            </w:r>
          </w:p>
        </w:tc>
      </w:tr>
      <w:tr>
        <w:trPr>
          <w:cantSplit/>
        </w:trPr>
        <w:tc>
          <w:tcPr>
            <w:tcW w:w="563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Eläkeikä</w:t>
            </w:r>
          </w:p>
        </w:tc>
        <w:tc>
          <w:tcPr>
            <w:tcW w:w="2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c>
          <w:tcPr>
            <w:tcW w:w="198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r>
      <w:tr>
        <w:trPr>
          <w:cantSplit/>
        </w:trP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2017</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Nimellinen diskonttokorko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1,9 %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Ennustettu inflaatiovauhti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Reaalinen diskonttokorko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0,4 %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0,4 %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Palkankorotusten ennustettu taso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1,8 %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Terveydenhoitomenojen kehityssuunnat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Eläkeikä</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r>
    </w:tbl>
    <w:p>
      <w:pPr>
        <w:pStyle w:val="DGTextstand-alone"/>
      </w:pPr>
      <w:r>
        <w:t>Kuolleisuus vuosina 2017 ja 2018 perustuu EU:n virkamiesten elinaikataulukkoon – EULT 2018.</w:t>
      </w:r>
    </w:p>
    <w:p>
      <w:pPr>
        <w:pStyle w:val="DGTextstand-alone"/>
      </w:pPr>
      <w:r>
        <w:t>Nimellinen diskonttokorko on määritetty euromääräisten nollakorkoisten joukkovelkakirjalainojen arvon mukaan (maturiteetti on 20 vuotta joulukuusta 2018 unionin virkamiesten eläkejärjestelmässä ja 25 vuotta yhteisessä sairausvakuutusjärjestelmässä). Inflaatiovauhti on ennustettu inflaatiovauhti vastaavan ajanjakson aikana. Se on määritettävä empiirisesti käyttäen perustana eurooppalaisten rahoitusmarkkinoiden indeksisidonnaisiin joukkovelkakirjalainoihin pohjautuvia arvioita. Reaalisen diskonttokoron laskennassa käytetään nimellistä diskonttokorkoa ja ennustettua pitkän aikavälin inflaatiovauhtia.</w:t>
      </w:r>
    </w:p>
    <w:p>
      <w:pPr>
        <w:pStyle w:val="DGTextstand-alone"/>
        <w:rPr>
          <w:rFonts w:eastAsia="Times New Roman"/>
          <w:color w:val="016794"/>
        </w:rPr>
      </w:pPr>
      <w:r>
        <w:rPr>
          <w:color w:val="016794"/>
        </w:rPr>
        <w:t xml:space="preserve">Herkkyysanalyysit </w:t>
      </w:r>
    </w:p>
    <w:p>
      <w:pPr>
        <w:pStyle w:val="DGTextstand-alone"/>
      </w:pPr>
      <w:r>
        <w:t>Herkkyysanalyysi perustuu simulaatioihin, joissa muutetaan kyseisten oletusten arvoa (jos tilanne muuten pysyy samanlaisena) ja seurataan, miten malli reagoi muutoksiin.</w:t>
      </w:r>
    </w:p>
    <w:p>
      <w:pPr>
        <w:rPr>
          <w:rFonts w:ascii="Verdana" w:eastAsia="Calibri" w:hAnsi="Verdana"/>
          <w:noProof/>
          <w:sz w:val="18"/>
          <w:szCs w:val="18"/>
          <w:bdr w:val="nil"/>
        </w:rPr>
      </w:pPr>
      <w:r>
        <w:rPr>
          <w:noProof/>
        </w:rPr>
        <w:br w:type="page"/>
      </w:r>
    </w:p>
    <w:p>
      <w:pPr>
        <w:pStyle w:val="DGTextstand-alone"/>
        <w:rPr>
          <w:rFonts w:eastAsia="Times New Roman"/>
          <w:color w:val="016794"/>
        </w:rPr>
      </w:pPr>
      <w:r>
        <w:rPr>
          <w:color w:val="016794"/>
        </w:rPr>
        <w:t>Yhteisen sairausvakuutusjärjestelmän herkkyys muutoksille</w:t>
      </w:r>
    </w:p>
    <w:p>
      <w:pPr>
        <w:pStyle w:val="DGTextstand-alone"/>
      </w:pPr>
      <w:r>
        <w:t>Kymmenen peruspisteen muutoksella terveydenhuoltomenojen ennustetussa kehityksessä olisi seuraavat vaikutukset: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630"/>
        <w:gridCol w:w="1630"/>
        <w:gridCol w:w="1630"/>
        <w:gridCol w:w="1630"/>
      </w:tblGrid>
      <w:tr>
        <w:tc>
          <w:tcPr>
            <w:tcW w:w="3227" w:type="dxa"/>
            <w:tcBorders>
              <w:top w:val="nil"/>
              <w:left w:val="nil"/>
              <w:bottom w:val="nil"/>
              <w:right w:val="nil"/>
            </w:tcBorders>
            <w:shd w:val="clear" w:color="auto" w:fill="auto"/>
            <w:tcMar>
              <w:top w:w="0" w:type="dxa"/>
              <w:left w:w="108" w:type="dxa"/>
              <w:bottom w:w="0" w:type="dxa"/>
              <w:right w:w="108" w:type="dxa"/>
            </w:tcMar>
            <w:vAlign w:val="bottom"/>
          </w:tcPr>
          <w:p>
            <w:pPr>
              <w:pStyle w:val="Text8pItalicLeft"/>
              <w:jc w:val="right"/>
              <w:rPr>
                <w:rFonts w:eastAsia="Verdana" w:cs="Verdana"/>
                <w:color w:val="FFFFFF"/>
              </w:rPr>
            </w:pPr>
            <w:bookmarkStart w:id="107" w:name="DOC_TBL00038_1_1"/>
            <w:bookmarkEnd w:id="107"/>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pStyle w:val="Text8pItalicRight025EUR"/>
              <w:rPr>
                <w:rFonts w:eastAsia="Verdana" w:cs="Verdana"/>
              </w:rPr>
            </w:pPr>
            <w:r>
              <w:t>milj. euroa</w:t>
            </w:r>
          </w:p>
        </w:tc>
      </w:tr>
      <w:tr>
        <w:tc>
          <w:tcPr>
            <w:tcW w:w="322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3260"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2018</w:t>
            </w:r>
          </w:p>
        </w:tc>
        <w:tc>
          <w:tcPr>
            <w:tcW w:w="3260"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2017</w:t>
            </w:r>
          </w:p>
        </w:tc>
      </w:tr>
      <w:tr>
        <w:tc>
          <w:tcPr>
            <w:tcW w:w="322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jc w:val="right"/>
              <w:rPr>
                <w:rFonts w:eastAsia="Verdana" w:cs="Verdana"/>
              </w:rPr>
            </w:pP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 xml:space="preserve">Kasvu </w:t>
            </w:r>
            <w:r>
              <w:br/>
              <w:t>0,1 %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Väheneminen 0,1 %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 xml:space="preserve">Kasvu </w:t>
            </w:r>
            <w:r>
              <w:br/>
              <w:t>0,1 %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Väheneminen 0,1 %</w:t>
            </w:r>
          </w:p>
        </w:tc>
      </w:tr>
      <w:t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Kauden nettomääräiset työsuhteen jälkeiset terveydenhoitomenot: työsuoritukseen perustuvien menojen ja korkomenojen yhteismäärä</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r>
      <w:t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Etuuspohjainen velvoite</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253</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(246)</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220</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(213)</w:t>
            </w:r>
          </w:p>
        </w:tc>
      </w:tr>
    </w:tbl>
    <w:p>
      <w:pPr>
        <w:pStyle w:val="DGTextstand-alone"/>
      </w:pPr>
      <w:r>
        <w:t>Kymmenen peruspisteen (0,1 prosentin) muutoksella arvioidussa diskonttokorossa olisi seuraavat vaikutukset: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630"/>
        <w:gridCol w:w="1630"/>
        <w:gridCol w:w="1630"/>
        <w:gridCol w:w="1630"/>
      </w:tblGrid>
      <w:tr>
        <w:tc>
          <w:tcPr>
            <w:tcW w:w="3227" w:type="dxa"/>
            <w:tcBorders>
              <w:top w:val="nil"/>
              <w:left w:val="nil"/>
              <w:bottom w:val="nil"/>
              <w:right w:val="nil"/>
            </w:tcBorders>
            <w:shd w:val="clear" w:color="auto" w:fill="auto"/>
            <w:tcMar>
              <w:top w:w="0" w:type="dxa"/>
              <w:left w:w="108" w:type="dxa"/>
              <w:bottom w:w="0" w:type="dxa"/>
              <w:right w:w="108" w:type="dxa"/>
            </w:tcMar>
            <w:vAlign w:val="bottom"/>
          </w:tcPr>
          <w:p>
            <w:pPr>
              <w:pStyle w:val="Text8pItalicLeft"/>
              <w:jc w:val="right"/>
              <w:rPr>
                <w:rFonts w:eastAsia="Verdana" w:cs="Verdana"/>
                <w:color w:val="FFFFFF"/>
              </w:rPr>
            </w:pPr>
            <w:bookmarkStart w:id="108" w:name="DOC_TBL00039_1_1"/>
            <w:bookmarkEnd w:id="108"/>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pStyle w:val="Text8pItalicRight025EUR"/>
              <w:rPr>
                <w:rFonts w:eastAsia="Verdana" w:cs="Verdana"/>
              </w:rPr>
            </w:pPr>
            <w:r>
              <w:t>milj. euroa</w:t>
            </w:r>
          </w:p>
        </w:tc>
      </w:tr>
      <w:tr>
        <w:tc>
          <w:tcPr>
            <w:tcW w:w="322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3260"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2018</w:t>
            </w:r>
          </w:p>
        </w:tc>
        <w:tc>
          <w:tcPr>
            <w:tcW w:w="3260"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2017</w:t>
            </w:r>
          </w:p>
        </w:tc>
      </w:tr>
      <w:tr>
        <w:tc>
          <w:tcPr>
            <w:tcW w:w="322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 xml:space="preserve">Kasvu </w:t>
            </w:r>
            <w:r>
              <w:br/>
              <w:t>0,1 %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Väheneminen 0,1 %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 xml:space="preserve">Kasvu </w:t>
            </w:r>
            <w:r>
              <w:br/>
              <w:t>0,1 %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Väheneminen 0,1 %</w:t>
            </w:r>
          </w:p>
        </w:tc>
      </w:tr>
      <w:t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Etuuspohjainen velvoite</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(219)</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226</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(188)</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194</w:t>
            </w:r>
          </w:p>
        </w:tc>
      </w:tr>
    </w:tbl>
    <w:p>
      <w:pPr>
        <w:pStyle w:val="DGTextstand-alone"/>
      </w:pPr>
      <w:r>
        <w:t>Kymmenen peruspisteen (0,1 prosentin) muutoksella ennustetuissa palkankorotuksissa olisi seuraavat vaikutukset: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630"/>
        <w:gridCol w:w="1630"/>
        <w:gridCol w:w="1630"/>
        <w:gridCol w:w="1630"/>
      </w:tblGrid>
      <w:tr>
        <w:tc>
          <w:tcPr>
            <w:tcW w:w="3227" w:type="dxa"/>
            <w:tcBorders>
              <w:top w:val="nil"/>
              <w:left w:val="nil"/>
              <w:bottom w:val="nil"/>
              <w:right w:val="nil"/>
            </w:tcBorders>
            <w:shd w:val="clear" w:color="auto" w:fill="auto"/>
            <w:tcMar>
              <w:top w:w="0" w:type="dxa"/>
              <w:left w:w="108" w:type="dxa"/>
              <w:bottom w:w="0" w:type="dxa"/>
              <w:right w:w="108" w:type="dxa"/>
            </w:tcMar>
            <w:vAlign w:val="bottom"/>
          </w:tcPr>
          <w:p>
            <w:pPr>
              <w:pStyle w:val="Text8pItalicLeft"/>
              <w:jc w:val="right"/>
              <w:rPr>
                <w:rFonts w:eastAsia="Verdana" w:cs="Verdana"/>
                <w:color w:val="FFFFFF"/>
              </w:rPr>
            </w:pPr>
            <w:bookmarkStart w:id="109" w:name="DOC_TBL00040_1_1"/>
            <w:bookmarkEnd w:id="109"/>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pStyle w:val="Text8pItalicRight025EUR"/>
              <w:rPr>
                <w:rFonts w:eastAsia="Verdana" w:cs="Verdana"/>
              </w:rPr>
            </w:pPr>
            <w:r>
              <w:t>milj. euroa</w:t>
            </w:r>
          </w:p>
        </w:tc>
      </w:tr>
      <w:tr>
        <w:tc>
          <w:tcPr>
            <w:tcW w:w="322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3260"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2018</w:t>
            </w:r>
          </w:p>
        </w:tc>
        <w:tc>
          <w:tcPr>
            <w:tcW w:w="3260"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2017</w:t>
            </w:r>
          </w:p>
        </w:tc>
      </w:tr>
      <w:tr>
        <w:tc>
          <w:tcPr>
            <w:tcW w:w="322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 xml:space="preserve">Kasvu </w:t>
            </w:r>
            <w:r>
              <w:br/>
              <w:t>0,1 %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Väheneminen 0,1 %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 xml:space="preserve">Kasvu </w:t>
            </w:r>
            <w:r>
              <w:br/>
              <w:t>0,1 %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Väheneminen 0,1 %</w:t>
            </w:r>
          </w:p>
        </w:tc>
      </w:tr>
      <w:t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Etuuspohjainen velvoite</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(26)</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r>
    </w:tbl>
    <w:p>
      <w:pPr>
        <w:pStyle w:val="DGTextstand-alone"/>
      </w:pPr>
      <w:r>
        <w:t>Vuoden muutoksella oletetussa eläkeiässä olisi seuraavat vaikutukset: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630"/>
        <w:gridCol w:w="1630"/>
        <w:gridCol w:w="1630"/>
        <w:gridCol w:w="1630"/>
      </w:tblGrid>
      <w:tr>
        <w:tc>
          <w:tcPr>
            <w:tcW w:w="3227" w:type="dxa"/>
            <w:tcBorders>
              <w:top w:val="nil"/>
              <w:left w:val="nil"/>
              <w:bottom w:val="nil"/>
              <w:right w:val="nil"/>
            </w:tcBorders>
            <w:shd w:val="clear" w:color="auto" w:fill="auto"/>
            <w:tcMar>
              <w:top w:w="0" w:type="dxa"/>
              <w:left w:w="108" w:type="dxa"/>
              <w:bottom w:w="0" w:type="dxa"/>
              <w:right w:w="108" w:type="dxa"/>
            </w:tcMar>
            <w:vAlign w:val="bottom"/>
          </w:tcPr>
          <w:p>
            <w:pPr>
              <w:pStyle w:val="Text8pItalicLeft"/>
              <w:jc w:val="right"/>
              <w:rPr>
                <w:rFonts w:eastAsia="Verdana" w:cs="Verdana"/>
                <w:color w:val="FFFFFF"/>
              </w:rPr>
            </w:pPr>
            <w:bookmarkStart w:id="110" w:name="DOC_TBL00041_1_1"/>
            <w:bookmarkEnd w:id="110"/>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pStyle w:val="Text8pItalicRight025EUR"/>
              <w:rPr>
                <w:rFonts w:eastAsia="Verdana" w:cs="Verdana"/>
              </w:rPr>
            </w:pPr>
            <w:r>
              <w:t>milj. euroa</w:t>
            </w:r>
          </w:p>
        </w:tc>
      </w:tr>
      <w:tr>
        <w:tc>
          <w:tcPr>
            <w:tcW w:w="322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3260"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2018</w:t>
            </w:r>
          </w:p>
        </w:tc>
        <w:tc>
          <w:tcPr>
            <w:tcW w:w="3260"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2017</w:t>
            </w:r>
          </w:p>
        </w:tc>
      </w:tr>
      <w:tr>
        <w:tc>
          <w:tcPr>
            <w:tcW w:w="322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 xml:space="preserve">Vuoden </w:t>
            </w:r>
            <w:r>
              <w:br/>
              <w:t>lisäys</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Vuoden vähennys</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 xml:space="preserve">Vuoden </w:t>
            </w:r>
            <w:r>
              <w:br/>
              <w:t>lisäys</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Vuoden vähennys</w:t>
            </w:r>
          </w:p>
        </w:tc>
      </w:tr>
      <w:t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Etuuspohjainen velvoite</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(91)</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54</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(82)</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w:t>
            </w:r>
          </w:p>
        </w:tc>
      </w:tr>
    </w:tbl>
    <w:p>
      <w:pPr>
        <w:pStyle w:val="DGTextstand-alone"/>
        <w:rPr>
          <w:rFonts w:eastAsia="Times New Roman"/>
          <w:color w:val="016794"/>
        </w:rPr>
      </w:pPr>
    </w:p>
    <w:p>
      <w:pPr>
        <w:pStyle w:val="DGTextstand-alone"/>
        <w:rPr>
          <w:rFonts w:eastAsia="Times New Roman"/>
          <w:color w:val="016794"/>
        </w:rPr>
      </w:pPr>
      <w:r>
        <w:rPr>
          <w:color w:val="016794"/>
        </w:rPr>
        <w:t>Euroopan unionin virkamiesten eläkejärjestelmän herkkyys muutoksille</w:t>
      </w:r>
    </w:p>
    <w:p>
      <w:pPr>
        <w:pStyle w:val="DGTextstand-alone"/>
      </w:pPr>
      <w:r>
        <w:t>Kymmenen peruspisteen (0,1 prosentin) muutoksella arvioidussa diskonttokorossa olisi seuraavat vaikutukset: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630"/>
        <w:gridCol w:w="1630"/>
        <w:gridCol w:w="1630"/>
        <w:gridCol w:w="1630"/>
      </w:tblGrid>
      <w:tr>
        <w:tc>
          <w:tcPr>
            <w:tcW w:w="3227" w:type="dxa"/>
            <w:tcBorders>
              <w:top w:val="nil"/>
              <w:left w:val="nil"/>
              <w:bottom w:val="nil"/>
              <w:right w:val="nil"/>
            </w:tcBorders>
            <w:shd w:val="clear" w:color="auto" w:fill="auto"/>
            <w:tcMar>
              <w:top w:w="0" w:type="dxa"/>
              <w:left w:w="108" w:type="dxa"/>
              <w:bottom w:w="0" w:type="dxa"/>
              <w:right w:w="108" w:type="dxa"/>
            </w:tcMar>
            <w:vAlign w:val="bottom"/>
          </w:tcPr>
          <w:p>
            <w:pPr>
              <w:pStyle w:val="Text8pItalicLeft"/>
              <w:jc w:val="right"/>
              <w:rPr>
                <w:rFonts w:eastAsia="Verdana" w:cs="Verdana"/>
                <w:color w:val="FFFFFF"/>
              </w:rPr>
            </w:pPr>
            <w:bookmarkStart w:id="111" w:name="DOC_TBL00042_1_1"/>
            <w:bookmarkEnd w:id="111"/>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pStyle w:val="Text8pItalicRight025EUR"/>
              <w:rPr>
                <w:rFonts w:eastAsia="Verdana" w:cs="Verdana"/>
              </w:rPr>
            </w:pPr>
            <w:r>
              <w:t>milj. euroa</w:t>
            </w:r>
          </w:p>
        </w:tc>
      </w:tr>
      <w:tr>
        <w:tc>
          <w:tcPr>
            <w:tcW w:w="322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3260"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2018</w:t>
            </w:r>
          </w:p>
        </w:tc>
        <w:tc>
          <w:tcPr>
            <w:tcW w:w="3260"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2017</w:t>
            </w:r>
          </w:p>
        </w:tc>
      </w:tr>
      <w:tr>
        <w:tc>
          <w:tcPr>
            <w:tcW w:w="322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 xml:space="preserve">Kasvu </w:t>
            </w:r>
            <w:r>
              <w:br/>
              <w:t>0,1 %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Väheneminen 0,1 %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 xml:space="preserve">Kasvu </w:t>
            </w:r>
            <w:r>
              <w:br/>
              <w:t>0,1 %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Väheneminen 0,1 %</w:t>
            </w:r>
          </w:p>
        </w:tc>
      </w:tr>
      <w:t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Etuuspohjainen velvoite</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(1 434)</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1 478</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(1 281)</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1 319</w:t>
            </w:r>
          </w:p>
        </w:tc>
      </w:tr>
    </w:tbl>
    <w:p>
      <w:pPr>
        <w:pStyle w:val="DGTextstand-alone"/>
      </w:pPr>
    </w:p>
    <w:p>
      <w:pPr>
        <w:rPr>
          <w:rFonts w:ascii="Verdana" w:eastAsia="Calibri" w:hAnsi="Verdana"/>
          <w:noProof/>
          <w:sz w:val="18"/>
          <w:szCs w:val="18"/>
          <w:bdr w:val="nil"/>
        </w:rPr>
      </w:pPr>
      <w:r>
        <w:rPr>
          <w:noProof/>
        </w:rPr>
        <w:br w:type="page"/>
      </w:r>
    </w:p>
    <w:p>
      <w:pPr>
        <w:pStyle w:val="DGTextstand-alone"/>
      </w:pPr>
      <w:r>
        <w:t>Kymmenen peruspisteen (0,1 prosentin) muutoksella ennustetuissa palkankorotuksissa olisi seuraavat vaikutukset: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630"/>
        <w:gridCol w:w="1630"/>
        <w:gridCol w:w="1630"/>
        <w:gridCol w:w="1630"/>
      </w:tblGrid>
      <w:tr>
        <w:tc>
          <w:tcPr>
            <w:tcW w:w="3227" w:type="dxa"/>
            <w:tcBorders>
              <w:top w:val="nil"/>
              <w:left w:val="nil"/>
              <w:bottom w:val="nil"/>
              <w:right w:val="nil"/>
            </w:tcBorders>
            <w:shd w:val="clear" w:color="auto" w:fill="auto"/>
            <w:tcMar>
              <w:top w:w="0" w:type="dxa"/>
              <w:left w:w="108" w:type="dxa"/>
              <w:bottom w:w="0" w:type="dxa"/>
              <w:right w:w="108" w:type="dxa"/>
            </w:tcMar>
            <w:vAlign w:val="bottom"/>
          </w:tcPr>
          <w:p>
            <w:pPr>
              <w:pStyle w:val="Text8pItalicLeft"/>
              <w:jc w:val="right"/>
              <w:rPr>
                <w:rFonts w:eastAsia="Verdana" w:cs="Verdana"/>
                <w:color w:val="FFFFFF"/>
              </w:rPr>
            </w:pPr>
            <w:bookmarkStart w:id="112" w:name="DOC_TBL00043_1_1"/>
            <w:bookmarkEnd w:id="112"/>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pStyle w:val="Text8pItalicRight025EUR"/>
              <w:rPr>
                <w:rFonts w:eastAsia="Verdana" w:cs="Verdana"/>
              </w:rPr>
            </w:pPr>
            <w:r>
              <w:t>milj. euroa</w:t>
            </w:r>
          </w:p>
        </w:tc>
      </w:tr>
      <w:tr>
        <w:tc>
          <w:tcPr>
            <w:tcW w:w="322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3260"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2018</w:t>
            </w:r>
          </w:p>
        </w:tc>
        <w:tc>
          <w:tcPr>
            <w:tcW w:w="3260"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2017</w:t>
            </w:r>
          </w:p>
        </w:tc>
      </w:tr>
      <w:tr>
        <w:tc>
          <w:tcPr>
            <w:tcW w:w="322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 xml:space="preserve">Kasvu </w:t>
            </w:r>
            <w:r>
              <w:br/>
              <w:t>0,1 %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Väheneminen 0,1 %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 xml:space="preserve">Kasvu </w:t>
            </w:r>
            <w:r>
              <w:br/>
              <w:t>0,1 %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Väheneminen 0,1 %</w:t>
            </w:r>
          </w:p>
        </w:tc>
      </w:tr>
      <w:t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Etuuspohjainen velvoite</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1 427</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(1 388)</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1 313</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(1 192)</w:t>
            </w:r>
          </w:p>
        </w:tc>
      </w:tr>
    </w:tbl>
    <w:p>
      <w:pPr>
        <w:pStyle w:val="DGTextstand-alone"/>
      </w:pPr>
      <w:r>
        <w:t>Vuoden muutoksella oletetussa eläkeiässä olisi seuraavat vaikutukset: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630"/>
        <w:gridCol w:w="1630"/>
        <w:gridCol w:w="1630"/>
        <w:gridCol w:w="1630"/>
      </w:tblGrid>
      <w:tr>
        <w:tc>
          <w:tcPr>
            <w:tcW w:w="3227" w:type="dxa"/>
            <w:tcBorders>
              <w:top w:val="nil"/>
              <w:left w:val="nil"/>
              <w:bottom w:val="nil"/>
              <w:right w:val="nil"/>
            </w:tcBorders>
            <w:shd w:val="clear" w:color="auto" w:fill="auto"/>
            <w:tcMar>
              <w:top w:w="0" w:type="dxa"/>
              <w:left w:w="108" w:type="dxa"/>
              <w:bottom w:w="0" w:type="dxa"/>
              <w:right w:w="108" w:type="dxa"/>
            </w:tcMar>
            <w:vAlign w:val="bottom"/>
          </w:tcPr>
          <w:p>
            <w:pPr>
              <w:pStyle w:val="Text8pItalicLeft"/>
              <w:jc w:val="right"/>
              <w:rPr>
                <w:rFonts w:eastAsia="Verdana" w:cs="Verdana"/>
                <w:color w:val="FFFFFF"/>
              </w:rPr>
            </w:pPr>
            <w:bookmarkStart w:id="113" w:name="DOC_TBL00044_1_1"/>
            <w:bookmarkEnd w:id="113"/>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pStyle w:val="Text8pItalicRight025EUR"/>
              <w:rPr>
                <w:rFonts w:eastAsia="Verdana" w:cs="Verdana"/>
              </w:rPr>
            </w:pPr>
            <w:r>
              <w:t>milj. euroa</w:t>
            </w:r>
          </w:p>
        </w:tc>
      </w:tr>
      <w:tr>
        <w:tc>
          <w:tcPr>
            <w:tcW w:w="322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3260"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2018</w:t>
            </w:r>
          </w:p>
        </w:tc>
        <w:tc>
          <w:tcPr>
            <w:tcW w:w="3260"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2017</w:t>
            </w:r>
          </w:p>
        </w:tc>
      </w:tr>
      <w:tr>
        <w:tc>
          <w:tcPr>
            <w:tcW w:w="322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 xml:space="preserve">Vuoden </w:t>
            </w:r>
            <w:r>
              <w:br/>
              <w:t>lisäys</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Vuoden vähennys</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 xml:space="preserve">Vuoden </w:t>
            </w:r>
            <w:r>
              <w:br/>
              <w:t>lisäys</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Vuoden vähennys</w:t>
            </w:r>
          </w:p>
        </w:tc>
      </w:tr>
      <w:t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Etuuspohjainen velvoite</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(573)</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645</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(496)</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639</w:t>
            </w:r>
          </w:p>
        </w:tc>
      </w:tr>
      <w:bookmarkEnd w:id="102"/>
    </w:tbl>
    <w:p>
      <w:pPr>
        <w:pStyle w:val="DGTextstand-alone"/>
        <w:sectPr>
          <w:headerReference w:type="even" r:id="rId190"/>
          <w:headerReference w:type="default" r:id="rId191"/>
          <w:footerReference w:type="even" r:id="rId192"/>
          <w:footerReference w:type="default" r:id="rId193"/>
          <w:headerReference w:type="first" r:id="rId194"/>
          <w:footerReference w:type="first" r:id="rId195"/>
          <w:type w:val="continuous"/>
          <w:pgSz w:w="11906" w:h="16838"/>
          <w:pgMar w:top="1134" w:right="1134" w:bottom="1134" w:left="1134" w:header="709" w:footer="709" w:gutter="0"/>
          <w:cols w:space="708"/>
          <w:docGrid w:linePitch="360"/>
        </w:sectPr>
      </w:pPr>
    </w:p>
    <w:p>
      <w:pPr>
        <w:pStyle w:val="HEADER2NOTES"/>
        <w:rPr>
          <w:noProof/>
        </w:rPr>
      </w:pPr>
      <w:bookmarkStart w:id="114" w:name="_DMBM_14763"/>
      <w:r>
        <w:rPr>
          <w:noProof/>
        </w:rPr>
        <w:t>VARAUKSET</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42"/>
        <w:gridCol w:w="992"/>
        <w:gridCol w:w="142"/>
        <w:gridCol w:w="1134"/>
        <w:gridCol w:w="1275"/>
        <w:gridCol w:w="993"/>
        <w:gridCol w:w="1134"/>
        <w:gridCol w:w="1134"/>
        <w:gridCol w:w="1275"/>
      </w:tblGrid>
      <w:tr>
        <w:trPr>
          <w:trHeight w:val="274"/>
        </w:trPr>
        <w:tc>
          <w:tcPr>
            <w:tcW w:w="1844" w:type="dxa"/>
            <w:gridSpan w:val="2"/>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115" w:name="DOC_TBL00045_1_1"/>
            <w:bookmarkEnd w:id="115"/>
          </w:p>
        </w:tc>
        <w:tc>
          <w:tcPr>
            <w:tcW w:w="99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6" w:type="dxa"/>
            <w:gridSpan w:val="2"/>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993"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5" w:type="dxa"/>
            <w:tcBorders>
              <w:top w:val="nil"/>
              <w:left w:val="nil"/>
              <w:bottom w:val="nil"/>
              <w:right w:val="nil"/>
            </w:tcBorders>
            <w:tcMar>
              <w:top w:w="0" w:type="dxa"/>
              <w:left w:w="108" w:type="dxa"/>
              <w:bottom w:w="0" w:type="dxa"/>
              <w:right w:w="108" w:type="dxa"/>
            </w:tcMar>
            <w:vAlign w:val="center"/>
          </w:tcPr>
          <w:p>
            <w:pPr>
              <w:pStyle w:val="Text8pItalicRight025EUR"/>
              <w:rPr>
                <w:rFonts w:eastAsia="Times New Roman" w:cs="Verdana"/>
              </w:rPr>
            </w:pPr>
            <w:r>
              <w:t>milj. euroa</w:t>
            </w:r>
          </w:p>
        </w:tc>
      </w:tr>
      <w:tr>
        <w:tc>
          <w:tcPr>
            <w:tcW w:w="170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p>
        </w:tc>
        <w:tc>
          <w:tcPr>
            <w:tcW w:w="1276" w:type="dxa"/>
            <w:gridSpan w:val="3"/>
            <w:tcBorders>
              <w:top w:val="nil"/>
              <w:left w:val="nil"/>
              <w:bottom w:val="nil"/>
              <w:right w:val="nil"/>
            </w:tcBorders>
            <w:shd w:val="clear" w:color="auto" w:fill="016794"/>
            <w:tcMar>
              <w:top w:w="0" w:type="dxa"/>
              <w:left w:w="108" w:type="dxa"/>
              <w:bottom w:w="0" w:type="dxa"/>
              <w:right w:w="108" w:type="dxa"/>
            </w:tcMar>
          </w:tcPr>
          <w:p>
            <w:pPr>
              <w:pStyle w:val="Heading8pNormalCentered"/>
              <w:jc w:val="right"/>
              <w:rPr>
                <w:rFonts w:eastAsia="Times New Roman" w:cs="Verdana"/>
              </w:rPr>
            </w:pPr>
            <w:r>
              <w:t>Määrä 31.12.2017</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jc w:val="right"/>
              <w:rPr>
                <w:rFonts w:eastAsia="Times New Roman" w:cs="Verdana"/>
              </w:rPr>
            </w:pPr>
            <w:r>
              <w:t>Lisä</w:t>
            </w:r>
            <w:r>
              <w:softHyphen/>
              <w:t>varaukset</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jc w:val="right"/>
              <w:rPr>
                <w:rFonts w:eastAsia="Times New Roman" w:cs="Verdana"/>
              </w:rPr>
            </w:pPr>
            <w:r>
              <w:t>Käyttämättä olevat peruutetut määrät</w:t>
            </w:r>
          </w:p>
        </w:tc>
        <w:tc>
          <w:tcPr>
            <w:tcW w:w="993" w:type="dxa"/>
            <w:tcBorders>
              <w:top w:val="nil"/>
              <w:left w:val="nil"/>
              <w:bottom w:val="nil"/>
              <w:right w:val="nil"/>
            </w:tcBorders>
            <w:shd w:val="clear" w:color="auto" w:fill="016794"/>
            <w:tcMar>
              <w:top w:w="0" w:type="dxa"/>
              <w:left w:w="108" w:type="dxa"/>
              <w:bottom w:w="0" w:type="dxa"/>
              <w:right w:w="108" w:type="dxa"/>
            </w:tcMar>
          </w:tcPr>
          <w:p>
            <w:pPr>
              <w:pStyle w:val="Heading8pNormalCentered"/>
              <w:jc w:val="right"/>
              <w:rPr>
                <w:rFonts w:eastAsia="Times New Roman" w:cs="Verdana"/>
              </w:rPr>
            </w:pPr>
            <w:r>
              <w:t>Käytetyt määrät</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jc w:val="right"/>
              <w:rPr>
                <w:rFonts w:eastAsia="Times New Roman" w:cs="Verdana"/>
              </w:rPr>
            </w:pPr>
            <w:r>
              <w:t>Luokkien väliset siirrot</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jc w:val="right"/>
              <w:rPr>
                <w:rFonts w:eastAsia="Times New Roman" w:cs="Verdana"/>
              </w:rPr>
            </w:pPr>
            <w:r>
              <w:t>Arvioiden muutos</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jc w:val="right"/>
              <w:rPr>
                <w:rFonts w:eastAsia="Times New Roman" w:cs="Verdana"/>
              </w:rPr>
            </w:pPr>
            <w:r>
              <w:t>Määrä 31.12.2018</w:t>
            </w:r>
          </w:p>
        </w:tc>
      </w:tr>
      <w:tr>
        <w:tc>
          <w:tcPr>
            <w:tcW w:w="1702"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Oikeustapaukset:</w:t>
            </w:r>
          </w:p>
        </w:tc>
        <w:tc>
          <w:tcPr>
            <w:tcW w:w="1134"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276"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i w:val="0"/>
              </w:rPr>
            </w:pP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99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r>
      <w:tr>
        <w:tc>
          <w:tcPr>
            <w:tcW w:w="1702"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 xml:space="preserve">  maatalous</w:t>
            </w:r>
          </w:p>
        </w:tc>
        <w:tc>
          <w:tcPr>
            <w:tcW w:w="1134"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49</w:t>
            </w:r>
          </w:p>
        </w:tc>
        <w:tc>
          <w:tcPr>
            <w:tcW w:w="1276"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i w:val="0"/>
              </w:rPr>
            </w:pPr>
            <w:r>
              <w:rPr>
                <w:i w:val="0"/>
              </w:rPr>
              <w:t xml:space="preserve"> 270</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w:t>
            </w:r>
          </w:p>
        </w:tc>
        <w:tc>
          <w:tcPr>
            <w:tcW w:w="99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(47)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270</w:t>
            </w:r>
          </w:p>
        </w:tc>
      </w:tr>
      <w:tr>
        <w:tc>
          <w:tcPr>
            <w:tcW w:w="1702"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 xml:space="preserve">  koheesio</w:t>
            </w:r>
          </w:p>
        </w:tc>
        <w:tc>
          <w:tcPr>
            <w:tcW w:w="1134"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20</w:t>
            </w:r>
          </w:p>
        </w:tc>
        <w:tc>
          <w:tcPr>
            <w:tcW w:w="1276"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i w:val="0"/>
              </w:rPr>
            </w:pPr>
            <w:r>
              <w:rPr>
                <w:i w:val="0"/>
              </w:rP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(20)</w:t>
            </w:r>
          </w:p>
        </w:tc>
        <w:tc>
          <w:tcPr>
            <w:tcW w:w="99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r>
      <w:tr>
        <w:tc>
          <w:tcPr>
            <w:tcW w:w="1702"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 xml:space="preserve">  muut</w:t>
            </w:r>
          </w:p>
        </w:tc>
        <w:tc>
          <w:tcPr>
            <w:tcW w:w="1134"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120</w:t>
            </w:r>
          </w:p>
        </w:tc>
        <w:tc>
          <w:tcPr>
            <w:tcW w:w="1276"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i w:val="0"/>
              </w:rPr>
            </w:pPr>
            <w:r>
              <w:rPr>
                <w:i w:val="0"/>
              </w:rPr>
              <w:t xml:space="preserve"> 3</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(19)</w:t>
            </w:r>
          </w:p>
        </w:tc>
        <w:tc>
          <w:tcPr>
            <w:tcW w:w="99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100</w:t>
            </w:r>
          </w:p>
        </w:tc>
      </w:tr>
      <w:tr>
        <w:tc>
          <w:tcPr>
            <w:tcW w:w="1702"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Ydinlaitosten purkaminen</w:t>
            </w:r>
          </w:p>
        </w:tc>
        <w:tc>
          <w:tcPr>
            <w:tcW w:w="1134"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1 934</w:t>
            </w:r>
          </w:p>
        </w:tc>
        <w:tc>
          <w:tcPr>
            <w:tcW w:w="1276"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i w:val="0"/>
              </w:rPr>
            </w:pPr>
            <w:r>
              <w:rPr>
                <w:i w:val="0"/>
              </w:rP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99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(34)</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32</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1 933</w:t>
            </w:r>
          </w:p>
        </w:tc>
      </w:tr>
      <w:tr>
        <w:tc>
          <w:tcPr>
            <w:tcW w:w="1702"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Rahoitus</w:t>
            </w:r>
            <w:r>
              <w:softHyphen/>
              <w:t>varaukset</w:t>
            </w:r>
          </w:p>
        </w:tc>
        <w:tc>
          <w:tcPr>
            <w:tcW w:w="1134"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1 115</w:t>
            </w:r>
          </w:p>
        </w:tc>
        <w:tc>
          <w:tcPr>
            <w:tcW w:w="1276"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i w:val="0"/>
              </w:rPr>
            </w:pPr>
            <w:r>
              <w:rPr>
                <w:i w:val="0"/>
              </w:rPr>
              <w:t xml:space="preserve"> 590</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(7)</w:t>
            </w:r>
          </w:p>
        </w:tc>
        <w:tc>
          <w:tcPr>
            <w:tcW w:w="99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(149)</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1 551</w:t>
            </w:r>
          </w:p>
        </w:tc>
      </w:tr>
      <w:tr>
        <w:tc>
          <w:tcPr>
            <w:tcW w:w="1702"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Sakot</w:t>
            </w:r>
          </w:p>
        </w:tc>
        <w:tc>
          <w:tcPr>
            <w:tcW w:w="1134"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27</w:t>
            </w:r>
          </w:p>
        </w:tc>
        <w:tc>
          <w:tcPr>
            <w:tcW w:w="1276"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i w:val="0"/>
              </w:rPr>
            </w:pPr>
            <w:r>
              <w:rPr>
                <w:i w:val="0"/>
              </w:rP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(27)</w:t>
            </w:r>
          </w:p>
        </w:tc>
        <w:tc>
          <w:tcPr>
            <w:tcW w:w="99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r>
      <w:tr>
        <w:tc>
          <w:tcPr>
            <w:tcW w:w="1702" w:type="dxa"/>
            <w:tcBorders>
              <w:top w:val="nil"/>
              <w:left w:val="nil"/>
              <w:bottom w:val="single" w:sz="4" w:space="0" w:color="016794"/>
              <w:right w:val="nil"/>
            </w:tcBorders>
            <w:tcMar>
              <w:top w:w="0" w:type="dxa"/>
              <w:left w:w="108" w:type="dxa"/>
              <w:bottom w:w="0" w:type="dxa"/>
              <w:right w:w="108" w:type="dxa"/>
            </w:tcMar>
          </w:tcPr>
          <w:p>
            <w:pPr>
              <w:pStyle w:val="Text8pItalicLeft"/>
              <w:rPr>
                <w:rFonts w:eastAsia="Times New Roman" w:cs="Verdana"/>
              </w:rPr>
            </w:pPr>
            <w:r>
              <w:t>Muut</w:t>
            </w:r>
          </w:p>
        </w:tc>
        <w:tc>
          <w:tcPr>
            <w:tcW w:w="1134" w:type="dxa"/>
            <w:gridSpan w:val="2"/>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272</w:t>
            </w:r>
          </w:p>
        </w:tc>
        <w:tc>
          <w:tcPr>
            <w:tcW w:w="1276" w:type="dxa"/>
            <w:gridSpan w:val="2"/>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38</w:t>
            </w:r>
          </w:p>
        </w:tc>
        <w:tc>
          <w:tcPr>
            <w:tcW w:w="1275"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(38)</w:t>
            </w:r>
          </w:p>
        </w:tc>
        <w:tc>
          <w:tcPr>
            <w:tcW w:w="993"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(18)</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24</w:t>
            </w:r>
          </w:p>
        </w:tc>
        <w:tc>
          <w:tcPr>
            <w:tcW w:w="1275"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278</w:t>
            </w:r>
          </w:p>
        </w:tc>
      </w:tr>
      <w:tr>
        <w:tc>
          <w:tcPr>
            <w:tcW w:w="1702" w:type="dxa"/>
            <w:tcBorders>
              <w:top w:val="single" w:sz="4" w:space="0" w:color="016794"/>
              <w:left w:val="nil"/>
              <w:bottom w:val="nil"/>
              <w:right w:val="nil"/>
            </w:tcBorders>
            <w:tcMar>
              <w:top w:w="0" w:type="dxa"/>
              <w:left w:w="108" w:type="dxa"/>
              <w:bottom w:w="0" w:type="dxa"/>
              <w:right w:w="108" w:type="dxa"/>
            </w:tcMar>
          </w:tcPr>
          <w:p>
            <w:pPr>
              <w:pStyle w:val="Text8pBoldLeft"/>
              <w:rPr>
                <w:rFonts w:eastAsia="Times New Roman" w:cs="Verdana"/>
              </w:rPr>
            </w:pPr>
            <w:r>
              <w:t>Yhteensä</w:t>
            </w:r>
          </w:p>
        </w:tc>
        <w:tc>
          <w:tcPr>
            <w:tcW w:w="1134" w:type="dxa"/>
            <w:gridSpan w:val="2"/>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3 538</w:t>
            </w:r>
          </w:p>
        </w:tc>
        <w:tc>
          <w:tcPr>
            <w:tcW w:w="1276" w:type="dxa"/>
            <w:gridSpan w:val="2"/>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 xml:space="preserve"> 901</w:t>
            </w:r>
          </w:p>
        </w:tc>
        <w:tc>
          <w:tcPr>
            <w:tcW w:w="1275"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 xml:space="preserve"> (115)</w:t>
            </w:r>
          </w:p>
        </w:tc>
        <w:tc>
          <w:tcPr>
            <w:tcW w:w="993"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 xml:space="preserve"> (249)</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 xml:space="preserve"> 57</w:t>
            </w:r>
          </w:p>
        </w:tc>
        <w:tc>
          <w:tcPr>
            <w:tcW w:w="1275"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4 132</w:t>
            </w:r>
          </w:p>
        </w:tc>
      </w:tr>
      <w:tr>
        <w:tc>
          <w:tcPr>
            <w:tcW w:w="1702"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Times New Roman" w:cs="Verdana"/>
              </w:rPr>
            </w:pPr>
            <w:r>
              <w:t>Pitkäaikaiset</w:t>
            </w:r>
          </w:p>
        </w:tc>
        <w:tc>
          <w:tcPr>
            <w:tcW w:w="1134" w:type="dxa"/>
            <w:gridSpan w:val="2"/>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2 880</w:t>
            </w:r>
          </w:p>
        </w:tc>
        <w:tc>
          <w:tcPr>
            <w:tcW w:w="1276" w:type="dxa"/>
            <w:gridSpan w:val="2"/>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704</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(38)</w:t>
            </w:r>
          </w:p>
        </w:tc>
        <w:tc>
          <w:tcPr>
            <w:tcW w:w="99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(52)</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(272)</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59</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3 281</w:t>
            </w:r>
          </w:p>
        </w:tc>
      </w:tr>
      <w:tr>
        <w:tc>
          <w:tcPr>
            <w:tcW w:w="1702"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p>
        </w:tc>
        <w:tc>
          <w:tcPr>
            <w:tcW w:w="1134"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276"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i w:val="0"/>
              </w:rPr>
            </w:pP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99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r>
      <w:tr>
        <w:tc>
          <w:tcPr>
            <w:tcW w:w="1702"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Times New Roman" w:cs="Verdana"/>
              </w:rPr>
            </w:pPr>
            <w:r>
              <w:t>Lyhytaikaiset</w:t>
            </w:r>
          </w:p>
        </w:tc>
        <w:tc>
          <w:tcPr>
            <w:tcW w:w="1134" w:type="dxa"/>
            <w:gridSpan w:val="2"/>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659</w:t>
            </w:r>
          </w:p>
        </w:tc>
        <w:tc>
          <w:tcPr>
            <w:tcW w:w="1276" w:type="dxa"/>
            <w:gridSpan w:val="2"/>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197</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(77)</w:t>
            </w:r>
          </w:p>
        </w:tc>
        <w:tc>
          <w:tcPr>
            <w:tcW w:w="99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(197)</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272</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(2)</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852</w:t>
            </w:r>
          </w:p>
        </w:tc>
      </w:tr>
    </w:tbl>
    <w:p>
      <w:pPr>
        <w:pStyle w:val="DGTextstand-alone"/>
      </w:pPr>
      <w:r>
        <w:t>Varaukset ovat aiempiin tapahtumiin liittyviä luotettavasti arvioituja määriä, jotka on todennäköisesti maksettava EU:n talousarviosta tulevaisuudessa.</w:t>
      </w:r>
    </w:p>
    <w:p>
      <w:pPr>
        <w:pStyle w:val="HEADER5"/>
        <w:rPr>
          <w:noProof/>
        </w:rPr>
      </w:pPr>
      <w:r>
        <w:rPr>
          <w:noProof/>
        </w:rPr>
        <w:t>Oikeustapaukset</w:t>
      </w:r>
    </w:p>
    <w:p>
      <w:pPr>
        <w:pStyle w:val="DGTextstand-alone"/>
      </w:pPr>
      <w:r>
        <w:t>Tässä kohdassa esitetään arvio käsiteltävinä oleviin oikeustapauksiin liittyvistä määristä, jotka todennäköisesti tulevat maksettaviksi vuoden lopun jälkeen.</w:t>
      </w:r>
    </w:p>
    <w:p>
      <w:pPr>
        <w:pStyle w:val="HEADER5"/>
        <w:rPr>
          <w:b/>
          <w:noProof/>
        </w:rPr>
      </w:pPr>
      <w:r>
        <w:rPr>
          <w:noProof/>
        </w:rPr>
        <w:t>Ydinlaitosten purkaminen</w:t>
      </w:r>
    </w:p>
    <w:p>
      <w:pPr>
        <w:pStyle w:val="DGTextstand-alone"/>
      </w:pPr>
      <w:r>
        <w:t xml:space="preserve">Varauksen perustetta päivitettiin vuonna 2017 Yhteisen tutkimuskeskuksen (JRC) ydinlaitosten käytöstäpoistoa ja jätehuoltoa koskevan strategian (D&amp;WM-ohjelma) vuoden 2017 päivityksen mukaiseksi. Strategian sekä määräraha- ja henkilöstötarpeen tarkistus toteutettiin yhdessä riippumattoman D&amp;WMP-asiantuntijaryhmän kanssa. Se on paras saatavilla oleva arvio määräraha- ja henkilöstötarpeesta JRC:n Ispran, Geelin, Karlsruhen ja Pettenin laitosten purkamisen loppuunsaattamiseksi. </w:t>
      </w:r>
    </w:p>
    <w:p>
      <w:pPr>
        <w:pStyle w:val="DGTextstand-alone"/>
      </w:pPr>
      <w:r>
        <w:t>Varaukseen tehtiin EU:n tilinpäätössääntöjen mukaisesti inflaatiokorjaus, minkä jälkeen se diskontattiin nettomääräiseen nykyarvoonsa (käyttämällä euromääräistä swap-käyrän korkoa). Varauksen arvoksi 31. joulukuuta 2018 saatiin näin yhteensä 1 933 miljoonaa euroa. Tämä kokonaismäärä jaetaan osuuteen, joka todennäköisesti käytetään vuonna 2018 (31 miljoonaa euroa), ja osuuteen, joka käytetään myöhemmin (1 902 miljoonaa euroa).</w:t>
      </w:r>
    </w:p>
    <w:p>
      <w:pPr>
        <w:pStyle w:val="DGTextstand-alone"/>
      </w:pPr>
      <w:r>
        <w:t>On huomattava, että merkittävät epävarmuudet, jotka liittyvät ydinlaitosten purkamisen pitkän aikavälin suunnitteluun, voivat vaikuttaa arvioon, ja määrä voi nousta merkittävästi tulevaisuudessa. Suurimmat epävarmuustekijät liittyvät purettujen laitosten lopulliseen vaiheeseen, ydinmateriaaliin, jätehuollon ja loppukäsittelyn näkökohtiin, epätäydellisiin tai puuttuviin kansallisiin sääntelykehyksiin, monimutkaisiin ja aikaavieviin lisensointimenettelyihin sekä käytöstäpoistomarkkinoiden tulevaan kehitykseen.</w:t>
      </w:r>
    </w:p>
    <w:p>
      <w:pPr>
        <w:pStyle w:val="HEADER5"/>
        <w:rPr>
          <w:b/>
          <w:noProof/>
        </w:rPr>
      </w:pPr>
      <w:r>
        <w:rPr>
          <w:noProof/>
        </w:rPr>
        <w:t>Rahoitusvaraukset</w:t>
      </w:r>
    </w:p>
    <w:p>
      <w:pPr>
        <w:pStyle w:val="DGTextstand-alone"/>
      </w:pPr>
      <w:r>
        <w:t>Tähän kohtaan on merkitty varaukset, jotka perustuvat arvioituihin tappioihin eri rahoitusvälineistä myönnetyistä takauksista, jotka valtuutetut yhteisöt voivat myöntää omissa nimissään EU:n puolesta ja EU:n riskillä. Takauksiin liittyvä EU:n rahoitusriski on kuitenkin rajattu ja rahoitusvarat rahoitetaan asteittain kattamaan tulevat vakuuteen perustuvien maksujen vaatimukset. Tähän kohtaan sisältyvät myös varaukset EIP:n ulkoisen lainanantovaltuutensa puitteissa takaamien Syyrialle myönnettyjen lainojen osalta, jotka EU on siis taannut ulkosuhteisiin liittyviä hankkeita varten perustetun takuurahaston avulla. Pitkäaikaiset rahoitusvaraukset on diskontattu niiden nettomääräiseen nykyarvoon</w:t>
      </w:r>
    </w:p>
    <w:p>
      <w:pPr>
        <w:pStyle w:val="DGTextstand-alone"/>
      </w:pPr>
      <w:r>
        <w:t>Rahoitusvarausten kasvu liittyy Horisontti 2020- ja COSME-takausvälineiden lisääntyneeseen käyttöön.</w:t>
      </w:r>
    </w:p>
    <w:p>
      <w:pPr>
        <w:pStyle w:val="DGTextstand-alone"/>
        <w:sectPr>
          <w:headerReference w:type="even" r:id="rId196"/>
          <w:headerReference w:type="default" r:id="rId197"/>
          <w:footerReference w:type="even" r:id="rId198"/>
          <w:footerReference w:type="default" r:id="rId199"/>
          <w:headerReference w:type="first" r:id="rId200"/>
          <w:footerReference w:type="first" r:id="rId201"/>
          <w:pgSz w:w="11906" w:h="16838"/>
          <w:pgMar w:top="1134" w:right="1134" w:bottom="1134" w:left="1134" w:header="709" w:footer="709" w:gutter="0"/>
          <w:cols w:space="708"/>
          <w:docGrid w:linePitch="360"/>
        </w:sectPr>
      </w:pPr>
      <w:r>
        <w:t xml:space="preserve"> </w:t>
      </w:r>
      <w:bookmarkEnd w:id="114"/>
    </w:p>
    <w:p>
      <w:pPr>
        <w:pStyle w:val="HEADER2NOTES"/>
        <w:rPr>
          <w:noProof/>
        </w:rPr>
      </w:pPr>
      <w:bookmarkStart w:id="116" w:name="_DMBM_14777"/>
      <w:r>
        <w:rPr>
          <w:noProof/>
        </w:rPr>
        <w:t>RAHOITUSVELAT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3"/>
        <w:gridCol w:w="1231"/>
        <w:gridCol w:w="1811"/>
        <w:gridCol w:w="1812"/>
      </w:tblGrid>
      <w:tr>
        <w:trPr>
          <w:trHeight w:val="268"/>
        </w:trPr>
        <w:tc>
          <w:tcPr>
            <w:tcW w:w="5211"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117" w:name="DOC_TBL00046_1_1"/>
            <w:bookmarkEnd w:id="117"/>
          </w:p>
        </w:tc>
        <w:tc>
          <w:tcPr>
            <w:tcW w:w="85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84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milj. euroa</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rPr>
            </w:pPr>
            <w:r>
              <w:t>Liitetieto</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31.12.2017</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eastAsia="Times New Roman" w:cs="Verdana"/>
              </w:rPr>
            </w:pPr>
            <w:r>
              <w:t>Pitkäaikaiset rahoitusvelat</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Jaksotettuun hankintamenoon arvostetut rahoitusvelat</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2.11.1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53 281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50 061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Tulosvaikutteisesti käypään arvoon kirjattavat rahoitusvelat</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2.11.2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7</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53 289</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50 063</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eastAsia="Times New Roman" w:cs="Verdana"/>
              </w:rPr>
            </w:pPr>
            <w:r>
              <w:t>Lyhytaikaiset rahoitusvelat</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Jaksotettuun hankintamenoon arvostetut rahoitusvelat</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2.11.1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2 602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6 850</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Tulosvaikutteisesti käypään arvoon kirjattavat rahoitusvelat</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2.11.2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2 617</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6 850</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BoldLeft"/>
              <w:rPr>
                <w:rFonts w:eastAsia="Times New Roman" w:cs="Verdana"/>
              </w:rPr>
            </w:pPr>
            <w:r>
              <w:t>Yhteensä</w:t>
            </w:r>
          </w:p>
        </w:tc>
        <w:tc>
          <w:tcPr>
            <w:tcW w:w="851"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55 906</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56 913</w:t>
            </w:r>
          </w:p>
        </w:tc>
      </w:tr>
    </w:tbl>
    <w:p>
      <w:pPr>
        <w:pStyle w:val="HEADER3NOTES"/>
        <w:rPr>
          <w:noProof/>
        </w:rPr>
      </w:pPr>
      <w:r>
        <w:rPr>
          <w:noProof/>
        </w:rPr>
        <w:t xml:space="preserve">Jaksotettuun hankintamenoon arvostetut rahoitusvelat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7"/>
        <w:gridCol w:w="1231"/>
        <w:gridCol w:w="1814"/>
        <w:gridCol w:w="1815"/>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18" w:name="DOC_TBL00047_1_1"/>
            <w:bookmarkEnd w:id="118"/>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Liitetieto</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Rahoitusavun antamiseksi otetut lainat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53 872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54 841</w:t>
            </w:r>
          </w:p>
        </w:tc>
      </w:tr>
      <w:tr>
        <w:trPr>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Muut rahoitusvelat</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2.11.1.2</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2 012</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2 070</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Yhteensä</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55 884</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56 911</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Pitkäaikaiset</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53 281</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50 061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Lyhytaikaiset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2 602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6 850</w:t>
            </w:r>
          </w:p>
        </w:tc>
      </w:tr>
    </w:tbl>
    <w:p>
      <w:pPr>
        <w:pStyle w:val="HEADER4NOTES"/>
        <w:rPr>
          <w:noProof/>
        </w:rPr>
      </w:pPr>
      <w:r>
        <w:rPr>
          <w:noProof/>
        </w:rPr>
        <w:t>Rahoitusavun antamiseksi otetut lainat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134"/>
        <w:gridCol w:w="1134"/>
        <w:gridCol w:w="1275"/>
        <w:gridCol w:w="1134"/>
        <w:gridCol w:w="1192"/>
        <w:gridCol w:w="1218"/>
      </w:tblGrid>
      <w:tr>
        <w:tc>
          <w:tcPr>
            <w:tcW w:w="2802"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119" w:name="DOC_TBL00048_1_1"/>
            <w:bookmarkEnd w:id="119"/>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9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18" w:type="dxa"/>
            <w:tcBorders>
              <w:top w:val="nil"/>
              <w:left w:val="nil"/>
              <w:bottom w:val="nil"/>
              <w:right w:val="nil"/>
            </w:tcBorders>
            <w:tcMar>
              <w:top w:w="0" w:type="dxa"/>
              <w:left w:w="108" w:type="dxa"/>
              <w:bottom w:w="0" w:type="dxa"/>
              <w:right w:w="108" w:type="dxa"/>
            </w:tcMar>
          </w:tcPr>
          <w:p>
            <w:pPr>
              <w:pStyle w:val="Text7pItalicLeft"/>
              <w:rPr>
                <w:rFonts w:eastAsia="Times New Roman" w:cs="Verdana"/>
              </w:rPr>
            </w:pPr>
            <w:r>
              <w:t>milj. euroa</w:t>
            </w:r>
          </w:p>
        </w:tc>
      </w:tr>
      <w:tr>
        <w:trPr>
          <w:trHeight w:val="247"/>
        </w:trPr>
        <w:tc>
          <w:tcPr>
            <w:tcW w:w="2802"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ERVM</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Maksu</w:t>
            </w:r>
            <w:r>
              <w:rPr>
                <w:noProof/>
              </w:rPr>
              <w:softHyphen/>
              <w:t>tasetuki</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Makro</w:t>
            </w:r>
            <w:r>
              <w:rPr>
                <w:noProof/>
              </w:rPr>
              <w:softHyphen/>
              <w:t>talou</w:t>
            </w:r>
            <w:r>
              <w:rPr>
                <w:noProof/>
              </w:rPr>
              <w:softHyphen/>
              <w:t>dellinen rahoitus-apu</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Euratom-lainat</w:t>
            </w:r>
          </w:p>
        </w:tc>
        <w:tc>
          <w:tcPr>
            <w:tcW w:w="1192"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Selvitys-tilassa oleva EHTY</w:t>
            </w:r>
          </w:p>
        </w:tc>
        <w:tc>
          <w:tcPr>
            <w:tcW w:w="121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Yhteensä</w:t>
            </w:r>
          </w:p>
        </w:tc>
      </w:tr>
      <w:tr>
        <w:trPr>
          <w:trHeight w:val="247"/>
        </w:trPr>
        <w:tc>
          <w:tcPr>
            <w:tcW w:w="280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Yhteensä 31.12.2017</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47 456</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3 114</w:t>
            </w:r>
          </w:p>
        </w:tc>
        <w:tc>
          <w:tcPr>
            <w:tcW w:w="127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3 924</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250</w:t>
            </w:r>
          </w:p>
        </w:tc>
        <w:tc>
          <w:tcPr>
            <w:tcW w:w="11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97</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54 841</w:t>
            </w:r>
          </w:p>
        </w:tc>
      </w:tr>
      <w:tr>
        <w:trPr>
          <w:trHeight w:val="247"/>
        </w:trPr>
        <w:tc>
          <w:tcPr>
            <w:tcW w:w="280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Uudet lainat</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4 500</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515</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50</w:t>
            </w:r>
          </w:p>
        </w:tc>
        <w:tc>
          <w:tcPr>
            <w:tcW w:w="11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5 065</w:t>
            </w:r>
          </w:p>
        </w:tc>
      </w:tr>
      <w:tr>
        <w:trPr>
          <w:trHeight w:val="247"/>
        </w:trPr>
        <w:tc>
          <w:tcPr>
            <w:tcW w:w="280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Takaisinmaksut</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(4 500)</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(1 350)</w:t>
            </w:r>
          </w:p>
        </w:tc>
        <w:tc>
          <w:tcPr>
            <w:tcW w:w="127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(56)</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(46)</w:t>
            </w:r>
          </w:p>
        </w:tc>
        <w:tc>
          <w:tcPr>
            <w:tcW w:w="11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(5 952)</w:t>
            </w:r>
          </w:p>
        </w:tc>
      </w:tr>
      <w:tr>
        <w:trPr>
          <w:trHeight w:val="247"/>
        </w:trPr>
        <w:tc>
          <w:tcPr>
            <w:tcW w:w="280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Valuuttakurssierot</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1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w:t>
            </w:r>
          </w:p>
        </w:tc>
      </w:tr>
      <w:tr>
        <w:trPr>
          <w:trHeight w:val="247"/>
        </w:trPr>
        <w:tc>
          <w:tcPr>
            <w:tcW w:w="2802"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r>
              <w:t>Kirjanpitoarvon muutokset</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(56)</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(30)</w:t>
            </w:r>
          </w:p>
        </w:tc>
        <w:tc>
          <w:tcPr>
            <w:tcW w:w="127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5</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19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21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(82)</w:t>
            </w:r>
          </w:p>
        </w:tc>
      </w:tr>
      <w:tr>
        <w:trPr>
          <w:trHeight w:val="247"/>
        </w:trPr>
        <w:tc>
          <w:tcPr>
            <w:tcW w:w="2802"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eastAsia="Times New Roman" w:cs="Verdana"/>
              </w:rPr>
            </w:pPr>
            <w:r>
              <w:t>Yhteensä 31.12.2018</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47 400</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1 734</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4 388</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 xml:space="preserve"> 254</w:t>
            </w:r>
          </w:p>
        </w:tc>
        <w:tc>
          <w:tcPr>
            <w:tcW w:w="1192"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 xml:space="preserve"> 97</w:t>
            </w:r>
          </w:p>
        </w:tc>
        <w:tc>
          <w:tcPr>
            <w:tcW w:w="121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53 872</w:t>
            </w:r>
          </w:p>
        </w:tc>
      </w:tr>
      <w:tr>
        <w:trPr>
          <w:trHeight w:val="247"/>
        </w:trPr>
        <w:tc>
          <w:tcPr>
            <w:tcW w:w="2802" w:type="dxa"/>
            <w:tcBorders>
              <w:top w:val="single" w:sz="4" w:space="0" w:color="016794"/>
              <w:left w:val="nil"/>
              <w:bottom w:val="nil"/>
              <w:right w:val="nil"/>
            </w:tcBorders>
            <w:tcMar>
              <w:top w:w="0" w:type="dxa"/>
              <w:left w:w="108" w:type="dxa"/>
              <w:bottom w:w="0" w:type="dxa"/>
              <w:right w:w="108" w:type="dxa"/>
            </w:tcMar>
          </w:tcPr>
          <w:p>
            <w:pPr>
              <w:pStyle w:val="Text9pItalicLeft"/>
              <w:rPr>
                <w:rFonts w:eastAsia="Times New Roman" w:cs="Verdana"/>
                <w:color w:val="016794"/>
              </w:rPr>
            </w:pPr>
            <w:r>
              <w:rPr>
                <w:color w:val="016794"/>
              </w:rPr>
              <w:t>Pitkäaikaiset</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46 800</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 xml:space="preserve"> 200</w:t>
            </w:r>
          </w:p>
        </w:tc>
        <w:tc>
          <w:tcPr>
            <w:tcW w:w="1275"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4 309</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 xml:space="preserve"> 213</w:t>
            </w:r>
          </w:p>
        </w:tc>
        <w:tc>
          <w:tcPr>
            <w:tcW w:w="1192"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w:t>
            </w:r>
          </w:p>
        </w:tc>
        <w:tc>
          <w:tcPr>
            <w:tcW w:w="1218"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51 521</w:t>
            </w:r>
          </w:p>
        </w:tc>
      </w:tr>
      <w:tr>
        <w:trPr>
          <w:trHeight w:val="247"/>
        </w:trPr>
        <w:tc>
          <w:tcPr>
            <w:tcW w:w="280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color w:val="016794"/>
              </w:rPr>
            </w:pPr>
            <w:r>
              <w:rPr>
                <w:color w:val="016794"/>
              </w:rPr>
              <w:t>Lyhytaikaiset</w:t>
            </w:r>
          </w:p>
        </w:tc>
        <w:tc>
          <w:tcPr>
            <w:tcW w:w="1134" w:type="dxa"/>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 xml:space="preserve"> 600</w:t>
            </w:r>
          </w:p>
        </w:tc>
        <w:tc>
          <w:tcPr>
            <w:tcW w:w="1134" w:type="dxa"/>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1 534</w:t>
            </w:r>
          </w:p>
        </w:tc>
        <w:tc>
          <w:tcPr>
            <w:tcW w:w="1275" w:type="dxa"/>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 xml:space="preserve"> 79</w:t>
            </w:r>
          </w:p>
        </w:tc>
        <w:tc>
          <w:tcPr>
            <w:tcW w:w="1134" w:type="dxa"/>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 xml:space="preserve"> 41</w:t>
            </w:r>
          </w:p>
        </w:tc>
        <w:tc>
          <w:tcPr>
            <w:tcW w:w="1192" w:type="dxa"/>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 xml:space="preserve"> 97</w:t>
            </w:r>
          </w:p>
        </w:tc>
        <w:tc>
          <w:tcPr>
            <w:tcW w:w="1218" w:type="dxa"/>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2 350</w:t>
            </w:r>
          </w:p>
        </w:tc>
      </w:tr>
    </w:tbl>
    <w:p>
      <w:pPr>
        <w:pStyle w:val="Textstand-alone"/>
      </w:pPr>
      <w:r>
        <w:t>Ottolainaus sisältää pääasiassa velkakirjalainat, joiden määrä on 53 725 miljoonaa euroa (54 674 miljoonaa euroa vuonna 2017). Kirjanpitoarvon muutos vastaa kertyneen koron muutosta.</w:t>
      </w:r>
    </w:p>
    <w:p>
      <w:pPr>
        <w:pStyle w:val="Textstand-alone"/>
        <w:spacing w:after="360"/>
      </w:pPr>
      <w:r>
        <w:t xml:space="preserve">Selvitystilassa olevaa EHTY:ä lukuun ottamatta edellä mainittujen lainojen takaisinmaksun takaajina ovat viime kädessä EU:n talousarvio (ks. liitetieto </w:t>
      </w:r>
      <w:r>
        <w:rPr>
          <w:b/>
        </w:rPr>
        <w:t>4.1.2</w:t>
      </w:r>
      <w:r>
        <w:t>) ja kukin jäsenvaltio.</w:t>
      </w:r>
    </w:p>
    <w:p>
      <w:pPr>
        <w:pStyle w:val="DGTextstand-alone"/>
      </w:pPr>
      <w:r>
        <w:br w:type="page"/>
      </w:r>
    </w:p>
    <w:p>
      <w:pPr>
        <w:pStyle w:val="HEADER5"/>
        <w:rPr>
          <w:noProof/>
        </w:rPr>
      </w:pPr>
      <w:r>
        <w:rPr>
          <w:noProof/>
        </w:rPr>
        <w:t>Lainojen efektiivinen korko (ilmoitetaan korkojen vaihteluvälinä)</w:t>
      </w:r>
    </w:p>
    <w:p>
      <w:pPr>
        <w:pStyle w:val="HEADER5"/>
        <w:rPr>
          <w:noProof/>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410"/>
        <w:gridCol w:w="2410"/>
      </w:tblGrid>
      <w:tr>
        <w:tc>
          <w:tcPr>
            <w:tcW w:w="4928"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bookmarkStart w:id="120" w:name="DOC_TBL00049_1_1"/>
            <w:bookmarkEnd w:id="120"/>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31.12.2018</w:t>
            </w:r>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Makrotaloudellisena rahoitusapuna myönnettävät lainat</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3,82 %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4,54 %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Euratom-lainat</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5,68 %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5,68 %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Maksutaselainat</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2,88 % – 3,38 %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2,88 % – 3,38 %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Euroopan rahoituksenvakautusmekanismi (ERVM)</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0,50 % – 3,75 %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0,62 % – 3,75 %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Selvitystilassa oleva EHTY</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6,91 % – 8,97 %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6,91 % – 8,97 %</w:t>
            </w:r>
          </w:p>
        </w:tc>
      </w:tr>
    </w:tbl>
    <w:p>
      <w:pPr>
        <w:pStyle w:val="HEADER4NOTES"/>
        <w:rPr>
          <w:noProof/>
        </w:rPr>
      </w:pPr>
      <w:r>
        <w:rPr>
          <w:noProof/>
        </w:rPr>
        <w:t>Muut rahoitusvelat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21" w:name="DOC_TBL00050_1_1"/>
            <w:bookmarkEnd w:id="121"/>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Pitkäaikaiset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Rahoitusleasingvelat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1 331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1 456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Erissä maksettavat rakennukset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314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305</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Muut</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115</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159</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1 760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1 920</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Lyhytaikaiset</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Rahoitusleasingvelat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Erissä maksettavat rakennukset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Takaisin maksettavat sakot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Muut</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252</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150</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Yhteensä</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2 012</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2 070</w:t>
            </w:r>
          </w:p>
        </w:tc>
      </w:tr>
    </w:tbl>
    <w:p>
      <w:pPr>
        <w:pStyle w:val="Heading9pNormalRight025"/>
        <w:rPr>
          <w:noProof/>
        </w:rPr>
      </w:pPr>
    </w:p>
    <w:p>
      <w:pPr>
        <w:pStyle w:val="HEADER5"/>
        <w:rPr>
          <w:noProof/>
        </w:rPr>
      </w:pPr>
      <w:r>
        <w:rPr>
          <w:noProof/>
        </w:rPr>
        <w:t>Rahoitusleasingvelat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701"/>
        <w:gridCol w:w="318"/>
        <w:gridCol w:w="1453"/>
        <w:gridCol w:w="1453"/>
        <w:gridCol w:w="319"/>
        <w:gridCol w:w="1134"/>
      </w:tblGrid>
      <w:tr>
        <w:tc>
          <w:tcPr>
            <w:tcW w:w="3369" w:type="dxa"/>
            <w:tcBorders>
              <w:top w:val="nil"/>
              <w:left w:val="nil"/>
              <w:bottom w:val="nil"/>
              <w:right w:val="nil"/>
            </w:tcBorders>
            <w:shd w:val="clear" w:color="auto" w:fill="FFFFFF"/>
            <w:tcMar>
              <w:top w:w="0" w:type="dxa"/>
              <w:left w:w="108" w:type="dxa"/>
              <w:bottom w:w="0" w:type="dxa"/>
              <w:right w:w="108" w:type="dxa"/>
            </w:tcMar>
          </w:tcPr>
          <w:p>
            <w:pPr>
              <w:pStyle w:val="Heading10pNormalCentered"/>
              <w:jc w:val="left"/>
              <w:rPr>
                <w:rFonts w:eastAsia="Verdana" w:cs="Verdana"/>
                <w:i/>
              </w:rPr>
            </w:pPr>
            <w:bookmarkStart w:id="122" w:name="DOC_TBL00051_1_1"/>
            <w:bookmarkEnd w:id="122"/>
          </w:p>
        </w:tc>
        <w:tc>
          <w:tcPr>
            <w:tcW w:w="2019" w:type="dxa"/>
            <w:gridSpan w:val="2"/>
            <w:tcBorders>
              <w:top w:val="nil"/>
              <w:left w:val="nil"/>
              <w:bottom w:val="nil"/>
              <w:right w:val="nil"/>
            </w:tcBorders>
            <w:shd w:val="clear" w:color="auto" w:fill="FFFFFF"/>
            <w:tcMar>
              <w:top w:w="0" w:type="dxa"/>
              <w:left w:w="108" w:type="dxa"/>
              <w:bottom w:w="0" w:type="dxa"/>
              <w:right w:w="108" w:type="dxa"/>
            </w:tcMar>
          </w:tcPr>
          <w:p>
            <w:pPr>
              <w:pStyle w:val="Heading10pNormalCentered"/>
              <w:rPr>
                <w:rFonts w:eastAsia="Verdana" w:cs="Verdana"/>
                <w:color w:val="auto"/>
              </w:rPr>
            </w:pPr>
          </w:p>
        </w:tc>
        <w:tc>
          <w:tcPr>
            <w:tcW w:w="1453" w:type="dxa"/>
            <w:tcBorders>
              <w:top w:val="nil"/>
              <w:left w:val="nil"/>
              <w:bottom w:val="nil"/>
              <w:right w:val="nil"/>
            </w:tcBorders>
            <w:shd w:val="clear" w:color="auto" w:fill="FFFFFF"/>
            <w:tcMar>
              <w:top w:w="0" w:type="dxa"/>
              <w:left w:w="108" w:type="dxa"/>
              <w:bottom w:w="0" w:type="dxa"/>
              <w:right w:w="108" w:type="dxa"/>
            </w:tcMar>
          </w:tcPr>
          <w:p>
            <w:pPr>
              <w:pStyle w:val="Heading10pNormalCentered"/>
              <w:rPr>
                <w:rFonts w:eastAsia="Verdana" w:cs="Verdana"/>
                <w:color w:val="auto"/>
              </w:rPr>
            </w:pPr>
          </w:p>
        </w:tc>
        <w:tc>
          <w:tcPr>
            <w:tcW w:w="1453" w:type="dxa"/>
            <w:tcBorders>
              <w:top w:val="nil"/>
              <w:left w:val="nil"/>
              <w:bottom w:val="nil"/>
              <w:right w:val="nil"/>
            </w:tcBorders>
            <w:shd w:val="clear" w:color="auto" w:fill="FFFFFF"/>
            <w:tcMar>
              <w:top w:w="0" w:type="dxa"/>
              <w:left w:w="108" w:type="dxa"/>
              <w:bottom w:w="0" w:type="dxa"/>
              <w:right w:w="108" w:type="dxa"/>
            </w:tcMar>
          </w:tcPr>
          <w:p>
            <w:pPr>
              <w:pStyle w:val="Heading10pNormalCentered"/>
              <w:rPr>
                <w:rFonts w:eastAsia="Verdana" w:cs="Verdana"/>
                <w:color w:val="auto"/>
              </w:rPr>
            </w:pPr>
          </w:p>
        </w:tc>
        <w:tc>
          <w:tcPr>
            <w:tcW w:w="1453" w:type="dxa"/>
            <w:gridSpan w:val="2"/>
            <w:tcBorders>
              <w:top w:val="nil"/>
              <w:left w:val="nil"/>
              <w:bottom w:val="nil"/>
              <w:right w:val="nil"/>
            </w:tcBorders>
            <w:shd w:val="clear" w:color="auto" w:fill="FFFFFF"/>
            <w:tcMar>
              <w:top w:w="0" w:type="dxa"/>
              <w:left w:w="108" w:type="dxa"/>
              <w:bottom w:w="0" w:type="dxa"/>
              <w:right w:w="108" w:type="dxa"/>
            </w:tcMar>
          </w:tcPr>
          <w:p>
            <w:pPr>
              <w:pStyle w:val="Text8pItalicRight025EUR"/>
              <w:rPr>
                <w:rFonts w:eastAsia="Verdana" w:cs="Verdana"/>
              </w:rPr>
            </w:pPr>
            <w:r>
              <w:t>milj. euroa</w:t>
            </w:r>
          </w:p>
        </w:tc>
      </w:tr>
      <w:tr>
        <w:tc>
          <w:tcPr>
            <w:tcW w:w="3369" w:type="dxa"/>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Erän kuvaus</w:t>
            </w:r>
          </w:p>
        </w:tc>
        <w:tc>
          <w:tcPr>
            <w:tcW w:w="6378" w:type="dxa"/>
            <w:gridSpan w:val="6"/>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Vastaisuudessa maksettavat määrät</w:t>
            </w:r>
          </w:p>
        </w:tc>
      </w:tr>
      <w:tr>
        <w:tc>
          <w:tcPr>
            <w:tcW w:w="3369" w:type="dxa"/>
            <w:tcBorders>
              <w:top w:val="nil"/>
              <w:left w:val="nil"/>
              <w:bottom w:val="nil"/>
              <w:right w:val="nil"/>
            </w:tcBorders>
            <w:shd w:val="clear" w:color="auto" w:fill="016794"/>
            <w:tcMar>
              <w:top w:w="0" w:type="dxa"/>
              <w:left w:w="108" w:type="dxa"/>
              <w:bottom w:w="0" w:type="dxa"/>
              <w:right w:w="108" w:type="dxa"/>
            </w:tcMar>
            <w:vAlign w:val="bottom"/>
          </w:tcPr>
          <w:p>
            <w:pPr>
              <w:pStyle w:val="Heading10pNormalCentered"/>
              <w:rPr>
                <w:rFonts w:eastAsia="Verdana" w:cs="Verdana"/>
              </w:rPr>
            </w:pPr>
          </w:p>
        </w:tc>
        <w:tc>
          <w:tcPr>
            <w:tcW w:w="1701"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Erääntymiseen &lt; 1 vuosi</w:t>
            </w:r>
          </w:p>
        </w:tc>
        <w:tc>
          <w:tcPr>
            <w:tcW w:w="1771" w:type="dxa"/>
            <w:gridSpan w:val="2"/>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 xml:space="preserve">Erääntymiseen </w:t>
            </w:r>
            <w:r>
              <w:rPr>
                <w:noProof/>
              </w:rPr>
              <w:br/>
              <w:t>1–5 vuotta</w:t>
            </w:r>
          </w:p>
        </w:tc>
        <w:tc>
          <w:tcPr>
            <w:tcW w:w="1772" w:type="dxa"/>
            <w:gridSpan w:val="2"/>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Erääntymiseen &gt; 5 vuotta</w:t>
            </w:r>
          </w:p>
        </w:tc>
        <w:tc>
          <w:tcPr>
            <w:tcW w:w="1134"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Velat yhteensä</w:t>
            </w:r>
          </w:p>
        </w:tc>
      </w:tr>
      <w:tr>
        <w:tc>
          <w:tcPr>
            <w:tcW w:w="3369"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Maa-alueet ja rakennukset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86</w:t>
            </w:r>
          </w:p>
        </w:tc>
        <w:tc>
          <w:tcPr>
            <w:tcW w:w="1771"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428</w:t>
            </w:r>
          </w:p>
        </w:tc>
        <w:tc>
          <w:tcPr>
            <w:tcW w:w="145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893</w:t>
            </w:r>
          </w:p>
        </w:tc>
        <w:tc>
          <w:tcPr>
            <w:tcW w:w="1453"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1 407</w:t>
            </w:r>
          </w:p>
        </w:tc>
      </w:tr>
      <w:tr>
        <w:tc>
          <w:tcPr>
            <w:tcW w:w="3369"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Muut käyttöomaisuushyödykkeet</w:t>
            </w:r>
          </w:p>
        </w:tc>
        <w:tc>
          <w:tcPr>
            <w:tcW w:w="1701"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771" w:type="dxa"/>
            <w:gridSpan w:val="2"/>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w:t>
            </w:r>
          </w:p>
        </w:tc>
        <w:tc>
          <w:tcPr>
            <w:tcW w:w="145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53" w:type="dxa"/>
            <w:gridSpan w:val="2"/>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r>
      <w:tr>
        <w:tc>
          <w:tcPr>
            <w:tcW w:w="33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Yhteensä 31.12.2018</w:t>
            </w:r>
          </w:p>
        </w:tc>
        <w:tc>
          <w:tcPr>
            <w:tcW w:w="170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93</w:t>
            </w:r>
          </w:p>
        </w:tc>
        <w:tc>
          <w:tcPr>
            <w:tcW w:w="1771" w:type="dxa"/>
            <w:gridSpan w:val="2"/>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438</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893</w:t>
            </w:r>
          </w:p>
        </w:tc>
        <w:tc>
          <w:tcPr>
            <w:tcW w:w="1453" w:type="dxa"/>
            <w:gridSpan w:val="2"/>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1 424</w:t>
            </w:r>
          </w:p>
        </w:tc>
      </w:tr>
      <w:tr>
        <w:tc>
          <w:tcPr>
            <w:tcW w:w="3369"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Koron osuus</w:t>
            </w:r>
          </w:p>
        </w:tc>
        <w:tc>
          <w:tcPr>
            <w:tcW w:w="1701"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60</w:t>
            </w:r>
          </w:p>
        </w:tc>
        <w:tc>
          <w:tcPr>
            <w:tcW w:w="1771" w:type="dxa"/>
            <w:gridSpan w:val="2"/>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216</w:t>
            </w:r>
          </w:p>
        </w:tc>
        <w:tc>
          <w:tcPr>
            <w:tcW w:w="1453"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196</w:t>
            </w:r>
          </w:p>
        </w:tc>
        <w:tc>
          <w:tcPr>
            <w:tcW w:w="1453" w:type="dxa"/>
            <w:gridSpan w:val="2"/>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472</w:t>
            </w:r>
          </w:p>
        </w:tc>
      </w:tr>
      <w:tr>
        <w:tc>
          <w:tcPr>
            <w:tcW w:w="33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Leasingmaksujen tuleva vähimmäismäärä yhteensä 31.12.2018</w:t>
            </w:r>
          </w:p>
        </w:tc>
        <w:tc>
          <w:tcPr>
            <w:tcW w:w="170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153</w:t>
            </w:r>
          </w:p>
        </w:tc>
        <w:tc>
          <w:tcPr>
            <w:tcW w:w="1771" w:type="dxa"/>
            <w:gridSpan w:val="2"/>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654</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1 089</w:t>
            </w:r>
          </w:p>
        </w:tc>
        <w:tc>
          <w:tcPr>
            <w:tcW w:w="1453" w:type="dxa"/>
            <w:gridSpan w:val="2"/>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1 896</w:t>
            </w:r>
          </w:p>
        </w:tc>
      </w:tr>
      <w:tr>
        <w:tc>
          <w:tcPr>
            <w:tcW w:w="3369"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Leasingmaksujen tuleva vähimmäismäärä yhteensä 31.12.2017</w:t>
            </w:r>
          </w:p>
        </w:tc>
        <w:tc>
          <w:tcPr>
            <w:tcW w:w="170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158</w:t>
            </w:r>
          </w:p>
        </w:tc>
        <w:tc>
          <w:tcPr>
            <w:tcW w:w="1771" w:type="dxa"/>
            <w:gridSpan w:val="2"/>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682</w:t>
            </w:r>
          </w:p>
        </w:tc>
        <w:tc>
          <w:tcPr>
            <w:tcW w:w="145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1 271</w:t>
            </w:r>
          </w:p>
        </w:tc>
        <w:tc>
          <w:tcPr>
            <w:tcW w:w="1453" w:type="dxa"/>
            <w:gridSpan w:val="2"/>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2 111</w:t>
            </w:r>
          </w:p>
        </w:tc>
      </w:tr>
    </w:tbl>
    <w:p>
      <w:pPr>
        <w:pStyle w:val="DGTextstand-alone"/>
      </w:pPr>
      <w:r>
        <w:t xml:space="preserve">Edellä mainitut leasingiin ja rakennuksiin liittyvät määrät on rahoitettava tulevista talousarvioista. </w:t>
      </w:r>
    </w:p>
    <w:p>
      <w:pPr>
        <w:pStyle w:val="HEADER3NOTES"/>
        <w:rPr>
          <w:noProof/>
        </w:rPr>
      </w:pPr>
      <w:r>
        <w:rPr>
          <w:noProof/>
        </w:rPr>
        <w:t xml:space="preserve">Käypään arvoon tulosvaikutteisesti kirjattavat rahoitusvelat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23" w:name="DOC_TBL00052_1_1"/>
            <w:bookmarkEnd w:id="123"/>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31.12.2018</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31.12.2017</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Johdannaistyyppi</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Nimellis</w:t>
            </w:r>
            <w:r>
              <w:softHyphen/>
              <w:t xml:space="preserve">arvo </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Käypä arvo</w:t>
            </w:r>
          </w:p>
        </w:tc>
        <w:tc>
          <w:tcPr>
            <w:tcW w:w="141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Nimellis</w:t>
            </w:r>
            <w:r>
              <w:softHyphen/>
              <w:t xml:space="preserve">arvo </w:t>
            </w:r>
          </w:p>
        </w:tc>
        <w:tc>
          <w:tcPr>
            <w:tcW w:w="1559"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 xml:space="preserve">Käypä </w:t>
            </w:r>
            <w:r>
              <w:br/>
              <w:t>arvo</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Pääomasijoitussalkun takaus</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536</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r>
      <w:tr>
        <w:tc>
          <w:tcPr>
            <w:tcW w:w="3794"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NormalLeft"/>
              <w:rPr>
                <w:rFonts w:eastAsia="Verdana" w:cs="Verdana"/>
                <w:i/>
              </w:rPr>
            </w:pPr>
            <w:r>
              <w:rPr>
                <w:i/>
              </w:rPr>
              <w:t>Ulkomaanvaluutan määräiset optiot (hajotettu)</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w:t>
            </w:r>
          </w:p>
        </w:tc>
      </w:tr>
      <w:tr>
        <w:tc>
          <w:tcPr>
            <w:tcW w:w="379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Yhteensä</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546</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22</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w:t>
            </w:r>
          </w:p>
        </w:tc>
      </w:tr>
      <w:tr>
        <w:tc>
          <w:tcPr>
            <w:tcW w:w="379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Pitkäaikaiset</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82</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7</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9</w:t>
            </w: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 xml:space="preserve"> 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Lyhytaikaiset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464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15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w:t>
            </w:r>
          </w:p>
        </w:tc>
      </w:tr>
    </w:tbl>
    <w:p>
      <w:pPr>
        <w:pStyle w:val="HEADER5"/>
        <w:rPr>
          <w:noProof/>
        </w:rPr>
      </w:pPr>
    </w:p>
    <w:p>
      <w:pPr>
        <w:pStyle w:val="HEADER5"/>
        <w:rPr>
          <w:noProof/>
        </w:rPr>
      </w:pPr>
      <w:r>
        <w:rPr>
          <w:noProof/>
        </w:rPr>
        <w:t>Pääomasijoitussalkun takaus</w:t>
      </w:r>
    </w:p>
    <w:p>
      <w:pPr>
        <w:pStyle w:val="DGTextstand-alone"/>
      </w:pPr>
      <w:r>
        <w:t>Pääomasijoitussalkulle annetut takaukset luokitellaan käypään arvoon tulosvaikutteisesti kirjattaviksi rahoitusveloiksi, koska ne eivät täytä rahoitusvakuuksiin liittyvän velan määritelmää – ks. liitetieto </w:t>
      </w:r>
      <w:r>
        <w:rPr>
          <w:b/>
        </w:rPr>
        <w:t>1.5.12</w:t>
      </w:r>
      <w:r>
        <w:t xml:space="preserve">. Tämä otsake liittyy 31. joulukuuta 2018 takaukseen, jonka EU on antanut Horisontti 2020 </w:t>
      </w:r>
      <w:r>
        <w:noBreakHyphen/>
        <w:t>takausvälineistä (ks. liitetieto </w:t>
      </w:r>
      <w:r>
        <w:rPr>
          <w:b/>
        </w:rPr>
        <w:t>2.4.1</w:t>
      </w:r>
      <w:r>
        <w:t xml:space="preserve">) EIP-ryhmälle oman pääoman ehtoisten toimenpiteiden salkkua varten. EU:n taloudellinen vastuu mitataan kohteena olevien sijoitusten arvon perusteella. </w:t>
      </w:r>
    </w:p>
    <w:p>
      <w:pPr>
        <w:pStyle w:val="HEADER5"/>
        <w:rPr>
          <w:noProof/>
        </w:rPr>
      </w:pPr>
      <w:r>
        <w:rPr>
          <w:noProof/>
        </w:rPr>
        <w:t>Ulkomaanvaluutan määräinen optio</w:t>
      </w:r>
    </w:p>
    <w:p>
      <w:pPr>
        <w:pStyle w:val="DGTextstand-alone"/>
      </w:pPr>
      <w:r>
        <w:t xml:space="preserve">EU:lla on 31. joulukuuta 2018 johdannaissopimus (ulkomaanvaluutan määräinen optio – put spread </w:t>
      </w:r>
      <w:r>
        <w:noBreakHyphen/>
        <w:t>optio), jolla se kattaa rahoituslaitosten Ukrainan pk-yrityksille rahoituksen saatavuuden vahvistamiseksi sekä lainaehtojen houkuttavuuden parantamiseksi Ukrainassa myöntämiin lainoihin liittyvän ulkomaanvaluutan (UAH) devalvoinnin. Sopimusehtojen mukaan EU antaa kumppaneilleen mahdollisuuden hakea kunkin tukikelpoisen lainan osalta enintään EU:n 30 prosentin maksuosuutta, jos Ukrainan hryvnia devalvoidaan suhteessa euroon.</w:t>
      </w:r>
    </w:p>
    <w:p>
      <w:pPr>
        <w:pStyle w:val="HEADER5"/>
        <w:rPr>
          <w:b/>
          <w:noProof/>
        </w:rPr>
      </w:pPr>
      <w:r>
        <w:rPr>
          <w:noProof/>
        </w:rPr>
        <w:t>Käypään arvoon kirjattavien rahoitusvelkojen hierarkia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1701"/>
        <w:gridCol w:w="1985"/>
      </w:tblGrid>
      <w:tr>
        <w:tc>
          <w:tcPr>
            <w:tcW w:w="606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24" w:name="DOC_TBL00053_1_1"/>
            <w:bookmarkEnd w:id="124"/>
          </w:p>
        </w:tc>
        <w:tc>
          <w:tcPr>
            <w:tcW w:w="1701"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c>
          <w:tcPr>
            <w:tcW w:w="606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c>
          <w:tcPr>
            <w:tcW w:w="606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Taso 1: Toimivilla markkinoilla noteeratut hinnat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606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Taso 2: Muut todettavissa olevat tiedot kuin noteeratut hinnat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6062"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Taso 3: Arvostusmenetelmät, joissa käytetyt tiedot eivät perustu todettavissa olevaan markkinatietoon</w:t>
            </w:r>
          </w:p>
        </w:tc>
        <w:tc>
          <w:tcPr>
            <w:tcW w:w="170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606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Yhteensä</w:t>
            </w:r>
          </w:p>
        </w:tc>
        <w:tc>
          <w:tcPr>
            <w:tcW w:w="170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22</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w:t>
            </w:r>
          </w:p>
        </w:tc>
      </w:tr>
      <w:tr>
        <w:tc>
          <w:tcPr>
            <w:tcW w:w="6062"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170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HEADER3NOTES"/>
        <w:spacing w:before="240"/>
        <w:rPr>
          <w:noProof/>
        </w:rPr>
      </w:pPr>
      <w:r>
        <w:rPr>
          <w:noProof/>
        </w:rPr>
        <w:t>Rahoitusvakuuksiin liittyvät velat</w:t>
      </w:r>
    </w:p>
    <w:p>
      <w:pPr>
        <w:pStyle w:val="DGTextstand-alone"/>
      </w:pPr>
      <w:r>
        <w:t>EIP:n ESIR:in infrastruktuuri- ja innovointi-ikkunan puitteissa (IIW) maksaman velkasalkun ESIR-takuu merkitään rahoitusvakuuksiin liittyväksi velaksi. ESIR-rahaston rahoitusvakuuksiin liittyvien velkojen määrä oli nolla euroa 31. joulukuuta 2018, koska takauksen perusteella saatavat määrät ylittävät odotetut tappiot (ks. liitetieto </w:t>
      </w:r>
      <w:r>
        <w:rPr>
          <w:b/>
        </w:rPr>
        <w:t>4.1.1</w:t>
      </w:r>
      <w:r>
        <w:t>).</w:t>
      </w:r>
    </w:p>
    <w:p>
      <w:pPr>
        <w:pStyle w:val="DGTextstand-alone"/>
        <w:sectPr>
          <w:headerReference w:type="even" r:id="rId202"/>
          <w:headerReference w:type="default" r:id="rId203"/>
          <w:footerReference w:type="even" r:id="rId204"/>
          <w:footerReference w:type="default" r:id="rId205"/>
          <w:headerReference w:type="first" r:id="rId206"/>
          <w:footerReference w:type="first" r:id="rId207"/>
          <w:pgSz w:w="11906" w:h="16838"/>
          <w:pgMar w:top="1134" w:right="1134" w:bottom="1134" w:left="1134" w:header="709" w:footer="709" w:gutter="0"/>
          <w:cols w:space="708"/>
          <w:docGrid w:linePitch="360"/>
        </w:sectPr>
      </w:pPr>
      <w:r>
        <w:rPr>
          <w:b/>
        </w:rPr>
        <w:t xml:space="preserve"> </w:t>
      </w:r>
      <w:bookmarkEnd w:id="116"/>
    </w:p>
    <w:p>
      <w:pPr>
        <w:pStyle w:val="HEADER2NOTES"/>
        <w:spacing w:after="240"/>
        <w:rPr>
          <w:noProof/>
        </w:rPr>
      </w:pPr>
      <w:bookmarkStart w:id="125" w:name="_DMBM_14751"/>
      <w:r>
        <w:rPr>
          <w:noProof/>
        </w:rPr>
        <w:t>MUUT LYHYTAIKAISET VELAT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276"/>
        <w:gridCol w:w="142"/>
        <w:gridCol w:w="1275"/>
        <w:gridCol w:w="1276"/>
        <w:gridCol w:w="1276"/>
        <w:gridCol w:w="1417"/>
      </w:tblGrid>
      <w:tr>
        <w:tc>
          <w:tcPr>
            <w:tcW w:w="1809"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126" w:name="DOC_TBL00054_1_1"/>
            <w:bookmarkEnd w:id="126"/>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417" w:type="dxa"/>
            <w:gridSpan w:val="2"/>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pPr>
              <w:pStyle w:val="Text7pItalicRight025"/>
              <w:rPr>
                <w:rFonts w:eastAsia="Times New Roman" w:cs="Verdana"/>
              </w:rPr>
            </w:pPr>
            <w:r>
              <w:t>milj. euroa</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Bruttomäärä</w:t>
            </w:r>
          </w:p>
        </w:tc>
        <w:tc>
          <w:tcPr>
            <w:tcW w:w="1418" w:type="dxa"/>
            <w:gridSpan w:val="2"/>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Oikaisut</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Nettomäärä 31.12.2018</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Bruttomäärä</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Oikaisut</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Nettomäärä 31.12.2017</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BoldLeft"/>
              <w:rPr>
                <w:rFonts w:eastAsia="Times New Roman" w:cs="Verdana"/>
              </w:rPr>
            </w:pPr>
            <w:r>
              <w:t>Maksupyynnöt ja laskut, jotka on saatu:</w:t>
            </w:r>
          </w:p>
        </w:tc>
        <w:tc>
          <w:tcPr>
            <w:tcW w:w="1276" w:type="dxa"/>
            <w:tcBorders>
              <w:top w:val="nil"/>
              <w:left w:val="nil"/>
              <w:bottom w:val="nil"/>
              <w:right w:val="nil"/>
            </w:tcBorders>
            <w:tcMar>
              <w:top w:w="0" w:type="dxa"/>
              <w:left w:w="108" w:type="dxa"/>
              <w:bottom w:w="0" w:type="dxa"/>
              <w:right w:w="108" w:type="dxa"/>
            </w:tcMar>
          </w:tcPr>
          <w:p>
            <w:pPr>
              <w:pStyle w:val="Figures8pBold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pPr>
              <w:pStyle w:val="Figures8pBoldRight025"/>
              <w:rPr>
                <w:rFonts w:eastAsia="Times New Roman" w:cs="Verdana"/>
              </w:rPr>
            </w:pPr>
          </w:p>
        </w:tc>
        <w:tc>
          <w:tcPr>
            <w:tcW w:w="1417" w:type="dxa"/>
            <w:gridSpan w:val="2"/>
            <w:tcBorders>
              <w:top w:val="nil"/>
              <w:left w:val="nil"/>
              <w:bottom w:val="nil"/>
              <w:right w:val="single" w:sz="4" w:space="0" w:color="016794"/>
            </w:tcBorders>
            <w:tcMar>
              <w:top w:w="0" w:type="dxa"/>
              <w:left w:w="108" w:type="dxa"/>
              <w:bottom w:w="0" w:type="dxa"/>
              <w:right w:w="108" w:type="dxa"/>
            </w:tcMar>
          </w:tcPr>
          <w:p>
            <w:pPr>
              <w:pStyle w:val="Figures8pBoldRight025"/>
              <w:rPr>
                <w:rFonts w:eastAsia="Times New Roman"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Bold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pPr>
              <w:pStyle w:val="Figures8pBoldRight025"/>
              <w:rPr>
                <w:rFonts w:eastAsia="Times New Roman" w:cs="Verdana"/>
              </w:rPr>
            </w:pPr>
          </w:p>
        </w:tc>
        <w:tc>
          <w:tcPr>
            <w:tcW w:w="1417" w:type="dxa"/>
            <w:tcBorders>
              <w:top w:val="nil"/>
              <w:left w:val="nil"/>
              <w:bottom w:val="nil"/>
              <w:right w:val="nil"/>
            </w:tcBorders>
            <w:tcMar>
              <w:top w:w="0" w:type="dxa"/>
              <w:left w:w="108" w:type="dxa"/>
              <w:bottom w:w="0" w:type="dxa"/>
              <w:right w:w="108" w:type="dxa"/>
            </w:tcMar>
          </w:tcPr>
          <w:p>
            <w:pPr>
              <w:pStyle w:val="Figures8pBoldRight025"/>
              <w:rPr>
                <w:rFonts w:eastAsia="Times New Roman"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Blue"/>
              <w:rPr>
                <w:rFonts w:eastAsia="Times New Roman" w:cs="Verdana"/>
              </w:rPr>
            </w:pPr>
            <w:r>
              <w:t>Jäsenvaltioilta</w:t>
            </w: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eastAsia="Times New Roman" w:cs="Verdana"/>
              </w:rPr>
            </w:pPr>
          </w:p>
        </w:tc>
        <w:tc>
          <w:tcPr>
            <w:tcW w:w="1417" w:type="dxa"/>
            <w:gridSpan w:val="2"/>
            <w:tcBorders>
              <w:top w:val="nil"/>
              <w:left w:val="nil"/>
              <w:bottom w:val="nil"/>
              <w:right w:val="single" w:sz="4" w:space="0" w:color="016794"/>
            </w:tcBorders>
            <w:tcMar>
              <w:top w:w="0" w:type="dxa"/>
              <w:left w:w="108" w:type="dxa"/>
              <w:bottom w:w="0" w:type="dxa"/>
              <w:right w:w="108" w:type="dxa"/>
            </w:tcMar>
          </w:tcPr>
          <w:p>
            <w:pPr>
              <w:pStyle w:val="Figures8pItalicBlueRight"/>
              <w:rPr>
                <w:rFonts w:eastAsia="Times New Roman"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BlueRight"/>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eastAsia="Times New Roman" w:cs="Verdana"/>
              </w:rPr>
            </w:pPr>
          </w:p>
        </w:tc>
        <w:tc>
          <w:tcPr>
            <w:tcW w:w="1417" w:type="dxa"/>
            <w:tcBorders>
              <w:top w:val="nil"/>
              <w:left w:val="nil"/>
              <w:bottom w:val="nil"/>
              <w:right w:val="nil"/>
            </w:tcBorders>
            <w:tcMar>
              <w:top w:w="0" w:type="dxa"/>
              <w:left w:w="108" w:type="dxa"/>
              <w:bottom w:w="0" w:type="dxa"/>
              <w:right w:w="108" w:type="dxa"/>
            </w:tcMar>
          </w:tcPr>
          <w:p>
            <w:pPr>
              <w:pStyle w:val="Figures8pItalicBlueRight"/>
              <w:rPr>
                <w:rFonts w:eastAsia="Times New Roman"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Maaseuturahasto ja muut maaseudun kehittämisen välineet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247</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417" w:type="dxa"/>
            <w:gridSpan w:val="2"/>
            <w:tcBorders>
              <w:top w:val="nil"/>
              <w:left w:val="nil"/>
              <w:bottom w:val="nil"/>
              <w:right w:val="single" w:sz="4" w:space="0" w:color="016794"/>
            </w:tcBorders>
            <w:tcMar>
              <w:top w:w="0" w:type="dxa"/>
              <w:left w:w="108" w:type="dxa"/>
              <w:bottom w:w="0" w:type="dxa"/>
              <w:right w:w="108" w:type="dxa"/>
            </w:tcMar>
          </w:tcPr>
          <w:p>
            <w:pPr>
              <w:pStyle w:val="Figures8pItalicRight025"/>
              <w:rPr>
                <w:rFonts w:eastAsia="Times New Roman" w:cs="Verdana"/>
              </w:rPr>
            </w:pPr>
            <w:r>
              <w:t xml:space="preserve"> 247</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eastAsia="Times New Roman" w:cs="Verdana"/>
              </w:rPr>
            </w:pPr>
            <w:r>
              <w:t xml:space="preserve"> 481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481</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EAKR ja koheesiorahasto</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10 761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(1 724)</w:t>
            </w:r>
          </w:p>
        </w:tc>
        <w:tc>
          <w:tcPr>
            <w:tcW w:w="1417" w:type="dxa"/>
            <w:gridSpan w:val="2"/>
            <w:tcBorders>
              <w:top w:val="nil"/>
              <w:left w:val="nil"/>
              <w:bottom w:val="nil"/>
              <w:right w:val="single" w:sz="4" w:space="0" w:color="016794"/>
            </w:tcBorders>
            <w:tcMar>
              <w:top w:w="0" w:type="dxa"/>
              <w:left w:w="108" w:type="dxa"/>
              <w:bottom w:w="0" w:type="dxa"/>
              <w:right w:w="108" w:type="dxa"/>
            </w:tcMar>
          </w:tcPr>
          <w:p>
            <w:pPr>
              <w:pStyle w:val="Figures8pItalicRight025"/>
              <w:rPr>
                <w:rFonts w:eastAsia="Times New Roman" w:cs="Verdana"/>
              </w:rPr>
            </w:pPr>
            <w:r>
              <w:t>9 037</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eastAsia="Times New Roman" w:cs="Verdana"/>
              </w:rPr>
            </w:pPr>
            <w:r>
              <w:t>12 602</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(883)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11 719</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Euroopan sosiaalirahasto</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5 195</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(496)</w:t>
            </w:r>
          </w:p>
        </w:tc>
        <w:tc>
          <w:tcPr>
            <w:tcW w:w="1417" w:type="dxa"/>
            <w:gridSpan w:val="2"/>
            <w:tcBorders>
              <w:top w:val="nil"/>
              <w:left w:val="nil"/>
              <w:bottom w:val="nil"/>
              <w:right w:val="single" w:sz="4" w:space="0" w:color="016794"/>
            </w:tcBorders>
            <w:tcMar>
              <w:top w:w="0" w:type="dxa"/>
              <w:left w:w="108" w:type="dxa"/>
              <w:bottom w:w="0" w:type="dxa"/>
              <w:right w:w="108" w:type="dxa"/>
            </w:tcMar>
          </w:tcPr>
          <w:p>
            <w:pPr>
              <w:pStyle w:val="Figures8pItalicRight025"/>
              <w:rPr>
                <w:rFonts w:eastAsia="Times New Roman" w:cs="Verdana"/>
              </w:rPr>
            </w:pPr>
            <w:r>
              <w:t>4 699</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eastAsia="Times New Roman" w:cs="Verdana"/>
              </w:rPr>
            </w:pPr>
            <w:r>
              <w:t>4 183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(264)</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3 919</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Muut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632</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(75)</w:t>
            </w:r>
          </w:p>
        </w:tc>
        <w:tc>
          <w:tcPr>
            <w:tcW w:w="1417" w:type="dxa"/>
            <w:gridSpan w:val="2"/>
            <w:tcBorders>
              <w:top w:val="nil"/>
              <w:left w:val="nil"/>
              <w:bottom w:val="nil"/>
              <w:right w:val="single" w:sz="4" w:space="0" w:color="016794"/>
            </w:tcBorders>
            <w:tcMar>
              <w:top w:w="0" w:type="dxa"/>
              <w:left w:w="108" w:type="dxa"/>
              <w:bottom w:w="0" w:type="dxa"/>
              <w:right w:w="108" w:type="dxa"/>
            </w:tcMar>
          </w:tcPr>
          <w:p>
            <w:pPr>
              <w:pStyle w:val="Figures8pItalicRight025"/>
              <w:rPr>
                <w:rFonts w:eastAsia="Times New Roman" w:cs="Verdana"/>
              </w:rPr>
            </w:pPr>
            <w:r>
              <w:t xml:space="preserve"> 557</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eastAsia="Times New Roman" w:cs="Verdana"/>
              </w:rPr>
            </w:pPr>
            <w:r>
              <w:t xml:space="preserve"> 746</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(280)</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466</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Blue"/>
              <w:rPr>
                <w:rFonts w:eastAsia="Times New Roman" w:cs="Verdana"/>
              </w:rPr>
            </w:pPr>
            <w:r>
              <w:t>Yksityisiltä yrityksiltä ja julkisyhteisöiltä</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eastAsia="Times New Roman" w:cs="Verdana"/>
              </w:rPr>
            </w:pPr>
            <w:r>
              <w:t>1 461</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eastAsia="Times New Roman" w:cs="Verdana"/>
              </w:rPr>
            </w:pPr>
            <w:r>
              <w:t xml:space="preserve"> (179)</w:t>
            </w:r>
          </w:p>
        </w:tc>
        <w:tc>
          <w:tcPr>
            <w:tcW w:w="1417" w:type="dxa"/>
            <w:gridSpan w:val="2"/>
            <w:tcBorders>
              <w:top w:val="nil"/>
              <w:left w:val="nil"/>
              <w:bottom w:val="single" w:sz="4" w:space="0" w:color="016794"/>
              <w:right w:val="single" w:sz="4" w:space="0" w:color="016794"/>
            </w:tcBorders>
            <w:tcMar>
              <w:top w:w="0" w:type="dxa"/>
              <w:left w:w="108" w:type="dxa"/>
              <w:bottom w:w="0" w:type="dxa"/>
              <w:right w:w="108" w:type="dxa"/>
            </w:tcMar>
          </w:tcPr>
          <w:p>
            <w:pPr>
              <w:pStyle w:val="Figures8pItalicBlueRight"/>
              <w:rPr>
                <w:rFonts w:eastAsia="Times New Roman" w:cs="Verdana"/>
              </w:rPr>
            </w:pPr>
            <w:r>
              <w:t>1 282</w:t>
            </w:r>
          </w:p>
        </w:tc>
        <w:tc>
          <w:tcPr>
            <w:tcW w:w="1276"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BlueRight"/>
              <w:rPr>
                <w:rFonts w:eastAsia="Times New Roman" w:cs="Verdana"/>
              </w:rPr>
            </w:pPr>
            <w:r>
              <w:t>1 563</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eastAsia="Times New Roman" w:cs="Verdana"/>
              </w:rPr>
            </w:pPr>
            <w:r>
              <w:t xml:space="preserve"> (144)</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eastAsia="Times New Roman" w:cs="Verdana"/>
              </w:rPr>
            </w:pPr>
            <w:r>
              <w:t>1 419</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eastAsia="Times New Roman" w:cs="Verdana"/>
              </w:rPr>
            </w:pPr>
            <w:r>
              <w:t>Saadut maksupyynnöt ja laskut yhteensä</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18 296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(2 475)</w:t>
            </w:r>
          </w:p>
        </w:tc>
        <w:tc>
          <w:tcPr>
            <w:tcW w:w="1417" w:type="dxa"/>
            <w:gridSpan w:val="2"/>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eastAsia="Times New Roman" w:cs="Verdana"/>
              </w:rPr>
            </w:pPr>
            <w:r>
              <w:t>15 821</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19 574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(1 571)</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18 004</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eastAsia="Times New Roman" w:cs="Verdana"/>
              </w:rPr>
            </w:pPr>
            <w:r>
              <w:t>Maataloustuki</w:t>
            </w:r>
            <w:r>
              <w:softHyphen/>
              <w:t>rahasto</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14 772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w:t>
            </w:r>
          </w:p>
        </w:tc>
        <w:tc>
          <w:tcPr>
            <w:tcW w:w="1417" w:type="dxa"/>
            <w:gridSpan w:val="2"/>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eastAsia="Times New Roman" w:cs="Verdana"/>
              </w:rPr>
            </w:pPr>
            <w:r>
              <w:t>14 772</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11 534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11 534</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eastAsia="Times New Roman" w:cs="Verdana"/>
              </w:rPr>
            </w:pPr>
            <w:r>
              <w:t>Omiin varoihin liittyvät velat</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769</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w:t>
            </w:r>
          </w:p>
        </w:tc>
        <w:tc>
          <w:tcPr>
            <w:tcW w:w="1417" w:type="dxa"/>
            <w:gridSpan w:val="2"/>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eastAsia="Times New Roman" w:cs="Verdana"/>
              </w:rPr>
            </w:pPr>
            <w:r>
              <w:t xml:space="preserve"> 769</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8 836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8 836</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eastAsia="Times New Roman" w:cs="Verdana"/>
              </w:rPr>
            </w:pPr>
            <w:r>
              <w:t>Muut</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570</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w:t>
            </w:r>
          </w:p>
        </w:tc>
        <w:tc>
          <w:tcPr>
            <w:tcW w:w="1417" w:type="dxa"/>
            <w:gridSpan w:val="2"/>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eastAsia="Times New Roman" w:cs="Verdana"/>
              </w:rPr>
            </w:pPr>
            <w:r>
              <w:t xml:space="preserve"> 570</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341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341</w:t>
            </w:r>
          </w:p>
        </w:tc>
      </w:tr>
      <w:tr>
        <w:trPr>
          <w:trHeight w:val="247"/>
        </w:trPr>
        <w:tc>
          <w:tcPr>
            <w:tcW w:w="1809" w:type="dxa"/>
            <w:tcBorders>
              <w:top w:val="single" w:sz="4" w:space="0" w:color="016794"/>
              <w:left w:val="nil"/>
              <w:bottom w:val="nil"/>
              <w:right w:val="nil"/>
            </w:tcBorders>
            <w:tcMar>
              <w:top w:w="0" w:type="dxa"/>
              <w:left w:w="108" w:type="dxa"/>
              <w:bottom w:w="0" w:type="dxa"/>
              <w:right w:w="108" w:type="dxa"/>
            </w:tcMar>
          </w:tcPr>
          <w:p>
            <w:pPr>
              <w:pStyle w:val="Text8pBoldLeft"/>
              <w:rPr>
                <w:rFonts w:eastAsia="Times New Roman" w:cs="Verdana"/>
              </w:rPr>
            </w:pPr>
            <w:r>
              <w:t>Muut</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 xml:space="preserve"> 294</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w:t>
            </w:r>
          </w:p>
        </w:tc>
        <w:tc>
          <w:tcPr>
            <w:tcW w:w="1417" w:type="dxa"/>
            <w:gridSpan w:val="2"/>
            <w:tcBorders>
              <w:top w:val="single" w:sz="4" w:space="0" w:color="016794"/>
              <w:left w:val="nil"/>
              <w:bottom w:val="nil"/>
              <w:right w:val="single" w:sz="4" w:space="0" w:color="016794"/>
            </w:tcBorders>
            <w:tcMar>
              <w:top w:w="0" w:type="dxa"/>
              <w:left w:w="108" w:type="dxa"/>
              <w:bottom w:w="0" w:type="dxa"/>
              <w:right w:w="108" w:type="dxa"/>
            </w:tcMar>
          </w:tcPr>
          <w:p>
            <w:pPr>
              <w:pStyle w:val="Figures8pBoldRight025"/>
              <w:rPr>
                <w:rFonts w:eastAsia="Times New Roman" w:cs="Verdana"/>
              </w:rPr>
            </w:pPr>
            <w:r>
              <w:t xml:space="preserve"> 294</w:t>
            </w:r>
          </w:p>
        </w:tc>
        <w:tc>
          <w:tcPr>
            <w:tcW w:w="1276" w:type="dxa"/>
            <w:tcBorders>
              <w:top w:val="single" w:sz="4" w:space="0" w:color="016794"/>
              <w:left w:val="single" w:sz="4" w:space="0" w:color="016794"/>
              <w:bottom w:val="nil"/>
              <w:right w:val="nil"/>
            </w:tcBorders>
            <w:tcMar>
              <w:top w:w="0" w:type="dxa"/>
              <w:left w:w="108" w:type="dxa"/>
              <w:bottom w:w="0" w:type="dxa"/>
              <w:right w:w="108" w:type="dxa"/>
            </w:tcMar>
          </w:tcPr>
          <w:p>
            <w:pPr>
              <w:pStyle w:val="Figures8pBoldRight025"/>
              <w:rPr>
                <w:rFonts w:eastAsia="Times New Roman" w:cs="Verdana"/>
              </w:rPr>
            </w:pPr>
            <w:r>
              <w:t xml:space="preserve"> 333</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 xml:space="preserve"> 333</w:t>
            </w:r>
          </w:p>
        </w:tc>
      </w:tr>
      <w:tr>
        <w:trPr>
          <w:trHeight w:val="247"/>
        </w:trPr>
        <w:tc>
          <w:tcPr>
            <w:tcW w:w="1809"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Times New Roman" w:cs="Verdana"/>
              </w:rPr>
            </w:pPr>
            <w:r>
              <w:t>Yhteensä</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34 701</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(2 475)</w:t>
            </w:r>
          </w:p>
        </w:tc>
        <w:tc>
          <w:tcPr>
            <w:tcW w:w="1417" w:type="dxa"/>
            <w:gridSpan w:val="2"/>
            <w:tcBorders>
              <w:top w:val="nil"/>
              <w:left w:val="nil"/>
              <w:bottom w:val="nil"/>
              <w:right w:val="single" w:sz="4" w:space="0" w:color="016794"/>
            </w:tcBorders>
            <w:shd w:val="clear" w:color="auto" w:fill="CCE1EA"/>
            <w:tcMar>
              <w:top w:w="0" w:type="dxa"/>
              <w:left w:w="108" w:type="dxa"/>
              <w:bottom w:w="0" w:type="dxa"/>
              <w:right w:w="108" w:type="dxa"/>
            </w:tcMar>
          </w:tcPr>
          <w:p>
            <w:pPr>
              <w:pStyle w:val="Figures8pBoldRight025"/>
              <w:rPr>
                <w:rFonts w:eastAsia="Times New Roman" w:cs="Verdana"/>
              </w:rPr>
            </w:pPr>
            <w:r>
              <w:t>32 227</w:t>
            </w:r>
          </w:p>
        </w:tc>
        <w:tc>
          <w:tcPr>
            <w:tcW w:w="1276" w:type="dxa"/>
            <w:tcBorders>
              <w:top w:val="nil"/>
              <w:left w:val="single" w:sz="4" w:space="0" w:color="016794"/>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40 618</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(1 571)</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39 048</w:t>
            </w:r>
          </w:p>
        </w:tc>
      </w:tr>
    </w:tbl>
    <w:p>
      <w:pPr>
        <w:pStyle w:val="DGTextstand-alone"/>
      </w:pPr>
      <w:r>
        <w:t xml:space="preserve">Muihin lyhytaikaisiin velkoihin sisältyy saatuja laskuja ja menoilmoituksia, joita ei ole vielä maksettu vuoden loppuun mennessä. Ne kirjataan alun perin laskun/menoilmoituksen vastaanoton yhteydessä esitetyn määrän suuruisiksi. Muita lyhytaikaisia velkoja oikaistaan vastaamaan kustannusten tarkastuksen jälkeen hyväksyttyjä määriä ja tukikelpoisiksi arvioituja määriä. Määrät, joiden arvioidaan olevan tukikelvottomia, esitetään kohdassa ”Oikaisut”. Suurimmat määrät liittyvät rakennetoimiin. </w:t>
      </w:r>
    </w:p>
    <w:p>
      <w:pPr>
        <w:pStyle w:val="DGTextstand-alone"/>
      </w:pPr>
      <w:r>
        <w:t>Yhteisiä säännöksiä koskevassa asetuksessa, jota sovelletaan rakennerahastoihin (EAKR ja Euroopan sosiaalirahasto), koheesiorahastoon ja Euroopan meri- ja kalatalousrahastoon, säädetään ohjelmakauden 2014–2020 osalta, että EU:n talousarviota suojataan pidättämällä välimaksuista järjestelmällisesti 10 prosenttia. Valvontasykli päättyy tilivuoden (1. heinäkuuta – 30. kesäkuuta) päättymistä seuraavan vuoden helmikuussa hallintoviranomaisten suoritettua hallinnon tarkastukset ja tarkastusviranomaisten suoritettua omat tarkastuksensa. Komissio tarkastaa jäsenvaltioiden viranomaisten toimittamat varmistusasiakirjat ja tilityksen. Loppusaldo maksetaan tai peritään takaisin vasta sitten kun tämä arviointi on tehty ja tilit hyväksytty. Näiden sääntöjen mukaisesti pidätetty määrä oli vuoden 2018 lopussa yhteensä 5,7 miljardia euroa. Osa tästä määrästä (0,9 miljardia euroa) arvioidaan tukikelvottomaksi jäsenvaltioiden tilinpäätöksissään toimittamien tietojen perusteella, ja sekin esitetään kohdassa ”Oikaisut”. Muita lyhytaikaisia velkoja koskevien oikaisujen viimeinen komponentti ovat jäsenvaltioille maksettavien muiden ennakoiden määrät (ks. liitetieto </w:t>
      </w:r>
      <w:r>
        <w:rPr>
          <w:b/>
        </w:rPr>
        <w:t>2.5.2</w:t>
      </w:r>
      <w:r>
        <w:t>), jotka ovat vielä maksamatta vuoden lopussa (0,8 miljardia euroa).</w:t>
      </w:r>
    </w:p>
    <w:p>
      <w:pPr>
        <w:pStyle w:val="DGTextstand-alone"/>
      </w:pPr>
      <w:r>
        <w:t>Koheesiopolitiikan osalta (EAKR, koheesiorahasto, ESR) muut lyhytaikaiset velat ovat vähentyneet pääasiassa sen vuoksi, että kauteen 2007–2013 liittyvät menoilmoitukset ovat vähentyneet merkittävästi, 3,5 miljardiin euroon (10 miljardia euroa vuonna 2017), koska komissio tarkistaa vielä jäsenvaltioiden toimittamia lopullisia menoilmoituksia. Samaan aikaan kautta 2014–2020 koskevat menoilmoitukset nousivat 10 miljardiin euroon (5 miljardia euroa vuonna 2017) ohjelmien toteuttamisen edistyessä.</w:t>
      </w:r>
    </w:p>
    <w:p>
      <w:pPr>
        <w:pStyle w:val="DGTextstand-alone"/>
      </w:pPr>
      <w:r>
        <w:t>Maataloustukirahaston muiden lyhytaikaisten velkojen kasvu liittyy maataloustukirahaston velkojen kokonaismäärän jakamiseen muihin lyhytaikaisiin velkoihin ja menojäämiin. Maataloustukirahaston velkojen kokonaismäärä säilyi edellisvuoteen verrattuna lähes ennallaan: se oli 44 159 miljoonaa euroa, kun edellisenä vuonna se oli 44 837 miljoonaa euroa. Sääntöjenmukaisuustarkastuksen seurauksena tehtyjen päätösten kattama määrä (käsitellään kirjanpidossa velkana) oli vuonna 2018 kuitenkin suurempi kuin vuonna 2017.</w:t>
      </w:r>
    </w:p>
    <w:p>
      <w:pPr>
        <w:pStyle w:val="HEADER5"/>
        <w:rPr>
          <w:noProof/>
        </w:rPr>
      </w:pPr>
      <w:r>
        <w:rPr>
          <w:noProof/>
        </w:rPr>
        <w:t>Ennakkorahoituspyynnöt</w:t>
      </w:r>
    </w:p>
    <w:p>
      <w:pPr>
        <w:pStyle w:val="DGTextstand-alone"/>
        <w:spacing w:after="0"/>
      </w:pPr>
      <w:r>
        <w:t xml:space="preserve">Edellä mainittujen määrien lisäksi vuoden 2018 lopussa on saatu 0,5 miljoonan euron suuruiset ennakkomaksupyynnöt, joita ei ollut maksettu vuoden lopussa. EU:n tilinpäätössääntöjen mukaan näitä määriä ei kirjata muiksi lyhytaikaisiksi veloiksi. </w:t>
      </w:r>
    </w:p>
    <w:p>
      <w:pPr>
        <w:pStyle w:val="DGTextstand-alone"/>
        <w:spacing w:before="0" w:after="0"/>
      </w:pPr>
    </w:p>
    <w:p>
      <w:pPr>
        <w:pStyle w:val="HEADER5"/>
        <w:rPr>
          <w:noProof/>
        </w:rPr>
      </w:pPr>
      <w:r>
        <w:rPr>
          <w:noProof/>
        </w:rPr>
        <w:t>Omiin varoihin liittyvät velat</w:t>
      </w:r>
    </w:p>
    <w:p>
      <w:pPr>
        <w:pStyle w:val="HEADER5"/>
        <w:rPr>
          <w:noProof/>
        </w:rPr>
      </w:pPr>
    </w:p>
    <w:p>
      <w:pPr>
        <w:pStyle w:val="DGTextstand-alone"/>
        <w:spacing w:before="0" w:after="0"/>
      </w:pPr>
      <w:r>
        <w:t xml:space="preserve">Omiin varoihin liittyvät velat viittaavat sellaisiin jäsenvaltioiden EU:n talousarvioon maksamiin rahoitusosuuksiin, jotka palautetaan vuoden lopussa lisätalousarvion nro 6/2018 mukaisesti. Kyseinen lisätalousarvio hyväksyttiin 12. joulukuuta 2018. Lisätalousarviot toteutetaan asetuksen (EU, Euratom) N:o 609/2014 10 artiklan 3 kohdan mukaisesti. Lisätalousarvion mukaiset määrät palautettiin tämän säännöksen mukaisesti jäsenvaltioille vuoden 2019 tammikuun ensimmäisenä pankkipäivänä. Vastaava suuri palautettava määrä 31. joulukuuta 2017 oli seurausta 30. marraskuuta 2017 hyväksytystä lisätalousarviosta nro 6/2017. Tänä vuonna lisätalousarvio pääasiassa kasvatti jäsenvaltioiden rahoitusosuuksia (ks. liitetieto </w:t>
      </w:r>
      <w:r>
        <w:rPr>
          <w:b/>
        </w:rPr>
        <w:t>2.6.1.1</w:t>
      </w:r>
      <w:r>
        <w:t>).</w:t>
      </w:r>
    </w:p>
    <w:p>
      <w:pPr>
        <w:pStyle w:val="DGTextstand-alone"/>
        <w:spacing w:before="0" w:after="0"/>
        <w:sectPr>
          <w:headerReference w:type="even" r:id="rId208"/>
          <w:headerReference w:type="default" r:id="rId209"/>
          <w:footerReference w:type="even" r:id="rId210"/>
          <w:footerReference w:type="default" r:id="rId211"/>
          <w:headerReference w:type="first" r:id="rId212"/>
          <w:footerReference w:type="first" r:id="rId213"/>
          <w:type w:val="continuous"/>
          <w:pgSz w:w="11906" w:h="16838"/>
          <w:pgMar w:top="1134" w:right="1134" w:bottom="1134" w:left="1134" w:header="709" w:footer="709" w:gutter="0"/>
          <w:cols w:space="708"/>
          <w:docGrid w:linePitch="360"/>
        </w:sectPr>
      </w:pPr>
      <w:r>
        <w:t xml:space="preserve"> </w:t>
      </w:r>
      <w:bookmarkEnd w:id="125"/>
    </w:p>
    <w:p>
      <w:pPr>
        <w:pStyle w:val="HEADER2NOTES"/>
        <w:rPr>
          <w:noProof/>
        </w:rPr>
      </w:pPr>
      <w:bookmarkStart w:id="127" w:name="_DMBM_14730"/>
      <w:r>
        <w:rPr>
          <w:noProof/>
        </w:rPr>
        <w:t>MENOJÄÄMÄT JA TULOENNAKOT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128" w:name="DOC_TBL00055_1_1"/>
            <w:bookmarkEnd w:id="128"/>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milj. euroa</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Menojäämät</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62 877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63 588</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Tuloennakot</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96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111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Muut</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213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203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Yhteensä</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63 186</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63 902</w:t>
            </w:r>
          </w:p>
        </w:tc>
      </w:tr>
    </w:tbl>
    <w:p>
      <w:pPr>
        <w:pStyle w:val="DGTextstand-alone"/>
      </w:pPr>
    </w:p>
    <w:p>
      <w:pPr>
        <w:pStyle w:val="DGTextstand-alone"/>
      </w:pPr>
      <w:r>
        <w:t>Menojäämät on jaoteltu seuraavasti:</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1701"/>
        <w:gridCol w:w="1985"/>
      </w:tblGrid>
      <w:tr>
        <w:tc>
          <w:tcPr>
            <w:tcW w:w="6062"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129" w:name="DOC_TBL00056_1_1"/>
            <w:bookmarkEnd w:id="129"/>
          </w:p>
        </w:tc>
        <w:tc>
          <w:tcPr>
            <w:tcW w:w="1701"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milj. euroa</w:t>
            </w:r>
          </w:p>
        </w:tc>
      </w:tr>
      <w:tr>
        <w:tc>
          <w:tcPr>
            <w:tcW w:w="606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Times New Roman" w:cs="Verdana"/>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31.12.2017</w:t>
            </w:r>
          </w:p>
        </w:tc>
      </w:tr>
      <w:tr>
        <w:tc>
          <w:tcPr>
            <w:tcW w:w="606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Maataloustukirahasto</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29 387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33 303</w:t>
            </w:r>
          </w:p>
        </w:tc>
      </w:tr>
      <w:tr>
        <w:tc>
          <w:tcPr>
            <w:tcW w:w="606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Maaseuturahasto ja muut maaseudun kehittämisen välineet</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18 687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17 464</w:t>
            </w:r>
          </w:p>
        </w:tc>
      </w:tr>
      <w:tr>
        <w:tc>
          <w:tcPr>
            <w:tcW w:w="606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EAKR ja koheesiorahasto</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5 863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4 249</w:t>
            </w:r>
          </w:p>
        </w:tc>
      </w:tr>
      <w:tr>
        <w:tc>
          <w:tcPr>
            <w:tcW w:w="606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Euroopan sosiaalirahasto</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2 321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2 870</w:t>
            </w:r>
          </w:p>
        </w:tc>
      </w:tr>
      <w:tr>
        <w:tc>
          <w:tcPr>
            <w:tcW w:w="6062"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r>
              <w:t>Muut</w:t>
            </w:r>
          </w:p>
        </w:tc>
        <w:tc>
          <w:tcPr>
            <w:tcW w:w="1701"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6 619</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5 702</w:t>
            </w:r>
          </w:p>
        </w:tc>
      </w:tr>
      <w:tr>
        <w:tc>
          <w:tcPr>
            <w:tcW w:w="6062"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eastAsia="Times New Roman" w:cs="Verdana"/>
              </w:rPr>
            </w:pPr>
            <w:r>
              <w:t>Yhteensä</w:t>
            </w:r>
          </w:p>
        </w:tc>
        <w:tc>
          <w:tcPr>
            <w:tcW w:w="1701"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62 877</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63 588</w:t>
            </w:r>
          </w:p>
        </w:tc>
      </w:tr>
    </w:tbl>
    <w:p>
      <w:pPr>
        <w:pStyle w:val="DGTextstand-alone"/>
        <w:spacing w:after="0"/>
      </w:pPr>
      <w:r>
        <w:t xml:space="preserve">Suurin muutos koskee maataloutta (maataloustukirahastoa). Lisätietoja on liitetiedossa </w:t>
      </w:r>
      <w:r>
        <w:rPr>
          <w:b/>
        </w:rPr>
        <w:t>2.12</w:t>
      </w:r>
      <w:r>
        <w:t>. Koheesiopolitiikan osalta EAKR:n ja koheesiorahaston kasvu johtuu siirtyvien erien kasvusta nykyisellä ohjelmakaudella 2014–2020, kun ohjelmien toteutus etenee.</w:t>
      </w:r>
    </w:p>
    <w:p>
      <w:pPr>
        <w:pStyle w:val="DGTextstand-alone"/>
        <w:spacing w:after="0"/>
        <w:sectPr>
          <w:headerReference w:type="even" r:id="rId214"/>
          <w:headerReference w:type="default" r:id="rId215"/>
          <w:footerReference w:type="even" r:id="rId216"/>
          <w:footerReference w:type="default" r:id="rId217"/>
          <w:headerReference w:type="first" r:id="rId218"/>
          <w:footerReference w:type="first" r:id="rId219"/>
          <w:type w:val="continuous"/>
          <w:pgSz w:w="11906" w:h="16838"/>
          <w:pgMar w:top="1134" w:right="1134" w:bottom="1134" w:left="1134" w:header="709" w:footer="709" w:gutter="0"/>
          <w:cols w:space="708"/>
          <w:docGrid w:linePitch="360"/>
        </w:sectPr>
      </w:pPr>
      <w:r>
        <w:t xml:space="preserve"> </w:t>
      </w:r>
      <w:bookmarkEnd w:id="127"/>
    </w:p>
    <w:p>
      <w:pPr>
        <w:pStyle w:val="HEADERTABLE"/>
        <w:rPr>
          <w:noProof/>
        </w:rPr>
      </w:pPr>
      <w:bookmarkStart w:id="130" w:name="_DMBM_14798"/>
      <w:r>
        <w:rPr>
          <w:noProof/>
        </w:rPr>
        <w:t>NETTOVARAT</w:t>
      </w:r>
    </w:p>
    <w:p>
      <w:pPr>
        <w:pStyle w:val="HEADER2NOTES"/>
        <w:rPr>
          <w:noProof/>
        </w:rPr>
      </w:pPr>
      <w:r>
        <w:rPr>
          <w:noProof/>
        </w:rPr>
        <w:t>RAHASTOT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7"/>
        <w:gridCol w:w="1231"/>
        <w:gridCol w:w="1814"/>
        <w:gridCol w:w="1815"/>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31" w:name="DOC_TBL00057_1_1"/>
            <w:bookmarkEnd w:id="131"/>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Liitetieto</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Käyvän arvon rahasto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2.14.1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278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Takuurahasto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2.14.2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2 849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2 663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Muut rahastot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2.14.3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1 881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1 935</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Yhteensä</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4 961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4 876</w:t>
            </w:r>
          </w:p>
        </w:tc>
      </w:tr>
    </w:tbl>
    <w:p>
      <w:pPr>
        <w:pStyle w:val="HEADER3NOTES"/>
        <w:rPr>
          <w:noProof/>
        </w:rPr>
      </w:pPr>
      <w:r>
        <w:rPr>
          <w:noProof/>
        </w:rPr>
        <w:t>Käyvän arvon rahasto</w:t>
      </w:r>
    </w:p>
    <w:p>
      <w:pPr>
        <w:pStyle w:val="DGTextstand-alone"/>
      </w:pPr>
      <w:r>
        <w:t>Myytävissä olevien rahoitusvarojen käyvän arvon muutokset merkitään EU:n tilinpäätössääntöjen mukaisesti käyvän arvon rahastoon.</w:t>
      </w:r>
    </w:p>
    <w:p>
      <w:pPr>
        <w:pStyle w:val="HEADER5"/>
        <w:rPr>
          <w:noProof/>
        </w:rPr>
      </w:pPr>
      <w:r>
        <w:rPr>
          <w:noProof/>
        </w:rPr>
        <w:t>Käyvän arvon rahaston muutokset tilikauden aikana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32" w:name="DOC_TBL00058_1_1"/>
            <w:bookmarkEnd w:id="132"/>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Sisältyy käyvän arvon rahastoon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r>
      <w:tr>
        <w:tc>
          <w:tcPr>
            <w:tcW w:w="563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Sisältyy tuotto- ja kululaskelmaan</w:t>
            </w:r>
          </w:p>
        </w:tc>
        <w:tc>
          <w:tcPr>
            <w:tcW w:w="2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98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Yhteensä</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HEADER3NOTES"/>
        <w:rPr>
          <w:noProof/>
        </w:rPr>
      </w:pPr>
      <w:r>
        <w:rPr>
          <w:noProof/>
        </w:rPr>
        <w:t>Takuurahasto</w:t>
      </w:r>
    </w:p>
    <w:p>
      <w:pPr>
        <w:pStyle w:val="DGTextstand-alone"/>
      </w:pPr>
      <w:r>
        <w:t>Tähän erään on kirjattu takuurahaston tavoitesumma, joka on 9 prosenttia vastuista, jotka on taattu EU:n talousarviosta EIP:n ulkoisen lainanantovaltuuden puitteissa. Tavoitesumma on samalla ulkosuhteisiin liittyviä hankkeita varten perustetun takuurahaston varojen vähimmäismäärä (ks. liitetieto </w:t>
      </w:r>
      <w:r>
        <w:rPr>
          <w:b/>
        </w:rPr>
        <w:t>2.4.1</w:t>
      </w:r>
      <w:r>
        <w:t>).</w:t>
      </w:r>
    </w:p>
    <w:p>
      <w:pPr>
        <w:pStyle w:val="HEADER3NOTES"/>
        <w:rPr>
          <w:noProof/>
        </w:rPr>
      </w:pPr>
      <w:r>
        <w:rPr>
          <w:noProof/>
        </w:rPr>
        <w:t>Muut rahastot</w:t>
      </w:r>
    </w:p>
    <w:p>
      <w:pPr>
        <w:pStyle w:val="DGTextstand-alone"/>
        <w:spacing w:after="0"/>
      </w:pPr>
      <w:r>
        <w:t>Nämä varat (1 514 miljoonaa euroa) kuuluvat pääasiassa selvitystilassa olevalle EHTY:lle ja sen teräs- ja hiilialan tutkimusrahastolle. Tämä rahasto perustettiin EHTY:n toiminnan lopettamisen yhteydessä.</w:t>
      </w:r>
    </w:p>
    <w:p>
      <w:pPr>
        <w:pStyle w:val="DGTextstand-alone"/>
        <w:spacing w:before="0" w:after="0"/>
        <w:sectPr>
          <w:headerReference w:type="even" r:id="rId220"/>
          <w:headerReference w:type="default" r:id="rId221"/>
          <w:footerReference w:type="even" r:id="rId222"/>
          <w:footerReference w:type="default" r:id="rId223"/>
          <w:headerReference w:type="first" r:id="rId224"/>
          <w:footerReference w:type="first" r:id="rId225"/>
          <w:pgSz w:w="11906" w:h="16838"/>
          <w:pgMar w:top="1134" w:right="1134" w:bottom="1134" w:left="1134" w:header="709" w:footer="709" w:gutter="0"/>
          <w:cols w:space="708"/>
          <w:docGrid w:linePitch="360"/>
        </w:sectPr>
      </w:pPr>
      <w:r>
        <w:t xml:space="preserve"> </w:t>
      </w:r>
      <w:bookmarkEnd w:id="130"/>
    </w:p>
    <w:p>
      <w:pPr>
        <w:rPr>
          <w:rFonts w:ascii="Verdana" w:hAnsi="Verdana"/>
          <w:b/>
          <w:noProof/>
          <w:color w:val="016794"/>
          <w:sz w:val="28"/>
          <w:szCs w:val="28"/>
        </w:rPr>
      </w:pPr>
      <w:bookmarkStart w:id="133" w:name="_DMBM_14782"/>
      <w:r>
        <w:rPr>
          <w:noProof/>
        </w:rPr>
        <w:br w:type="page"/>
      </w:r>
    </w:p>
    <w:p>
      <w:pPr>
        <w:pStyle w:val="HEADER2NOTES"/>
        <w:rPr>
          <w:noProof/>
        </w:rPr>
      </w:pPr>
      <w:r>
        <w:rPr>
          <w:noProof/>
        </w:rPr>
        <w:t>JÄSENVALTIOILTA MAKSETTAVIKSI VAADITTAVAT RAHOITUSOSUUDET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134" w:name="DOC_TBL00059_1_1"/>
            <w:bookmarkEnd w:id="134"/>
          </w:p>
        </w:tc>
        <w:tc>
          <w:tcPr>
            <w:tcW w:w="212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milj. euroa</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rPr>
            </w:pPr>
          </w:p>
        </w:tc>
      </w:tr>
      <w:tr>
        <w:tc>
          <w:tcPr>
            <w:tcW w:w="762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Jäsenvaltioilta maksettaviksi vaadittavat rahoitusosuudet 31.12.2017</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75 234</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Varainhoitovuoden 2017 ylijäämän palautus jäsenvaltioille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556</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Takuurahaston varojen muutos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186</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Työsuhde-etuuksiin liittyvien velkojen uudelleenarvostukset</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4 396</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Muiden varojen muutokset</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(30)</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Varainhoitovuoden taloudellinen tulos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(13 918)</w:t>
            </w:r>
          </w:p>
        </w:tc>
      </w:tr>
      <w:tr>
        <w:tc>
          <w:tcPr>
            <w:tcW w:w="7621" w:type="dxa"/>
            <w:tcBorders>
              <w:top w:val="nil"/>
              <w:left w:val="nil"/>
              <w:bottom w:val="single" w:sz="4" w:space="0" w:color="016794"/>
              <w:right w:val="nil"/>
            </w:tcBorders>
            <w:shd w:val="clear" w:color="auto" w:fill="CCE1EA"/>
            <w:tcMar>
              <w:top w:w="0" w:type="dxa"/>
              <w:left w:w="108" w:type="dxa"/>
              <w:bottom w:w="0" w:type="dxa"/>
              <w:right w:w="108" w:type="dxa"/>
            </w:tcMar>
          </w:tcPr>
          <w:p>
            <w:pPr>
              <w:pStyle w:val="Text9pBoldLeft"/>
              <w:rPr>
                <w:rFonts w:eastAsia="Times New Roman" w:cs="Verdana"/>
              </w:rPr>
            </w:pPr>
            <w:r>
              <w:t>Jäsenvaltioilta maksettaviksi vaadittavat rahoitusosuudet yhteensä 31.12.2018</w:t>
            </w:r>
          </w:p>
        </w:tc>
        <w:tc>
          <w:tcPr>
            <w:tcW w:w="2126" w:type="dxa"/>
            <w:tcBorders>
              <w:top w:val="nil"/>
              <w:left w:val="nil"/>
              <w:bottom w:val="single" w:sz="4" w:space="0" w:color="016794"/>
              <w:right w:val="nil"/>
            </w:tcBorders>
            <w:shd w:val="clear" w:color="auto" w:fill="CCE1EA"/>
            <w:tcMar>
              <w:top w:w="0" w:type="dxa"/>
              <w:left w:w="108" w:type="dxa"/>
              <w:bottom w:w="0" w:type="dxa"/>
              <w:right w:w="108" w:type="dxa"/>
            </w:tcMar>
          </w:tcPr>
          <w:p>
            <w:pPr>
              <w:pStyle w:val="Figures9pBoldRight025"/>
              <w:rPr>
                <w:rFonts w:eastAsia="Times New Roman" w:cs="Verdana"/>
              </w:rPr>
            </w:pPr>
            <w:r>
              <w:t>66 424</w:t>
            </w:r>
          </w:p>
        </w:tc>
      </w:tr>
    </w:tbl>
    <w:p>
      <w:pPr>
        <w:pStyle w:val="DGTextstand-alone"/>
      </w:pPr>
      <w:r>
        <w:t>Tämä kohta vastaa sellaisia EU:lle joulukuun 31. päivään mennessä aiheutuneita menoja, jotka on katettava tulevista talousarvioista. Monet menot kirjataan suoriteperusteen mukaisesti vuonna n, vaikka niitä vastaavat maksut suoritetaan vasta vuonna n + 1 (tai myöhemmin) ja rahoitetaan tämän vuoksi vuoden n + 1 (tai sen jälkeisten vuosien) talousarviosta. Koska tällaiset velat kirjataan tilinpäätökseen ja koska niitä vastaavat maksut rahoitetaan vasta tulevista talousarvioista, velat ovat vuoden lopussa huomattavasti varoja suuremmat. Tärkeimpiä tällaisia eriä ovat maataloustukirahaston toimintaan ja työsuhde-etuuksista johtuviin velkoihin liittyvät erät.</w:t>
      </w:r>
    </w:p>
    <w:p>
      <w:pPr>
        <w:pStyle w:val="DGTextstand-alone"/>
      </w:pPr>
      <w:r>
        <w:t>On huomattava, että edellä esitetyllä jakaumalla ei ole vaikutusta talousarvion toteutumaan. Talousarvioon otetut tulot vastaavat aina talousarvioon otettuja menoja, koska kaikki ylimääräiset tulot palautetaan jäsenvaltioille.</w:t>
      </w:r>
    </w:p>
    <w:p>
      <w:pPr>
        <w:pStyle w:val="DGTextstand-alone"/>
      </w:pPr>
      <w:r>
        <w:t xml:space="preserve">Työsuhde-etuuksiin liittyvien velkojen uudelleenarvostukset liittyvät vakuutusmatemaattisiin voittoihin ja tappioihin, jotka johtuvat kyseisten velkojen vakuutusmatemaattisesta uudelleenarvioinnista. Tammikuun 1. päivästä 2018 alkaen sovelletaan tarkistettua EU:n tilinpäätössääntöä nro 12 ”Työsuhde-etuudet” (perustuu IPSAS 39 </w:t>
      </w:r>
      <w:r>
        <w:noBreakHyphen/>
        <w:t>standardiin). Kyseisen säännön mukaan vakuutusmatemaattiset voitot ja tappiot esitetään nettovarojen muutoksina eikä tuotto- ja kululaskelmassa.</w:t>
      </w:r>
    </w:p>
    <w:p>
      <w:pPr>
        <w:pStyle w:val="DGTextstand-alone"/>
        <w:sectPr>
          <w:headerReference w:type="even" r:id="rId226"/>
          <w:headerReference w:type="default" r:id="rId227"/>
          <w:footerReference w:type="even" r:id="rId228"/>
          <w:footerReference w:type="default" r:id="rId229"/>
          <w:headerReference w:type="first" r:id="rId230"/>
          <w:footerReference w:type="first" r:id="rId231"/>
          <w:type w:val="continuous"/>
          <w:pgSz w:w="11906" w:h="16838"/>
          <w:pgMar w:top="1134" w:right="1134" w:bottom="1134" w:left="1134" w:header="709" w:footer="709" w:gutter="0"/>
          <w:cols w:space="708"/>
          <w:docGrid w:linePitch="360"/>
        </w:sectPr>
      </w:pPr>
      <w:r>
        <w:t xml:space="preserve"> </w:t>
      </w:r>
      <w:bookmarkEnd w:id="133"/>
    </w:p>
    <w:p>
      <w:pPr>
        <w:pStyle w:val="HEADER1NOTES"/>
        <w:rPr>
          <w:noProof/>
        </w:rPr>
        <w:sectPr>
          <w:headerReference w:type="even" r:id="rId232"/>
          <w:headerReference w:type="default" r:id="rId233"/>
          <w:footerReference w:type="even" r:id="rId234"/>
          <w:footerReference w:type="default" r:id="rId235"/>
          <w:headerReference w:type="first" r:id="rId236"/>
          <w:footerReference w:type="first" r:id="rId237"/>
          <w:pgSz w:w="11906" w:h="16838"/>
          <w:pgMar w:top="1134" w:right="1134" w:bottom="1134" w:left="1134" w:header="709" w:footer="709" w:gutter="0"/>
          <w:cols w:space="708"/>
          <w:docGrid w:linePitch="360"/>
        </w:sectPr>
      </w:pPr>
      <w:bookmarkStart w:id="135" w:name="_Toc11939022"/>
      <w:bookmarkStart w:id="136" w:name="_Toc17883230"/>
      <w:bookmarkStart w:id="137" w:name="_DMBM_14732"/>
      <w:r>
        <w:rPr>
          <w:noProof/>
        </w:rPr>
        <w:t>TUOTTO- JA KULULASKELMAN LIITETIEDOT</w:t>
      </w:r>
      <w:bookmarkEnd w:id="135"/>
      <w:bookmarkEnd w:id="136"/>
      <w:r>
        <w:rPr>
          <w:noProof/>
        </w:rPr>
        <w:t xml:space="preserve"> </w:t>
      </w:r>
      <w:bookmarkEnd w:id="137"/>
    </w:p>
    <w:p>
      <w:pPr>
        <w:pStyle w:val="HEADERTABLE"/>
        <w:rPr>
          <w:noProof/>
        </w:rPr>
      </w:pPr>
      <w:bookmarkStart w:id="138" w:name="_DMBM_14784"/>
      <w:r>
        <w:rPr>
          <w:noProof/>
        </w:rPr>
        <w:t>TULOT</w:t>
      </w:r>
    </w:p>
    <w:p>
      <w:pPr>
        <w:pStyle w:val="HEADERTABLE"/>
        <w:spacing w:after="0"/>
        <w:rPr>
          <w:noProof/>
        </w:rPr>
      </w:pPr>
      <w:r>
        <w:rPr>
          <w:noProof/>
        </w:rPr>
        <w:t>TUOTOT MUISTA KUIN VAIHTOON LIITTYVISTÄ TRANSAKTIOISTA: OMAT VARAT</w:t>
      </w:r>
    </w:p>
    <w:p>
      <w:pPr>
        <w:pStyle w:val="Textstand-alone"/>
        <w:spacing w:before="0"/>
        <w:sectPr>
          <w:headerReference w:type="even" r:id="rId238"/>
          <w:headerReference w:type="default" r:id="rId239"/>
          <w:footerReference w:type="even" r:id="rId240"/>
          <w:footerReference w:type="default" r:id="rId241"/>
          <w:headerReference w:type="first" r:id="rId242"/>
          <w:footerReference w:type="first" r:id="rId243"/>
          <w:type w:val="continuous"/>
          <w:pgSz w:w="11906" w:h="16838"/>
          <w:pgMar w:top="1134" w:right="1134" w:bottom="1134" w:left="1134" w:header="709" w:footer="709" w:gutter="0"/>
          <w:cols w:space="708"/>
          <w:docGrid w:linePitch="360"/>
        </w:sectPr>
      </w:pPr>
      <w:r>
        <w:t xml:space="preserve"> </w:t>
      </w:r>
      <w:bookmarkEnd w:id="138"/>
    </w:p>
    <w:p>
      <w:pPr>
        <w:pStyle w:val="HEADER2NOTES"/>
        <w:rPr>
          <w:noProof/>
        </w:rPr>
      </w:pPr>
      <w:bookmarkStart w:id="139" w:name="_DMBM_14766"/>
      <w:r>
        <w:rPr>
          <w:noProof/>
        </w:rPr>
        <w:t>BKTL-VARAT</w:t>
      </w:r>
    </w:p>
    <w:p>
      <w:pPr>
        <w:pStyle w:val="DGTextstand-alone"/>
        <w:spacing w:before="0" w:after="0"/>
      </w:pPr>
      <w:r>
        <w:t>Omista varoista saatavat tuotot ovat EU:n tärkeimpiä toiminnan tuottoja. BKTL-tuotot ovat tärkeimpiä omien varojen kolmesta ryhmästä, ja niiden määrä oli yhteensä 105 780 miljoonaa euroa vuonna 2018 (78 620 miljoonaa euroa vuonna 2017). Kaikilta jäsenvaltioilta kannetaan yhdenmukainen prosentuaalinen osuus BKTL:sta. BKTL-perusteiset varat tasapainottavat tuloja ja menoja, eli niillä rahoitetaan talousarvion osaa, jota muut tulonlähteet eivät kata. BKTL-perusteisista varoista saatavien tuottojen kasvu johtuu pääasiassa maksumäärärahojen kasvusta vuonna 2018 ja edellisen varainhoitovuoden vähäisestä talousarvion ylijäämästä (556 miljoonaa euroa; ei sisällä EFTAn osuutta). Molemmat osatekijät vaikuttivat vuonna 2018 jäsenvaltioiden BKTL-maksuosuuksiin, jotka muodostavat tasapainottavan määrän.</w:t>
      </w:r>
    </w:p>
    <w:p>
      <w:pPr>
        <w:pStyle w:val="DGTextstand-alone"/>
        <w:spacing w:before="0"/>
        <w:sectPr>
          <w:headerReference w:type="even" r:id="rId244"/>
          <w:headerReference w:type="default" r:id="rId245"/>
          <w:footerReference w:type="even" r:id="rId246"/>
          <w:footerReference w:type="default" r:id="rId247"/>
          <w:headerReference w:type="first" r:id="rId248"/>
          <w:footerReference w:type="first" r:id="rId249"/>
          <w:type w:val="continuous"/>
          <w:pgSz w:w="11906" w:h="16838"/>
          <w:pgMar w:top="1134" w:right="1134" w:bottom="1134" w:left="1134" w:header="709" w:footer="709" w:gutter="0"/>
          <w:cols w:space="708"/>
          <w:docGrid w:linePitch="360"/>
        </w:sectPr>
      </w:pPr>
      <w:r>
        <w:t xml:space="preserve"> </w:t>
      </w:r>
      <w:bookmarkEnd w:id="139"/>
    </w:p>
    <w:p>
      <w:pPr>
        <w:pStyle w:val="HEADER2NOTES"/>
        <w:rPr>
          <w:noProof/>
        </w:rPr>
      </w:pPr>
      <w:bookmarkStart w:id="140" w:name="_DMBM_14805"/>
      <w:r>
        <w:rPr>
          <w:noProof/>
        </w:rPr>
        <w:t>PERINTEISET OMAT VARAT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41" w:name="DOC_TBL00060_1_1"/>
            <w:bookmarkEnd w:id="141"/>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Tullimaksut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22 763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20 475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Sokerimaksut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45</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Yhteensä</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22 767</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20 520</w:t>
            </w:r>
          </w:p>
        </w:tc>
      </w:tr>
    </w:tbl>
    <w:p>
      <w:pPr>
        <w:pStyle w:val="DGTextstand-alone"/>
        <w:spacing w:after="0"/>
      </w:pPr>
      <w:r>
        <w:t>Perinteisiin omiin varoihin kuuluvat sokerimaksut ja tullimaksut. Jäsenvaltiot pidättävät itselleen kantokuluina 20 prosenttia perinteisistä omista varoista. Edellä esitetyt luvut ovat nettomääriä, joista on vähennetty kyseiset kantokulut. Tullimaksujen kasvu liittyy pääasiassa rikkomistapaukseen perustuviin tulojäämiin (ks. liitetieto </w:t>
      </w:r>
      <w:r>
        <w:rPr>
          <w:b/>
        </w:rPr>
        <w:t>2.6.1.1</w:t>
      </w:r>
      <w:r>
        <w:t>).</w:t>
      </w:r>
    </w:p>
    <w:p>
      <w:pPr>
        <w:pStyle w:val="DGTextstand-alone"/>
        <w:spacing w:after="0"/>
        <w:sectPr>
          <w:headerReference w:type="even" r:id="rId250"/>
          <w:headerReference w:type="default" r:id="rId251"/>
          <w:footerReference w:type="even" r:id="rId252"/>
          <w:footerReference w:type="default" r:id="rId253"/>
          <w:headerReference w:type="first" r:id="rId254"/>
          <w:footerReference w:type="first" r:id="rId255"/>
          <w:type w:val="continuous"/>
          <w:pgSz w:w="11906" w:h="16838"/>
          <w:pgMar w:top="1134" w:right="1134" w:bottom="1134" w:left="1134" w:header="709" w:footer="709" w:gutter="0"/>
          <w:cols w:space="708"/>
          <w:docGrid w:linePitch="360"/>
        </w:sectPr>
      </w:pPr>
      <w:r>
        <w:t xml:space="preserve"> </w:t>
      </w:r>
      <w:bookmarkEnd w:id="140"/>
    </w:p>
    <w:p>
      <w:pPr>
        <w:pStyle w:val="HEADER2NOTES"/>
        <w:rPr>
          <w:noProof/>
        </w:rPr>
      </w:pPr>
      <w:bookmarkStart w:id="142" w:name="_DMBM_14781"/>
      <w:r>
        <w:rPr>
          <w:noProof/>
        </w:rPr>
        <w:t>ALV-VARAT</w:t>
      </w:r>
    </w:p>
    <w:p>
      <w:pPr>
        <w:pStyle w:val="DGTextstand-alone"/>
        <w:spacing w:after="0"/>
      </w:pPr>
      <w:r>
        <w:t>Arvonlisävero määritellään unionin toiseksi omien varojen tyypiksi, koska se oli ensimmäinen EU:n tasolla laajasti yhdenmukaistettu verotyyppi. Alv-perusteiset rahoitusosuudet lasketaan soveltamalla kansalliseen alv:n määräytymisperusteeseen yhdenmukaista 0,3 prosentin verokantaa. Määräytymisperuste saa olla enintään 50 prosenttia kunkin jäsenvaltion bruttokansantulosta (BKTL). Vuosina 2014–2020, sovelletaan alennettua verokantaa (0,15 %) Saksaan, Alankomaihin ja Ruotsiin neuvoston päätöksen 2014/335/EU, Euratom mukaisesti.</w:t>
      </w:r>
    </w:p>
    <w:p>
      <w:pPr>
        <w:pStyle w:val="DGTextstand-alone"/>
        <w:spacing w:before="0"/>
        <w:rPr>
          <w:color w:val="000000" w:themeColor="text1"/>
        </w:rPr>
        <w:sectPr>
          <w:headerReference w:type="even" r:id="rId256"/>
          <w:headerReference w:type="default" r:id="rId257"/>
          <w:footerReference w:type="even" r:id="rId258"/>
          <w:footerReference w:type="default" r:id="rId259"/>
          <w:headerReference w:type="first" r:id="rId260"/>
          <w:footerReference w:type="first" r:id="rId261"/>
          <w:type w:val="continuous"/>
          <w:pgSz w:w="11906" w:h="16838"/>
          <w:pgMar w:top="1134" w:right="1134" w:bottom="1134" w:left="1134" w:header="709" w:footer="709" w:gutter="0"/>
          <w:cols w:space="708"/>
          <w:docGrid w:linePitch="360"/>
        </w:sectPr>
      </w:pPr>
      <w:r>
        <w:rPr>
          <w:color w:val="000000" w:themeColor="text1"/>
        </w:rPr>
        <w:t xml:space="preserve"> </w:t>
      </w:r>
      <w:bookmarkEnd w:id="142"/>
    </w:p>
    <w:p>
      <w:pPr>
        <w:rPr>
          <w:rFonts w:ascii="Verdana" w:hAnsi="Verdana"/>
          <w:b/>
          <w:noProof/>
          <w:color w:val="016794"/>
          <w:sz w:val="28"/>
          <w:szCs w:val="28"/>
        </w:rPr>
      </w:pPr>
      <w:bookmarkStart w:id="143" w:name="_DMBM_14741"/>
      <w:r>
        <w:rPr>
          <w:noProof/>
        </w:rPr>
        <w:br w:type="page"/>
      </w:r>
    </w:p>
    <w:p>
      <w:pPr>
        <w:pStyle w:val="HEADERTABLE"/>
        <w:spacing w:after="0"/>
        <w:rPr>
          <w:noProof/>
        </w:rPr>
      </w:pPr>
      <w:r>
        <w:rPr>
          <w:noProof/>
        </w:rPr>
        <w:t>TUOTOT MUISTA KUIN VAIHTOON LIITTYVISTÄ TRANSAKTIOISTA: SIIRROT</w:t>
      </w:r>
    </w:p>
    <w:p>
      <w:pPr>
        <w:pStyle w:val="Textstand-alone"/>
        <w:spacing w:before="0"/>
        <w:sectPr>
          <w:headerReference w:type="even" r:id="rId262"/>
          <w:headerReference w:type="default" r:id="rId263"/>
          <w:footerReference w:type="even" r:id="rId264"/>
          <w:footerReference w:type="default" r:id="rId265"/>
          <w:headerReference w:type="first" r:id="rId266"/>
          <w:footerReference w:type="first" r:id="rId267"/>
          <w:type w:val="continuous"/>
          <w:pgSz w:w="11906" w:h="16838"/>
          <w:pgMar w:top="1134" w:right="1134" w:bottom="1134" w:left="1134" w:header="709" w:footer="709" w:gutter="0"/>
          <w:cols w:space="708"/>
          <w:docGrid w:linePitch="360"/>
        </w:sectPr>
      </w:pPr>
      <w:r>
        <w:t xml:space="preserve"> </w:t>
      </w:r>
      <w:bookmarkEnd w:id="143"/>
    </w:p>
    <w:p>
      <w:pPr>
        <w:pStyle w:val="HEADER2NOTES"/>
        <w:rPr>
          <w:noProof/>
        </w:rPr>
      </w:pPr>
      <w:bookmarkStart w:id="144" w:name="_DMBM_14780"/>
      <w:r>
        <w:rPr>
          <w:noProof/>
        </w:rPr>
        <w:t>SAKOT, UHKASAKOT JA SEURAAMUSMAKSUT</w:t>
      </w:r>
    </w:p>
    <w:p>
      <w:pPr>
        <w:pStyle w:val="DGTextstand-alone"/>
        <w:spacing w:after="0"/>
      </w:pPr>
      <w:r>
        <w:t>Nämä 6 740 miljoonan euron tuotot (4 664 miljoonaa euroa vuonna 2017) liittyvät sakkoihin, jotka komissio on määrännyt yrityksille EU:n kilpailusääntöjen rikkomisesta sekä sakkoihin, jotka komissio on määrännyt jäsenvaltioille EU:n lainsäädännön rikkomisesta. Komissio kirjaa sakkoihin liittyvät tuotot tehdessään päätöksen sakon määräämisestä ja kun asiasta on virallisesti ilmoitettu vastapuolelle. Määrät liittyvät pääasiassa kilpailusääntöjen rikkomisesta määrättyihin sakkoihin (6 534 miljoonaa euroa). Suurimmat määrät koskevat EU:n kilpailusääntöjen rikkomista. Ne sisältävät muun muassa Googlelle Android-laitteiden valmistajiin kohdistuvien laittomien rajoitusten asettamisesta määrätyn sakon (4 343 miljoonaa euroa) ja Qualcommille piirisarjoihin liittyvän määräävän markkina-aseman väärinkäytöstä määrätyn sakon (997 miljoonaa euroa).</w:t>
      </w:r>
    </w:p>
    <w:p>
      <w:pPr>
        <w:pStyle w:val="DGTextstand-alone"/>
        <w:spacing w:before="0" w:after="0"/>
        <w:sectPr>
          <w:headerReference w:type="even" r:id="rId268"/>
          <w:headerReference w:type="default" r:id="rId269"/>
          <w:footerReference w:type="even" r:id="rId270"/>
          <w:footerReference w:type="default" r:id="rId271"/>
          <w:headerReference w:type="first" r:id="rId272"/>
          <w:footerReference w:type="first" r:id="rId273"/>
          <w:type w:val="continuous"/>
          <w:pgSz w:w="11906" w:h="16838"/>
          <w:pgMar w:top="1134" w:right="1134" w:bottom="1134" w:left="1134" w:header="709" w:footer="709" w:gutter="0"/>
          <w:cols w:space="708"/>
          <w:docGrid w:linePitch="360"/>
        </w:sectPr>
      </w:pPr>
      <w:r>
        <w:t xml:space="preserve"> </w:t>
      </w:r>
      <w:bookmarkEnd w:id="144"/>
    </w:p>
    <w:p>
      <w:pPr>
        <w:pStyle w:val="HEADER2NOTES"/>
        <w:rPr>
          <w:noProof/>
        </w:rPr>
      </w:pPr>
      <w:bookmarkStart w:id="145" w:name="_DMBM_14765"/>
      <w:r>
        <w:rPr>
          <w:noProof/>
        </w:rPr>
        <w:t>VAROJEN TAKAISINPERINTÄ</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46" w:name="DOC_TBL00061_1_1"/>
            <w:bookmarkEnd w:id="146"/>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Hallinnointi yhteistyössä jäsenvaltioiden kanssa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2 116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1 775</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Suora hallinnointi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Välillinen hallinnointi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Yhteensä</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2 215</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1 879</w:t>
            </w:r>
          </w:p>
        </w:tc>
      </w:tr>
    </w:tbl>
    <w:p>
      <w:pPr>
        <w:pStyle w:val="DGTextstand-alone"/>
      </w:pPr>
      <w:r>
        <w:t xml:space="preserve">Tässä kohdassa esitetään lähinnä komission antamat perintämääräykset, joita vastaavat maksut on saatu tai jotka on kuitattu (eli vähennetty) komission kirjanpitojärjestelmään myöhemmin kirjatuista maksuista. Perintämääräysten tarkoituksena on periä takaisin maksuja, jotka on aiemmin maksettu EU:n talousarviosta. Nämä toimet perustuvat tehtyihin tarkastuksiin, tilintarkastuksiin tai tukikelpoisuustarkastuksiin, minkä vuoksi ne ovat tärkeä osa EU:n talousarvion toteutusta. Näillä toimilla suojellaan EU:n talousarviota menoilta, jotka ovat syntyneet säännösten vastaisesti. </w:t>
      </w:r>
    </w:p>
    <w:p>
      <w:pPr>
        <w:pStyle w:val="DGTextstand-alone"/>
      </w:pPr>
      <w:r>
        <w:t xml:space="preserve">Kohdassa esitetään myös perintämääräykset, jotka jäsenvaltiot ovat antaneet maataloustukirahastosta myönnetyn tuen takaisin perimiseksi. Tähän kohtaan sisältyvät myös siirtosaamisia koskevien arvioiden muutokset edellisen vuoden lopusta tilinpäätösvuoden loppuun. </w:t>
      </w:r>
    </w:p>
    <w:p>
      <w:pPr>
        <w:pStyle w:val="DGTextstand-alone"/>
      </w:pPr>
      <w:r>
        <w:t>Edellä olevaan taulukkoon sisällytetyt määrät vastaavat tuloja, jotka on saatu antamalla perintämääräyksiä. Tämän vuoksi ne eivät voi sisältää kaikkia EU:n talousarvion suojaamiseksi toteutettuja toimia, erityisesti kun kyse on koheesiopolitiikasta. Tällä alalla on käytössä erityisjärjestelmät, joilla varmistetaan, että aiheettomasti maksetut määrät oikaistaan, ja useimmissa tapauksissa perintämääräystä ei anneta. Mukaan ei ole luettu myöskään määriä, jotka on peritty takaisin kuittaamalla menoja vastaan tai peruutuksilla taikka perimällä ennakkomaksuja takaisin.</w:t>
      </w:r>
    </w:p>
    <w:p>
      <w:pPr>
        <w:pStyle w:val="DGTextstand-alone"/>
      </w:pPr>
      <w:r>
        <w:rPr>
          <w:rStyle w:val="DGTextstand-aloneChar"/>
        </w:rPr>
        <w:t>Suurin osa tässä esitetyistä määristä liittyy</w:t>
      </w:r>
      <w:r>
        <w:t xml:space="preserve"> yhteistyössä jäsenvaltioiden kanssa hallinnoitavien varojen takaisinperintään:</w:t>
      </w:r>
    </w:p>
    <w:p>
      <w:pPr>
        <w:pStyle w:val="HEADER5"/>
        <w:rPr>
          <w:noProof/>
        </w:rPr>
      </w:pPr>
      <w:r>
        <w:rPr>
          <w:noProof/>
        </w:rPr>
        <w:t>Maatalous: maataloustukirahasto ja maaseudun kehittäminen</w:t>
      </w:r>
    </w:p>
    <w:p>
      <w:pPr>
        <w:pStyle w:val="DGTextstand-alone"/>
      </w:pPr>
      <w:r>
        <w:t>Tähän kohtaan sisältyvät maataloustukirahastoa ja maaseuturahastoa koskevat varainhoitovuoden tuotot ovat vuoden 2018 rahoitusoikaisuja ja jäsenvaltioiden ilmoittamia vuoden aikana perittyjä määriä. Niihin on lisätty petosten ja sääntöjenvastaisuuksien vuoksi vuoden lopussa takaisinperittävinä olevien, jäsenvaltioiden ilmoittamien määrien nettokasvua vastaava määrä.</w:t>
      </w:r>
    </w:p>
    <w:p>
      <w:pPr>
        <w:pStyle w:val="HEADER5"/>
        <w:rPr>
          <w:noProof/>
        </w:rPr>
      </w:pPr>
      <w:r>
        <w:rPr>
          <w:noProof/>
        </w:rPr>
        <w:t>Koheesiopolitiikka</w:t>
      </w:r>
    </w:p>
    <w:p>
      <w:pPr>
        <w:pStyle w:val="DGTextstand-alone"/>
        <w:spacing w:after="0"/>
      </w:pPr>
      <w:r>
        <w:t>Koheesiopolitiikkaa koskeva kohta sisältää pääasiassa</w:t>
      </w:r>
      <w:r>
        <w:rPr>
          <w:color w:val="000000" w:themeColor="text1"/>
        </w:rPr>
        <w:t xml:space="preserve"> 1 146 miljoonaa euroa tulojäämiä määristä, jotka komissio odottaa perivänsä takaisin jäsenvaltioilta. Perintä toteutetaan jäsenvaltioiden 15. helmikuuta 2019 mennessä toimittamien tilinpäätösten tarkastelun ja hyväksynnän perusteella. Jäsenvaltioiden tilinpäätösten hyväksymismenettely otettiin ensi kertaa käyttöön koheesioalalla ohjelmakaudelle 2014–2020.</w:t>
      </w:r>
    </w:p>
    <w:p>
      <w:pPr>
        <w:pStyle w:val="DGTextstand-alone"/>
        <w:spacing w:before="0" w:after="0"/>
        <w:sectPr>
          <w:headerReference w:type="even" r:id="rId274"/>
          <w:headerReference w:type="default" r:id="rId275"/>
          <w:footerReference w:type="even" r:id="rId276"/>
          <w:footerReference w:type="default" r:id="rId277"/>
          <w:headerReference w:type="first" r:id="rId278"/>
          <w:footerReference w:type="first" r:id="rId279"/>
          <w:type w:val="continuous"/>
          <w:pgSz w:w="11906" w:h="16838"/>
          <w:pgMar w:top="1134" w:right="1134" w:bottom="1134" w:left="1134" w:header="709" w:footer="709" w:gutter="0"/>
          <w:cols w:space="708"/>
          <w:docGrid w:linePitch="360"/>
        </w:sectPr>
      </w:pPr>
      <w:r>
        <w:t xml:space="preserve"> </w:t>
      </w:r>
      <w:bookmarkEnd w:id="145"/>
    </w:p>
    <w:p>
      <w:pPr>
        <w:pStyle w:val="HEADER2NOTES"/>
        <w:rPr>
          <w:noProof/>
        </w:rPr>
      </w:pPr>
      <w:bookmarkStart w:id="147" w:name="_DMBM_14711"/>
      <w:r>
        <w:rPr>
          <w:noProof/>
        </w:rPr>
        <w:t>MUUT TUOTOT MUISTA KUIN VAIHTOON PERUSTUVISTA TRANSAKTIOISTA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48" w:name="DOC_TBL00062_1_1"/>
            <w:bookmarkEnd w:id="148"/>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Henkilöstön maksamat verot ja muut maksut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1 268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1 218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Kolmansien maiden rahoitusosuudet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1 376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1 269</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Jäsenvaltioiden rahoitusosuudet ulkoista apua varten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988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Omaisuuserien siirto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Varausten oikaisut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Maatalousmaksut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Budjettioikaisut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(726)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5 806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Muut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612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854</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Yhteensä</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3 312</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10 376</w:t>
            </w:r>
          </w:p>
        </w:tc>
      </w:tr>
    </w:tbl>
    <w:p>
      <w:pPr>
        <w:pStyle w:val="DGTextstand-alone"/>
        <w:spacing w:after="0"/>
      </w:pPr>
      <w:r>
        <w:t>Henkilöstön maksamista veroista ja muista maksuista saadut tuotot liittyvät pääasiassa henkilöstön palkoista tehtyihin vähennyksiin. Merkittäviä määriä tässä erässä ovat eläkemaksut ja tulovero.</w:t>
      </w:r>
    </w:p>
    <w:p>
      <w:pPr>
        <w:pStyle w:val="DGTextstand-alone"/>
        <w:spacing w:after="0"/>
      </w:pPr>
      <w:r>
        <w:t>Kolmansien maiden rahoitusosuudet ovat EFTA-maiden ja liittymisneuvotteluja käyvien maiden suorittamia rahoitusosuuksia.</w:t>
      </w:r>
    </w:p>
    <w:p>
      <w:pPr>
        <w:pStyle w:val="DGTextstand-alone"/>
        <w:spacing w:after="0"/>
      </w:pPr>
      <w:r>
        <w:t>Jäsenvaltioiden rahoitusosuudet ulkoista apua varten on käytetty pääasiassa Turkin-pakolaisavun koordinointivälineen perustamiseen.</w:t>
      </w:r>
    </w:p>
    <w:p>
      <w:pPr>
        <w:pStyle w:val="DGTextstand-alone"/>
        <w:spacing w:after="0"/>
      </w:pPr>
      <w:r>
        <w:t>Varojen siirrosta saadut tuotot liittyvät Copernicus-ohjelman mukaiseen satelliittien siirtoon Euroopan avaruusjärjestöltä (ESA) komissiolle (ks. liitetieto </w:t>
      </w:r>
      <w:r>
        <w:rPr>
          <w:b/>
        </w:rPr>
        <w:t>2.2</w:t>
      </w:r>
      <w:r>
        <w:t>). Tämä siirto on EU:n tilinpäätössääntöjen mukaan muu kuin vaihtoon perustuva transaktio, ja se toistuu tulevina varainhoitovuosina muiden rakenteilla olevien Copernicus-ohjelman satelliittien osalta.</w:t>
      </w:r>
    </w:p>
    <w:p>
      <w:pPr>
        <w:pStyle w:val="DGTextstand-alone"/>
        <w:spacing w:after="0"/>
      </w:pPr>
      <w:r>
        <w:t>Budjettioikaisujen tulos oli miinusmerkkinen, koska ne sisältävät huomattavasti pienemmän talousarvion ylijäämän edelliseltä vuodelta (555 miljoonaa euroa, kun vastaava määrä vuonna 2017 oli 6,4 miljardia euroa) ja suuret BKTL- ja ALV-oikaisut, joiden määrä oli 1 292 miljoonaa euroa.</w:t>
      </w:r>
    </w:p>
    <w:p>
      <w:pPr>
        <w:pStyle w:val="DGTextstand-alone"/>
        <w:spacing w:after="0"/>
      </w:pPr>
      <w:r>
        <w:t>Muut tuotot muista kuin vaihtoon perustuvista transaktioista sisältävät vuonna 2018 EKR:n maksettavaksi tulleen 100 miljoonan euron määrän, joka vastaa sen rahoitusosuutta EU:n talousarvioon vuonna 2018 asetuksen (EU) 2017/1601 mukaisesti perustettua EKKR-takuurahastoa varten. Muut merkittävät määrät liittyvät pääasiassa EHTY:n teräs- ja hiilialan tutkimusrahastoon (64 miljoonaa euroa) ja muiden yhteisöjen rahoitusosuuksiin (176 miljoonaa euroa).</w:t>
      </w:r>
    </w:p>
    <w:p>
      <w:pPr>
        <w:pStyle w:val="DGTextstand-alone"/>
        <w:spacing w:before="0"/>
        <w:sectPr>
          <w:headerReference w:type="even" r:id="rId280"/>
          <w:headerReference w:type="default" r:id="rId281"/>
          <w:footerReference w:type="even" r:id="rId282"/>
          <w:footerReference w:type="default" r:id="rId283"/>
          <w:headerReference w:type="first" r:id="rId284"/>
          <w:footerReference w:type="first" r:id="rId285"/>
          <w:type w:val="continuous"/>
          <w:pgSz w:w="11906" w:h="16838"/>
          <w:pgMar w:top="1134" w:right="1134" w:bottom="1134" w:left="1134" w:header="709" w:footer="709" w:gutter="0"/>
          <w:cols w:space="708"/>
          <w:docGrid w:linePitch="360"/>
        </w:sectPr>
      </w:pPr>
      <w:r>
        <w:t xml:space="preserve"> </w:t>
      </w:r>
      <w:bookmarkEnd w:id="147"/>
    </w:p>
    <w:p>
      <w:pPr>
        <w:pStyle w:val="HEADERTABLE"/>
        <w:spacing w:after="0"/>
        <w:rPr>
          <w:noProof/>
        </w:rPr>
      </w:pPr>
      <w:bookmarkStart w:id="149" w:name="_DMBM_14762"/>
      <w:r>
        <w:rPr>
          <w:noProof/>
        </w:rPr>
        <w:t>TUOTOT VAIHTOON PERUSTUVISTA TRANSAKTIOISTA</w:t>
      </w:r>
    </w:p>
    <w:p>
      <w:pPr>
        <w:pStyle w:val="Textstand-alone"/>
        <w:spacing w:before="0" w:after="0"/>
        <w:sectPr>
          <w:headerReference w:type="even" r:id="rId286"/>
          <w:headerReference w:type="default" r:id="rId287"/>
          <w:footerReference w:type="even" r:id="rId288"/>
          <w:footerReference w:type="default" r:id="rId289"/>
          <w:headerReference w:type="first" r:id="rId290"/>
          <w:footerReference w:type="first" r:id="rId291"/>
          <w:pgSz w:w="11906" w:h="16838"/>
          <w:pgMar w:top="1134" w:right="1134" w:bottom="1134" w:left="1134" w:header="709" w:footer="709" w:gutter="0"/>
          <w:cols w:space="708"/>
          <w:docGrid w:linePitch="360"/>
        </w:sectPr>
      </w:pPr>
      <w:r>
        <w:t xml:space="preserve"> </w:t>
      </w:r>
      <w:bookmarkEnd w:id="149"/>
    </w:p>
    <w:p>
      <w:pPr>
        <w:pStyle w:val="HEADER2NOTES"/>
        <w:rPr>
          <w:noProof/>
        </w:rPr>
      </w:pPr>
      <w:bookmarkStart w:id="150" w:name="_DMBM_14744"/>
      <w:r>
        <w:rPr>
          <w:noProof/>
        </w:rPr>
        <w:t>RAHOITUSTUOTOT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51" w:name="DOC_TBL00063_1_1"/>
            <w:bookmarkEnd w:id="151"/>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Korkotuotot: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viivästyneistä suorituksista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1 458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lainoista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1 265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1 379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muut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Palkkio rahoitusvakuuksiin liittyvästä velasta (ESIR)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Osingot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Tuotot käypään arvoon tulosvaikutteisesti kirjattavista rahoitusvaroista ja </w:t>
            </w:r>
            <w:r>
              <w:noBreakHyphen/>
              <w:t>veloista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Rahoitusvarojen realisoituneet myyntivoitot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Muut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Yhteensä</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3 115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1 845</w:t>
            </w:r>
          </w:p>
        </w:tc>
      </w:tr>
    </w:tbl>
    <w:p>
      <w:pPr>
        <w:pStyle w:val="DGTextstand-alone"/>
        <w:spacing w:after="0"/>
      </w:pPr>
      <w:r>
        <w:t>Korkotuotot viivästyneistä suorituksista liittyvät pääasiassa erääntyneisiin sakkoihin ja omia varoja koskeviin maksuosuuksiin, joita ei ole maksettu ajallaan. Yhteensä 1,3 miljardia euroa liittyy liitetiedossa </w:t>
      </w:r>
      <w:r>
        <w:rPr>
          <w:b/>
        </w:rPr>
        <w:t>2.6.1.1</w:t>
      </w:r>
      <w:r>
        <w:t xml:space="preserve"> mainittuihin omia varoja koskeviin tapauksiin.</w:t>
      </w:r>
    </w:p>
    <w:p>
      <w:pPr>
        <w:pStyle w:val="DGTextstand-alone"/>
        <w:spacing w:after="0"/>
      </w:pPr>
      <w:r>
        <w:t>Lainoista saadut korkotuotot liittyvät pääasiassa rahoitusapuna myönnettyihin luottoihin (ks. liitetieto </w:t>
      </w:r>
      <w:r>
        <w:rPr>
          <w:b/>
        </w:rPr>
        <w:t>2.4.3</w:t>
      </w:r>
      <w:r>
        <w:t>).</w:t>
      </w:r>
    </w:p>
    <w:p>
      <w:pPr>
        <w:pStyle w:val="DGTextstand-alone"/>
        <w:spacing w:before="0"/>
        <w:sectPr>
          <w:headerReference w:type="even" r:id="rId292"/>
          <w:headerReference w:type="default" r:id="rId293"/>
          <w:footerReference w:type="even" r:id="rId294"/>
          <w:footerReference w:type="default" r:id="rId295"/>
          <w:headerReference w:type="first" r:id="rId296"/>
          <w:footerReference w:type="first" r:id="rId297"/>
          <w:type w:val="continuous"/>
          <w:pgSz w:w="11906" w:h="16838"/>
          <w:pgMar w:top="1134" w:right="1134" w:bottom="1134" w:left="1134" w:header="709" w:footer="709" w:gutter="0"/>
          <w:cols w:space="708"/>
          <w:docGrid w:linePitch="360"/>
        </w:sectPr>
      </w:pPr>
      <w:r>
        <w:t xml:space="preserve"> </w:t>
      </w:r>
      <w:bookmarkEnd w:id="150"/>
    </w:p>
    <w:p>
      <w:pPr>
        <w:pStyle w:val="HEADER2NOTES"/>
        <w:rPr>
          <w:noProof/>
        </w:rPr>
      </w:pPr>
      <w:bookmarkStart w:id="152" w:name="_DMBM_14743"/>
      <w:r>
        <w:rPr>
          <w:noProof/>
        </w:rPr>
        <w:t>MUUT TUOTOT VAIHTOON PERUSTUVISTA TRANSAKTIOISTA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53" w:name="DOC_TBL00064_1_1"/>
            <w:bookmarkEnd w:id="153"/>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Maksutuotot tarjotuista palveluista (virastot)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602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Kurssivoitot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Rahoitusvälineisiin liittyvät maksu- ja palkkiotuotot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Osuus EIR:n nettotuloksesta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Tavaroiden myynti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Tuotot käyttöomaisuushyödykkeistä</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Muut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Yhteensä</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1 379</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1 332</w:t>
            </w:r>
          </w:p>
        </w:tc>
      </w:tr>
    </w:tbl>
    <w:p>
      <w:pPr>
        <w:pStyle w:val="DGTextstand-alone"/>
        <w:spacing w:before="0" w:after="0"/>
      </w:pPr>
      <w:r>
        <w:t xml:space="preserve"> </w:t>
      </w:r>
    </w:p>
    <w:p>
      <w:pPr>
        <w:pStyle w:val="DGTextstand-alone"/>
        <w:spacing w:before="0" w:after="0"/>
      </w:pPr>
      <w:r>
        <w:t>Maksutuotot tarjotuista palveluista sisältävät pääasiassa Euroopan lääkeviraston myyntiluvista perimät maksut sekä Euroopan unionin teollisoikeuksien viraston tavaramerkkien rekisteröinnistä perimät maksut.</w:t>
      </w:r>
    </w:p>
    <w:p>
      <w:pPr>
        <w:pStyle w:val="DGTextstand-alone"/>
        <w:spacing w:before="0" w:after="0"/>
        <w:sectPr>
          <w:headerReference w:type="even" r:id="rId298"/>
          <w:headerReference w:type="default" r:id="rId299"/>
          <w:footerReference w:type="even" r:id="rId300"/>
          <w:footerReference w:type="default" r:id="rId301"/>
          <w:headerReference w:type="first" r:id="rId302"/>
          <w:footerReference w:type="first" r:id="rId303"/>
          <w:type w:val="continuous"/>
          <w:pgSz w:w="11906" w:h="16838"/>
          <w:pgMar w:top="1134" w:right="1134" w:bottom="1134" w:left="1134" w:header="709" w:footer="709" w:gutter="0"/>
          <w:cols w:space="708"/>
          <w:docGrid w:linePitch="360"/>
        </w:sectPr>
      </w:pPr>
      <w:r>
        <w:t xml:space="preserve"> </w:t>
      </w:r>
      <w:bookmarkEnd w:id="152"/>
    </w:p>
    <w:p>
      <w:pPr>
        <w:rPr>
          <w:rFonts w:ascii="Verdana" w:hAnsi="Verdana"/>
          <w:b/>
          <w:noProof/>
          <w:color w:val="016794"/>
          <w:sz w:val="28"/>
          <w:szCs w:val="28"/>
        </w:rPr>
      </w:pPr>
      <w:bookmarkStart w:id="154" w:name="_DMBM_14794"/>
      <w:r>
        <w:rPr>
          <w:noProof/>
        </w:rPr>
        <w:br w:type="page"/>
      </w:r>
    </w:p>
    <w:p>
      <w:pPr>
        <w:pStyle w:val="HEADERTABLE"/>
        <w:rPr>
          <w:noProof/>
        </w:rPr>
        <w:sectPr>
          <w:headerReference w:type="even" r:id="rId304"/>
          <w:headerReference w:type="default" r:id="rId305"/>
          <w:footerReference w:type="even" r:id="rId306"/>
          <w:footerReference w:type="default" r:id="rId307"/>
          <w:headerReference w:type="first" r:id="rId308"/>
          <w:footerReference w:type="first" r:id="rId309"/>
          <w:type w:val="continuous"/>
          <w:pgSz w:w="11906" w:h="16838"/>
          <w:pgMar w:top="1134" w:right="1134" w:bottom="1134" w:left="1134" w:header="709" w:footer="709" w:gutter="0"/>
          <w:cols w:space="708"/>
          <w:docGrid w:linePitch="360"/>
        </w:sectPr>
      </w:pPr>
      <w:r>
        <w:rPr>
          <w:noProof/>
        </w:rPr>
        <w:t xml:space="preserve">KULUT </w:t>
      </w:r>
      <w:bookmarkEnd w:id="154"/>
    </w:p>
    <w:p>
      <w:pPr>
        <w:pStyle w:val="HEADER2NOTES"/>
        <w:rPr>
          <w:noProof/>
        </w:rPr>
      </w:pPr>
      <w:bookmarkStart w:id="155" w:name="_DMBM_14750"/>
      <w:r>
        <w:rPr>
          <w:noProof/>
        </w:rPr>
        <w:t>HALLINNOINTI YHTEISTYÖSSÄ JÄSENVALTIOIDEN KANSSA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56" w:name="DOC_TBL00065_1_1"/>
            <w:bookmarkEnd w:id="156"/>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r>
              <w:t>Jäsenvaltioiden toteuttamat</w:t>
            </w: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Maataloustukirahasto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43 527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44 289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Euroopan maaseudun kehittämisen maatalousrahasto ja muut maaseudun kehittämistä koskevat välineet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13 149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11 359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Euroopan aluekehitysrahasto ja koheesiorahasto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30 230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17 650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Euroopan sosiaalirahasto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11 935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7 353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Muut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2 826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1 253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Yhteensä</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101 666</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81 905</w:t>
            </w:r>
          </w:p>
        </w:tc>
      </w:tr>
    </w:tbl>
    <w:p>
      <w:pPr>
        <w:pStyle w:val="DGTextstand-alone"/>
      </w:pPr>
      <w:r>
        <w:t xml:space="preserve">Suurin lisäys koskee koheesiopolitiikkaa (EAKR, koheesiorahasto ja ESR) ja liittyy pääasiassa vuoden aikana ilmoitettuihin kuluihin, jotka maksettiin tai kuitattiin ennakkomaksuja vastaan. Vaikka kulut vähenivät vuosina 2007–2013 (päätösvaihe), kuluvaa ohjelmakautta 2014–2020 koskeva täytäntöönpano lisääntyi merkittävästi vuonna 2018. Sama koskee maaseuturahastoa ja muita maaseudun kehittämisen välineitä. </w:t>
      </w:r>
    </w:p>
    <w:p>
      <w:pPr>
        <w:pStyle w:val="DGTextstand-alone"/>
        <w:spacing w:after="0"/>
      </w:pPr>
      <w:r>
        <w:t>Kohta ”Muut” käsittää pääasiassa seuraavat erät: turvapaikka- ja maahanmuuttoasiat (0,6 miljardia euroa), vähävaraisimmille suunnatun eurooppalaisen avun rahasto (0,4 miljardia euroa), Euroopan solidaarisuusrahasto (0,9 miljardia euroa) ja Euroopan meri- ja kalatalousrahasto (0,6 miljardia euroa). Kasvu edelliseen vuoteen verrattuna liittyy pääasiassa Euroopan solidaarisuusrahastoon ja Euroopan meri- ja kalatalousrahastoon.</w:t>
      </w:r>
    </w:p>
    <w:p>
      <w:pPr>
        <w:pStyle w:val="DGTextstand-alone"/>
        <w:spacing w:before="0" w:after="0"/>
        <w:sectPr>
          <w:headerReference w:type="even" r:id="rId310"/>
          <w:headerReference w:type="default" r:id="rId311"/>
          <w:footerReference w:type="even" r:id="rId312"/>
          <w:footerReference w:type="default" r:id="rId313"/>
          <w:headerReference w:type="first" r:id="rId314"/>
          <w:footerReference w:type="first" r:id="rId315"/>
          <w:type w:val="continuous"/>
          <w:pgSz w:w="11906" w:h="16838"/>
          <w:pgMar w:top="1134" w:right="1134" w:bottom="1134" w:left="1134" w:header="709" w:footer="709" w:gutter="0"/>
          <w:cols w:space="708"/>
          <w:docGrid w:linePitch="360"/>
        </w:sectPr>
      </w:pPr>
      <w:r>
        <w:t xml:space="preserve"> </w:t>
      </w:r>
      <w:bookmarkEnd w:id="155"/>
    </w:p>
    <w:p>
      <w:pPr>
        <w:pStyle w:val="HEADER2NOTES"/>
        <w:rPr>
          <w:noProof/>
        </w:rPr>
      </w:pPr>
      <w:bookmarkStart w:id="157" w:name="_DMBM_14796"/>
      <w:r>
        <w:rPr>
          <w:noProof/>
        </w:rPr>
        <w:t>SUORA HALLINNOINTI</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58" w:name="DOC_TBL00066_1_1"/>
            <w:bookmarkEnd w:id="158"/>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Komission toteuttamat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8 120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8 831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EU:n toimeenpanovirastojen toteuttamat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8 964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6 699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Erityisrahastojen toteuttamat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468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Yhteensä</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17 551</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15 738</w:t>
            </w:r>
          </w:p>
        </w:tc>
      </w:tr>
    </w:tbl>
    <w:p>
      <w:pPr>
        <w:pStyle w:val="DGTextstand-alone"/>
        <w:spacing w:after="0"/>
      </w:pPr>
      <w:r>
        <w:t>Nämä määrät liittyvät lähinnä tutkimuspolitiikan toteuttamiseen (7,3 miljardia euroa), verkkoja koskeviin ohjelmiin (2,7 miljardia euroa), kehitysyhteistyön välineisiin (1,4 miljardia euroa) ja Euroopan naapuruuspolitiikkaan (1,1 miljardia euroa).</w:t>
      </w:r>
    </w:p>
    <w:p>
      <w:pPr>
        <w:pStyle w:val="DGTextstand-alone"/>
        <w:spacing w:after="0"/>
      </w:pPr>
      <w:r>
        <w:t xml:space="preserve">EU:n toimeenpanovirastojen toteuttamaan suoraan hallinnointiin liittyvien kulujen kasvu (1,7 miljardia euroa) liittyy pääasiassa innovoinnin ja verkkojen toimeenpanovirastoon (INEA), erityisesti Verkkojen Eurooppa </w:t>
      </w:r>
      <w:r>
        <w:noBreakHyphen/>
        <w:t xml:space="preserve">välineen liikennettä koskevaan osioon. Verkkojen Eurooppa </w:t>
      </w:r>
      <w:r>
        <w:noBreakHyphen/>
        <w:t>välineeseen kuuluva liikenneosio on rahoitusväline, jonka avulla toteutetaan EU:n liikenneinfrastruktuuripolitiikkaa ja jonka tavoitteena on rakentaa uutta liikenneinfrastruktuuria tai parantaa ja kunnostaa olemassa olevaa liikenneinfrastruktuuria Euroopassa.</w:t>
      </w:r>
    </w:p>
    <w:p>
      <w:pPr>
        <w:pStyle w:val="DGTextstand-alone"/>
        <w:spacing w:before="0" w:after="0"/>
        <w:sectPr>
          <w:headerReference w:type="even" r:id="rId316"/>
          <w:headerReference w:type="default" r:id="rId317"/>
          <w:footerReference w:type="even" r:id="rId318"/>
          <w:footerReference w:type="default" r:id="rId319"/>
          <w:headerReference w:type="first" r:id="rId320"/>
          <w:footerReference w:type="first" r:id="rId321"/>
          <w:type w:val="continuous"/>
          <w:pgSz w:w="11906" w:h="16838"/>
          <w:pgMar w:top="1134" w:right="1134" w:bottom="1134" w:left="1134" w:header="709" w:footer="709" w:gutter="0"/>
          <w:cols w:space="708"/>
          <w:docGrid w:linePitch="360"/>
        </w:sectPr>
      </w:pPr>
      <w:r>
        <w:t xml:space="preserve"> </w:t>
      </w:r>
      <w:bookmarkEnd w:id="157"/>
    </w:p>
    <w:p>
      <w:pPr>
        <w:rPr>
          <w:rFonts w:ascii="Verdana" w:hAnsi="Verdana"/>
          <w:b/>
          <w:noProof/>
          <w:color w:val="016794"/>
          <w:sz w:val="28"/>
          <w:szCs w:val="28"/>
        </w:rPr>
      </w:pPr>
      <w:bookmarkStart w:id="159" w:name="_DMBM_14719"/>
      <w:r>
        <w:rPr>
          <w:noProof/>
        </w:rPr>
        <w:br w:type="page"/>
      </w:r>
    </w:p>
    <w:p>
      <w:pPr>
        <w:pStyle w:val="HEADER2NOTES"/>
        <w:rPr>
          <w:noProof/>
        </w:rPr>
      </w:pPr>
      <w:r>
        <w:rPr>
          <w:noProof/>
        </w:rPr>
        <w:t>VÄLILLINEN HALLINNOINTI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60" w:name="DOC_TBL00067_1_1"/>
            <w:bookmarkEnd w:id="160"/>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EU:n muiden virastojen ja elinten toteuttamat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3 396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2 667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Kolmansien maiden toteuttamat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1 101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Kansainvälisten järjestöjen toteuttamat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3 337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3 014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Muiden yhteisöjen toteuttamat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3 569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1 478</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Yhteensä</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10 981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8 260</w:t>
            </w:r>
          </w:p>
        </w:tc>
      </w:tr>
    </w:tbl>
    <w:p>
      <w:pPr>
        <w:pStyle w:val="DGTextstand-alone"/>
      </w:pPr>
      <w:r>
        <w:t>Välillisen hallinnoinnin menoista 4,2 miljardia euroa liittyy ulkoisiin toimiin (pääasiassa liittymistä valmisteleviin toimiin, humanitaariseen apuun, kansainväliseen yhteistyöhön ja naapurustoon). Menoista 6 miljardia liittyy Euroopan kilpailukyvyn lisäämiseen (tutkimuksen, satelliittinavigointijärjestelmien ja koulutuksen kaltaisilla aloilla).</w:t>
      </w:r>
    </w:p>
    <w:p>
      <w:pPr>
        <w:pStyle w:val="DGTextstand-alone"/>
        <w:sectPr>
          <w:headerReference w:type="even" r:id="rId322"/>
          <w:headerReference w:type="default" r:id="rId323"/>
          <w:footerReference w:type="even" r:id="rId324"/>
          <w:footerReference w:type="default" r:id="rId325"/>
          <w:headerReference w:type="first" r:id="rId326"/>
          <w:footerReference w:type="first" r:id="rId327"/>
          <w:type w:val="continuous"/>
          <w:pgSz w:w="11906" w:h="16838"/>
          <w:pgMar w:top="1134" w:right="1134" w:bottom="1134" w:left="1134" w:header="709" w:footer="709" w:gutter="0"/>
          <w:cols w:space="708"/>
          <w:docGrid w:linePitch="360"/>
        </w:sectPr>
      </w:pPr>
      <w:r>
        <w:t xml:space="preserve"> </w:t>
      </w:r>
      <w:bookmarkEnd w:id="159"/>
    </w:p>
    <w:p>
      <w:pPr>
        <w:pStyle w:val="HEADER2NOTES"/>
        <w:rPr>
          <w:noProof/>
        </w:rPr>
      </w:pPr>
      <w:bookmarkStart w:id="161" w:name="_DMBM_14749"/>
      <w:r>
        <w:rPr>
          <w:noProof/>
        </w:rPr>
        <w:t>HENKILÖSTÖ- JA ELÄKEKULUT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62" w:name="DOC_TBL00068_1_1"/>
            <w:bookmarkEnd w:id="162"/>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Henkilöstökulut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6 454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6 193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Eläkekulut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4 476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3 808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Yhteensä</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10 929</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10 002</w:t>
            </w:r>
          </w:p>
        </w:tc>
      </w:tr>
    </w:tbl>
    <w:p>
      <w:pPr>
        <w:pStyle w:val="DGTextstand-alone"/>
        <w:spacing w:after="0"/>
      </w:pPr>
      <w:r>
        <w:t>Eläkekuluissa on otettu huomioon työsuhde-etuuksiin liittyvien velkojen vakuutusmatemaattisesta uudelleenarvioinnista johtuvat muutokset, jotka eivät liity muihin vakuutusmatemaattisiin oletuksiin. Ne eivät siis ole tosiasiallisia vuoden aikana suoritettuja eläkemaksuja, jotka ovat merkittävästi vähäisempiä.</w:t>
      </w:r>
    </w:p>
    <w:p>
      <w:pPr>
        <w:pStyle w:val="DGTextstand-alone"/>
        <w:spacing w:before="0" w:after="0"/>
        <w:sectPr>
          <w:headerReference w:type="even" r:id="rId328"/>
          <w:headerReference w:type="default" r:id="rId329"/>
          <w:footerReference w:type="even" r:id="rId330"/>
          <w:footerReference w:type="default" r:id="rId331"/>
          <w:headerReference w:type="first" r:id="rId332"/>
          <w:footerReference w:type="first" r:id="rId333"/>
          <w:type w:val="continuous"/>
          <w:pgSz w:w="11906" w:h="16838"/>
          <w:pgMar w:top="1134" w:right="1134" w:bottom="1134" w:left="1134" w:header="709" w:footer="709" w:gutter="0"/>
          <w:cols w:space="708"/>
          <w:docGrid w:linePitch="360"/>
        </w:sectPr>
      </w:pPr>
      <w:r>
        <w:t xml:space="preserve"> </w:t>
      </w:r>
      <w:bookmarkEnd w:id="161"/>
    </w:p>
    <w:p>
      <w:pPr>
        <w:pStyle w:val="HEADER2NOTES"/>
        <w:rPr>
          <w:noProof/>
        </w:rPr>
      </w:pPr>
      <w:bookmarkStart w:id="163" w:name="_DMBM_14735"/>
      <w:r>
        <w:rPr>
          <w:noProof/>
        </w:rPr>
        <w:t>TYÖSUHDE-ETUUKSIIN LIITTYVIEN VAKUUTUSMATEMAATTISTEN OLETUSTEN MUUTOKSET</w:t>
      </w:r>
    </w:p>
    <w:p>
      <w:pPr>
        <w:pStyle w:val="DGTextstand-alone"/>
        <w:spacing w:after="0"/>
      </w:pPr>
      <w:r>
        <w:t xml:space="preserve">Tammikuun 1 päivästä 2018 alkaen sovelletaan tarkistettua EU:n tilinpäätössääntöä nro 12 ”Työsuhde-etuudet” (perustuu IPSAS 39 </w:t>
      </w:r>
      <w:r>
        <w:noBreakHyphen/>
        <w:t>standardiin). Kyseisen säännön mukaan vakuutusmatemaattiset voitot ja tappiot (”työsuhde-etuuksiin liittyvien velkojen uudelleenarvostukset”) esitetään nettovarojen muutoksina eikä tuotto- ja kululaskelmassa. Uusi tilinpäätössääntö ei vaikuta näiden määrien arviointiin.</w:t>
      </w:r>
    </w:p>
    <w:p>
      <w:pPr>
        <w:pStyle w:val="DGTextstand-alone"/>
        <w:spacing w:before="0" w:after="0"/>
        <w:sectPr>
          <w:headerReference w:type="even" r:id="rId334"/>
          <w:headerReference w:type="default" r:id="rId335"/>
          <w:footerReference w:type="even" r:id="rId336"/>
          <w:footerReference w:type="default" r:id="rId337"/>
          <w:headerReference w:type="first" r:id="rId338"/>
          <w:footerReference w:type="first" r:id="rId339"/>
          <w:type w:val="continuous"/>
          <w:pgSz w:w="11906" w:h="16838"/>
          <w:pgMar w:top="1134" w:right="1134" w:bottom="1134" w:left="1134" w:header="709" w:footer="709" w:gutter="0"/>
          <w:cols w:space="708"/>
          <w:docGrid w:linePitch="360"/>
        </w:sectPr>
      </w:pPr>
      <w:r>
        <w:t xml:space="preserve"> </w:t>
      </w:r>
      <w:bookmarkEnd w:id="163"/>
    </w:p>
    <w:p>
      <w:pPr>
        <w:pStyle w:val="HEADER2NOTES"/>
        <w:rPr>
          <w:noProof/>
        </w:rPr>
      </w:pPr>
      <w:bookmarkStart w:id="164" w:name="_DMBM_14756"/>
      <w:r>
        <w:rPr>
          <w:noProof/>
        </w:rPr>
        <w:t>RAHOITUSKULUT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65" w:name="DOC_TBL00069_1_1"/>
            <w:bookmarkEnd w:id="16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Korkokulut: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ottolainaus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1 260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1 373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muut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Arvonalentumistappio lainoista ja muista saamisista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Käypään arvoon tulosvaikutteisesti kirjattavista rahoitusvaroista ja </w:t>
            </w:r>
            <w:r>
              <w:noBreakHyphen/>
              <w:t>veloista aiheutuneet tappiot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Rahoitusleasingsopimukset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Myytävissä olevien rahoitusvarojen arvonalentumistappiot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Rahoitusvarojen toteutuneet myyntitappiot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Muut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Yhteensä</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1 677</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1 896</w:t>
            </w:r>
          </w:p>
        </w:tc>
      </w:tr>
    </w:tbl>
    <w:p>
      <w:pPr>
        <w:pStyle w:val="DGTextstand-alone"/>
        <w:spacing w:after="0"/>
      </w:pPr>
      <w:r>
        <w:t>Ottolainauksen korkokulut vastaavat rahoitusapuna myönnettävistä lainoista saatuja korkotuottoja (back-to-back).</w:t>
      </w:r>
    </w:p>
    <w:p>
      <w:pPr>
        <w:pStyle w:val="DGTextstand-alone"/>
        <w:spacing w:after="0"/>
        <w:sectPr>
          <w:headerReference w:type="even" r:id="rId340"/>
          <w:headerReference w:type="default" r:id="rId341"/>
          <w:footerReference w:type="even" r:id="rId342"/>
          <w:footerReference w:type="default" r:id="rId343"/>
          <w:headerReference w:type="first" r:id="rId344"/>
          <w:footerReference w:type="first" r:id="rId345"/>
          <w:type w:val="continuous"/>
          <w:pgSz w:w="11906" w:h="16838"/>
          <w:pgMar w:top="1134" w:right="1134" w:bottom="1134" w:left="1134" w:header="709" w:footer="709" w:gutter="0"/>
          <w:cols w:space="708"/>
          <w:docGrid w:linePitch="360"/>
        </w:sectPr>
      </w:pPr>
      <w:r>
        <w:t xml:space="preserve"> </w:t>
      </w:r>
      <w:bookmarkEnd w:id="164"/>
    </w:p>
    <w:p>
      <w:pPr>
        <w:pStyle w:val="HEADER2NOTES"/>
        <w:rPr>
          <w:noProof/>
        </w:rPr>
      </w:pPr>
      <w:bookmarkStart w:id="166" w:name="_DMBM_14729"/>
      <w:r>
        <w:rPr>
          <w:noProof/>
        </w:rPr>
        <w:t>MUUT KULUT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67" w:name="DOC_TBL00070_1_1"/>
            <w:bookmarkEnd w:id="167"/>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Hallinnolliset ja tietotekniset kulut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2 313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2 521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Käyttöomaisuushyödykkeisiin liittyvät kulut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1 608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1 423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Varausten oikaisut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923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1 377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Kurssitappiot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Käyttöleasingkulut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414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Unionin tuomioistuimen määräämät sakkojen alentamiset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Muut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509</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Yhteensä</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6 208</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6 756</w:t>
            </w:r>
          </w:p>
        </w:tc>
      </w:tr>
    </w:tbl>
    <w:p>
      <w:pPr>
        <w:pStyle w:val="DGTextstand-alone"/>
      </w:pPr>
      <w:r>
        <w:t>Tutkimukseen ja kehitykseen liittyvät kulut sisältyvät hallinnollisiin ja tietoteknisiin kuluihin ja ovat seuraavat: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68" w:name="DOC_TBL00071_1_1"/>
            <w:bookmarkEnd w:id="168"/>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Tutkimuskulut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376</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Aktivoimattomat kehitysmenot</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106</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Yhteensä</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491</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456</w:t>
            </w:r>
          </w:p>
        </w:tc>
      </w:tr>
    </w:tbl>
    <w:p>
      <w:pPr>
        <w:pStyle w:val="DGTextstand-alone"/>
        <w:spacing w:before="0" w:after="0"/>
        <w:sectPr>
          <w:headerReference w:type="even" r:id="rId346"/>
          <w:headerReference w:type="default" r:id="rId347"/>
          <w:footerReference w:type="even" r:id="rId348"/>
          <w:footerReference w:type="default" r:id="rId349"/>
          <w:headerReference w:type="first" r:id="rId350"/>
          <w:footerReference w:type="first" r:id="rId351"/>
          <w:type w:val="continuous"/>
          <w:pgSz w:w="11906" w:h="16838"/>
          <w:pgMar w:top="1134" w:right="1134" w:bottom="1134" w:left="1134" w:header="709" w:footer="709" w:gutter="0"/>
          <w:cols w:space="708"/>
          <w:docGrid w:linePitch="360"/>
        </w:sectPr>
      </w:pPr>
      <w:r>
        <w:t xml:space="preserve"> </w:t>
      </w:r>
      <w:bookmarkEnd w:id="166"/>
    </w:p>
    <w:p>
      <w:pPr>
        <w:pStyle w:val="HEADER2NOTES"/>
        <w:rPr>
          <w:noProof/>
        </w:rPr>
      </w:pPr>
      <w:bookmarkStart w:id="169" w:name="_DMBM_14758"/>
      <w:r>
        <w:rPr>
          <w:noProof/>
        </w:rPr>
        <w:t>SEGMENTTIRAPORTOINTI MONIVUOTISEN RAHOITUSKEHYKSEN OTSAKKEITTAIN</w:t>
      </w:r>
    </w:p>
    <w:tbl>
      <w:tblPr>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276"/>
        <w:gridCol w:w="1275"/>
        <w:gridCol w:w="1418"/>
        <w:gridCol w:w="1559"/>
        <w:gridCol w:w="992"/>
        <w:gridCol w:w="1843"/>
        <w:gridCol w:w="1296"/>
      </w:tblGrid>
      <w:tr>
        <w:trPr>
          <w:cantSplit/>
          <w:trHeight w:val="250"/>
        </w:trPr>
        <w:tc>
          <w:tcPr>
            <w:tcW w:w="4928"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170" w:name="DOC_TBL00072_1_1"/>
            <w:bookmarkEnd w:id="170"/>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99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9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milj. euroa</w:t>
            </w:r>
          </w:p>
        </w:tc>
      </w:tr>
      <w:tr>
        <w:trPr>
          <w:cantSplit/>
          <w:trHeight w:val="737"/>
        </w:trPr>
        <w:tc>
          <w:tcPr>
            <w:tcW w:w="4928"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eastAsia="Times New Roman" w:cs="Verdana"/>
              </w:rPr>
            </w:pPr>
            <w:r>
              <w:t>Älykäs ja osallistava kasvu</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eastAsia="Times New Roman" w:cs="Verdana"/>
              </w:rPr>
            </w:pPr>
            <w:r>
              <w:t>Kestävä kasvu</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eastAsia="Times New Roman" w:cs="Verdana"/>
              </w:rPr>
            </w:pPr>
            <w:r>
              <w:t>Turvallisuus ja kansalaisuus</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eastAsia="Times New Roman" w:cs="Verdana"/>
              </w:rPr>
            </w:pPr>
            <w:r>
              <w:t>Globaali Eurooppa</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eastAsia="Times New Roman" w:cs="Verdana"/>
              </w:rPr>
            </w:pPr>
            <w:r>
              <w:t>Hallinto</w:t>
            </w:r>
          </w:p>
        </w:tc>
        <w:tc>
          <w:tcPr>
            <w:tcW w:w="1843"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eastAsia="Times New Roman" w:cs="Verdana"/>
              </w:rPr>
            </w:pPr>
            <w:r>
              <w:t>Ei sidottu monivuotisen rahoituskehyksen otsakkeeseen*</w:t>
            </w:r>
          </w:p>
        </w:tc>
        <w:tc>
          <w:tcPr>
            <w:tcW w:w="1296"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eastAsia="Times New Roman" w:cs="Verdana"/>
              </w:rPr>
            </w:pPr>
            <w:r>
              <w:t>Yhteensä</w:t>
            </w:r>
          </w:p>
        </w:tc>
      </w:tr>
      <w:tr>
        <w:trPr>
          <w:cantSplit/>
          <w:trHeight w:val="218"/>
        </w:trPr>
        <w:tc>
          <w:tcPr>
            <w:tcW w:w="4928"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BKTL-varat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105 780</w:t>
            </w:r>
          </w:p>
        </w:tc>
        <w:tc>
          <w:tcPr>
            <w:tcW w:w="129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105 780</w:t>
            </w:r>
          </w:p>
        </w:tc>
      </w:tr>
      <w:tr>
        <w:trPr>
          <w:cantSplit/>
          <w:trHeight w:val="218"/>
        </w:trPr>
        <w:tc>
          <w:tcPr>
            <w:tcW w:w="4928"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Perinteiset omat varat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22 767</w:t>
            </w:r>
          </w:p>
        </w:tc>
        <w:tc>
          <w:tcPr>
            <w:tcW w:w="129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22 767</w:t>
            </w:r>
          </w:p>
        </w:tc>
      </w:tr>
      <w:tr>
        <w:trPr>
          <w:cantSplit/>
          <w:trHeight w:val="218"/>
        </w:trPr>
        <w:tc>
          <w:tcPr>
            <w:tcW w:w="4928"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ALV</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17 624</w:t>
            </w:r>
          </w:p>
        </w:tc>
        <w:tc>
          <w:tcPr>
            <w:tcW w:w="129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17 624</w:t>
            </w:r>
          </w:p>
        </w:tc>
      </w:tr>
      <w:tr>
        <w:trPr>
          <w:cantSplit/>
          <w:trHeight w:val="218"/>
        </w:trPr>
        <w:tc>
          <w:tcPr>
            <w:tcW w:w="4928"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Sakot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6 740</w:t>
            </w:r>
          </w:p>
        </w:tc>
        <w:tc>
          <w:tcPr>
            <w:tcW w:w="129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6 740</w:t>
            </w:r>
          </w:p>
        </w:tc>
      </w:tr>
      <w:tr>
        <w:trPr>
          <w:cantSplit/>
          <w:trHeight w:val="218"/>
        </w:trPr>
        <w:tc>
          <w:tcPr>
            <w:tcW w:w="4928"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Varojen takaisinperintä</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1 395</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777</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6</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35</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w:t>
            </w:r>
          </w:p>
        </w:tc>
        <w:tc>
          <w:tcPr>
            <w:tcW w:w="129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2 215</w:t>
            </w:r>
          </w:p>
        </w:tc>
      </w:tr>
      <w:tr>
        <w:trPr>
          <w:cantSplit/>
          <w:trHeight w:val="218"/>
        </w:trPr>
        <w:tc>
          <w:tcPr>
            <w:tcW w:w="4928"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Muut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1 223</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48</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109</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228</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5 077</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(3 374)</w:t>
            </w:r>
          </w:p>
        </w:tc>
        <w:tc>
          <w:tcPr>
            <w:tcW w:w="129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3 312</w:t>
            </w:r>
          </w:p>
        </w:tc>
      </w:tr>
      <w:tr>
        <w:trPr>
          <w:cantSplit/>
          <w:trHeight w:val="218"/>
        </w:trPr>
        <w:tc>
          <w:tcPr>
            <w:tcW w:w="4928" w:type="dxa"/>
            <w:tcBorders>
              <w:top w:val="nil"/>
              <w:left w:val="nil"/>
              <w:bottom w:val="nil"/>
              <w:right w:val="nil"/>
            </w:tcBorders>
            <w:tcMar>
              <w:top w:w="0" w:type="dxa"/>
              <w:left w:w="108" w:type="dxa"/>
              <w:bottom w:w="0" w:type="dxa"/>
              <w:right w:w="108" w:type="dxa"/>
            </w:tcMar>
          </w:tcPr>
          <w:p>
            <w:pPr>
              <w:pStyle w:val="Text8pBoldLeft"/>
              <w:rPr>
                <w:rFonts w:eastAsia="Times New Roman" w:cs="Verdana"/>
              </w:rPr>
            </w:pPr>
            <w:r>
              <w:t>Tuotot muista kuin vaihtoon perustuvista transaktioista</w:t>
            </w:r>
          </w:p>
        </w:tc>
        <w:tc>
          <w:tcPr>
            <w:tcW w:w="1276" w:type="dxa"/>
            <w:tcBorders>
              <w:top w:val="nil"/>
              <w:left w:val="nil"/>
              <w:bottom w:val="nil"/>
              <w:right w:val="nil"/>
            </w:tcBorders>
            <w:tcMar>
              <w:top w:w="0" w:type="dxa"/>
              <w:left w:w="108" w:type="dxa"/>
              <w:bottom w:w="0" w:type="dxa"/>
              <w:right w:w="108" w:type="dxa"/>
            </w:tcMar>
          </w:tcPr>
          <w:p>
            <w:pPr>
              <w:pStyle w:val="Figures8pBoldRight025"/>
              <w:rPr>
                <w:rFonts w:eastAsia="Times New Roman" w:cs="Verdana"/>
              </w:rPr>
            </w:pPr>
            <w:r>
              <w:t>2 619</w:t>
            </w:r>
          </w:p>
        </w:tc>
        <w:tc>
          <w:tcPr>
            <w:tcW w:w="1275" w:type="dxa"/>
            <w:tcBorders>
              <w:top w:val="nil"/>
              <w:left w:val="nil"/>
              <w:bottom w:val="nil"/>
              <w:right w:val="nil"/>
            </w:tcBorders>
            <w:tcMar>
              <w:top w:w="0" w:type="dxa"/>
              <w:left w:w="108" w:type="dxa"/>
              <w:bottom w:w="0" w:type="dxa"/>
              <w:right w:w="108" w:type="dxa"/>
            </w:tcMar>
          </w:tcPr>
          <w:p>
            <w:pPr>
              <w:pStyle w:val="Figures8pBoldRight025"/>
              <w:rPr>
                <w:rFonts w:eastAsia="Times New Roman" w:cs="Verdana"/>
              </w:rPr>
            </w:pPr>
            <w:r>
              <w:t xml:space="preserve"> 825</w:t>
            </w:r>
          </w:p>
        </w:tc>
        <w:tc>
          <w:tcPr>
            <w:tcW w:w="1418" w:type="dxa"/>
            <w:tcBorders>
              <w:top w:val="nil"/>
              <w:left w:val="nil"/>
              <w:bottom w:val="nil"/>
              <w:right w:val="nil"/>
            </w:tcBorders>
            <w:tcMar>
              <w:top w:w="0" w:type="dxa"/>
              <w:left w:w="108" w:type="dxa"/>
              <w:bottom w:w="0" w:type="dxa"/>
              <w:right w:w="108" w:type="dxa"/>
            </w:tcMar>
          </w:tcPr>
          <w:p>
            <w:pPr>
              <w:pStyle w:val="Figures8pBoldRight025"/>
              <w:rPr>
                <w:rFonts w:eastAsia="Times New Roman" w:cs="Verdana"/>
              </w:rPr>
            </w:pPr>
            <w:r>
              <w:t xml:space="preserve"> 115</w:t>
            </w:r>
          </w:p>
        </w:tc>
        <w:tc>
          <w:tcPr>
            <w:tcW w:w="1559" w:type="dxa"/>
            <w:tcBorders>
              <w:top w:val="nil"/>
              <w:left w:val="nil"/>
              <w:bottom w:val="nil"/>
              <w:right w:val="nil"/>
            </w:tcBorders>
            <w:tcMar>
              <w:top w:w="0" w:type="dxa"/>
              <w:left w:w="108" w:type="dxa"/>
              <w:bottom w:w="0" w:type="dxa"/>
              <w:right w:w="108" w:type="dxa"/>
            </w:tcMar>
          </w:tcPr>
          <w:p>
            <w:pPr>
              <w:pStyle w:val="Figures8pBoldRight025"/>
              <w:rPr>
                <w:rFonts w:eastAsia="Times New Roman" w:cs="Verdana"/>
              </w:rPr>
            </w:pPr>
            <w:r>
              <w:t xml:space="preserve"> 262</w:t>
            </w:r>
          </w:p>
        </w:tc>
        <w:tc>
          <w:tcPr>
            <w:tcW w:w="992" w:type="dxa"/>
            <w:tcBorders>
              <w:top w:val="nil"/>
              <w:left w:val="nil"/>
              <w:bottom w:val="nil"/>
              <w:right w:val="nil"/>
            </w:tcBorders>
            <w:tcMar>
              <w:top w:w="0" w:type="dxa"/>
              <w:left w:w="108" w:type="dxa"/>
              <w:bottom w:w="0" w:type="dxa"/>
              <w:right w:w="108" w:type="dxa"/>
            </w:tcMar>
          </w:tcPr>
          <w:p>
            <w:pPr>
              <w:pStyle w:val="Figures8pBoldRight025"/>
              <w:rPr>
                <w:rFonts w:eastAsia="Times New Roman" w:cs="Verdana"/>
              </w:rPr>
            </w:pPr>
            <w:r>
              <w:t>5 077</w:t>
            </w:r>
          </w:p>
        </w:tc>
        <w:tc>
          <w:tcPr>
            <w:tcW w:w="1843" w:type="dxa"/>
            <w:tcBorders>
              <w:top w:val="nil"/>
              <w:left w:val="nil"/>
              <w:bottom w:val="nil"/>
              <w:right w:val="nil"/>
            </w:tcBorders>
            <w:tcMar>
              <w:top w:w="0" w:type="dxa"/>
              <w:left w:w="108" w:type="dxa"/>
              <w:bottom w:w="0" w:type="dxa"/>
              <w:right w:w="108" w:type="dxa"/>
            </w:tcMar>
          </w:tcPr>
          <w:p>
            <w:pPr>
              <w:pStyle w:val="Figures8pBoldRight025"/>
              <w:rPr>
                <w:rFonts w:eastAsia="Times New Roman" w:cs="Verdana"/>
              </w:rPr>
            </w:pPr>
            <w:r>
              <w:t>149 540</w:t>
            </w:r>
          </w:p>
        </w:tc>
        <w:tc>
          <w:tcPr>
            <w:tcW w:w="1296" w:type="dxa"/>
            <w:tcBorders>
              <w:top w:val="nil"/>
              <w:left w:val="nil"/>
              <w:bottom w:val="nil"/>
              <w:right w:val="nil"/>
            </w:tcBorders>
            <w:tcMar>
              <w:top w:w="0" w:type="dxa"/>
              <w:left w:w="108" w:type="dxa"/>
              <w:bottom w:w="0" w:type="dxa"/>
              <w:right w:w="108" w:type="dxa"/>
            </w:tcMar>
          </w:tcPr>
          <w:p>
            <w:pPr>
              <w:pStyle w:val="Figures8pBoldRight025"/>
              <w:rPr>
                <w:rFonts w:eastAsia="Times New Roman" w:cs="Verdana"/>
              </w:rPr>
            </w:pPr>
            <w:r>
              <w:t>158 438</w:t>
            </w:r>
          </w:p>
        </w:tc>
      </w:tr>
      <w:tr>
        <w:trPr>
          <w:cantSplit/>
          <w:trHeight w:val="218"/>
        </w:trPr>
        <w:tc>
          <w:tcPr>
            <w:tcW w:w="4928"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Rahoitustuotot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282</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16</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2 816</w:t>
            </w:r>
          </w:p>
        </w:tc>
        <w:tc>
          <w:tcPr>
            <w:tcW w:w="129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3 115</w:t>
            </w:r>
          </w:p>
        </w:tc>
      </w:tr>
      <w:tr>
        <w:trPr>
          <w:cantSplit/>
          <w:trHeight w:val="218"/>
        </w:trPr>
        <w:tc>
          <w:tcPr>
            <w:tcW w:w="4928"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Muut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170</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(14)</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(8)</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6</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337</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887</w:t>
            </w:r>
          </w:p>
        </w:tc>
        <w:tc>
          <w:tcPr>
            <w:tcW w:w="129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1 379</w:t>
            </w:r>
          </w:p>
        </w:tc>
      </w:tr>
      <w:tr>
        <w:trPr>
          <w:cantSplit/>
          <w:trHeight w:val="234"/>
        </w:trPr>
        <w:tc>
          <w:tcPr>
            <w:tcW w:w="4928" w:type="dxa"/>
            <w:tcBorders>
              <w:top w:val="nil"/>
              <w:left w:val="nil"/>
              <w:bottom w:val="single" w:sz="4" w:space="0" w:color="016794"/>
              <w:right w:val="nil"/>
            </w:tcBorders>
            <w:tcMar>
              <w:top w:w="0" w:type="dxa"/>
              <w:left w:w="108" w:type="dxa"/>
              <w:bottom w:w="0" w:type="dxa"/>
              <w:right w:w="108" w:type="dxa"/>
            </w:tcMar>
          </w:tcPr>
          <w:p>
            <w:pPr>
              <w:pStyle w:val="Text8pBoldLeft"/>
              <w:rPr>
                <w:rFonts w:eastAsia="Times New Roman" w:cs="Verdana"/>
              </w:rPr>
            </w:pPr>
            <w:r>
              <w:t>Tuotot vaihtoon perustuvista transaktioista</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453</w:t>
            </w:r>
          </w:p>
        </w:tc>
        <w:tc>
          <w:tcPr>
            <w:tcW w:w="1275" w:type="dxa"/>
            <w:tcBorders>
              <w:top w:val="nil"/>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(13)</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(8)</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23</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337</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3 703</w:t>
            </w:r>
          </w:p>
        </w:tc>
        <w:tc>
          <w:tcPr>
            <w:tcW w:w="1296" w:type="dxa"/>
            <w:tcBorders>
              <w:top w:val="nil"/>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4 494</w:t>
            </w:r>
          </w:p>
        </w:tc>
      </w:tr>
      <w:tr>
        <w:trPr>
          <w:cantSplit/>
          <w:trHeight w:val="234"/>
        </w:trPr>
        <w:tc>
          <w:tcPr>
            <w:tcW w:w="4928"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eastAsia="Times New Roman" w:cs="Verdana"/>
              </w:rPr>
            </w:pPr>
            <w:r>
              <w:t>Tuotot yhteensä</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3 072</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812</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107</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285</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5 414</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153 243</w:t>
            </w:r>
          </w:p>
        </w:tc>
        <w:tc>
          <w:tcPr>
            <w:tcW w:w="129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162 932</w:t>
            </w:r>
          </w:p>
        </w:tc>
      </w:tr>
      <w:tr>
        <w:trPr>
          <w:cantSplit/>
          <w:trHeight w:val="218"/>
        </w:trPr>
        <w:tc>
          <w:tcPr>
            <w:tcW w:w="4928" w:type="dxa"/>
            <w:tcBorders>
              <w:top w:val="single" w:sz="4" w:space="0" w:color="016794"/>
              <w:left w:val="nil"/>
              <w:bottom w:val="nil"/>
              <w:right w:val="nil"/>
            </w:tcBorders>
            <w:tcMar>
              <w:top w:w="0" w:type="dxa"/>
              <w:left w:w="108" w:type="dxa"/>
              <w:bottom w:w="0" w:type="dxa"/>
              <w:right w:w="108" w:type="dxa"/>
            </w:tcMar>
          </w:tcPr>
          <w:p>
            <w:pPr>
              <w:pStyle w:val="Text8pItalicLeft"/>
              <w:rPr>
                <w:rFonts w:eastAsia="Times New Roman" w:cs="Verdana"/>
              </w:rPr>
            </w:pPr>
            <w:r>
              <w:t>Jäsenvaltioiden toteuttamat menot:</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275"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8"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9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843"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296"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p>
        </w:tc>
      </w:tr>
      <w:tr>
        <w:trPr>
          <w:cantSplit/>
          <w:trHeight w:val="218"/>
        </w:trPr>
        <w:tc>
          <w:tcPr>
            <w:tcW w:w="4928"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 xml:space="preserve">  Maataloustukirahasto</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(43 527)</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9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(43 527)</w:t>
            </w:r>
          </w:p>
        </w:tc>
      </w:tr>
      <w:tr>
        <w:trPr>
          <w:cantSplit/>
          <w:trHeight w:val="218"/>
        </w:trPr>
        <w:tc>
          <w:tcPr>
            <w:tcW w:w="4928"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 xml:space="preserve">  Maaseuturahasto ja muut maaseudun kehittämisen välineet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(13 149)</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9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(13 149)</w:t>
            </w:r>
          </w:p>
        </w:tc>
      </w:tr>
      <w:tr>
        <w:trPr>
          <w:cantSplit/>
          <w:trHeight w:val="218"/>
        </w:trPr>
        <w:tc>
          <w:tcPr>
            <w:tcW w:w="4928"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 xml:space="preserve">  EAKR ja koheesiorahasto</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(30 230)</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9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(30 230)</w:t>
            </w:r>
          </w:p>
        </w:tc>
      </w:tr>
      <w:tr>
        <w:trPr>
          <w:cantSplit/>
          <w:trHeight w:val="218"/>
        </w:trPr>
        <w:tc>
          <w:tcPr>
            <w:tcW w:w="4928"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 xml:space="preserve">  ESR</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(11 935)</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9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(11 935)</w:t>
            </w:r>
          </w:p>
        </w:tc>
      </w:tr>
      <w:tr>
        <w:trPr>
          <w:cantSplit/>
          <w:trHeight w:val="218"/>
        </w:trPr>
        <w:tc>
          <w:tcPr>
            <w:tcW w:w="4928"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 xml:space="preserve">  Muut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(437)</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(596)</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(1 762)</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(31)</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9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(2 826)</w:t>
            </w:r>
          </w:p>
        </w:tc>
      </w:tr>
      <w:tr>
        <w:trPr>
          <w:cantSplit/>
          <w:trHeight w:val="218"/>
        </w:trPr>
        <w:tc>
          <w:tcPr>
            <w:tcW w:w="4928"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Komission, toimeenpanovirastojen ja erityisrahastojen toteuttamat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(11 565)</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(571)</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(930)</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(4 496)</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(13)</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24</w:t>
            </w:r>
          </w:p>
        </w:tc>
        <w:tc>
          <w:tcPr>
            <w:tcW w:w="129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(17 551)</w:t>
            </w:r>
          </w:p>
        </w:tc>
      </w:tr>
      <w:tr>
        <w:trPr>
          <w:cantSplit/>
          <w:trHeight w:val="218"/>
        </w:trPr>
        <w:tc>
          <w:tcPr>
            <w:tcW w:w="4928"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EU:n muiden virastojen ja elinten toteuttamat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(2 767)</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(810)</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(48)</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226</w:t>
            </w:r>
          </w:p>
        </w:tc>
        <w:tc>
          <w:tcPr>
            <w:tcW w:w="129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(3 396)</w:t>
            </w:r>
          </w:p>
        </w:tc>
      </w:tr>
      <w:tr>
        <w:trPr>
          <w:cantSplit/>
          <w:trHeight w:val="218"/>
        </w:trPr>
        <w:tc>
          <w:tcPr>
            <w:tcW w:w="4928"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Kolmansien maiden ja kansainvälisten järjestöjen toteuttamat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(505)</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(74)</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(202)</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(3 236)</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9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(4 016)</w:t>
            </w:r>
          </w:p>
        </w:tc>
      </w:tr>
      <w:tr>
        <w:trPr>
          <w:cantSplit/>
          <w:trHeight w:val="218"/>
        </w:trPr>
        <w:tc>
          <w:tcPr>
            <w:tcW w:w="4928"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Muiden yhteisöjen toteuttamat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(2 696)</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(875)</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9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(3 569)</w:t>
            </w:r>
          </w:p>
        </w:tc>
      </w:tr>
      <w:tr>
        <w:trPr>
          <w:cantSplit/>
          <w:trHeight w:val="218"/>
        </w:trPr>
        <w:tc>
          <w:tcPr>
            <w:tcW w:w="4928"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Henkilöstö- ja eläkekulut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(1 675)</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(369)</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(447)</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(699)</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(6 697)</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(1 043)</w:t>
            </w:r>
          </w:p>
        </w:tc>
        <w:tc>
          <w:tcPr>
            <w:tcW w:w="129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(10 929)</w:t>
            </w:r>
          </w:p>
        </w:tc>
      </w:tr>
      <w:tr>
        <w:trPr>
          <w:cantSplit/>
          <w:trHeight w:val="218"/>
        </w:trPr>
        <w:tc>
          <w:tcPr>
            <w:tcW w:w="4928"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Työsuhde-etuuksiin liittyvien vakuutusmatemaattisten oletusten muutokset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9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r>
      <w:tr>
        <w:trPr>
          <w:cantSplit/>
          <w:trHeight w:val="218"/>
        </w:trPr>
        <w:tc>
          <w:tcPr>
            <w:tcW w:w="4928"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Rahoituskulut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(149)</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(22)</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(16)</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(93)</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(1 397)</w:t>
            </w:r>
          </w:p>
        </w:tc>
        <w:tc>
          <w:tcPr>
            <w:tcW w:w="129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(1 677)</w:t>
            </w:r>
          </w:p>
        </w:tc>
      </w:tr>
      <w:tr>
        <w:trPr>
          <w:cantSplit/>
          <w:trHeight w:val="234"/>
        </w:trPr>
        <w:tc>
          <w:tcPr>
            <w:tcW w:w="4928" w:type="dxa"/>
            <w:tcBorders>
              <w:top w:val="nil"/>
              <w:left w:val="nil"/>
              <w:bottom w:val="single" w:sz="4" w:space="0" w:color="016794"/>
              <w:right w:val="nil"/>
            </w:tcBorders>
            <w:tcMar>
              <w:top w:w="0" w:type="dxa"/>
              <w:left w:w="108" w:type="dxa"/>
              <w:bottom w:w="0" w:type="dxa"/>
              <w:right w:w="108" w:type="dxa"/>
            </w:tcMar>
          </w:tcPr>
          <w:p>
            <w:pPr>
              <w:pStyle w:val="Text8pItalicLeft"/>
              <w:rPr>
                <w:rFonts w:eastAsia="Times New Roman" w:cs="Verdana"/>
              </w:rPr>
            </w:pPr>
            <w:r>
              <w:t>Muut kulut</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(1 945)</w:t>
            </w:r>
          </w:p>
        </w:tc>
        <w:tc>
          <w:tcPr>
            <w:tcW w:w="1275"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(313)</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(137)</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(109)</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(3 231)</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(472)</w:t>
            </w:r>
          </w:p>
        </w:tc>
        <w:tc>
          <w:tcPr>
            <w:tcW w:w="129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(6 208)</w:t>
            </w:r>
          </w:p>
        </w:tc>
      </w:tr>
      <w:tr>
        <w:trPr>
          <w:cantSplit/>
          <w:trHeight w:val="218"/>
        </w:trPr>
        <w:tc>
          <w:tcPr>
            <w:tcW w:w="4928" w:type="dxa"/>
            <w:tcBorders>
              <w:top w:val="single" w:sz="4" w:space="0" w:color="016794"/>
              <w:left w:val="nil"/>
              <w:bottom w:val="nil"/>
              <w:right w:val="nil"/>
            </w:tcBorders>
            <w:tcMar>
              <w:top w:w="0" w:type="dxa"/>
              <w:left w:w="108" w:type="dxa"/>
              <w:bottom w:w="0" w:type="dxa"/>
              <w:right w:w="108" w:type="dxa"/>
            </w:tcMar>
          </w:tcPr>
          <w:p>
            <w:pPr>
              <w:pStyle w:val="Text8pBoldLeft"/>
              <w:rPr>
                <w:rFonts w:eastAsia="Times New Roman" w:cs="Verdana"/>
              </w:rPr>
            </w:pPr>
            <w:r>
              <w:t>Kulut yhteensä</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(63 903)</w:t>
            </w:r>
          </w:p>
        </w:tc>
        <w:tc>
          <w:tcPr>
            <w:tcW w:w="1275"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(58 620)</w:t>
            </w:r>
          </w:p>
        </w:tc>
        <w:tc>
          <w:tcPr>
            <w:tcW w:w="1418"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(4 287)</w:t>
            </w:r>
          </w:p>
        </w:tc>
        <w:tc>
          <w:tcPr>
            <w:tcW w:w="1559"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(9 510)</w:t>
            </w:r>
          </w:p>
        </w:tc>
        <w:tc>
          <w:tcPr>
            <w:tcW w:w="992"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(10 034)</w:t>
            </w:r>
          </w:p>
        </w:tc>
        <w:tc>
          <w:tcPr>
            <w:tcW w:w="1843"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(2 661)</w:t>
            </w:r>
          </w:p>
        </w:tc>
        <w:tc>
          <w:tcPr>
            <w:tcW w:w="1296"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(149 014)</w:t>
            </w:r>
          </w:p>
        </w:tc>
      </w:tr>
      <w:tr>
        <w:trPr>
          <w:cantSplit/>
          <w:trHeight w:val="234"/>
        </w:trPr>
        <w:tc>
          <w:tcPr>
            <w:tcW w:w="4928"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Times New Roman" w:cs="Verdana"/>
              </w:rPr>
            </w:pPr>
            <w:r>
              <w:t>Varainhoitovuoden taloudellinen tulos</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(60 831)</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(57 808)</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(4 180)</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(9 225)</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(4 620)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150 581</w:t>
            </w:r>
          </w:p>
        </w:tc>
        <w:tc>
          <w:tcPr>
            <w:tcW w:w="129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13 918</w:t>
            </w:r>
          </w:p>
        </w:tc>
      </w:tr>
    </w:tbl>
    <w:p>
      <w:pPr>
        <w:pStyle w:val="Textstand-alone"/>
        <w:tabs>
          <w:tab w:val="left" w:pos="284"/>
        </w:tabs>
        <w:spacing w:before="60"/>
        <w:ind w:left="284" w:hanging="284"/>
        <w:rPr>
          <w:i/>
          <w:sz w:val="14"/>
        </w:rPr>
      </w:pPr>
      <w:r>
        <w:rPr>
          <w:i/>
          <w:sz w:val="14"/>
        </w:rPr>
        <w:t>*</w:t>
      </w:r>
      <w:r>
        <w:tab/>
      </w:r>
      <w:r>
        <w:rPr>
          <w:i/>
          <w:sz w:val="14"/>
        </w:rPr>
        <w:t>”Ei sidottu monivuotisen rahoituskehyksen otsakkeeseen” sisältää konsolidoitujen yhteisöjen talousarvion toteuttamisen, konsolidoinnista johtuvat eliminoinnit, talousarvion ulkopuoliset toimet ja kohdentamattomat ohjelmat, joihin liittyvät yksittäiset määrät ovat vähäisiä.</w:t>
      </w:r>
    </w:p>
    <w:p>
      <w:pPr>
        <w:pStyle w:val="DGTextstand-alone"/>
      </w:pPr>
      <w:r>
        <w:t xml:space="preserve">Monivuotisen rahoituskehyksen otsakkeittain esitetyt tuotot ja kulut perustuvat arvioon, koska kaikki sitoumukset eivät liity monivuotisen rahoituskehyksen otsakkeeseen. </w:t>
      </w:r>
    </w:p>
    <w:p>
      <w:pPr>
        <w:pStyle w:val="DGTextstand-alone"/>
        <w:sectPr>
          <w:headerReference w:type="even" r:id="rId352"/>
          <w:headerReference w:type="default" r:id="rId353"/>
          <w:footerReference w:type="even" r:id="rId354"/>
          <w:footerReference w:type="default" r:id="rId355"/>
          <w:headerReference w:type="first" r:id="rId356"/>
          <w:footerReference w:type="first" r:id="rId357"/>
          <w:pgSz w:w="16838" w:h="11906" w:orient="landscape"/>
          <w:pgMar w:top="1134" w:right="1134" w:bottom="1134" w:left="1134" w:header="708" w:footer="708" w:gutter="0"/>
          <w:cols w:space="708"/>
          <w:docGrid w:linePitch="360"/>
        </w:sectPr>
      </w:pPr>
      <w:r>
        <w:t xml:space="preserve"> </w:t>
      </w:r>
      <w:bookmarkEnd w:id="169"/>
    </w:p>
    <w:p>
      <w:pPr>
        <w:pStyle w:val="HEADER1NOTES"/>
        <w:rPr>
          <w:noProof/>
        </w:rPr>
        <w:sectPr>
          <w:headerReference w:type="even" r:id="rId358"/>
          <w:headerReference w:type="default" r:id="rId359"/>
          <w:footerReference w:type="even" r:id="rId360"/>
          <w:footerReference w:type="default" r:id="rId361"/>
          <w:headerReference w:type="first" r:id="rId362"/>
          <w:footerReference w:type="first" r:id="rId363"/>
          <w:type w:val="continuous"/>
          <w:pgSz w:w="11906" w:h="16838"/>
          <w:pgMar w:top="1134" w:right="1134" w:bottom="1134" w:left="1134" w:header="709" w:footer="709" w:gutter="0"/>
          <w:cols w:space="708"/>
          <w:docGrid w:linePitch="360"/>
        </w:sectPr>
      </w:pPr>
      <w:bookmarkStart w:id="171" w:name="_Toc11939023"/>
      <w:bookmarkStart w:id="172" w:name="_Toc17883231"/>
      <w:bookmarkStart w:id="173" w:name="_DMBM_14769"/>
      <w:r>
        <w:rPr>
          <w:noProof/>
        </w:rPr>
        <w:t>EHDOLLISET VELAT JA VARAT</w:t>
      </w:r>
      <w:bookmarkEnd w:id="171"/>
      <w:bookmarkEnd w:id="172"/>
      <w:r>
        <w:rPr>
          <w:noProof/>
        </w:rPr>
        <w:t xml:space="preserve"> </w:t>
      </w:r>
      <w:bookmarkEnd w:id="173"/>
    </w:p>
    <w:p>
      <w:pPr>
        <w:pStyle w:val="HEADER2NOTES"/>
        <w:rPr>
          <w:noProof/>
        </w:rPr>
      </w:pPr>
      <w:bookmarkStart w:id="174" w:name="_DMBM_14724"/>
      <w:r>
        <w:rPr>
          <w:noProof/>
        </w:rPr>
        <w:t xml:space="preserve"> EHDOLLISET VELAT</w:t>
      </w:r>
    </w:p>
    <w:p>
      <w:pPr>
        <w:pStyle w:val="DGTextstand-alone"/>
        <w:spacing w:after="0"/>
      </w:pPr>
      <w:r>
        <w:t xml:space="preserve">Ehdolliset velat ovat potentiaalisia tulevia maksuvelvoitteita, jotka voivat syntyä EU:lle aiempien tapahtumien tai tehtyjen oikeudellisten sitoumusten seurauksena. Ne riippuvat tulevista tapahtumista, jotka eivät ole kokonaan EU:n määräysvallassa. Ehdolliset velat liittyvät pääasiassa takauksiin (lainat ja rahoitusapuohjelmat) ja oikeudellisiin riskeihin. Kaikki ehdolliset velat rahoitetaan niiden toteutuessa EU:n (eli käytännössä EU:n jäsenvaltioiden) tulevista talousarvioista tulevina vuosina, lukuun ottamatta rahastojen kattamiin sakkoihin ja takauksiin liittyviä ehdollisia velkoja (ks. liitetieto </w:t>
      </w:r>
      <w:r>
        <w:rPr>
          <w:b/>
        </w:rPr>
        <w:t>2.4.1</w:t>
      </w:r>
      <w:r>
        <w:t>).</w:t>
      </w:r>
    </w:p>
    <w:p>
      <w:pPr>
        <w:pStyle w:val="HEADER3NOTES"/>
        <w:rPr>
          <w:noProof/>
        </w:rPr>
      </w:pPr>
      <w:r>
        <w:rPr>
          <w:noProof/>
        </w:rPr>
        <w:t>Talousarviotakaukset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134"/>
        <w:gridCol w:w="1418"/>
        <w:gridCol w:w="1275"/>
        <w:gridCol w:w="1276"/>
        <w:gridCol w:w="1418"/>
        <w:gridCol w:w="1275"/>
      </w:tblGrid>
      <w:t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75" w:name="DOC_TBL00073_1_1"/>
            <w:bookmarkEnd w:id="175"/>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milj. euroa</w:t>
            </w:r>
          </w:p>
        </w:tc>
      </w:tr>
      <w:tr>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31.12.2018</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jc w:val="right"/>
              <w:rPr>
                <w:rFonts w:eastAsia="Verdana" w:cs="Verdana"/>
              </w:rPr>
            </w:pP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r>
      <w:tr>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jc w:val="right"/>
              <w:rPr>
                <w:rFonts w:eastAsia="Verdana" w:cs="Verdana"/>
              </w:rPr>
            </w:pPr>
            <w:r>
              <w:t>Enimmäis</w:t>
            </w:r>
            <w:r>
              <w:softHyphen/>
              <w:t>määrä</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Allekirjoitettu</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Maksettu</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jc w:val="right"/>
              <w:rPr>
                <w:rFonts w:eastAsia="Verdana" w:cs="Verdana"/>
              </w:rPr>
            </w:pPr>
            <w:r>
              <w:t>Enimmäis</w:t>
            </w:r>
            <w:r>
              <w:softHyphen/>
              <w:t>määrä</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Allekirjoitettu</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Maksettu</w:t>
            </w: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EIP:n ulkoiseen lainanantovaltuuteen liittyvät takaukset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40 417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30 889</w:t>
            </w:r>
          </w:p>
        </w:tc>
        <w:tc>
          <w:tcPr>
            <w:tcW w:w="1275"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20 510</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37 479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28 950</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19 972</w:t>
            </w: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ESIR-takuu</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25 898</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19 842</w:t>
            </w:r>
          </w:p>
        </w:tc>
        <w:tc>
          <w:tcPr>
            <w:tcW w:w="1275"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15 764</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16 000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13 473</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10 128</w:t>
            </w:r>
          </w:p>
        </w:tc>
      </w:tr>
      <w:tr>
        <w:trPr>
          <w:trHeight w:val="247"/>
        </w:trPr>
        <w:tc>
          <w:tcPr>
            <w:tcW w:w="1951"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Yhteensä</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66 315</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50 731</w:t>
            </w:r>
          </w:p>
        </w:tc>
        <w:tc>
          <w:tcPr>
            <w:tcW w:w="1275" w:type="dxa"/>
            <w:tcBorders>
              <w:top w:val="nil"/>
              <w:left w:val="nil"/>
              <w:bottom w:val="nil"/>
              <w:right w:val="single" w:sz="4" w:space="0" w:color="016794"/>
            </w:tcBorders>
            <w:shd w:val="clear" w:color="auto" w:fill="CCE1EA"/>
            <w:tcMar>
              <w:top w:w="0" w:type="dxa"/>
              <w:left w:w="108" w:type="dxa"/>
              <w:bottom w:w="0" w:type="dxa"/>
              <w:right w:w="108" w:type="dxa"/>
            </w:tcMar>
          </w:tcPr>
          <w:p>
            <w:pPr>
              <w:pStyle w:val="Figures8pBoldRight025"/>
              <w:rPr>
                <w:rFonts w:eastAsia="Verdana" w:cs="Verdana"/>
              </w:rPr>
            </w:pPr>
            <w:r>
              <w:t>36 273</w:t>
            </w:r>
          </w:p>
        </w:tc>
        <w:tc>
          <w:tcPr>
            <w:tcW w:w="1276" w:type="dxa"/>
            <w:tcBorders>
              <w:top w:val="nil"/>
              <w:left w:val="single" w:sz="4" w:space="0" w:color="016794"/>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53 479</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42 423</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30 100</w:t>
            </w:r>
          </w:p>
        </w:tc>
      </w:tr>
    </w:tbl>
    <w:p>
      <w:pPr>
        <w:pStyle w:val="DGTextstand-alone"/>
      </w:pPr>
    </w:p>
    <w:p>
      <w:pPr>
        <w:pStyle w:val="DGTextstand-alone"/>
      </w:pPr>
      <w:r>
        <w:t>Edellä olevassa taulukossa esitetään riski, joka aiheutuu EU:n talousarviolle mahdollisista tulevista maksuista, jotka liittyvät EIP-ryhmälle myönnettyihin takauksiin. Maksetut määrät on suoritettu lopullisille tuensaajille. Allekirjoitettuihin määriin sisältyvät jo maksettujen määrien lisäksi tuensaajien tai rahoituksen välittäjien kanssa allekirjoitetut sopimukset, joihin liittyviä määriä ei ole vielä maksettu. Enimmäismäärä on takauksen kokonaismäärä, jonka kattamiseen on sitouduttu EU:n talousarviosta eli jonka jäsenvaltiot ovat sitoutuneet kattamaan.</w:t>
      </w:r>
    </w:p>
    <w:p>
      <w:pPr>
        <w:pStyle w:val="HEADER5"/>
        <w:rPr>
          <w:noProof/>
        </w:rPr>
      </w:pPr>
      <w:r>
        <w:rPr>
          <w:noProof/>
        </w:rPr>
        <w:t>EIP:n ulkoiseen lainanantovaltuuteen liittyvät takaukset</w:t>
      </w:r>
    </w:p>
    <w:p>
      <w:pPr>
        <w:pStyle w:val="DGTextstand-alone"/>
      </w:pPr>
      <w:r>
        <w:t>EU:n talousarviosta on myönnetty takauksia EIP:n omista varoistaan kolmansille maille myöntämille lainoille. Myönnettyjen ja EU:n takauksella katettujen lainojen kokonaismäärä oli 20 510 miljoonaa euroa 31. joulukuuta 2018 (19 972 miljoonaa euroa vuonna 2017). EU:n talousarviotakaukset:</w:t>
      </w:r>
    </w:p>
    <w:p>
      <w:pPr>
        <w:pStyle w:val="DGTextstand-alone"/>
        <w:numPr>
          <w:ilvl w:val="0"/>
          <w:numId w:val="28"/>
        </w:numPr>
      </w:pPr>
      <w:r>
        <w:t>19 360 miljoonaa euroa (18 583 miljoonaa euroa vuonna 2017) ulkosuhteisiin liittyviä hankkeita varten perustetun takuurahaston kautta (ks. liitetieto </w:t>
      </w:r>
      <w:r>
        <w:rPr>
          <w:b/>
        </w:rPr>
        <w:t>2.4.1</w:t>
      </w:r>
      <w:r>
        <w:t>); ja</w:t>
      </w:r>
    </w:p>
    <w:p>
      <w:pPr>
        <w:pStyle w:val="DGTextstand-alone"/>
        <w:numPr>
          <w:ilvl w:val="0"/>
          <w:numId w:val="28"/>
        </w:numPr>
      </w:pPr>
      <w:r>
        <w:t>1 150 miljoonaa euroa (1 389 miljoonaa euroa vuonna 2017) suoraan jäsenvaltioille ennen liittymistä myönnetyille lainoille.</w:t>
      </w:r>
    </w:p>
    <w:p>
      <w:pPr>
        <w:pStyle w:val="DGTextstand-alone"/>
      </w:pPr>
      <w:r>
        <w:t>Edellä esitetyn 20 510 miljoonan euron maksettuna ilmoitetun määrän lisäksi EU on taannut 210 miljoonaa euroa Syyrialle myönnettyjä lainoja, joista on tehty varaukset.</w:t>
      </w:r>
    </w:p>
    <w:p>
      <w:pPr>
        <w:pStyle w:val="DGTextstand-alone"/>
      </w:pPr>
      <w:r>
        <w:t>EIP:n ulkoisen lainanantovaltuutensa puitteissa myöntämiin lainoihin liittyvä EU:n takaus on rajoitettu 65 prosenttiin jäljellä olevasta velasta vuoden 2007 jälkeen allekirjoitetuissa sopimuksissa (vuosia 2007–2013 ja 2014–2020 koskevat valtuutukset). Ennen vuotta 2007 tehdyissä sopimuksissa EU:n takaus on rajoitettu tiettyyn prosenttiosuuteen hyväksyttyjen lainajärjestelyjen enimmäismäärästä (useimmiten 65 prosenttia, mutta myös 70, 75 tai 100 prosenttia). Jos enimmäismäärää ei saavuteta, EU:n takaus annetaan koko lainakannalle.</w:t>
      </w:r>
    </w:p>
    <w:p>
      <w:pPr>
        <w:pStyle w:val="DGTextstand-alone"/>
      </w:pPr>
      <w:r>
        <w:t>Jotta voidaan määrittää EU:hun kohdistuva kokonaisriski 31. joulukuuta 2018, laskelmaan on sisällytettävä myös hyväksytyt lainat, joita koskevaa sopimusta ei ole vielä allekirjoitettu (9 528 miljoonaa euroa), ja allekirjoitetut lainat, joita ei ole vielä maksettu (10 379 miljoonaa euroa).</w:t>
      </w:r>
    </w:p>
    <w:p>
      <w:pPr>
        <w:pStyle w:val="DGTextstand-alone"/>
      </w:pPr>
      <w:r>
        <w:t>Euroopan parlamentti ja neuvosto hyväksyivät maaliskuussa 2018 päätöksen (EU) 2018/412 EU:n takuun kattamiin EIP:n rahoitustoimiin sovellettavan enimmäismäärän korotuksesta. EIP:n kanssa tehtyä takaussopimusta on päivitetty vastaavasti, minkä vuoksi EU:n enimmäisriski kasvoi 3,4 miljardia euroa vuonna 2018.</w:t>
      </w:r>
    </w:p>
    <w:p>
      <w:pPr>
        <w:pStyle w:val="HEADER5"/>
        <w:keepNext/>
        <w:rPr>
          <w:noProof/>
        </w:rPr>
      </w:pPr>
      <w:r>
        <w:rPr>
          <w:noProof/>
        </w:rPr>
        <w:t>Euroopan strategisten investointien rahasto (ESIR)</w:t>
      </w:r>
    </w:p>
    <w:p>
      <w:pPr>
        <w:pStyle w:val="DGTextstand-alone"/>
      </w:pPr>
      <w:r>
        <w:t>ESIR-rahastolla pyritään parantamaan EIP-ryhmän riskinkantokykyä antamalla EIP:lle valmiudet laajentaa sijoituksiaan EU:ssa. ESIR-rahaston tavoitteena on tukea lisäinvestointeja EU:ssa ja pienten yritysten rahoituksen saantia. ESIR-rahasto ei ole suppeassa merkityksessä erillinen oikeushenkilö eikä investointirahasto. ESIR-rahaston riskivaraus tarjoaa EIP:lle suojaa rahoitettavien toimien aiheuttamien potentiaalisten tappioiden varalta. Se muodostuu EIP:n omasta pääomasta vaiheittain osoitetusta vähintään 7,5 miljardin euron rahoitusosuudesta ja enintään 26 miljardin euron suuruisista EU:n talousarviotakauksista (ESIR-rahaston EU-takaus). ESIR-rahaston EU-takaus myönnetään EIP:lle EU:n ja EIP:n välisellä sopimuksella, jäljempänä ESIR-sopimus. ESIR-sopimusta muutettiin vuonna 2018, jotta voitiin ottaa huomioon ESIR-rahaston EU-takauksen korotus 26 miljardiin euroon muutetun ESIR-asetuksen (asetus (EU) 2017/2396) mukaisesti.</w:t>
      </w:r>
    </w:p>
    <w:p>
      <w:pPr>
        <w:pStyle w:val="DGTextstand-alone"/>
      </w:pPr>
      <w:r>
        <w:t>ESIR-rahaston toimet toteutetaan kahden ikkunan kautta: EIP toteuttaa infrastruktuuri- ja innovointi-ikkunan (EU:n takaus 19,5 miljardia euroa) ja Euroopan investointirahasto (EIR) pk-yritysikkunan (EU:n takaus 6,5 miljardia euroa). Niillä kummallakin on velkasalkku ja pääomasalkku. EIR toimii EIP:n kanssa tehdyn sopimuksen mukaisesti ja EIP:n takauksen perusteella, jolla puolestaan on EU:n vastatakaus.</w:t>
      </w:r>
    </w:p>
    <w:p>
      <w:pPr>
        <w:pStyle w:val="DGTextstand-alone"/>
      </w:pPr>
      <w:r>
        <w:t>EU:lla ja EIP:llä on omat erilliset tehtävänsä ESIR-rahastossa. ESIR-rahasto on perustettu EIP:n yhteyteen. EIP rahoittaa toimet (vieraan ja oman pääoman ehtoiset sijoitukset) ja lainaa tätä varten tarvittavat varat pääomamarkkinoilta. Infrastruktuuri- ja innovointi-ikkunan osalta EIP tekee sijoituspäätökset itsenäisesti ja hallinnoi toimia noudattaen omia sääntöjään ja menettelyjään. Sama koskee EIR:n hallinnoimia pk-yritysikkunan toimia.</w:t>
      </w:r>
    </w:p>
    <w:p>
      <w:pPr>
        <w:pStyle w:val="DGTextstand-alone"/>
      </w:pPr>
      <w:r>
        <w:t>Käytössä on erityinen hallintorakenne sen varmistamiseksi, että ESIR-rahaston puitteissa tehdyillä sijoituksilla keskitytään nimenomaisena tavoitteena olevaan markkinoiden toimintapuutteiden poistamiseen ja että sijoitukset voidaan ottaa EU:n takauksen piiriin. Riippumattomista asiantuntijoista muodostuva investointikomitea tutkii jokaisen EIP:n infrastruktuuri- ja innovointi-ikkunan osalta ehdottaman hankkeen ja määrittää, voidaanko se kattaa EU:n takauksella. Kun asiantuntijat ovat varmistaneet hankkeen olevan tukikelpoinen toimi, joka voidaan kattaa ESIR-takauksella, päätökseen jatkaa hanketta ja sen hallinnointiin sovelletaan EIP:n tavanomaista hankkeiden elinkaarta ja hallintoa koskevaa prosessia. Pk-yritysikkunan osalta investointikomitean tehtävä rajoittuu pk-yritysikkunan tuotteiden kuvausta koskevaan neuvontaan. ESIR-rahaston johtokunta ja ESIR-rahaston toimitusjohtaja hyväksyvät kuvauksen. ESIR-rahastoa valvoo myös johtokunta, jossa on viisi jäsentä. Jäsenistä kolme on komission nimittämiä, yksi EIP:n nimittämä ja yksi Euroopan parlamentin nimittämä. Euroopan parlamentin nimittämällä jäsenellä ei ole äänioikeutta. Päätökset tehdään yksimielisesti, ja jos yksimielisyyteen ei päästä, äänioikeutettujen jäsenten kesken yksimielisesti. Johtokunta ei tee sijoituspäätöksiä.</w:t>
      </w:r>
    </w:p>
    <w:p>
      <w:pPr>
        <w:pStyle w:val="DGTextstand-alone"/>
      </w:pPr>
      <w:r>
        <w:t>EU:n tehtävänä on tarjota EU:n talousarviotakaus osalle potentiaalisista tappioista, jotka EIP voi kärsiä sijoituksistaan vieraan ja oman pääoman ehtoisiin rahoitusvälineisiin. Näin ollen EU ei puutu ESIR-rahaston toimien valintaan ja hallinnointiin eikä sijoita varoja ESIR-rahaston toimiin. EU ei myöskään ole suoraan ESIR-rahaston rahoitusvälineiden sopimuspuoli. Koska EU:n tilinpäätössääntöjen (ja IPSAS-standardien) mukaiset konsolidointia koskevat valvonnan perusteet ja tilinpäätösvaatimukset eivät täyty, asianomaisia omaisuuseriä ei merkitä EU:n konsolidoituun tilipäätökseen.</w:t>
      </w:r>
    </w:p>
    <w:p>
      <w:pPr>
        <w:pStyle w:val="DGTextstand-alone"/>
      </w:pPr>
      <w:r>
        <w:t xml:space="preserve">EU:n EIP-ryhmälle ESIR-rahaston puitteissa myöntämä takaus merkitään EU:n tilinpäätössääntöjen mukaisesti kirjanpidossa rahoitusvakuuteen liittyväksi velaksi infrastruktuuri- ja innovointi-ikkunan velkasalkun osalta ja johdannaiseksi (käypään arvoon tulosvaikutteisesti kirjattaviksi rahoitusvaroiksi tai </w:t>
      </w:r>
      <w:r>
        <w:noBreakHyphen/>
        <w:t>veloiksi) molempien pääomasijoitussalkkujen osalta. Lisäksi tässä viitetiedossa esitetään ESIR-takuuseen liittyvä ehdollinen velka.</w:t>
      </w:r>
    </w:p>
    <w:p>
      <w:pPr>
        <w:pStyle w:val="DGTextstand-alone"/>
      </w:pPr>
      <w:r>
        <w:t>ESIR-rahaston infrastruktuuri- ja innovointi-ikkunan velkasalkun osalta EU:n takaus kattaa EIP:n toteuttamien rahoitustoimien suuririskisimmän osan, joka koostuu pääasiassa vakiomuotoisista lainoista ja takauksista. EU:lta vaaditaan vakuuteen perustuvaa maksua, kun velallinen ei suorita maksua eräpäivään mennessä tai kun velkoja järjestellään uudelleen. EU:n takauksesta maksetaan korvaus suhteessa EU:n ottamaan riskiin siten, että riskiin liittyvät tulot, jotka EIP saa takauksen kohteena olevista toimista, jaetaan EIP:n ja EU:n välillä. EU:n saamilla tuloilla olisi ensisijaisesti katettava tappiot, jotka syntyvät takauksen kohteena olevista toimista. EU:n takaus merkitään tämän vuoksi kirjanpitoon rahoitusvakuuteen liittyväksi velaksi ja arvostetaan alkuperäisen kirjaamisen yhteydessä käypään arvoon, joka on saatavien maksujen (EU:n tulot) nykyarvo. Myöhempinä tilinpäätöspäivinä rahoitusvakuuteen liittyvä velka arvostetaan odotettujen tappioiden määrään tai alun perin kirjattuun määrään, josta on tarvittaessa vähennetty kertyneet saadut tulot, sen mukaan kumpi näistä määristä on suurempi. Rahoitusvakuuteen liittyvä velka esitetään tilinpäätöksessä vähennettynä EU:n vastaisuudessa saamilla tuloilla. Velan määrä oli nolla euroa 31. joulukuuta 2018 (nolla euroa vuonna 2017) – ks. liitetieto </w:t>
      </w:r>
      <w:r>
        <w:rPr>
          <w:b/>
        </w:rPr>
        <w:t>2.11.3</w:t>
      </w:r>
      <w:r>
        <w:t>.</w:t>
      </w:r>
    </w:p>
    <w:p>
      <w:pPr>
        <w:pStyle w:val="DGTextstand-alone"/>
      </w:pPr>
      <w:r>
        <w:t>ESIR-rahaston infrastruktuuri- ja innovointi-ikkunan pääomasijoitussalkun (joka koostuu suorista oman pääoman ehtoisista sijoituksista, oman pääoman luonteisista sijoituksista ja etuoikeusasemaltaan huonommassa asemassa olevista lainoista) puitteissa EIP sijoittaa samoin ehdoin omalla riskillään ja EU:n riskillä. Näin ollen EU:n takaus kattaa EU:n takaaman osan oman pääoman ehtoisista sijoituksista, negatiiviset arvontarkistukset (realisoitumattomat tappiot) jokaisena tilinpäätöspäivänä, sijoitusten purkamisen yhteydessä realisoituneet tappiot ja EIP:n rahoituskustannukset. Jos sijoituksen, jolle tehtiin aiemmin negatiivinen arvontarkistus, arvo on noussut myöhempänä tilinpäätöspäivänä, EIP maksaa enintään sijoituksen alkuperäistä hankintamenoa vastaavan määrän EU:lle. Sijoituksen purkamisen yhteydessä EU on oikeutettu saamaan myös ne sijoituksen tuotot, jotka ylittävät alkuperäisen hankintamenon. EU:n takauksesta maksetaan korvaus tuloista, jotka EIP saa takauksen kohteena olevista toimista, mukaan lukien korot, osingot ja realisoituneet voitot. EU ja EIP selvittävät keskenään maksujen saldon vuosittain laskemalla nettomäärän, josta on vähennetty tappiot ja tulot.</w:t>
      </w:r>
    </w:p>
    <w:p>
      <w:pPr>
        <w:pStyle w:val="DGTextstand-alone"/>
      </w:pPr>
      <w:r>
        <w:t xml:space="preserve">ESIR-rahaston infrastruktuuri- ja innovointi-ikkunan pääomasijoitussalkun osalta EU takaa EIP:n rahoittamat ja EIR:n hallinnoimat pääomasijoitukset riskipääomarahastoihin ja pääomasijoitusrahastoihin. EU:n takaus myönnetään salkkupohjalta kahdelle salkulle: alaikkuna 1 ja alaikkuna 2. ESIR-takuu kattaa takauksen saaneiden investointien arvon alentumisen ja realisoituneet tappiot sekä EIP:n rahoituskulut. EU on oikeutettu korvaukseen riskistä takauksen saaneiden toimien johdannaisten ja realisoituneiden voittojen muodossa. Alaikkunan 2 osalta myös EU:n Horisontti 2020 </w:t>
      </w:r>
      <w:r>
        <w:noBreakHyphen/>
        <w:t>ohjelmasta tehdään osittain sijoituksia samaan pääoman ehtoisten sijoitusten salkkuun (EU:n rahoittama H2020-investointi katsotaan EU:n tilinpäätöksessä myytävissä olevaksi rahoitusvaraksi) ja se vastaa ensin investointien tappioista. Myöhemmin syntyvät tappiot katetaan EU:n takauksesta ja EIR:stä.</w:t>
      </w:r>
    </w:p>
    <w:p>
      <w:pPr>
        <w:pStyle w:val="DGTextstand-alone"/>
      </w:pPr>
      <w:r>
        <w:t>ESIR-rahaston pääomasijoitussalkun ESIR-takaus luokitellaan johdannaisinstrumentiksi ja kirjataan rahoitusvaroihin tai rahoitusvelkoihin tulosvaikutteisesti käypään arvoon. ESIR-rahaston pääomasijoitussalkun EU-takauksen käypä arvo oli 31. joulukuuta 2018 14 miljoonaa euroa (16 miljoonaa euroa vuonna 2017) – ks. liitetieto </w:t>
      </w:r>
      <w:r>
        <w:rPr>
          <w:b/>
        </w:rPr>
        <w:t>2.4.2</w:t>
      </w:r>
      <w:r>
        <w:t>.</w:t>
      </w:r>
    </w:p>
    <w:p>
      <w:pPr>
        <w:pStyle w:val="DGTextstand-alone"/>
      </w:pPr>
      <w:r>
        <w:t xml:space="preserve">Tämä ehdollinen velka sisältää COSME- ja Horisontti 2020 </w:t>
      </w:r>
      <w:r>
        <w:noBreakHyphen/>
        <w:t>ohjelmien, CCS- ja työllisyyttä ja sosiaalista innovointia koskevien ohjelmien toimet, jotka on katettu ESIR-rahaston EU-takauksella pk-yritysikkunan velkasalkun puitteissa.</w:t>
      </w:r>
    </w:p>
    <w:p>
      <w:pPr>
        <w:pStyle w:val="DGTextstand-alone"/>
      </w:pPr>
      <w:r>
        <w:t xml:space="preserve">EU:n takauksiin liittyvät mahdolliset maksut suoritetaan ESIR-takuurahastosta – ks. liitetieto </w:t>
      </w:r>
      <w:r>
        <w:rPr>
          <w:b/>
        </w:rPr>
        <w:t>2.4.1</w:t>
      </w:r>
      <w:r>
        <w:t xml:space="preserve">. Takuurahastolla oli vuoden 2018 lopussa varoja 5 452 miljoonaa euroa(3 504 miljoonaa euroa vuonna 2017). Lisäksi on sidottu, mutta ei vielä maksettu 2 688 miljoonaa euroa (2 633 miljoonaa euroa vuonna 2017). Kyseinen määrä sisältyy maksamatta oleviin sitoumuksiin liitetiedossa </w:t>
      </w:r>
      <w:r>
        <w:rPr>
          <w:b/>
        </w:rPr>
        <w:t>5.1</w:t>
      </w:r>
      <w:r>
        <w:t>. Vuonna 2018 ESIR-takuurahastosta maksettiin 61 miljoonaa euroa takauksia.</w:t>
      </w:r>
    </w:p>
    <w:p>
      <w:pPr>
        <w:pStyle w:val="HEADER3NOTES"/>
        <w:rPr>
          <w:noProof/>
        </w:rPr>
      </w:pPr>
      <w:r>
        <w:rPr>
          <w:noProof/>
        </w:rPr>
        <w:t>Rahoitusapuun liittyvät takaukset (otto- ja antolainaustoiminta)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134"/>
        <w:gridCol w:w="1276"/>
        <w:gridCol w:w="1417"/>
        <w:gridCol w:w="1276"/>
        <w:gridCol w:w="1276"/>
        <w:gridCol w:w="1417"/>
      </w:tblGrid>
      <w:t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76" w:name="DOC_TBL00074_1_1"/>
            <w:bookmarkEnd w:id="176"/>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milj. euroa</w:t>
            </w:r>
          </w:p>
        </w:tc>
      </w:tr>
      <w:tr>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3827" w:type="dxa"/>
            <w:gridSpan w:val="3"/>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31.12.2018</w:t>
            </w:r>
          </w:p>
        </w:tc>
        <w:tc>
          <w:tcPr>
            <w:tcW w:w="3969" w:type="dxa"/>
            <w:gridSpan w:val="3"/>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r>
      <w:tr>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 xml:space="preserve">  Nostettu</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 xml:space="preserve">  Nostamatta</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Yhteensä</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 xml:space="preserve">  Nostettu</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 xml:space="preserve">  Nostamatta</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Yhteensä</w:t>
            </w: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ERVM-lainat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47 400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47 400</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47 456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47 456</w:t>
            </w: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Maksutaselainat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1 734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1 734</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3 114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3 114</w:t>
            </w: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Makrotaloudelliseen rahoitusapuun liittyvät lainat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4 388</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980</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5 368</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3 924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460</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4 384</w:t>
            </w: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Euratom-lainat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254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200</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 xml:space="preserve"> 454</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250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250</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500</w:t>
            </w:r>
          </w:p>
        </w:tc>
      </w:tr>
      <w:tr>
        <w:trPr>
          <w:trHeight w:val="247"/>
        </w:trPr>
        <w:tc>
          <w:tcPr>
            <w:tcW w:w="1951"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Yhteensä</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53 775</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1 180</w:t>
            </w:r>
          </w:p>
        </w:tc>
        <w:tc>
          <w:tcPr>
            <w:tcW w:w="1417" w:type="dxa"/>
            <w:tcBorders>
              <w:top w:val="nil"/>
              <w:left w:val="nil"/>
              <w:bottom w:val="nil"/>
              <w:right w:val="single" w:sz="4" w:space="0" w:color="016794"/>
            </w:tcBorders>
            <w:shd w:val="clear" w:color="auto" w:fill="CCE1EA"/>
            <w:tcMar>
              <w:top w:w="0" w:type="dxa"/>
              <w:left w:w="108" w:type="dxa"/>
              <w:bottom w:w="0" w:type="dxa"/>
              <w:right w:w="108" w:type="dxa"/>
            </w:tcMar>
          </w:tcPr>
          <w:p>
            <w:pPr>
              <w:pStyle w:val="Figures8pBoldRight025"/>
              <w:rPr>
                <w:rFonts w:eastAsia="Verdana" w:cs="Verdana"/>
              </w:rPr>
            </w:pPr>
            <w:r>
              <w:t>54 955</w:t>
            </w:r>
          </w:p>
        </w:tc>
        <w:tc>
          <w:tcPr>
            <w:tcW w:w="1276" w:type="dxa"/>
            <w:tcBorders>
              <w:top w:val="nil"/>
              <w:left w:val="single" w:sz="4" w:space="0" w:color="016794"/>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54 744</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710</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55 454</w:t>
            </w:r>
          </w:p>
        </w:tc>
      </w:tr>
    </w:tbl>
    <w:p>
      <w:pPr>
        <w:pStyle w:val="DGTextstand-alone"/>
      </w:pPr>
      <w:r>
        <w:t xml:space="preserve">EU:n talousarviosta myönnetään takaus lainoille back-to-back </w:t>
      </w:r>
      <w:r>
        <w:noBreakHyphen/>
        <w:t xml:space="preserve">toimissa, joilla komissio rahoittaa lainanantoa jäsenvaltioille ja kolmansille maille. Nämä lainat on jo kirjattu ehdollisiksi veloiksi EU:n taseessa – ks. lisätietoja liitetiedosta </w:t>
      </w:r>
      <w:r>
        <w:rPr>
          <w:b/>
        </w:rPr>
        <w:t>2.11.1</w:t>
      </w:r>
      <w:r>
        <w:t xml:space="preserve">. Jos näiden lainoilla rahoitettujen back-to-back </w:t>
      </w:r>
      <w:r>
        <w:noBreakHyphen/>
        <w:t xml:space="preserve">lainojen takaisinmaksussa tapahtuu laiminlyöntejä, laiminlyödyt maksut katetaan neuvoston asetuksen (EU, Euratom) N:o 609/2014 14 artiklan mukaisesti täysimääräisesti EU:n talousarviosta: </w:t>
      </w:r>
    </w:p>
    <w:p>
      <w:pPr>
        <w:pStyle w:val="DGTextstand-alone"/>
        <w:numPr>
          <w:ilvl w:val="0"/>
          <w:numId w:val="29"/>
        </w:numPr>
      </w:pPr>
      <w:r>
        <w:t>ERVM:n puitteissa myönnettyjen lainojen rahoittamiseksi otetuille lainoille annetaan takaus vain EU:n talousarviosta;</w:t>
      </w:r>
    </w:p>
    <w:p>
      <w:pPr>
        <w:pStyle w:val="DGTextstand-alone"/>
        <w:numPr>
          <w:ilvl w:val="0"/>
          <w:numId w:val="29"/>
        </w:numPr>
      </w:pPr>
      <w:r>
        <w:t>maksutaselainojen rahoittamiseksi otetuille lainoille annetaan takaus vain EU:n talousarviosta;</w:t>
      </w:r>
    </w:p>
    <w:p>
      <w:pPr>
        <w:pStyle w:val="DGTextstand-alone"/>
        <w:numPr>
          <w:ilvl w:val="0"/>
          <w:numId w:val="29"/>
        </w:numPr>
      </w:pPr>
      <w:r>
        <w:t xml:space="preserve">makrotaloudellista rahoitusapua varten otetut lainat katetaan ensi kädessä ulkosuhteisiin liittyviä hankkeita varten perustetusta takuurahastosta (ks. liitetieto </w:t>
      </w:r>
      <w:r>
        <w:rPr>
          <w:b/>
        </w:rPr>
        <w:t>2.4.1</w:t>
      </w:r>
      <w:r>
        <w:t xml:space="preserve">) ja sen jälkeen EU:n talousarviosta; ja </w:t>
      </w:r>
    </w:p>
    <w:p>
      <w:pPr>
        <w:pStyle w:val="DGTextstand-alone"/>
        <w:numPr>
          <w:ilvl w:val="0"/>
          <w:numId w:val="29"/>
        </w:numPr>
      </w:pPr>
      <w:r>
        <w:t>jäljellä olevat Euratom-lainat katetaan kokonaisuudessaan ensisijaisesti kolmansilta saaduilla takauksilla. Takuurahasto kattaa ulkoisen lainanannon siltä osin kuin kolmansien antamilla takauksilla ei voida kattaa mahdollisia tappioita.</w:t>
      </w:r>
    </w:p>
    <w:p>
      <w:pPr>
        <w:pStyle w:val="DGTextstand-alone"/>
      </w:pPr>
      <w:r>
        <w:t xml:space="preserve">Lainavaroilla rahoitetut selvitystilassa olevan EHTY:n myöntämät lainat eivät kuulu EU:n talousarviotakauksen piiriin. Niiden vakuutena on sen sijaan selvitystilassa olevan EHTY:n rahoitusvaroja – ks. liitetieto </w:t>
      </w:r>
      <w:r>
        <w:rPr>
          <w:b/>
        </w:rPr>
        <w:t>2.4.1</w:t>
      </w:r>
      <w:r>
        <w:t xml:space="preserve">. </w:t>
      </w:r>
    </w:p>
    <w:p>
      <w:pPr>
        <w:pStyle w:val="HEADER3NOTES"/>
        <w:rPr>
          <w:noProof/>
        </w:rPr>
      </w:pPr>
      <w:r>
        <w:rPr>
          <w:noProof/>
        </w:rPr>
        <w:t>EU:n rahoitusvälineille myönnetyt takaukset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77" w:name="DOC_TBL00075_1_1"/>
            <w:bookmarkEnd w:id="177"/>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Horisontti 2020</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1 467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1 297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Riskinjakorahoitusväline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642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654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Verkkojen Eurooppa </w:t>
            </w:r>
            <w:r>
              <w:noBreakHyphen/>
              <w:t>väline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579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Muut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Yhteensä</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2 717</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2 473</w:t>
            </w:r>
          </w:p>
        </w:tc>
      </w:tr>
    </w:tbl>
    <w:p>
      <w:pPr>
        <w:pStyle w:val="DGTextstand-alone"/>
      </w:pPr>
      <w:r>
        <w:t xml:space="preserve">Varainhoitoasetuksen 210 artiklan 1 kohdassa säädetään, että rahoitusvälineeseen liittyvät talousarviomenot ja unionin rahoitusvastuu eivät saa missään tapauksessa ylittää rahoitusvälinettä varten tehtyä määrärahasitoumusta. Näin suljetaan pois mahdollisuus, että talousarvioon kohdistuisi ehdollisia velkoja. Tämä tarkoittaa käytännössä sitä, että näillä veloilla on vasta-erä taseen vastaavaa </w:t>
      </w:r>
      <w:r>
        <w:noBreakHyphen/>
        <w:t xml:space="preserve">puolella tai että niiden vakuutena talousarviositoumuksia, joita ei ole vielä kirjattu kuluiksi. Edellä esitetyistä ehdollisista veloista on vähennetty asianomaisista välineistä tehdyt rahoitusvaraukset – ks. liitetieto </w:t>
      </w:r>
      <w:r>
        <w:rPr>
          <w:b/>
        </w:rPr>
        <w:t>2.10</w:t>
      </w:r>
      <w:r>
        <w:t>.</w:t>
      </w:r>
    </w:p>
    <w:p>
      <w:pPr>
        <w:pStyle w:val="HEADER3NOTES"/>
        <w:rPr>
          <w:noProof/>
        </w:rPr>
      </w:pPr>
      <w:r>
        <w:rPr>
          <w:noProof/>
        </w:rPr>
        <w:t>Oikeustapaukset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78" w:name="DOC_TBL00076_1_1"/>
            <w:bookmarkEnd w:id="178"/>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Sakot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3 187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3 242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Maatalous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653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1 737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Koheesio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Muut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1 867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481</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Yhteensä</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5 732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5 463</w:t>
            </w:r>
          </w:p>
        </w:tc>
      </w:tr>
    </w:tbl>
    <w:p>
      <w:pPr>
        <w:pStyle w:val="Heading9pNormalLeft"/>
        <w:rPr>
          <w:noProof/>
        </w:rPr>
      </w:pPr>
    </w:p>
    <w:p>
      <w:pPr>
        <w:pStyle w:val="HEADER5"/>
        <w:rPr>
          <w:noProof/>
        </w:rPr>
      </w:pPr>
      <w:r>
        <w:rPr>
          <w:noProof/>
        </w:rPr>
        <w:t>Sakot</w:t>
      </w:r>
    </w:p>
    <w:p>
      <w:pPr>
        <w:pStyle w:val="DGTextstand-alone"/>
      </w:pPr>
      <w:r>
        <w:t>Nämä määrät koskevat sakkoja, jotka komissio on määrännyt kilpailusääntöjen rikkomisesta ja jotka sakon saaneet yritykset ovat alustavasti maksaneet. Lisäksi sakon määräämistä koskevaan komission päätökseen on joko haettu muutosta tai ei tiedetä, haetaanko siihen muutosta. Ehdollinen velka säilytetään siihen saakka kunnes unionin tuomioistuin on antanut asiassa lainvoimaisen päätöksen tai muutoksenhakuaika päättyy. Alustaville maksuille kertynyt korko sisältyy varainhoitovuoden taloudelliseen tulokseen, ja se esitetään myös ehdollisena velkana määriin liittyvän komission omistusoikeuden epävarmuuden osoittamiseksi.</w:t>
      </w:r>
    </w:p>
    <w:p>
      <w:pPr>
        <w:pStyle w:val="DGTextstand-alone"/>
      </w:pPr>
      <w:r>
        <w:t>Jos EU häviää jonkin määrättyihin sakkoihin liittyvän oikeudenkäynnin, alustavasti maksetut varat palautetaan yrityksille. Sakkoihin liittyviä määriä ei oteta tuloina talousarvioon ennen kuin sakot ovat varmoja (varainhoitoasetuksen 107 artikla).</w:t>
      </w:r>
    </w:p>
    <w:p>
      <w:pPr>
        <w:pStyle w:val="DGTextstand-alone"/>
        <w:keepNext/>
        <w:spacing w:after="120"/>
        <w:rPr>
          <w:color w:val="016794"/>
          <w:szCs w:val="20"/>
        </w:rPr>
      </w:pPr>
      <w:r>
        <w:rPr>
          <w:color w:val="016794"/>
        </w:rPr>
        <w:t>Maatalous</w:t>
      </w:r>
    </w:p>
    <w:p>
      <w:pPr>
        <w:pStyle w:val="DGTextstand-alone"/>
      </w:pPr>
      <w:r>
        <w:t>Tämä erä sisältää sellaiset ehdolliset velat jäsenvaltioille, jotka liittyvät maataloustukirahaston menojen sääntöjenmukaisuustarkastusten seurauksena tehtyihin päätöksiin sekä maaseudun kehittämistä ja liittymistä valmistelevia toimia koskeviin rahoitusoikaisuihin, joista unionin tuomioistuin ei ole vielä antanut tuomiota. Menettelyn kesto unionin tuomioistuimessa määrää sen, milloin velan lopullinen määrä vahvistetaan ja minkä vuoden talousarviosta velallisen hyväksi ratkaistun muutoksenhaun vaikutus katetaan.</w:t>
      </w:r>
    </w:p>
    <w:p>
      <w:pPr>
        <w:pStyle w:val="DGTextstand-alone"/>
        <w:spacing w:after="120"/>
        <w:rPr>
          <w:color w:val="016794"/>
          <w:szCs w:val="20"/>
        </w:rPr>
      </w:pPr>
      <w:r>
        <w:rPr>
          <w:color w:val="016794"/>
        </w:rPr>
        <w:t>Koheesio</w:t>
      </w:r>
    </w:p>
    <w:p>
      <w:pPr>
        <w:pStyle w:val="DGTextstand-alone"/>
      </w:pPr>
      <w:r>
        <w:t>Tämä erä sisältää sellaiset ehdolliset velat jäsenvaltioille, jotka liittyvät koheesiopolitiikan piiriin kuuluviin toimiin. Asioissa odotetaan suullisen kuulemisen päivämäärää tai unionin tuomioistuimen tuomiota.</w:t>
      </w:r>
    </w:p>
    <w:p>
      <w:pPr>
        <w:pStyle w:val="DGTextstand-alone"/>
        <w:spacing w:after="120"/>
        <w:rPr>
          <w:color w:val="016794"/>
          <w:szCs w:val="20"/>
        </w:rPr>
      </w:pPr>
      <w:r>
        <w:rPr>
          <w:color w:val="016794"/>
        </w:rPr>
        <w:t>Muut oikeustapaukset</w:t>
      </w:r>
    </w:p>
    <w:p>
      <w:pPr>
        <w:pStyle w:val="DGTextstand-alone"/>
        <w:spacing w:after="0"/>
      </w:pPr>
      <w:r>
        <w:t>Tämä erä liittyy EU:ta vastaan nostettuihin käsiteltävinä oleviin vahingonkorvauskanteisiin ja muihin oikeusriitoihin sekä näihin liittyviin arvioituihin kustannuksiin. On huomattava, että Euroopan unionin toiminnasta tehdyn sopimuksen 340 artiklan nojalla nostetuissa vahingonkorvauskanteissa kantajan on näytettävä toteen, että toimielin on vakavasti rikkonut oikeussääntöä, jonka tarkoituksena on antaa yksityisille oikeuksia, että kantaja on kärsinyt todellista vahinkoa ja että lainvastaisen teon ja vahingon välillä on suora syy-yhteys. Suurin osa vuoden 2018 määrästä koskee Euroopan komissiota vastaan nostettua vahingonkorvauskannetta, joka liittyy sulautuman kieltoa koskevaan päätökseen. Oikeustapaus on melko uusi ja varhaisessa vaiheessa. Koska luotettava arvio puuttuu, esitetty määrä perustuu vaadittuun määrään.</w:t>
      </w:r>
    </w:p>
    <w:p>
      <w:pPr>
        <w:pStyle w:val="DGTextstand-alone"/>
        <w:spacing w:before="0" w:after="0"/>
        <w:sectPr>
          <w:headerReference w:type="even" r:id="rId364"/>
          <w:headerReference w:type="default" r:id="rId365"/>
          <w:footerReference w:type="even" r:id="rId366"/>
          <w:footerReference w:type="default" r:id="rId367"/>
          <w:headerReference w:type="first" r:id="rId368"/>
          <w:footerReference w:type="first" r:id="rId369"/>
          <w:type w:val="continuous"/>
          <w:pgSz w:w="11906" w:h="16838"/>
          <w:pgMar w:top="1134" w:right="1134" w:bottom="1134" w:left="1134" w:header="709" w:footer="709" w:gutter="0"/>
          <w:cols w:space="708"/>
          <w:docGrid w:linePitch="360"/>
        </w:sectPr>
      </w:pPr>
      <w:r>
        <w:t xml:space="preserve"> </w:t>
      </w:r>
      <w:bookmarkEnd w:id="174"/>
    </w:p>
    <w:p>
      <w:pPr>
        <w:pStyle w:val="HEADER2NOTES"/>
        <w:rPr>
          <w:noProof/>
        </w:rPr>
      </w:pPr>
      <w:bookmarkStart w:id="179" w:name="_DMBM_14707"/>
      <w:r>
        <w:rPr>
          <w:noProof/>
        </w:rPr>
        <w:t>EHDOLLISET VARAT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80" w:name="DOC_TBL00077_1_1"/>
            <w:bookmarkEnd w:id="180"/>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Saadut vakuudet: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suoritustakuut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muut vakuudet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muut ehdolliset varat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Yhteensä</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366</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409</w:t>
            </w:r>
          </w:p>
        </w:tc>
      </w:tr>
    </w:tbl>
    <w:p>
      <w:pPr>
        <w:pStyle w:val="DGTextstand-alone"/>
        <w:spacing w:after="0"/>
      </w:pPr>
      <w:r>
        <w:t>Tuensaajilta vaaditaan suoritustakuu, jolla varmistetaan, että EU:n rahoitusta saavat tuensaajat noudattavat EU:n kanssa tekemäänsä sopimukseen sisältyviä ehtoja.</w:t>
      </w:r>
    </w:p>
    <w:p>
      <w:pPr>
        <w:pStyle w:val="DGTextstand-alone"/>
        <w:sectPr>
          <w:headerReference w:type="even" r:id="rId370"/>
          <w:headerReference w:type="default" r:id="rId371"/>
          <w:footerReference w:type="even" r:id="rId372"/>
          <w:footerReference w:type="default" r:id="rId373"/>
          <w:headerReference w:type="first" r:id="rId374"/>
          <w:footerReference w:type="first" r:id="rId375"/>
          <w:type w:val="continuous"/>
          <w:pgSz w:w="11906" w:h="16838"/>
          <w:pgMar w:top="1134" w:right="1134" w:bottom="1134" w:left="1134" w:header="709" w:footer="709" w:gutter="0"/>
          <w:cols w:space="708"/>
          <w:docGrid w:linePitch="360"/>
        </w:sectPr>
      </w:pPr>
      <w:r>
        <w:t xml:space="preserve"> </w:t>
      </w:r>
      <w:bookmarkEnd w:id="179"/>
    </w:p>
    <w:p>
      <w:pPr>
        <w:pStyle w:val="HEADER1NOTES"/>
        <w:rPr>
          <w:noProof/>
        </w:rPr>
      </w:pPr>
      <w:bookmarkStart w:id="181" w:name="_Toc11939024"/>
      <w:bookmarkStart w:id="182" w:name="_Toc17883232"/>
      <w:bookmarkStart w:id="183" w:name="_DMBM_14788"/>
      <w:r>
        <w:rPr>
          <w:noProof/>
        </w:rPr>
        <w:t>TALOUSARVIOSITOUMUKSET JA OIKEUDELLISET SITOUMUKSET</w:t>
      </w:r>
      <w:bookmarkEnd w:id="181"/>
      <w:bookmarkEnd w:id="182"/>
    </w:p>
    <w:p>
      <w:pPr>
        <w:pStyle w:val="DGTextstand-alone"/>
      </w:pPr>
      <w:r>
        <w:t>Tässä liitetiedossa annetaan tietoja talousarviomenettelystä ja tulevista rahoitustarpeista (tässä ei siis käsitellä velkojen tilannetta 31. joulukuuta 2018).</w:t>
      </w:r>
    </w:p>
    <w:p>
      <w:pPr>
        <w:pStyle w:val="DGTextstand-alone"/>
      </w:pPr>
      <w:r>
        <w:t>Jäsenvaltioiden hyväksymässä monivuotisessa rahoituskehyksessä määritetään ohjelmat ja vahvistetaan otsakekohtaiset maksusitoumusmäärärahojen enimmäismäärät sekä maksumäärärahojen enimmäismäärä, joiden puitteissa EU voi tehdä talousarviositoumuksia ja oikeudellisia sitoumuksia ja suorittaa maksuja seitsemän vuoden aikana – ks. talousarvion toteuttamiskertomuksen liitetiedoissa oleva taulukko 1.1.</w:t>
      </w:r>
    </w:p>
    <w:p>
      <w:pPr>
        <w:pStyle w:val="DGTextstand-alone"/>
      </w:pPr>
      <w:r>
        <w:t>Neuvosto (jäsenvaltiot) on hyväksynyt monivuotisen rahoituskehyksen enimmäismäärät yhdessä Euroopan parlamentin kanssa. Yhteisen maatalouspolitiikan rahoituksesta annetun asetuksen (EU) N:o 1306/2013 16 artiklassa luodaan suora yhteys maataloustukirahaston menojen vuotuisen enimmäismäärän ja monivuotista rahoituskehystä koskevan asetuksen välille. Euroopan parlamentti ja neuvosto ovat myös hyväksyneet maataloustukirahaston menoja koskevat perussäädökset, joissa vahvistetaan jäsenvaltioittain menot koko ohjelmakaudelle 2014–2020.</w:t>
      </w:r>
    </w:p>
    <w:p>
      <w:pPr>
        <w:pStyle w:val="DGTextstand-alone"/>
      </w:pPr>
      <w:r>
        <w:t xml:space="preserve">Oikeudelliset sitoumukset koskevat ohjelmia, hankkeita tai allekirjoitettuja sopimuksia, joissa EU on osapuoli ja jotka näin sitovat EU:ta oikeudellisesti. Oikeudellisen sitoumuksen tekeminen on toimi, jolla tulojen ja menojen hyväksyjä luo tai vahvistaa (EU:lle) velvoitteen, josta aiheutuu meno (varainhoitoasetuksen 2 artiklan 37 kohta). </w:t>
      </w:r>
    </w:p>
    <w:p>
      <w:pPr>
        <w:pStyle w:val="DGTextstand-alone"/>
      </w:pPr>
      <w:r>
        <w:t xml:space="preserve">Talousarviositoumus tehdään periaatteessa ennen oikeudellista sitoumusta. Joissakin monivuotisissa ohjelmissa tai hankkeissa toimitaan kuitenkin päinvastoin. Tällöin tarvittavat talousarviositoumukset tehdään vuotuisissa erissä usean vuoden aikana, jos perussäädöksessä niin säädetään. Yleisistä säännöksistä annetun asetuksen (EU) N:o 1303/2013 76 artiklassa säädetään esimerkiksi koheesiopolitiikan osalta, että ohjelman hyväksymisestä annettu komission päätös muodostaa varainhoitoasetuksessa tarkoitetun rahoituspäätöksen, mutta unionin talousarviositoumukset toteutetaan kunkin ohjelman osalta rahastokohtaisina vuotuisina erinä 1. tammikuuta 2014 ja 31. joulukuuta 2020 välisenä aikana. Muissa oikeusperustoissa voi olla vastaavia säännöksiä. Tämän vuoksi EU voi olla oikeudellisesti sitoutunut maksamaan tietyt määrät, joista ei ole vielä tehty talousarviositoumusta – ks. jäljempänä liitetiedot </w:t>
      </w:r>
      <w:r>
        <w:rPr>
          <w:b/>
        </w:rPr>
        <w:t>5.2</w:t>
      </w:r>
      <w:r>
        <w:t xml:space="preserve"> ja </w:t>
      </w:r>
      <w:r>
        <w:rPr>
          <w:b/>
        </w:rPr>
        <w:t>5.3</w:t>
      </w:r>
      <w:r>
        <w:t>.</w:t>
      </w:r>
    </w:p>
    <w:p>
      <w:pPr>
        <w:pStyle w:val="DGTextstand-alone"/>
      </w:pPr>
      <w:r>
        <w:t xml:space="preserve">Jos talousarviositoumus on tehty, mutta sen mukaisia maksuja ei ole vielä suoritettu, jäljellä olevaa määrää kutsutaan maksattamatta olevaksi sitoumukseksi. Se voi liittyä (usein monivuotisiin) ohjelmiin tai hankkeisiin, joita koskevat sopimukset on allekirjoitettu ja joita koskevat maksut suoritetaan vasta myöhempinä vuosina. Maksattamatta olevat sitoumukset ovat tulevien vuosien velvoitteita. Koska tilinpäätös laaditaan suoriteperusteisena ja talousarvion toteuttamiskertomukset kassaperusteisena, osa maksattamatta olevien sitoumusten kokonaismäärästä on jo kirjattu kuluiksi ja merkitty velaksi taseeseen (ks. liitetiedot </w:t>
      </w:r>
      <w:r>
        <w:rPr>
          <w:b/>
        </w:rPr>
        <w:t>2.12</w:t>
      </w:r>
      <w:r>
        <w:t xml:space="preserve"> ja </w:t>
      </w:r>
      <w:r>
        <w:rPr>
          <w:b/>
        </w:rPr>
        <w:t>2.13</w:t>
      </w:r>
      <w:r>
        <w:t xml:space="preserve">). Nämä menot lasketaan saatujen menoilmoitusten ja laskujen perusteella. Jos EU:lle ei ole vielä toimitettu menoilmoituksia, arvioidaan ohjelman tai hankkeen toteutusaste – ks. jäljempänä liitetieto </w:t>
      </w:r>
      <w:r>
        <w:rPr>
          <w:b/>
        </w:rPr>
        <w:t>5.1</w:t>
      </w:r>
      <w:r>
        <w:t>. Velka poistetaan taseesta, kun maksattamatta oleviin sitoumuksiin liittyvät maksut suoritetaan vuoden 2018 joulukuun 31. päivän jälkeen. Sitä osaa maksattamatta olevista sitoumuksista, jota ei ole vielä kirjattu kuluksi, ei sisällytetä velkoihin vaan se esitetään jäljempänä.</w:t>
      </w:r>
    </w:p>
    <w:p>
      <w:pPr>
        <w:pStyle w:val="DGTextstand-alone"/>
      </w:pPr>
      <w:r>
        <w:t>Jäljempänä esitetään siis määrät, jotka EU on 31. joulukuuta 2018 mennessä sitoutunut maksamaan täyttääkseen sopimusvelvoitteensa ja jotka tämän vuoksi on rahoitettava EU:n tulevista talousarvioista.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276"/>
        <w:gridCol w:w="1559"/>
        <w:gridCol w:w="1559"/>
      </w:tblGrid>
      <w:tr>
        <w:trPr>
          <w:trHeight w:val="268"/>
        </w:trPr>
        <w:tc>
          <w:tcPr>
            <w:tcW w:w="535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84" w:name="DOC_TBL00078_1_1"/>
            <w:bookmarkEnd w:id="184"/>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rPr>
          <w:trHeight w:val="268"/>
        </w:trPr>
        <w:tc>
          <w:tcPr>
            <w:tcW w:w="5353"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Liitetieto</w:t>
            </w:r>
          </w:p>
        </w:tc>
        <w:tc>
          <w:tcPr>
            <w:tcW w:w="1559"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559"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rPr>
          <w:trHeight w:val="268"/>
        </w:trPr>
        <w:tc>
          <w:tcPr>
            <w:tcW w:w="535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Talousarviositoumukset, joita ei ole vielä kirjattu kuluiksi</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5.1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235 836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221 391</w:t>
            </w:r>
          </w:p>
        </w:tc>
      </w:tr>
      <w:tr>
        <w:trPr>
          <w:trHeight w:val="268"/>
        </w:trPr>
        <w:tc>
          <w:tcPr>
            <w:tcW w:w="535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Voimassa olevaan monivuotiseen rahoituskehykseen kuuluvat yhteistyössä jäsenvaltioiden kanssa hallinnoitaviin varoihin liittyvät oikeudelliset sitoumukset, jotka odottavat toteuttamista</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5.2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143 883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211 688</w:t>
            </w:r>
          </w:p>
        </w:tc>
      </w:tr>
      <w:tr>
        <w:trPr>
          <w:trHeight w:val="268"/>
        </w:trPr>
        <w:tc>
          <w:tcPr>
            <w:tcW w:w="535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Merkittävät oikeudelliset sitoumukset muilla aloilla</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5.3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18 126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20 030</w:t>
            </w:r>
          </w:p>
        </w:tc>
      </w:tr>
      <w:tr>
        <w:trPr>
          <w:trHeight w:val="268"/>
        </w:trPr>
        <w:tc>
          <w:tcPr>
            <w:tcW w:w="535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Yhteensä</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397 845</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453 109</w:t>
            </w:r>
          </w:p>
        </w:tc>
      </w:tr>
    </w:tbl>
    <w:p>
      <w:pPr>
        <w:pStyle w:val="HEADER2NOTES"/>
        <w:numPr>
          <w:ilvl w:val="0"/>
          <w:numId w:val="0"/>
        </w:numPr>
        <w:rPr>
          <w:noProof/>
        </w:rPr>
      </w:pPr>
    </w:p>
    <w:p>
      <w:pPr>
        <w:pStyle w:val="HEADER2NOTES"/>
        <w:rPr>
          <w:noProof/>
        </w:rPr>
      </w:pPr>
      <w:r>
        <w:rPr>
          <w:noProof/>
        </w:rPr>
        <w:t>TALOUSARVIOSITOUMUKSET, JOITA EI OLE VIELÄ KIRJATTU KULUIKSI</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85" w:name="DOC_TBL00079_1_1"/>
            <w:bookmarkEnd w:id="18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Talousarviositoumukset, joita ei ole vielä kirjattu kuluiksi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235 836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221 391</w:t>
            </w:r>
          </w:p>
        </w:tc>
      </w:tr>
    </w:tbl>
    <w:p>
      <w:pPr>
        <w:pStyle w:val="DGTextstand-alone"/>
      </w:pPr>
      <w:r>
        <w:t xml:space="preserve">Edellä esitetty määrä saadaan vähentämällä maksattamatta olevien sitoumusten määrästä (281 175 miljoonaa euroa) (ks. talousarvion toteuttamiskertomuksen liitetiedoissa oleva taulukko 4.4) niihin liittyvät, taseeseen veloiksi ja tuotto- ja kululaskelmaan kuluiksi kirjatut määrät. Talousarviosta maksattamatta olevat sitoumukset ovat avoimia sitoumuksia, joita vastaavia maksuja ei vielä ole suoritettu ja/tai joita ei vielä ole purettu. Kuten edellä on todettu, maksattamatta olevia määriä syntyy aina monivuotisten ohjelmien yhteydessä. </w:t>
      </w:r>
    </w:p>
    <w:p>
      <w:pPr>
        <w:pStyle w:val="DGTextstand-alone"/>
      </w:pPr>
      <w:r>
        <w:t>On huomattava, että ennakkomaksujen kokonaismäärä oli 50 miljardia euroa 31. joulukuuta 2018 (ks. liitetieto </w:t>
      </w:r>
      <w:r>
        <w:rPr>
          <w:b/>
        </w:rPr>
        <w:t>2.5</w:t>
      </w:r>
      <w:r>
        <w:t xml:space="preserve">). Ennakkomaksut ovat jo maksettuja talousarviositoumuksia, ja ne vähentävät maksattamatta olevia sitoumuksia. Näiden varojen katsotaan kuitenkin kuuluvan EU:lle eikä tuensaajille siihen asti kun sopimusvelvoitteet on täytetty. Ne ovat näin ollen edellä esitettyjen maksattamatta olevien sitoumusten kaltaisia eriä, joita ei ole vielä kirjattu kuluiksi.  </w:t>
      </w:r>
    </w:p>
    <w:p>
      <w:pPr>
        <w:pStyle w:val="HEADER2NOTES"/>
        <w:rPr>
          <w:noProof/>
        </w:rPr>
      </w:pPr>
      <w:r>
        <w:rPr>
          <w:noProof/>
        </w:rPr>
        <w:t xml:space="preserve">VOIMASSA OLEVAAN MONIVUOTISEEN RAHOITUSKEHYKSEEN KUULUVAT YHTEISTYÖSSÄ JÄSENVALTIOIDEN KANSSA HALLINNOITAVIIN VAROIHIN LIITTYVÄT OIKEUDELLISET SITOUMUKSET, JOTKA ODOTTAVAT TOTEUTTAMISTA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630"/>
        <w:gridCol w:w="1630"/>
        <w:gridCol w:w="1630"/>
        <w:gridCol w:w="1630"/>
      </w:tblGrid>
      <w:tr>
        <w:tc>
          <w:tcPr>
            <w:tcW w:w="3227" w:type="dxa"/>
            <w:tcBorders>
              <w:top w:val="nil"/>
              <w:left w:val="nil"/>
              <w:bottom w:val="nil"/>
              <w:right w:val="nil"/>
            </w:tcBorders>
            <w:shd w:val="clear" w:color="auto" w:fill="auto"/>
            <w:tcMar>
              <w:top w:w="0" w:type="dxa"/>
              <w:left w:w="108" w:type="dxa"/>
              <w:bottom w:w="0" w:type="dxa"/>
              <w:right w:w="108" w:type="dxa"/>
            </w:tcMar>
            <w:vAlign w:val="bottom"/>
          </w:tcPr>
          <w:p>
            <w:pPr>
              <w:pStyle w:val="Text8pItalicLeft"/>
              <w:jc w:val="right"/>
              <w:rPr>
                <w:rFonts w:eastAsia="Verdana" w:cs="Verdana"/>
                <w:color w:val="FFFFFF"/>
              </w:rPr>
            </w:pPr>
            <w:bookmarkStart w:id="186" w:name="DOC_TBL00080_1_1"/>
            <w:bookmarkEnd w:id="186"/>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pStyle w:val="Text8pItalicRight025EUR"/>
              <w:rPr>
                <w:rFonts w:eastAsia="Verdana" w:cs="Verdana"/>
              </w:rPr>
            </w:pPr>
            <w:r>
              <w:t>milj. euroa</w:t>
            </w:r>
          </w:p>
        </w:tc>
      </w:tr>
      <w:tr>
        <w:tc>
          <w:tcPr>
            <w:tcW w:w="322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r>
              <w:t>Rahastot</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Rahoituskehys 2014–2020 (A)</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Tehdyt oikeudelliset sitoumukset (B)</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Talousarvio</w:t>
            </w:r>
            <w:r>
              <w:softHyphen/>
              <w:t>sitoumukset (C)</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Oikeudelliset sitoumukset, joista vähennetty talousarvio</w:t>
            </w:r>
            <w:r>
              <w:softHyphen/>
              <w:t>sitoumukset (B–C)</w:t>
            </w:r>
          </w:p>
        </w:tc>
      </w:tr>
      <w:t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Euroopan aluekehitysrahasto ja koheesiorahasto</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262 408</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262 408</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179 831</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82 578</w:t>
            </w:r>
          </w:p>
        </w:tc>
      </w:tr>
      <w:t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Euroopan sosiaalirahasto</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92 935</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92 819</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65 230</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27 588</w:t>
            </w:r>
          </w:p>
        </w:tc>
      </w:tr>
      <w:t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Eurooppalainen naapuruuden ja kumppanuuden väline</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Vähävaraisimmille suunnatun eurooppalaisen avun rahasto</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3 814</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3 814</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2 670</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1 144</w:t>
            </w:r>
          </w:p>
        </w:tc>
      </w:tr>
      <w:tr>
        <w:tc>
          <w:tcPr>
            <w:tcW w:w="322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OTSAKE 1 B: KOHEESIOPOLITIIKAN RAHASTOT</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359 157</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359 041</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247 731</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111 310</w:t>
            </w:r>
          </w:p>
        </w:tc>
      </w:tr>
      <w:tr>
        <w:tc>
          <w:tcPr>
            <w:tcW w:w="322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Euroopan maaseudun kehittämisen maatalousrahasto </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100 079</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100 079</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70 748</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29 331</w:t>
            </w:r>
          </w:p>
        </w:tc>
      </w:tr>
      <w:t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Euroopan meri- ja kalatalousrahasto</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5 749</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5 749</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4 048</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1 702</w:t>
            </w:r>
          </w:p>
        </w:tc>
      </w:tr>
      <w:tr>
        <w:tc>
          <w:tcPr>
            <w:tcW w:w="322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OTSAKE 2: LUONNONVARAT</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105 828</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105 828</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74 795</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31 033</w:t>
            </w:r>
          </w:p>
        </w:tc>
      </w:tr>
      <w:tr>
        <w:tc>
          <w:tcPr>
            <w:tcW w:w="322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Turvapaikka- ja maahanmuuttorahasto</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5 028</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4 393</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3 577</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816</w:t>
            </w:r>
          </w:p>
        </w:tc>
      </w:tr>
      <w:t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Sisäisen turvallisuuden rahasto</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3 016</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2 883</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2 159</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724</w:t>
            </w:r>
          </w:p>
        </w:tc>
      </w:tr>
      <w:tr>
        <w:tc>
          <w:tcPr>
            <w:tcW w:w="322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OTSAKE 3: TURVALLISUUS JA KANSALAISUUS</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8 044</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7 276</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5 736</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1 540</w:t>
            </w:r>
          </w:p>
        </w:tc>
      </w:tr>
      <w:tr>
        <w:tc>
          <w:tcPr>
            <w:tcW w:w="322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3227" w:type="dxa"/>
            <w:tcBorders>
              <w:top w:val="nil"/>
              <w:left w:val="nil"/>
              <w:bottom w:val="single" w:sz="4" w:space="0" w:color="016794"/>
              <w:right w:val="nil"/>
            </w:tcBorders>
            <w:shd w:val="clear" w:color="auto" w:fill="CCE1EA"/>
            <w:tcMar>
              <w:top w:w="0" w:type="dxa"/>
              <w:left w:w="108" w:type="dxa"/>
              <w:bottom w:w="0" w:type="dxa"/>
              <w:right w:w="108" w:type="dxa"/>
            </w:tcMar>
          </w:tcPr>
          <w:p>
            <w:pPr>
              <w:pStyle w:val="Text9pBoldLeft"/>
              <w:rPr>
                <w:rFonts w:eastAsia="Verdana" w:cs="Verdana"/>
              </w:rPr>
            </w:pPr>
            <w:r>
              <w:t>Yhteensä</w:t>
            </w:r>
          </w:p>
        </w:tc>
        <w:tc>
          <w:tcPr>
            <w:tcW w:w="1630" w:type="dxa"/>
            <w:tcBorders>
              <w:top w:val="nil"/>
              <w:left w:val="nil"/>
              <w:bottom w:val="single" w:sz="4" w:space="0" w:color="016794"/>
              <w:right w:val="nil"/>
            </w:tcBorders>
            <w:shd w:val="clear" w:color="auto" w:fill="CCE1EA"/>
            <w:tcMar>
              <w:top w:w="0" w:type="dxa"/>
              <w:left w:w="108" w:type="dxa"/>
              <w:bottom w:w="0" w:type="dxa"/>
              <w:right w:w="108" w:type="dxa"/>
            </w:tcMar>
          </w:tcPr>
          <w:p>
            <w:pPr>
              <w:pStyle w:val="Figures9pBoldRight025"/>
              <w:rPr>
                <w:rFonts w:eastAsia="Verdana" w:cs="Verdana"/>
              </w:rPr>
            </w:pPr>
            <w:r>
              <w:t>473 030</w:t>
            </w:r>
          </w:p>
        </w:tc>
        <w:tc>
          <w:tcPr>
            <w:tcW w:w="1630" w:type="dxa"/>
            <w:tcBorders>
              <w:top w:val="nil"/>
              <w:left w:val="nil"/>
              <w:bottom w:val="single" w:sz="4" w:space="0" w:color="016794"/>
              <w:right w:val="nil"/>
            </w:tcBorders>
            <w:shd w:val="clear" w:color="auto" w:fill="CCE1EA"/>
            <w:tcMar>
              <w:top w:w="0" w:type="dxa"/>
              <w:left w:w="108" w:type="dxa"/>
              <w:bottom w:w="0" w:type="dxa"/>
              <w:right w:w="108" w:type="dxa"/>
            </w:tcMar>
          </w:tcPr>
          <w:p>
            <w:pPr>
              <w:pStyle w:val="Figures9pBoldRight025"/>
              <w:rPr>
                <w:rFonts w:eastAsia="Verdana" w:cs="Verdana"/>
              </w:rPr>
            </w:pPr>
            <w:r>
              <w:t>472 145</w:t>
            </w:r>
          </w:p>
        </w:tc>
        <w:tc>
          <w:tcPr>
            <w:tcW w:w="1630" w:type="dxa"/>
            <w:tcBorders>
              <w:top w:val="nil"/>
              <w:left w:val="nil"/>
              <w:bottom w:val="single" w:sz="4" w:space="0" w:color="016794"/>
              <w:right w:val="nil"/>
            </w:tcBorders>
            <w:shd w:val="clear" w:color="auto" w:fill="CCE1EA"/>
            <w:tcMar>
              <w:top w:w="0" w:type="dxa"/>
              <w:left w:w="108" w:type="dxa"/>
              <w:bottom w:w="0" w:type="dxa"/>
              <w:right w:w="108" w:type="dxa"/>
            </w:tcMar>
          </w:tcPr>
          <w:p>
            <w:pPr>
              <w:pStyle w:val="Figures9pBoldRight025"/>
              <w:rPr>
                <w:rFonts w:eastAsia="Verdana" w:cs="Verdana"/>
              </w:rPr>
            </w:pPr>
            <w:r>
              <w:t>328 262</w:t>
            </w:r>
          </w:p>
        </w:tc>
        <w:tc>
          <w:tcPr>
            <w:tcW w:w="1630" w:type="dxa"/>
            <w:tcBorders>
              <w:top w:val="nil"/>
              <w:left w:val="nil"/>
              <w:bottom w:val="single" w:sz="4" w:space="0" w:color="016794"/>
              <w:right w:val="nil"/>
            </w:tcBorders>
            <w:shd w:val="clear" w:color="auto" w:fill="CCE1EA"/>
            <w:tcMar>
              <w:top w:w="0" w:type="dxa"/>
              <w:left w:w="108" w:type="dxa"/>
              <w:bottom w:w="0" w:type="dxa"/>
              <w:right w:w="108" w:type="dxa"/>
            </w:tcMar>
          </w:tcPr>
          <w:p>
            <w:pPr>
              <w:pStyle w:val="Figures9pBoldRight025"/>
              <w:rPr>
                <w:rFonts w:eastAsia="Verdana" w:cs="Verdana"/>
              </w:rPr>
            </w:pPr>
            <w:r>
              <w:t>143 883</w:t>
            </w:r>
          </w:p>
        </w:tc>
      </w:tr>
    </w:tbl>
    <w:p>
      <w:pPr>
        <w:pStyle w:val="DGTextstand-alone"/>
      </w:pPr>
      <w:r>
        <w:t>Nämä ovat oikeudellisia velvoitteita, joiden mukaisiin maksuihin EU on sitoutunut hyväksyessään yhteistyössä jäsenvaltioiden kanssa hallinnoitavia toimenpideohjelmia. Komission päätös toimenpideohjelman hyväksymisestä on varainhoitoasetuksen 110 artiklassa tarkoitettu rahoituspäätös. Siitä tulee kyseisessä asetuksessa tarkoitettu oikeudellinen sitoumus, kun päätöksestä on ilmoitettu asianomaiselle jäsenvaltiolle.</w:t>
      </w:r>
    </w:p>
    <w:p>
      <w:pPr>
        <w:pStyle w:val="DGTextstand-alone"/>
      </w:pPr>
      <w:r>
        <w:t xml:space="preserve">Euroopan rakenne- ja investointirahastoihin sovellettavan yhteisiä säännöksiä koskevan asetuksen 76 artiklassa säädetään seuraavaa: </w:t>
      </w:r>
    </w:p>
    <w:p>
      <w:pPr>
        <w:pStyle w:val="DGTextstand-alone"/>
        <w:rPr>
          <w:i/>
        </w:rPr>
      </w:pPr>
      <w:r>
        <w:rPr>
          <w:i/>
        </w:rPr>
        <w:t>”Unionin talousarviositoumukset toteutetaan kunkin ohjelman osalta rahastokohtaisina vuotuisina erinä 1 päivän tammikuuta 2014 ja 31 päivän joulukuuta 2020 välisenä aikana. Suoritusvaraukseen liittyvät talousarviositoumukset tehdään kussakin ohjelmassa erikseen muista ohjelmaan kohdennettavista määrärahoista.”</w:t>
      </w:r>
    </w:p>
    <w:p>
      <w:pPr>
        <w:pStyle w:val="DGTextstand-alone"/>
      </w:pPr>
      <w:r>
        <w:t>Edellä olevassa taulukossa esitetään ensin koko monivuotinen rahoituskehys (sarake A) ja sen jälkeen oikeudelliset sitoumukset, joista ei ole vielä tehty talousarviositoumuksia vuosien 2014–2020 monivuotisen rahoituskehyksen otsakkeissa 1B, 2 ja 3. Nämä oikeudelliset sitoumukset ovat siis avoinna olevia määriä, jotka EU on sitoutunut maksamaan vuoden 2018 joulukuun 31. päivän jälkeen. Sarakkeessa B esitetään komission vuoden loppuun mennessä tekemät oikeudelliset sitoumukset, ja sarakkeessa C niihin liittyvät talousarviositoumukset vuoden lopussa.</w:t>
      </w:r>
    </w:p>
    <w:p>
      <w:pPr>
        <w:pStyle w:val="HEADER2NOTES"/>
        <w:rPr>
          <w:noProof/>
        </w:rPr>
      </w:pPr>
      <w:r>
        <w:rPr>
          <w:noProof/>
        </w:rPr>
        <w:t>MERKITTÄVÄT OIKEUDELLISET SITOUMUKSET MUILLA ALOILLA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87" w:name="DOC_TBL00081_1_1"/>
            <w:bookmarkEnd w:id="187"/>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Verkkojen Eurooppa </w:t>
            </w:r>
            <w:r>
              <w:noBreakHyphen/>
              <w:t>väline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11 554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12 676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ITER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1 489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1 496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Copernicus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1 267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1 841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Galileo-ohjelma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Kalastussopimukset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Operatiivisiin vuokrasopimuksiin liittyvät sitoumukset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2 352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2 577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Muut sopimukset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924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1 054</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Yhteensä</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18 126</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20 030</w:t>
            </w:r>
          </w:p>
        </w:tc>
      </w:tr>
    </w:tbl>
    <w:p>
      <w:pPr>
        <w:pStyle w:val="DGTextstand-alone"/>
      </w:pPr>
      <w:r>
        <w:t xml:space="preserve">Nämä määrät liittyvät pitkäaikaisiin oikeudellisiin sitoumuksiin, joita ei ollut vielä katettu talousarviossa maksusitoumusmäärärahoilla vuoden lopussa. Nämä sitovat velvoitteet budjetoidaan vuotuisina erinä ja maksut suoritetaan tulevina vuosina. </w:t>
      </w:r>
    </w:p>
    <w:p>
      <w:pPr>
        <w:pStyle w:val="DGTextstand-alone"/>
      </w:pPr>
      <w:r>
        <w:t>Tietyt tärkeät ohjelmat (ks. jäljempänä) voidaan toteuttaa vuotuisina erinä varainhoitoasetuksen 112 artiklan 2 kohdan mukaisesti. Tällä tavoin EU voi tehdä oikeudellisia sitoumuksia (allekirjoittaa avustus-, valtuutus- ja hankintasopimuksia) tiettynä vuonna käytettävissä olevia maksusitoumusmäärärahoja suuremmalle määrälle. Tämän vuoksi huomattava osa voimassa olevan monivuotisen rahoituskehyksen kokonaismäärärahoista voi olla jo sidottu. Kyseessä ovat erityisesti seuraavat ohjelmat:</w:t>
      </w:r>
    </w:p>
    <w:p>
      <w:pPr>
        <w:pStyle w:val="HEADER5"/>
        <w:rPr>
          <w:noProof/>
        </w:rPr>
      </w:pPr>
      <w:r>
        <w:rPr>
          <w:noProof/>
        </w:rPr>
        <w:t xml:space="preserve">Verkkojen Eurooppa </w:t>
      </w:r>
      <w:r>
        <w:rPr>
          <w:noProof/>
        </w:rPr>
        <w:noBreakHyphen/>
        <w:t>väline (CEF)</w:t>
      </w:r>
    </w:p>
    <w:p>
      <w:pPr>
        <w:pStyle w:val="DGTextstand-alone"/>
      </w:pPr>
      <w:r>
        <w:t xml:space="preserve">Verkkojen Eurooppa </w:t>
      </w:r>
      <w:r>
        <w:noBreakHyphen/>
        <w:t xml:space="preserve">välineestä annetaan rahoitustukea Euroopan laajuisille verkoille, jotta voidaan tukea yhteistä etua koskevia infrastruktuurihankkeita liikenne-, televiestintä- ja energia-alalla. Verkkojen Eurooppa </w:t>
      </w:r>
      <w:r>
        <w:noBreakHyphen/>
        <w:t xml:space="preserve">välinettä koskevat oikeudelliset sitoumukset kattavat liikenteen osalta täytäntöönpanokauden 2014–2023. Energian osalta kausi päättyy 31. joulukuuta 2024. Näiden sitoumusten oikeusperusta on 11. joulukuuta 2013 annettu Euroopan parlamentin ja neuvoston asetus (EU) N:o 1316/2013 Verkkojen Eurooppa </w:t>
      </w:r>
      <w:r>
        <w:noBreakHyphen/>
        <w:t>välineen perustamisesta sekä asetuksen (EU) N:o 913/2010 muuttamisesta ja asetusten (EY) N:o 680/2007 ja (EY) N:o 67/2010 kumoamisesta (EUVL L 348, 20.12.2013, s. 129). Tämän asetuksen 19 artiklassa säädetään vuosierien käyttämisestä.</w:t>
      </w:r>
    </w:p>
    <w:p>
      <w:pPr>
        <w:pStyle w:val="HEADER5"/>
        <w:rPr>
          <w:noProof/>
        </w:rPr>
      </w:pPr>
      <w:r>
        <w:rPr>
          <w:noProof/>
        </w:rPr>
        <w:t>Copernicus</w:t>
      </w:r>
    </w:p>
    <w:p>
      <w:pPr>
        <w:pStyle w:val="DGTextstand-alone"/>
      </w:pPr>
      <w:r>
        <w:t xml:space="preserve">Copernicus on Euroopan maanseurantaohjelma – ks. myös liitetieto </w:t>
      </w:r>
      <w:r>
        <w:rPr>
          <w:b/>
        </w:rPr>
        <w:t>2.2</w:t>
      </w:r>
      <w:r>
        <w:t>. Nämä sitoumukset ovat voimassa vuoteen 2020 saakka. Komissio on allekirjoittanut 3. huhtikuuta 2014 annetun Euroopan parlamentin ja neuvoston asetuksen (EU) N:o 377/2014 (EUVL L 122/44, 24.4.2014) mukaisesti valtuutussopimukset Euroopan avaruusjärjestön (ESA), Euroopan sääsatelliittijärjestön (Eumetsat), Mercatorin ja Euroopan keskipitkien sääennusteiden keskuksen (ECMWF) kanssa. Kyseisen asetuksen 8 artiklassa säädetään mahdollisuudesta jakaa sitoumukset vuosieriin.</w:t>
      </w:r>
    </w:p>
    <w:p>
      <w:pPr>
        <w:pStyle w:val="HEADER5"/>
        <w:rPr>
          <w:noProof/>
        </w:rPr>
      </w:pPr>
      <w:r>
        <w:rPr>
          <w:noProof/>
        </w:rPr>
        <w:t>ITER – Kansainvälinen lämpöydinkoereaktori</w:t>
      </w:r>
    </w:p>
    <w:p>
      <w:pPr>
        <w:pStyle w:val="DGTextstand-alone"/>
      </w:pPr>
      <w:r>
        <w:t xml:space="preserve">Näillä sitoumuksilla on tarkoitus kattaa ITER-laitosten tulevat rahoitustarpeet vuoteen 2021 saakka. EU:n (Euratomin) rahoitusosuus ITER-organisaatiossa toteutetaan Fusion for Energy </w:t>
      </w:r>
      <w:r>
        <w:noBreakHyphen/>
        <w:t xml:space="preserve">yhteisyrityksen kautta. Rahoitusosuuksia on myös jäsenvaltioilla ja Sveitsillä. Nämä sitoumukset on tehty eurooppalaisen yhteisyrityksen perustamisesta ITERiä ja fuusioenergian kehittämistä varten sekä etujen myöntämisestä perustettavalle yhteisyritykselle tehdyn neuvoston päätöksen 2007/198/Euratom muuttamisesta annetun neuvoston päätöksen perusteella. Kyseisessä päätöksessä säädetään mahdollisuudesta jakaa sitoumukset vuosieriin. ITER perustettiin hallinnoimaan ITER-laitteistoa, kannustamaan ITER-laitteiston käyttämiseen, edistämään yleistä tietämystä fuusioenergiasta ja lisäämään sen hyväksyntää sekä hoitamaan muita tehtäviä, jotka ovat tarpeen ITERin tavoitteiden saavuttamiseksi. ITER-yhteisyritykseen osallistuvat EU, Kiina, Intia, Venäjä, Etelä-Korea, Japani ja Yhdysvallat. </w:t>
      </w:r>
    </w:p>
    <w:p>
      <w:pPr>
        <w:pStyle w:val="HEADER5"/>
        <w:rPr>
          <w:noProof/>
        </w:rPr>
      </w:pPr>
      <w:r>
        <w:rPr>
          <w:noProof/>
        </w:rPr>
        <w:t>Galileo-ohjelma</w:t>
      </w:r>
    </w:p>
    <w:p>
      <w:pPr>
        <w:pStyle w:val="DGTextstand-alone"/>
      </w:pPr>
      <w:r>
        <w:t xml:space="preserve">Nämä määrät on osoitettu Galileo-ohjelmalle, jonka puitteissa kehitetään globaalia eurooppalaista satelliittinavigointijärjestelmää – ks. myös liitetieto </w:t>
      </w:r>
      <w:r>
        <w:rPr>
          <w:b/>
        </w:rPr>
        <w:t>2.2</w:t>
      </w:r>
      <w:r>
        <w:t>. Nämä sitoumukset ovat voimassa vuoteen 2020 saakka. Komissio on allekirjoittanut ESAn kanssa valtuutussopimuksen asetuksen (EU) N:o 1285/2013 mukaisesti (EUVL L 347/1, 20.12.2013). Kyseisen asetuksen 9 artiklassa säädetään mahdollisuudesta jakaa sitoumukset vuosieriin.</w:t>
      </w:r>
    </w:p>
    <w:p>
      <w:pPr>
        <w:pStyle w:val="HEADER5"/>
        <w:rPr>
          <w:noProof/>
        </w:rPr>
      </w:pPr>
      <w:r>
        <w:rPr>
          <w:noProof/>
        </w:rPr>
        <w:t>Kalastussopimukset</w:t>
      </w:r>
    </w:p>
    <w:p>
      <w:pPr>
        <w:pStyle w:val="DGTextstand-alone"/>
      </w:pPr>
      <w:r>
        <w:t>Nämä sitoumukset on tehty kolmansien maiden kanssa vuoteen 2023 ulottuvien kansainvälisten kalastussopimusten mukaisten toimien toteuttamiseksi. Sitoumukset perustuvat kutakin kolmatta maata koskeviin neuvoston päätöksiin (esim. 4. maaliskuuta 2019 annettu neuvoston päätös (EU) 2019/385 Euroopan unionin ja Norsunluurannikon tasavallan välisen kalastuskumppanuussopimuksen täytäntöönpanoa koskevan pöytäkirjan (2018–2024) tekemisestä; EUVL L 70, 12.3.2019), ja niitä pidetään kansainvälisinä sopimuksina, joihin sisältyy monivuotisia oikeuksia ja velvoitteita.</w:t>
      </w:r>
    </w:p>
    <w:p>
      <w:pPr>
        <w:pStyle w:val="HEADER5"/>
        <w:rPr>
          <w:noProof/>
        </w:rPr>
      </w:pPr>
      <w:r>
        <w:rPr>
          <w:noProof/>
        </w:rPr>
        <w:t>Operatiivisiin vuokrasopimuksiin liittyvät sitoumukset</w:t>
      </w:r>
    </w:p>
    <w:p>
      <w:pPr>
        <w:pStyle w:val="DGTextstand-alone"/>
      </w:pPr>
      <w:r>
        <w:t>Näiden vuokrasopimusten jäljellä olevana voimassaoloaikana on suoritettava niistä tehtyjen sopimusten mukaisesti seuraavat minimimaksut: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4"/>
        <w:gridCol w:w="1703"/>
        <w:gridCol w:w="1703"/>
        <w:gridCol w:w="1703"/>
        <w:gridCol w:w="1494"/>
      </w:tblGrid>
      <w:tr>
        <w:tc>
          <w:tcPr>
            <w:tcW w:w="35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88" w:name="DOC_TBL00082_1_1"/>
            <w:bookmarkEnd w:id="188"/>
          </w:p>
        </w:tc>
        <w:tc>
          <w:tcPr>
            <w:tcW w:w="4678"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Vuokramaksujen vähimmäismäärä</w:t>
            </w:r>
          </w:p>
        </w:tc>
        <w:tc>
          <w:tcPr>
            <w:tcW w:w="1559" w:type="dxa"/>
            <w:tcBorders>
              <w:top w:val="nil"/>
              <w:left w:val="nil"/>
              <w:bottom w:val="nil"/>
              <w:right w:val="nil"/>
            </w:tcBorders>
            <w:shd w:val="clear" w:color="auto" w:fill="016794"/>
            <w:tcMar>
              <w:top w:w="0" w:type="dxa"/>
              <w:left w:w="108" w:type="dxa"/>
              <w:bottom w:w="0" w:type="dxa"/>
              <w:right w:w="108" w:type="dxa"/>
            </w:tcMar>
          </w:tcPr>
          <w:p>
            <w:pPr>
              <w:spacing w:after="200" w:line="276" w:lineRule="auto"/>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Erääntymiseen &lt; 1 vuosi</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Erääntymiseen 1–5 vuotta</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Erääntymiseen &gt; 5 vuotta</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Yhteensä</w:t>
            </w:r>
          </w:p>
        </w:tc>
      </w:tr>
      <w:tr>
        <w:tc>
          <w:tcPr>
            <w:tcW w:w="35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Rakennukset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943</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2 321</w:t>
            </w:r>
          </w:p>
        </w:tc>
      </w:tr>
      <w:tr>
        <w:tc>
          <w:tcPr>
            <w:tcW w:w="3510"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Atk-laitteet ja muut laitteet</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56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31</w:t>
            </w:r>
          </w:p>
        </w:tc>
      </w:tr>
      <w:tr>
        <w:tc>
          <w:tcPr>
            <w:tcW w:w="35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Yhteensä</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448</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964</w:t>
            </w:r>
          </w:p>
        </w:tc>
        <w:tc>
          <w:tcPr>
            <w:tcW w:w="156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940</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2 352</w:t>
            </w:r>
          </w:p>
        </w:tc>
      </w:tr>
    </w:tbl>
    <w:p>
      <w:pPr>
        <w:pStyle w:val="Heading7pNormalCentered"/>
      </w:pPr>
    </w:p>
    <w:p>
      <w:pPr>
        <w:pStyle w:val="DGTextstand-alone"/>
      </w:pPr>
      <w:r>
        <w:t xml:space="preserve">Yhdistynyt kuningaskunta on ilmoittanut aikomuksestaan erota Euroopan unionista. Siksi Euroopan lääkeviraston (EMA) kotipaikka siirrettiin asetuksen (EY) N:o 726/2004 muuttamisesta 14 päivänä marraskuuta 2018 annetulla Euroopan parlamentin ja neuvoston asetuksella (EU) 2018/1718 Lontoosta Amsterdamiin. Lontoon liiketilojen nykyinen vuokrasopimus päättyy vuonna 2039, joten sopimus on päätettävä ennenaikaisesti tai siitä on tehtävä siirto- tai alivuokrasopimus kolmannen osapuolen kanssa. </w:t>
      </w:r>
    </w:p>
    <w:p>
      <w:pPr>
        <w:pStyle w:val="DGTextstand-alone"/>
      </w:pPr>
      <w:r>
        <w:t>Edellä olevassa taulukossa ilmoitetut määrät sisältävät 468 miljoonaa euroa, jotka on vielä maksettava tämän vuokrasopimuksen perusteella. Mahdollinen tuleva taloudellinen nettovaikutus konsolidoituun tilinpäätökseen riippuu kuitenkin vuokranantajan kanssa käytävistä sopimuksen päättämistä koskevista neuvotteluista tai kolmannen osapuolen kanssa tehtävän alivuokrasopimuksen sopimusehdoista.</w:t>
      </w:r>
    </w:p>
    <w:p>
      <w:pPr>
        <w:pStyle w:val="HEADER5"/>
        <w:rPr>
          <w:noProof/>
        </w:rPr>
      </w:pPr>
      <w:r>
        <w:rPr>
          <w:noProof/>
        </w:rPr>
        <w:t>Muut sopimukset</w:t>
      </w:r>
    </w:p>
    <w:p>
      <w:pPr>
        <w:pStyle w:val="DGTextstand-alone"/>
      </w:pPr>
      <w:r>
        <w:t>Tämä erä sisältää määrät, joita vastaavat maksut on vielä suoritettava sopimusten voimassaoloaikana. Suurin yksittäinen määrä (87 miljoonaa euroa) liittyy Euroopan parlamentin rakennushankkeisiin.</w:t>
      </w:r>
    </w:p>
    <w:p>
      <w:pPr>
        <w:pStyle w:val="HEADER1NOTES"/>
        <w:rPr>
          <w:noProof/>
        </w:rPr>
      </w:pPr>
      <w:bookmarkStart w:id="189" w:name="_Toc11939025"/>
      <w:bookmarkStart w:id="190" w:name="_Toc17883233"/>
      <w:bookmarkStart w:id="191" w:name="_DMBM_14801"/>
      <w:bookmarkEnd w:id="183"/>
      <w:r>
        <w:rPr>
          <w:noProof/>
        </w:rPr>
        <w:t>RAHOITUSRISKIN HALLINTA</w:t>
      </w:r>
      <w:bookmarkEnd w:id="189"/>
      <w:bookmarkEnd w:id="190"/>
    </w:p>
    <w:p>
      <w:pPr>
        <w:pStyle w:val="DGTextstand-alone"/>
      </w:pPr>
      <w:r>
        <w:t>Seuraavat EU:n rahoitusriskien hallintaa koskevat tiedot liittyvät:</w:t>
      </w:r>
    </w:p>
    <w:p>
      <w:pPr>
        <w:pStyle w:val="DGTextstand-alone"/>
        <w:numPr>
          <w:ilvl w:val="0"/>
          <w:numId w:val="30"/>
        </w:numPr>
      </w:pPr>
      <w:r>
        <w:t xml:space="preserve">rahoitusavun myöntämistä koskevaan otto- ja antolainaustoimintaan; komissio on toteuttanut kyseisen avun käyttämällä seuraavia välineitä: Euroopan rahoituksenvakautusmekanismi, maksutaselainat, makrotaloudellinen rahoitusapu, Euratom-lainat sekä (selvitystilassa olevan) Euroopan hiili- ja teräsyhteisön lainat; </w:t>
      </w:r>
    </w:p>
    <w:p>
      <w:pPr>
        <w:pStyle w:val="DGTextstand-alone"/>
        <w:numPr>
          <w:ilvl w:val="0"/>
          <w:numId w:val="30"/>
        </w:numPr>
      </w:pPr>
      <w:r>
        <w:t xml:space="preserve">treasury-toimintoihin, jotka komissio on toteuttanut EU:n talousarvion toteuttamiseksi ja joihin kuuluvat myös sakkojen tuloutukset; </w:t>
      </w:r>
    </w:p>
    <w:p>
      <w:pPr>
        <w:pStyle w:val="DGTextstand-alone"/>
        <w:numPr>
          <w:ilvl w:val="0"/>
          <w:numId w:val="30"/>
        </w:numPr>
      </w:pPr>
      <w:r>
        <w:t>talousarviotakauksia varten perustetuissa rahastoissa oleviin varoihin (ulkosuhteisiin liittyvien hankkeiden takuurahasto, ESIR-takuurahasto ja EKKR-takuurahasto); ja</w:t>
      </w:r>
    </w:p>
    <w:p>
      <w:pPr>
        <w:pStyle w:val="DGTextstand-alone"/>
        <w:numPr>
          <w:ilvl w:val="0"/>
          <w:numId w:val="30"/>
        </w:numPr>
      </w:pPr>
      <w:r>
        <w:t>EU:n talousarviosta rahoitettuihin rahoitusvälineisiin.</w:t>
      </w:r>
    </w:p>
    <w:p>
      <w:pPr>
        <w:pStyle w:val="HEADER2NOTES"/>
        <w:rPr>
          <w:noProof/>
        </w:rPr>
      </w:pPr>
      <w:r>
        <w:rPr>
          <w:noProof/>
        </w:rPr>
        <w:t>RISKITYYPIT</w:t>
      </w:r>
    </w:p>
    <w:p>
      <w:pPr>
        <w:pStyle w:val="DGTextstand-alone"/>
      </w:pPr>
      <w:r>
        <w:rPr>
          <w:b/>
        </w:rPr>
        <w:t>Markkinariski</w:t>
      </w:r>
      <w:r>
        <w:t xml:space="preserve"> on riski siitä, että rahoitusvälineen käypä arvo tai vastaiset rahavirrat vaihtelevat markkinahintojen muutoksista johtuen. Markkinariski käsittää paitsi tappion myös voiton mahdollisuuden. Siihen kuuluvat </w:t>
      </w:r>
      <w:r>
        <w:rPr>
          <w:i/>
        </w:rPr>
        <w:t>valuuttariski, korkoriski ja muu hintariski</w:t>
      </w:r>
      <w:r>
        <w:t xml:space="preserve"> (EU:hun ei kohdistu merkittävää muuta hintariskiä).</w:t>
      </w:r>
    </w:p>
    <w:p>
      <w:pPr>
        <w:pStyle w:val="DGTextstand-alone"/>
        <w:numPr>
          <w:ilvl w:val="0"/>
          <w:numId w:val="31"/>
        </w:numPr>
      </w:pPr>
      <w:r>
        <w:rPr>
          <w:i/>
        </w:rPr>
        <w:t>Valuuttariski</w:t>
      </w:r>
      <w:r>
        <w:t xml:space="preserve"> on riski siitä, että EU:n toimien tai sen sijoitusten arvo vaihtelee valuuttakurssimuutosten vuoksi. Tämä riski aiheutuu yhden valuutan arvon muuttumisesta suhteessa toiseen valuuttaan. </w:t>
      </w:r>
    </w:p>
    <w:p>
      <w:pPr>
        <w:pStyle w:val="DGTextstand-alone"/>
        <w:numPr>
          <w:ilvl w:val="0"/>
          <w:numId w:val="31"/>
        </w:numPr>
      </w:pPr>
      <w:r>
        <w:rPr>
          <w:i/>
        </w:rPr>
        <w:t>Korkoriski</w:t>
      </w:r>
      <w:r>
        <w:t xml:space="preserve"> liittyy mahdollisuuteen siitä, että arvopaperin, erityisesti joukkovelkakirjalainan, arvo pienenee korkojen noustessa. Nouseva korkotaso yleensä laskee kiinteäkorkoisten joukkovelkakirjojen hintaa ja päinvastoin.</w:t>
      </w:r>
    </w:p>
    <w:p>
      <w:pPr>
        <w:pStyle w:val="DGTextstand-alone"/>
      </w:pPr>
      <w:r>
        <w:rPr>
          <w:b/>
        </w:rPr>
        <w:t>Luottoriski</w:t>
      </w:r>
      <w:r>
        <w:t xml:space="preserve"> on tappion riski, joka aiheutuu siitä mahdollisuudesta, että velallinen/lainanottaja ei maksa takaisin lainaa tai muuta luottoa (pääomaa, korkoa tai ei kumpaakaan) tai rikkoo muuten sopimuksesta johtuvia velvoitteita. Lainan takaisinmaksu voi viivästyä, lainanottajan maksuja voidaan joutua järjestelemään uudelleen tai velallinen voi joutua konkurssiin.</w:t>
      </w:r>
    </w:p>
    <w:p>
      <w:pPr>
        <w:pStyle w:val="DGTextstand-alone"/>
      </w:pPr>
      <w:r>
        <w:rPr>
          <w:b/>
        </w:rPr>
        <w:t>Likviditeettiriski</w:t>
      </w:r>
      <w:r>
        <w:t xml:space="preserve"> tarkoittaa riskiä siitä, että omaisuuserää on hankala myydä; esimerkiksi tiettyä arvopaperia tai muuta omaisuuserää ei voida myydä riittävän nopeasti markkinoilla tappion estämiseksi tai velvoitteen täyttämiseksi.</w:t>
      </w:r>
    </w:p>
    <w:p>
      <w:pPr>
        <w:pStyle w:val="HEADER2NOTES"/>
        <w:rPr>
          <w:noProof/>
        </w:rPr>
      </w:pPr>
      <w:r>
        <w:rPr>
          <w:noProof/>
        </w:rPr>
        <w:t xml:space="preserve">RISKIENHALLINTAPOLITIIKKA </w:t>
      </w:r>
    </w:p>
    <w:p>
      <w:pPr>
        <w:pStyle w:val="DGTextstand-alone"/>
      </w:pPr>
      <w:r>
        <w:t xml:space="preserve">EU:n talousarvion toteuttaminen perustuu yhä enemmän toimenpideohjelmiin liittyvien rahoitusvälineiden käyttöön. Lisätietoja näistä instrumenteista on liitetiedossa </w:t>
      </w:r>
      <w:r>
        <w:rPr>
          <w:b/>
        </w:rPr>
        <w:t>2.4.1</w:t>
      </w:r>
      <w:r>
        <w:t>.</w:t>
      </w:r>
    </w:p>
    <w:p>
      <w:pPr>
        <w:pStyle w:val="DGTextstand-alone"/>
      </w:pPr>
      <w:r>
        <w:t>Useimmille rahoitusvälineille on yhteistä se, että toteutus on delegoitu joko EIP-ryhmälle (mukaan lukien EIR) tai muille rahoituslaitoksille komission ja asianomaisen rahoituslaitoksen välisellä sopimuksella. Kyseisten rahoituslaitosten kanssa tehtyihin sopimuksiin sisältyy välittäjiä koskevia tiukkoja ehtoja ja velvoitteita. Niillä varmistetaan, että EU:n rahavarojen käyttöä hallinnoidaan ja niistä raportoidaan asianmukaisesti. Kun rahoitusosuus on sidottu johonkin välineeseen, varat siirretään rahoituslaitoksen avaamalle erilliselle pankkitilille (varainhoitotili). Rahoituslaitos voi käytettävästä välineestä riippuen käyttää varainhoitotilillä olevia varoja esimerkiksi lainojen myöntämiseen, velkainstrumenttien liikkeeseenlaskuun, oman pääoman ehtoisiin rahoitusvälineisiin tehtäviin sijoituksiin tai takauksiin perustuvien maksujen suorittamiseen. Rahoitusvälineiden tuotot on pääsääntöisesti palautettava EU:n talousarvioon.</w:t>
      </w:r>
    </w:p>
    <w:p>
      <w:pPr>
        <w:pStyle w:val="DGTextstand-alone"/>
      </w:pPr>
      <w:r>
        <w:t>Rahoitusvälineisiin liittyvä riski on rajoitettu niistä tehdyissä sopimuksissa asetettuun enimmäismäärään, joka on kyseiselle instrumentille talousarviossa osoitettu määrä. Komission vastuulla on usein hankkeen suuririskisin osa (first loss piece). Lisäksi näillä instrumenteilla on tarkoitus tarjota rahoitusta sellaisille tuensaajille, joiden toimintaan liittyy keskimääräistä suurempi riski ja joilla on vaikeuksia saada rahoitusta kaupallisilta luotonantajilta. Tämän vuoksi on todennäköistä, että EU:n talousarviosta joudutaan kattamaan jonkin verran tappioita.</w:t>
      </w:r>
    </w:p>
    <w:p>
      <w:pPr>
        <w:pStyle w:val="HEADER5"/>
        <w:rPr>
          <w:noProof/>
        </w:rPr>
      </w:pPr>
      <w:r>
        <w:rPr>
          <w:noProof/>
        </w:rPr>
        <w:t>Rahoitusinstrumenttien arvostaminen</w:t>
      </w:r>
    </w:p>
    <w:p>
      <w:pPr>
        <w:pStyle w:val="DGTextstand-alone"/>
      </w:pPr>
      <w:r>
        <w:t xml:space="preserve">Seuraavia rahoitusvarojen ja </w:t>
      </w:r>
      <w:r>
        <w:noBreakHyphen/>
        <w:t xml:space="preserve">velkojen luokkia ei arvosteta käypään arvoon: käteisvarat ja muut rahavarat, myönnetyt lainat, saamiset vaihtoon perustuvista transaktioista ja kerrytettävissä olevat rahamäärät muista kuin vaihtoon perustuvista transaktioista sekä otetut lainat ja muut jaksotettuun hankintamenoon taseeseen merkittävät rahoitusvelat. Kyseisten rahoitusvarojen ja </w:t>
      </w:r>
      <w:r>
        <w:noBreakHyphen/>
        <w:t>velkojen kirjanpitoarvon katsotaan vastaavan kohtuullisen hyvin niiden käypää arvoa.</w:t>
      </w:r>
    </w:p>
    <w:p>
      <w:pPr>
        <w:pStyle w:val="HEADER5"/>
        <w:rPr>
          <w:noProof/>
        </w:rPr>
      </w:pPr>
      <w:r>
        <w:rPr>
          <w:noProof/>
        </w:rPr>
        <w:t>Rahoitusavun myöntämiseen liittyvä otto- ja antolainaustoiminta</w:t>
      </w:r>
    </w:p>
    <w:p>
      <w:pPr>
        <w:pStyle w:val="DGTextstand-alone"/>
      </w:pPr>
      <w:r>
        <w:t xml:space="preserve">EU:n lainanottoon ja </w:t>
      </w:r>
      <w:r>
        <w:noBreakHyphen/>
        <w:t>antoon sekä niihin liittyviin treasury-toimintoihin sovelletaan näitä toimintoja koskevia neuvoston ja Euroopan parlamentin päätöksiä ja tapauksen mukaan EU:n sisäisiä ohjeita. Eri osa-alueista, kuten lainanotosta, lainanannosta sekä treasury-toiminnoista, on annettu kirjalliset menettelyohjeet, joita kyseisistä toiminnoista vastaavat yksiköt noudattavat. Antolainaustoiminta rahoitetaan back-to-back-lainoilla (laina myönnetään samoin ehdoin kun sitä on otettu), jolloin avoimia valuutta- tai korkopositioita ei ole.</w:t>
      </w:r>
    </w:p>
    <w:p>
      <w:pPr>
        <w:pStyle w:val="HEADER5"/>
        <w:rPr>
          <w:noProof/>
        </w:rPr>
      </w:pPr>
      <w:r>
        <w:rPr>
          <w:noProof/>
        </w:rPr>
        <w:t>Treasury-toiminnot</w:t>
      </w:r>
    </w:p>
    <w:p>
      <w:pPr>
        <w:pStyle w:val="DGTextstand-alone"/>
      </w:pPr>
      <w:r>
        <w:t>Talousarvion täytäntöönpanon yhteydessä toteutettavien komission treasury-toimintojen säännöistä ja periaatteista säädetään neuvoston asetuksessa (EU, Euratom) N:o 609/2014 (sellaisena kuin se on muutettuna neuvoston asetuksella (EU, Euratom) N:o 804/2016) sekä varainhoitoasetuksessa.</w:t>
      </w:r>
    </w:p>
    <w:p>
      <w:pPr>
        <w:pStyle w:val="DGTextstand-alone"/>
      </w:pPr>
      <w:r>
        <w:t>Edellä mainittujen asetusten mukaisesti sovelletaan seuraavia perusperiaatteita:</w:t>
      </w:r>
    </w:p>
    <w:p>
      <w:pPr>
        <w:pStyle w:val="DGTextstand-alone"/>
        <w:numPr>
          <w:ilvl w:val="0"/>
          <w:numId w:val="32"/>
        </w:numPr>
      </w:pPr>
      <w:r>
        <w:t>Jäsenvaltiot asettavat EU:n omat varat sen käyttöön maksamalla ne tileille, jotka on avattu tätä tarkoitusta varten komission nimissä kunkin jäsenvaltion valtiokonttoriin tai kansalliseen keskuspankkiin. Komissio nostaa varoja kyseisiltä tileiltä ainoastaan kattaakseen käteisvaratarpeensa.</w:t>
      </w:r>
    </w:p>
    <w:p>
      <w:pPr>
        <w:pStyle w:val="DGTextstand-alone"/>
        <w:numPr>
          <w:ilvl w:val="0"/>
          <w:numId w:val="32"/>
        </w:numPr>
      </w:pPr>
      <w:r>
        <w:t>Jäsenvaltiot maksavat omat varat kansallisessa valuutassaan, mutta komissio suorittaa maksunsa pääasiassa euromääräisinä.</w:t>
      </w:r>
    </w:p>
    <w:p>
      <w:pPr>
        <w:pStyle w:val="DGTextstand-alone"/>
        <w:numPr>
          <w:ilvl w:val="0"/>
          <w:numId w:val="32"/>
        </w:numPr>
      </w:pPr>
      <w:r>
        <w:t>Komission nimissä avatuilla tileillä ei saa tapahtua tilinylityksiä. Tämä rajoitus ei koske komission omien varojen tilejä tapauksissa, joissa on kyse sellaisten lainojen takaisinmaksun laiminlyönnistä, joista on sovittu tai joille on myönnetty takaus neuvoston asetusten ja päätösten mukaisesti, tai tapauksissa, joissa (tietyin edellytyksin) käteisvaratarpeet ovat suuremmat kuin tilillä olevat varat.</w:t>
      </w:r>
    </w:p>
    <w:p>
      <w:pPr>
        <w:pStyle w:val="DGTextstand-alone"/>
        <w:numPr>
          <w:ilvl w:val="0"/>
          <w:numId w:val="32"/>
        </w:numPr>
      </w:pPr>
      <w:r>
        <w:t>Muiden valuuttojen kuin euron määräisillä tileillä olevat varat joko käytetään saman valuutan määräisten maksujen suorittamiseen tai muunnetaan säännöllisesti euroiksi.</w:t>
      </w:r>
    </w:p>
    <w:p>
      <w:pPr>
        <w:pStyle w:val="DGTextstand-alone"/>
      </w:pPr>
      <w:r>
        <w:t xml:space="preserve">Omien varojen tilien lisäksi komissio on avannut pankkitilejä keskuspankeissa ja liikepankeissa suorittaakseen ja vastaanottaakseen maksuja, jotka eivät liity EU:n talousarvioon tuloutettaviin jäsenvaltioiden rahoitusosuuksiin. </w:t>
      </w:r>
    </w:p>
    <w:p>
      <w:pPr>
        <w:pStyle w:val="DGTextstand-alone"/>
      </w:pPr>
      <w:r>
        <w:t>Treasury- ja maksutoiminnot ovat pitkälle automatisoituja ja perustuvat ajanmukaisiin tietotekniikkajärjestelmiin. Käytössä on lisäksi erityismenettelyjä, joilla taataan järjestelmän turvallisuus ja varmistetaan tehtävien eriyttäminen varainhoitoasetuksen säännösten, komission noudattamien sisäistä valvontaa koskevien standardien ja tilintarkastusperiaatteiden mukaisesti.</w:t>
      </w:r>
    </w:p>
    <w:p>
      <w:pPr>
        <w:pStyle w:val="DGTextstand-alone"/>
      </w:pPr>
      <w:r>
        <w:t xml:space="preserve">Komission treasury- ja maksutoimintojen hallinnointi perustuu kirjallisiin ohjeisiin ja menettelyihin. Tavoitteena on vähentää operatiivisia ja rahoitusriskejä sekä varmistaa valvonnan riittävyys. Ohjeet ja menettelyt kattavat eri toiminnot (esimerkiksi maksujen suorittaminen ja kassanhallinta, rahavirtojen ennustaminen ja toiminnan jatkuvuus). Ohjeiden ja menettelyjen noudattamista valvotaan säännöllisesti. Lisäksi budjettipääosaston ja talouden ja rahoituksen pääosaston välillä vaihdetaan säännöllisesti tietoja riskienhallinnasta ja parhaista käytänteistä. </w:t>
      </w:r>
    </w:p>
    <w:p>
      <w:pPr>
        <w:pStyle w:val="DGTextstand-alone"/>
        <w:rPr>
          <w:color w:val="016794"/>
        </w:rPr>
      </w:pPr>
      <w:r>
        <w:br w:type="page"/>
      </w:r>
    </w:p>
    <w:p>
      <w:pPr>
        <w:pStyle w:val="HEADER5"/>
        <w:rPr>
          <w:noProof/>
        </w:rPr>
      </w:pPr>
      <w:r>
        <w:rPr>
          <w:noProof/>
        </w:rPr>
        <w:t>Sakot</w:t>
      </w:r>
    </w:p>
    <w:p>
      <w:pPr>
        <w:pStyle w:val="Textstand-alone"/>
        <w:rPr>
          <w:i/>
        </w:rPr>
      </w:pPr>
      <w:r>
        <w:rPr>
          <w:i/>
        </w:rPr>
        <w:t>Alustavasti maksetut sakot: talletukset</w:t>
      </w:r>
    </w:p>
    <w:p>
      <w:pPr>
        <w:pStyle w:val="DGTextstand-alone"/>
      </w:pPr>
      <w:r>
        <w:t>Ennen vuotta 2010 saadut määrät on talletettu pankkitileille pankeissa, jotka on erityisesti valittu alustavasti maksettujen sakkojen tallettamista varten. Pankit valitaan varainhoitoasetuksessa säädettyjen tarjouskilpailumenettelyjen mukaisesti. Varoja yksittäisiin pankkeihin sijoitettaessa noudatetaan sisäistä riskienhallintapolitiikkaa, jossa määritetään luottoluokitusta koskevat vaatimukset ja varojen määrä, joka voidaan sijoittaa suhteessa vastapuolen oman pääoman määrään. Taloudelliset ja operatiiviset riskit kartoitetaan ja arvioidaan ja sisäisten toimintalinjojen ja menettelyjen noudattaminen varmistetaan säännöllisesti.</w:t>
      </w:r>
    </w:p>
    <w:p>
      <w:pPr>
        <w:pStyle w:val="Textstand-alone"/>
        <w:rPr>
          <w:i/>
        </w:rPr>
      </w:pPr>
      <w:r>
        <w:rPr>
          <w:i/>
        </w:rPr>
        <w:t>Alustavasti maksetut sakot: BUFI-salkku</w:t>
      </w:r>
    </w:p>
    <w:p>
      <w:pPr>
        <w:pStyle w:val="DGTextstand-alone"/>
      </w:pPr>
      <w:r>
        <w:t>Määrätyt ja alustavasti maksetut sakot on vuodesta 2010 alkaen sijoitettu tarkoitusta varten perustettuun salkkuun (BUFI). Salkun päätavoitteet ovat rahoitusmarkkinoihin liittyvien riskien vähentäminen ja kaikkien yhteisöjen, joille sakkoja on määrätty, tasapuolinen kohtelu tarjoamalla yhdenmukaisin perustein laskettu takuutuotto. Alustavasti maksetuista sakoista saatujen omaisuuserien hoidosta vastaa komissio, joka noudattaa omaisuudenhoitoa koskevia sisäisiä ohjeita. Eri osa-alueista, muun muassa treasury-toiminnoista, on annettu menettelyohjeet, joita kyseisistä toiminnoista vastaavat yksiköt noudattavat. Taloudelliset ja operatiiviset riskit kartoitetaan ja arvioidaan ja sisäisten ohjeiden ja menettelyjen noudattaminen varmistetaan säännöllisesti.</w:t>
      </w:r>
    </w:p>
    <w:p>
      <w:pPr>
        <w:pStyle w:val="DGTextstand-alone"/>
      </w:pPr>
      <w:r>
        <w:t>Omaisuudenhoidon tavoitteena on sijoittaa komissiolle alustavasti maksetut sakot siten, että</w:t>
      </w:r>
    </w:p>
    <w:p>
      <w:pPr>
        <w:pStyle w:val="DGTextstand-alone"/>
        <w:numPr>
          <w:ilvl w:val="0"/>
          <w:numId w:val="33"/>
        </w:numPr>
      </w:pPr>
      <w:r>
        <w:t>varat ovat tarvittaessa nopeasti käytettävissä;</w:t>
      </w:r>
    </w:p>
    <w:p>
      <w:pPr>
        <w:pStyle w:val="DGTextstand-alone"/>
        <w:numPr>
          <w:ilvl w:val="0"/>
          <w:numId w:val="33"/>
        </w:numPr>
      </w:pPr>
      <w:r>
        <w:t>tavanomaisissa olosuhteissa varoille saadaan keskimäärin tuotto, joka vastaa vähintään BUFI-viitearvon mukaista tuottoa, josta on vähennetty kulut, ja sellaisten sakkojen nimellisarvo säilyy, jotka maksettiin salkkuun ennen kuin uusi varainhoitoasetus tuli voimaan elokuussa 2018.</w:t>
      </w:r>
    </w:p>
    <w:p>
      <w:pPr>
        <w:pStyle w:val="DGTextstand-alone"/>
      </w:pPr>
      <w:r>
        <w:t>Sijoitukset tehdään periaatteessa ainoastaan seuraaviin kohteisiin: määräaikaistalletukset jäsenvaltioiden keskuspankeissa, valtioiden luottolaitoksissa, valtioiden kokonaan omistamissa tai takaamissa pankeissa tai ylikansallisissa laitoksissa; joukkovelkakirjat, velkasitoumukset tai sijoitustodistukset, joiden liikkeeseenlaskijoina ovat valtion tai ylikansalliset laitokset.</w:t>
      </w:r>
    </w:p>
    <w:p>
      <w:pPr>
        <w:pStyle w:val="Textstand-alone"/>
        <w:rPr>
          <w:i/>
        </w:rPr>
      </w:pPr>
      <w:r>
        <w:rPr>
          <w:i/>
        </w:rPr>
        <w:t>Pankkitakaukset</w:t>
      </w:r>
    </w:p>
    <w:p>
      <w:pPr>
        <w:pStyle w:val="DGTextstand-alone"/>
      </w:pPr>
      <w:r>
        <w:t>Komissiolla on lisäksi merkittävät rahoituslaitosten antamat vakuudet, jotka liittyvät komission EU:n kilpailusääntöjen rikkomisesta yrityksille määräämiin sakkoihin (ks. liitetieto </w:t>
      </w:r>
      <w:r>
        <w:rPr>
          <w:b/>
        </w:rPr>
        <w:t>2.6.1.2</w:t>
      </w:r>
      <w:r>
        <w:t>). Nämä vakuudet on saatu sakkojen maksamiseen velvoitetuilta yrityksiltä vaihtoehtona sakkoihin liittyville alustaville maksuille. Näitä vakuuksia hallinnoidaan sisäisen riskienhallintapolitiikan mukaisesti. Taloudelliset ja operatiiviset riskit kartoitetaan ja arvioidaan ja sisäisten toimintalinjojen ja menettelyjen noudattaminen varmistetaan säännöllisesti.</w:t>
      </w:r>
    </w:p>
    <w:p>
      <w:pPr>
        <w:pStyle w:val="HEADER5"/>
        <w:rPr>
          <w:b/>
          <w:noProof/>
        </w:rPr>
      </w:pPr>
      <w:r>
        <w:rPr>
          <w:noProof/>
        </w:rPr>
        <w:t>Ulkosuhteisiin liittyvien hankkeiden takuurahasto</w:t>
      </w:r>
    </w:p>
    <w:p>
      <w:pPr>
        <w:pStyle w:val="DGTextstand-alone"/>
      </w:pPr>
      <w:r>
        <w:t>Takuurahaston omaisuudenhoidossa noudatettavat säännöt ja periaatteet sisältyvät 25. marraskuuta 1994 Euroopan komission ja Euroopan investointipankin välillä tehtyyn sopimukseen, jota on muutettu 17. ja 23. syyskuuta 1996, 8. toukokuuta 2002, 25. helmikuuta 2008, 9. marraskuuta 2010 ja 28. lokakuuta 2018. Tämän takuurahaston toiminnassa käytetään vain yhtä valuuttaa eli euroa. Takuurahaston kaikki sijoitukset tehdään euroina valuuttakurssiriskin välttämiseksi. Varojen hoidossa noudatetaan rahoitustoimintaan tavanomaisesti sovellettavia varovaisuutta koskevia sääntöjä. Takuurahaston hoidossa on kiinnitettävä erityistä huomiota riskien vähentämiseen ja sen varmistamiseen, että hoidettavina olevat varat voidaan myydä tai siirtää ilman merkittävää viivettä katettavina olevien sitoumusten asettamien vaatimusten mukaisesti.</w:t>
      </w:r>
    </w:p>
    <w:p>
      <w:pPr>
        <w:pStyle w:val="HEADER5"/>
        <w:rPr>
          <w:noProof/>
        </w:rPr>
      </w:pPr>
      <w:r>
        <w:rPr>
          <w:noProof/>
        </w:rPr>
        <w:t>ESIR-takuurahasto</w:t>
      </w:r>
    </w:p>
    <w:p>
      <w:pPr>
        <w:pStyle w:val="DGTextstand-alone"/>
      </w:pPr>
      <w:r>
        <w:t>ESIR-takuurahasto perustettiin ESIR-asetuksella – ks. liitetieto </w:t>
      </w:r>
      <w:r>
        <w:rPr>
          <w:b/>
        </w:rPr>
        <w:t>2.4.1</w:t>
      </w:r>
      <w:r>
        <w:t>. Rahaston omaisuudenhoidossa noudatettavat säännöt ja periaatteet esitetään 21. tammikuuta 2016 annetussa komission päätöksessä C(2016) 165. Hoidettavien varojen on tarjottava riittävästi likviditeettiä vakuuksiin perustuvien mahdollisten maksuvaatimusten varalta. Samalla on kuitenkin pyrittävä optimoimaan tuotto ja riskitaso siten, että turvallisuus ja vakaus säilyvät korkealla tasolla.</w:t>
      </w:r>
    </w:p>
    <w:p>
      <w:pPr>
        <w:pStyle w:val="HEADER5"/>
        <w:rPr>
          <w:noProof/>
        </w:rPr>
      </w:pPr>
      <w:r>
        <w:rPr>
          <w:noProof/>
        </w:rPr>
        <w:t>EKKR-takuurahasto</w:t>
      </w:r>
    </w:p>
    <w:p>
      <w:pPr>
        <w:pStyle w:val="DGTextstand-alone"/>
      </w:pPr>
      <w:r>
        <w:t>EKKR-takuurahasto on perustettu EKKR-asetuksen mukaisesti – ks. liitetieto </w:t>
      </w:r>
      <w:r>
        <w:rPr>
          <w:b/>
        </w:rPr>
        <w:t>2.4.1</w:t>
      </w:r>
      <w:r>
        <w:t>. Komissio hallinnoi EKKR-takuurahaston varoja sisäisten ohjeiden ja omaisuudenhoitoa koskevien suuntaviivojen mukaisesti. Kyseiset ohjeet ja suuntaviivat sisältyvät 22. marraskuuta 2017 annetun komission päätöksen C(2017)7693 liitteeseen 1. Varojen hoidolla on tarjottava riittävästi likviditeettiä vakuuksiin perustuvien mahdollisten maksuvaatimusten varalta. Samalla on kuitenkin pyrittävä optimoimaan tuotto ja riskitaso siten, että turvallisuus ja vakaus säilyvät korkealla tasolla.</w:t>
      </w:r>
    </w:p>
    <w:p>
      <w:pPr>
        <w:pStyle w:val="HEADER2NOTES"/>
        <w:rPr>
          <w:noProof/>
        </w:rPr>
      </w:pPr>
      <w:bookmarkStart w:id="192" w:name="_DMBM_14746"/>
      <w:bookmarkEnd w:id="191"/>
      <w:r>
        <w:rPr>
          <w:noProof/>
        </w:rPr>
        <w:t>VALUUTTARISKI</w:t>
      </w:r>
    </w:p>
    <w:p>
      <w:pPr>
        <w:pStyle w:val="HEADER5"/>
        <w:rPr>
          <w:noProof/>
        </w:rPr>
      </w:pPr>
      <w:r>
        <w:rPr>
          <w:noProof/>
        </w:rPr>
        <w:t>EU:n rahoitusvälineisiin kohdistuva valuuttariski vuoden lopussa – nettopositio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992"/>
        <w:gridCol w:w="709"/>
        <w:gridCol w:w="850"/>
        <w:gridCol w:w="1134"/>
        <w:gridCol w:w="851"/>
        <w:gridCol w:w="1275"/>
      </w:tblGrid>
      <w:tr>
        <w:trPr>
          <w:trHeight w:val="274"/>
        </w:trPr>
        <w:tc>
          <w:tcPr>
            <w:tcW w:w="2943" w:type="dxa"/>
            <w:tcBorders>
              <w:top w:val="nil"/>
              <w:left w:val="nil"/>
              <w:bottom w:val="nil"/>
              <w:right w:val="nil"/>
            </w:tcBorders>
            <w:tcMar>
              <w:top w:w="0" w:type="dxa"/>
              <w:left w:w="108" w:type="dxa"/>
              <w:bottom w:w="0" w:type="dxa"/>
              <w:right w:w="108" w:type="dxa"/>
            </w:tcMar>
            <w:vAlign w:val="center"/>
          </w:tcPr>
          <w:p>
            <w:pPr>
              <w:pStyle w:val="Text7pItalicRight025"/>
              <w:rPr>
                <w:rFonts w:eastAsia="Times New Roman" w:cs="Verdana"/>
              </w:rPr>
            </w:pPr>
            <w:bookmarkStart w:id="193" w:name="DOC_TBL00083_1_1"/>
            <w:bookmarkEnd w:id="193"/>
          </w:p>
        </w:tc>
        <w:tc>
          <w:tcPr>
            <w:tcW w:w="993" w:type="dxa"/>
            <w:tcBorders>
              <w:top w:val="nil"/>
              <w:left w:val="nil"/>
              <w:bottom w:val="nil"/>
              <w:right w:val="nil"/>
            </w:tcBorders>
            <w:tcMar>
              <w:top w:w="0" w:type="dxa"/>
              <w:left w:w="108" w:type="dxa"/>
              <w:bottom w:w="0" w:type="dxa"/>
              <w:right w:w="108" w:type="dxa"/>
            </w:tcMar>
            <w:vAlign w:val="center"/>
          </w:tcPr>
          <w:p>
            <w:pPr>
              <w:pStyle w:val="Text7pItalicRight025"/>
              <w:rPr>
                <w:rFonts w:eastAsia="Times New Roman" w:cs="Verdana"/>
                <w:i w:val="0"/>
              </w:rPr>
            </w:pPr>
          </w:p>
        </w:tc>
        <w:tc>
          <w:tcPr>
            <w:tcW w:w="992" w:type="dxa"/>
            <w:tcBorders>
              <w:top w:val="nil"/>
              <w:left w:val="nil"/>
              <w:bottom w:val="nil"/>
              <w:right w:val="nil"/>
            </w:tcBorders>
            <w:tcMar>
              <w:top w:w="0" w:type="dxa"/>
              <w:left w:w="108" w:type="dxa"/>
              <w:bottom w:w="0" w:type="dxa"/>
              <w:right w:w="108" w:type="dxa"/>
            </w:tcMar>
            <w:vAlign w:val="center"/>
          </w:tcPr>
          <w:p>
            <w:pPr>
              <w:pStyle w:val="Text7pItalicRight025"/>
              <w:rPr>
                <w:rFonts w:eastAsia="Times New Roman" w:cs="Verdana"/>
                <w:i w:val="0"/>
              </w:rPr>
            </w:pPr>
          </w:p>
        </w:tc>
        <w:tc>
          <w:tcPr>
            <w:tcW w:w="709" w:type="dxa"/>
            <w:tcBorders>
              <w:top w:val="nil"/>
              <w:left w:val="nil"/>
              <w:bottom w:val="nil"/>
              <w:right w:val="nil"/>
            </w:tcBorders>
            <w:tcMar>
              <w:top w:w="0" w:type="dxa"/>
              <w:left w:w="108" w:type="dxa"/>
              <w:bottom w:w="0" w:type="dxa"/>
              <w:right w:w="108" w:type="dxa"/>
            </w:tcMar>
            <w:vAlign w:val="center"/>
          </w:tcPr>
          <w:p>
            <w:pPr>
              <w:pStyle w:val="Text7pItalicRight025"/>
              <w:rPr>
                <w:rFonts w:eastAsia="Times New Roman" w:cs="Verdana"/>
                <w:i w:val="0"/>
              </w:rPr>
            </w:pPr>
          </w:p>
        </w:tc>
        <w:tc>
          <w:tcPr>
            <w:tcW w:w="850" w:type="dxa"/>
            <w:tcBorders>
              <w:top w:val="nil"/>
              <w:left w:val="nil"/>
              <w:bottom w:val="nil"/>
              <w:right w:val="nil"/>
            </w:tcBorders>
            <w:tcMar>
              <w:top w:w="0" w:type="dxa"/>
              <w:left w:w="108" w:type="dxa"/>
              <w:bottom w:w="0" w:type="dxa"/>
              <w:right w:w="108" w:type="dxa"/>
            </w:tcMar>
            <w:vAlign w:val="center"/>
          </w:tcPr>
          <w:p>
            <w:pPr>
              <w:pStyle w:val="Text7pItalicRight025"/>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vAlign w:val="center"/>
          </w:tcPr>
          <w:p>
            <w:pPr>
              <w:pStyle w:val="Text7pItalicRight025"/>
              <w:rPr>
                <w:rFonts w:eastAsia="Times New Roman" w:cs="Verdana"/>
                <w:i w:val="0"/>
              </w:rPr>
            </w:pPr>
          </w:p>
        </w:tc>
        <w:tc>
          <w:tcPr>
            <w:tcW w:w="851" w:type="dxa"/>
            <w:tcBorders>
              <w:top w:val="nil"/>
              <w:left w:val="nil"/>
              <w:bottom w:val="nil"/>
              <w:right w:val="nil"/>
            </w:tcBorders>
            <w:tcMar>
              <w:top w:w="0" w:type="dxa"/>
              <w:left w:w="108" w:type="dxa"/>
              <w:bottom w:w="0" w:type="dxa"/>
              <w:right w:w="108" w:type="dxa"/>
            </w:tcMar>
            <w:vAlign w:val="center"/>
          </w:tcPr>
          <w:p>
            <w:pPr>
              <w:pStyle w:val="Text7pItalicRight025"/>
              <w:rPr>
                <w:rFonts w:eastAsia="Times New Roman" w:cs="Verdana"/>
                <w:i w:val="0"/>
              </w:rPr>
            </w:pPr>
          </w:p>
        </w:tc>
        <w:tc>
          <w:tcPr>
            <w:tcW w:w="1275" w:type="dxa"/>
            <w:tcBorders>
              <w:top w:val="nil"/>
              <w:left w:val="nil"/>
              <w:bottom w:val="nil"/>
              <w:right w:val="nil"/>
            </w:tcBorders>
            <w:tcMar>
              <w:top w:w="0" w:type="dxa"/>
              <w:left w:w="108" w:type="dxa"/>
              <w:bottom w:w="0" w:type="dxa"/>
              <w:right w:w="108" w:type="dxa"/>
            </w:tcMar>
            <w:vAlign w:val="center"/>
          </w:tcPr>
          <w:p>
            <w:pPr>
              <w:pStyle w:val="Text7pItalicRight025"/>
              <w:rPr>
                <w:rFonts w:eastAsia="Times New Roman" w:cs="Verdana"/>
              </w:rPr>
            </w:pPr>
            <w:r>
              <w:t>milj. euroa</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p>
        </w:tc>
        <w:tc>
          <w:tcPr>
            <w:tcW w:w="6804" w:type="dxa"/>
            <w:gridSpan w:val="7"/>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31.12.2018</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p>
        </w:tc>
        <w:tc>
          <w:tcPr>
            <w:tcW w:w="99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USD</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GBP</w:t>
            </w:r>
          </w:p>
        </w:tc>
        <w:tc>
          <w:tcPr>
            <w:tcW w:w="709"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DKK</w:t>
            </w:r>
          </w:p>
        </w:tc>
        <w:tc>
          <w:tcPr>
            <w:tcW w:w="850"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SEK</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euro</w:t>
            </w: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Muut</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Yhteensä</w:t>
            </w:r>
          </w:p>
        </w:tc>
      </w:tr>
      <w:tr>
        <w:tc>
          <w:tcPr>
            <w:tcW w:w="2943" w:type="dxa"/>
            <w:tcBorders>
              <w:top w:val="nil"/>
              <w:left w:val="nil"/>
              <w:bottom w:val="nil"/>
              <w:right w:val="nil"/>
            </w:tcBorders>
            <w:tcMar>
              <w:top w:w="0" w:type="dxa"/>
              <w:left w:w="108" w:type="dxa"/>
              <w:bottom w:w="0" w:type="dxa"/>
              <w:right w:w="108" w:type="dxa"/>
            </w:tcMar>
          </w:tcPr>
          <w:p>
            <w:pPr>
              <w:pStyle w:val="Text8pBoldLeft"/>
              <w:rPr>
                <w:rFonts w:eastAsia="Times New Roman" w:cs="Verdana"/>
              </w:rPr>
            </w:pPr>
            <w:r>
              <w:t>Rahoitusvarat</w:t>
            </w:r>
          </w:p>
        </w:tc>
        <w:tc>
          <w:tcPr>
            <w:tcW w:w="993"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p>
        </w:tc>
        <w:tc>
          <w:tcPr>
            <w:tcW w:w="70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p>
        </w:tc>
        <w:tc>
          <w:tcPr>
            <w:tcW w:w="850"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p>
        </w:tc>
        <w:tc>
          <w:tcPr>
            <w:tcW w:w="851"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p>
        </w:tc>
        <w:tc>
          <w:tcPr>
            <w:tcW w:w="1275"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p>
        </w:tc>
      </w:tr>
      <w:tr>
        <w:tc>
          <w:tcPr>
            <w:tcW w:w="2943"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Myytävissä olevat rahoitusvarat</w:t>
            </w:r>
          </w:p>
        </w:tc>
        <w:tc>
          <w:tcPr>
            <w:tcW w:w="993"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619</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i w:val="0"/>
              </w:rPr>
            </w:pPr>
            <w:r>
              <w:rPr>
                <w:i w:val="0"/>
              </w:rPr>
              <w:t xml:space="preserve"> 57</w:t>
            </w:r>
          </w:p>
        </w:tc>
        <w:tc>
          <w:tcPr>
            <w:tcW w:w="70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18</w:t>
            </w:r>
          </w:p>
        </w:tc>
        <w:tc>
          <w:tcPr>
            <w:tcW w:w="850"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7</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14 725</w:t>
            </w:r>
          </w:p>
        </w:tc>
        <w:tc>
          <w:tcPr>
            <w:tcW w:w="851"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17</w:t>
            </w:r>
          </w:p>
        </w:tc>
        <w:tc>
          <w:tcPr>
            <w:tcW w:w="1275"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15 443</w:t>
            </w:r>
          </w:p>
        </w:tc>
      </w:tr>
      <w:tr>
        <w:tc>
          <w:tcPr>
            <w:tcW w:w="2943"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Käypään arvoon tulosvaikutteisesti kirjattavat rahoitusvarat</w:t>
            </w:r>
          </w:p>
        </w:tc>
        <w:tc>
          <w:tcPr>
            <w:tcW w:w="993"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(475)</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i w:val="0"/>
              </w:rPr>
            </w:pPr>
            <w:r>
              <w:rPr>
                <w:i w:val="0"/>
              </w:rPr>
              <w:t>–</w:t>
            </w:r>
          </w:p>
        </w:tc>
        <w:tc>
          <w:tcPr>
            <w:tcW w:w="70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w:t>
            </w:r>
          </w:p>
        </w:tc>
        <w:tc>
          <w:tcPr>
            <w:tcW w:w="850"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491</w:t>
            </w:r>
          </w:p>
        </w:tc>
        <w:tc>
          <w:tcPr>
            <w:tcW w:w="851"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16</w:t>
            </w:r>
          </w:p>
        </w:tc>
      </w:tr>
      <w:tr>
        <w:tc>
          <w:tcPr>
            <w:tcW w:w="2943"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Antolainaus*</w:t>
            </w:r>
          </w:p>
        </w:tc>
        <w:tc>
          <w:tcPr>
            <w:tcW w:w="993"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6</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i w:val="0"/>
              </w:rPr>
            </w:pPr>
            <w:r>
              <w:rPr>
                <w:i w:val="0"/>
              </w:rPr>
              <w:t xml:space="preserve"> 0</w:t>
            </w:r>
          </w:p>
        </w:tc>
        <w:tc>
          <w:tcPr>
            <w:tcW w:w="70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w:t>
            </w:r>
          </w:p>
        </w:tc>
        <w:tc>
          <w:tcPr>
            <w:tcW w:w="850"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56</w:t>
            </w:r>
          </w:p>
        </w:tc>
        <w:tc>
          <w:tcPr>
            <w:tcW w:w="851"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5</w:t>
            </w:r>
          </w:p>
        </w:tc>
        <w:tc>
          <w:tcPr>
            <w:tcW w:w="1275"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67</w:t>
            </w:r>
          </w:p>
        </w:tc>
      </w:tr>
      <w:tr>
        <w:tc>
          <w:tcPr>
            <w:tcW w:w="2943"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Saamiset ja kerrytettävissä olevat rahamäärät</w:t>
            </w:r>
          </w:p>
        </w:tc>
        <w:tc>
          <w:tcPr>
            <w:tcW w:w="993"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19</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i w:val="0"/>
              </w:rPr>
            </w:pPr>
            <w:r>
              <w:rPr>
                <w:i w:val="0"/>
              </w:rPr>
              <w:t>4 109</w:t>
            </w:r>
          </w:p>
        </w:tc>
        <w:tc>
          <w:tcPr>
            <w:tcW w:w="70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99</w:t>
            </w:r>
          </w:p>
        </w:tc>
        <w:tc>
          <w:tcPr>
            <w:tcW w:w="850"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109</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20 026</w:t>
            </w:r>
          </w:p>
        </w:tc>
        <w:tc>
          <w:tcPr>
            <w:tcW w:w="851"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303</w:t>
            </w:r>
          </w:p>
        </w:tc>
        <w:tc>
          <w:tcPr>
            <w:tcW w:w="1275"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24 664</w:t>
            </w:r>
          </w:p>
        </w:tc>
      </w:tr>
      <w:tr>
        <w:tc>
          <w:tcPr>
            <w:tcW w:w="2943" w:type="dxa"/>
            <w:tcBorders>
              <w:top w:val="nil"/>
              <w:left w:val="nil"/>
              <w:bottom w:val="single" w:sz="4" w:space="0" w:color="016794"/>
              <w:right w:val="nil"/>
            </w:tcBorders>
            <w:tcMar>
              <w:top w:w="0" w:type="dxa"/>
              <w:left w:w="108" w:type="dxa"/>
              <w:bottom w:w="0" w:type="dxa"/>
              <w:right w:w="108" w:type="dxa"/>
            </w:tcMar>
          </w:tcPr>
          <w:p>
            <w:pPr>
              <w:pStyle w:val="Text8pItalicLeft"/>
              <w:rPr>
                <w:rFonts w:eastAsia="Times New Roman" w:cs="Verdana"/>
              </w:rPr>
            </w:pPr>
            <w:r>
              <w:t>Käteisvarat ja muut rahavarat</w:t>
            </w:r>
          </w:p>
        </w:tc>
        <w:tc>
          <w:tcPr>
            <w:tcW w:w="993"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rPr>
            </w:pPr>
            <w:r>
              <w:t xml:space="preserve"> 49</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rPr>
            </w:pPr>
            <w:r>
              <w:t>1 524</w:t>
            </w:r>
          </w:p>
        </w:tc>
        <w:tc>
          <w:tcPr>
            <w:tcW w:w="709"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rPr>
            </w:pPr>
            <w:r>
              <w:t xml:space="preserve"> 290</w:t>
            </w:r>
          </w:p>
        </w:tc>
        <w:tc>
          <w:tcPr>
            <w:tcW w:w="850"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rPr>
            </w:pPr>
            <w:r>
              <w:t xml:space="preserve"> 406</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rPr>
            </w:pPr>
            <w:r>
              <w:t>14 338</w:t>
            </w:r>
          </w:p>
        </w:tc>
        <w:tc>
          <w:tcPr>
            <w:tcW w:w="851"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rPr>
            </w:pPr>
            <w:r>
              <w:t>1 505</w:t>
            </w:r>
          </w:p>
        </w:tc>
        <w:tc>
          <w:tcPr>
            <w:tcW w:w="1275"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rPr>
            </w:pPr>
            <w:r>
              <w:t>18 113</w:t>
            </w:r>
          </w:p>
        </w:tc>
      </w:tr>
      <w:tr>
        <w:tc>
          <w:tcPr>
            <w:tcW w:w="2943"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eastAsia="Times New Roman" w:cs="Verdana"/>
              </w:rPr>
            </w:pPr>
          </w:p>
        </w:tc>
        <w:tc>
          <w:tcPr>
            <w:tcW w:w="993"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 xml:space="preserve"> 218</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5 690</w:t>
            </w:r>
          </w:p>
        </w:tc>
        <w:tc>
          <w:tcPr>
            <w:tcW w:w="709"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 xml:space="preserve"> 407</w:t>
            </w:r>
          </w:p>
        </w:tc>
        <w:tc>
          <w:tcPr>
            <w:tcW w:w="850"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 xml:space="preserve"> 523</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49 635</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1 830</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58 303</w:t>
            </w:r>
          </w:p>
        </w:tc>
      </w:tr>
      <w:tr>
        <w:tc>
          <w:tcPr>
            <w:tcW w:w="2943" w:type="dxa"/>
            <w:tcBorders>
              <w:top w:val="single" w:sz="4" w:space="0" w:color="016794"/>
              <w:left w:val="nil"/>
              <w:bottom w:val="nil"/>
              <w:right w:val="nil"/>
            </w:tcBorders>
            <w:tcMar>
              <w:top w:w="0" w:type="dxa"/>
              <w:left w:w="108" w:type="dxa"/>
              <w:bottom w:w="0" w:type="dxa"/>
              <w:right w:w="108" w:type="dxa"/>
            </w:tcMar>
          </w:tcPr>
          <w:p>
            <w:pPr>
              <w:pStyle w:val="Text8pBoldLeft"/>
              <w:rPr>
                <w:rFonts w:eastAsia="Times New Roman" w:cs="Verdana"/>
              </w:rPr>
            </w:pPr>
            <w:r>
              <w:t>Rahoitusvelat</w:t>
            </w:r>
          </w:p>
        </w:tc>
        <w:tc>
          <w:tcPr>
            <w:tcW w:w="993" w:type="dxa"/>
            <w:tcBorders>
              <w:top w:val="single" w:sz="4" w:space="0" w:color="016794"/>
              <w:left w:val="nil"/>
              <w:bottom w:val="nil"/>
              <w:right w:val="nil"/>
            </w:tcBorders>
            <w:tcMar>
              <w:top w:w="0" w:type="dxa"/>
              <w:left w:w="108" w:type="dxa"/>
              <w:bottom w:w="0" w:type="dxa"/>
              <w:right w:w="108" w:type="dxa"/>
            </w:tcMar>
          </w:tcPr>
          <w:p>
            <w:pPr>
              <w:pStyle w:val="Figures7pItalicRight025"/>
              <w:rPr>
                <w:rFonts w:eastAsia="Times New Roman" w:cs="Verdana"/>
              </w:rPr>
            </w:pPr>
          </w:p>
        </w:tc>
        <w:tc>
          <w:tcPr>
            <w:tcW w:w="992" w:type="dxa"/>
            <w:tcBorders>
              <w:top w:val="single" w:sz="4" w:space="0" w:color="016794"/>
              <w:left w:val="nil"/>
              <w:bottom w:val="nil"/>
              <w:right w:val="nil"/>
            </w:tcBorders>
            <w:tcMar>
              <w:top w:w="0" w:type="dxa"/>
              <w:left w:w="108" w:type="dxa"/>
              <w:bottom w:w="0" w:type="dxa"/>
              <w:right w:w="108" w:type="dxa"/>
            </w:tcMar>
          </w:tcPr>
          <w:p>
            <w:pPr>
              <w:pStyle w:val="Figures7pItalicRight025"/>
              <w:rPr>
                <w:rFonts w:eastAsia="Times New Roman" w:cs="Verdana"/>
              </w:rPr>
            </w:pPr>
          </w:p>
        </w:tc>
        <w:tc>
          <w:tcPr>
            <w:tcW w:w="709" w:type="dxa"/>
            <w:tcBorders>
              <w:top w:val="single" w:sz="4" w:space="0" w:color="016794"/>
              <w:left w:val="nil"/>
              <w:bottom w:val="nil"/>
              <w:right w:val="nil"/>
            </w:tcBorders>
            <w:tcMar>
              <w:top w:w="0" w:type="dxa"/>
              <w:left w:w="108" w:type="dxa"/>
              <w:bottom w:w="0" w:type="dxa"/>
              <w:right w:w="108" w:type="dxa"/>
            </w:tcMar>
          </w:tcPr>
          <w:p>
            <w:pPr>
              <w:pStyle w:val="Figures7pItalicRight025"/>
              <w:rPr>
                <w:rFonts w:eastAsia="Times New Roman" w:cs="Verdana"/>
              </w:rPr>
            </w:pPr>
          </w:p>
        </w:tc>
        <w:tc>
          <w:tcPr>
            <w:tcW w:w="850" w:type="dxa"/>
            <w:tcBorders>
              <w:top w:val="single" w:sz="4" w:space="0" w:color="016794"/>
              <w:left w:val="nil"/>
              <w:bottom w:val="nil"/>
              <w:right w:val="nil"/>
            </w:tcBorders>
            <w:tcMar>
              <w:top w:w="0" w:type="dxa"/>
              <w:left w:w="108" w:type="dxa"/>
              <w:bottom w:w="0" w:type="dxa"/>
              <w:right w:w="108" w:type="dxa"/>
            </w:tcMar>
          </w:tcPr>
          <w:p>
            <w:pPr>
              <w:pStyle w:val="Figures7pItalicRight025"/>
              <w:rPr>
                <w:rFonts w:eastAsia="Times New Roman"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7pItalicRight025"/>
              <w:rPr>
                <w:rFonts w:eastAsia="Times New Roman" w:cs="Verdana"/>
              </w:rPr>
            </w:pPr>
          </w:p>
        </w:tc>
        <w:tc>
          <w:tcPr>
            <w:tcW w:w="851" w:type="dxa"/>
            <w:tcBorders>
              <w:top w:val="single" w:sz="4" w:space="0" w:color="016794"/>
              <w:left w:val="nil"/>
              <w:bottom w:val="nil"/>
              <w:right w:val="nil"/>
            </w:tcBorders>
            <w:tcMar>
              <w:top w:w="0" w:type="dxa"/>
              <w:left w:w="108" w:type="dxa"/>
              <w:bottom w:w="0" w:type="dxa"/>
              <w:right w:w="108" w:type="dxa"/>
            </w:tcMar>
          </w:tcPr>
          <w:p>
            <w:pPr>
              <w:pStyle w:val="Figures7pItalicRight025"/>
              <w:rPr>
                <w:rFonts w:eastAsia="Times New Roman" w:cs="Verdana"/>
              </w:rPr>
            </w:pPr>
          </w:p>
        </w:tc>
        <w:tc>
          <w:tcPr>
            <w:tcW w:w="1275" w:type="dxa"/>
            <w:tcBorders>
              <w:top w:val="single" w:sz="4" w:space="0" w:color="016794"/>
              <w:left w:val="nil"/>
              <w:bottom w:val="nil"/>
              <w:right w:val="nil"/>
            </w:tcBorders>
            <w:tcMar>
              <w:top w:w="0" w:type="dxa"/>
              <w:left w:w="108" w:type="dxa"/>
              <w:bottom w:w="0" w:type="dxa"/>
              <w:right w:w="108" w:type="dxa"/>
            </w:tcMar>
          </w:tcPr>
          <w:p>
            <w:pPr>
              <w:pStyle w:val="Figures7pItalicRight025"/>
              <w:rPr>
                <w:rFonts w:eastAsia="Times New Roman" w:cs="Verdana"/>
              </w:rPr>
            </w:pPr>
          </w:p>
        </w:tc>
      </w:tr>
      <w:tr>
        <w:tc>
          <w:tcPr>
            <w:tcW w:w="2943"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Käypään arvoon tulosvaikutteisesti kirjattavat rahoitusvelat</w:t>
            </w:r>
          </w:p>
        </w:tc>
        <w:tc>
          <w:tcPr>
            <w:tcW w:w="993"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i w:val="0"/>
              </w:rPr>
            </w:pPr>
            <w:r>
              <w:rPr>
                <w:i w:val="0"/>
              </w:rPr>
              <w:t>–</w:t>
            </w:r>
          </w:p>
        </w:tc>
        <w:tc>
          <w:tcPr>
            <w:tcW w:w="70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w:t>
            </w:r>
          </w:p>
        </w:tc>
        <w:tc>
          <w:tcPr>
            <w:tcW w:w="850"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(20)</w:t>
            </w:r>
          </w:p>
        </w:tc>
        <w:tc>
          <w:tcPr>
            <w:tcW w:w="851"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(2)</w:t>
            </w:r>
          </w:p>
        </w:tc>
        <w:tc>
          <w:tcPr>
            <w:tcW w:w="1275"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(22)</w:t>
            </w:r>
          </w:p>
        </w:tc>
      </w:tr>
      <w:tr>
        <w:tc>
          <w:tcPr>
            <w:tcW w:w="2943" w:type="dxa"/>
            <w:tcBorders>
              <w:top w:val="nil"/>
              <w:left w:val="nil"/>
              <w:bottom w:val="single" w:sz="4" w:space="0" w:color="016794"/>
              <w:right w:val="nil"/>
            </w:tcBorders>
            <w:tcMar>
              <w:top w:w="0" w:type="dxa"/>
              <w:left w:w="108" w:type="dxa"/>
              <w:bottom w:w="0" w:type="dxa"/>
              <w:right w:w="108" w:type="dxa"/>
            </w:tcMar>
          </w:tcPr>
          <w:p>
            <w:pPr>
              <w:pStyle w:val="Text8pItalicLeft"/>
              <w:rPr>
                <w:rFonts w:eastAsia="Times New Roman" w:cs="Verdana"/>
              </w:rPr>
            </w:pPr>
            <w:r>
              <w:t>Muut lyhytaikaiset velat</w:t>
            </w:r>
          </w:p>
        </w:tc>
        <w:tc>
          <w:tcPr>
            <w:tcW w:w="993"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rPr>
            </w:pPr>
            <w:r>
              <w:t xml:space="preserve"> (2)</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rPr>
            </w:pPr>
            <w:r>
              <w:t xml:space="preserve"> (1)</w:t>
            </w:r>
          </w:p>
        </w:tc>
        <w:tc>
          <w:tcPr>
            <w:tcW w:w="709"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rPr>
            </w:pPr>
            <w:r>
              <w:t xml:space="preserve"> (0)</w:t>
            </w:r>
          </w:p>
        </w:tc>
        <w:tc>
          <w:tcPr>
            <w:tcW w:w="850"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rPr>
            </w:pPr>
            <w:r>
              <w:t xml:space="preserve"> (0)</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rPr>
            </w:pPr>
            <w:r>
              <w:t>(32 218)</w:t>
            </w:r>
          </w:p>
        </w:tc>
        <w:tc>
          <w:tcPr>
            <w:tcW w:w="851"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rPr>
            </w:pPr>
            <w:r>
              <w:t xml:space="preserve"> (5)</w:t>
            </w:r>
          </w:p>
        </w:tc>
        <w:tc>
          <w:tcPr>
            <w:tcW w:w="1275"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rPr>
            </w:pPr>
            <w:r>
              <w:t>(32 227)</w:t>
            </w:r>
          </w:p>
        </w:tc>
      </w:tr>
      <w:tr>
        <w:tc>
          <w:tcPr>
            <w:tcW w:w="2943"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eastAsia="Times New Roman" w:cs="Verdana"/>
              </w:rPr>
            </w:pPr>
          </w:p>
        </w:tc>
        <w:tc>
          <w:tcPr>
            <w:tcW w:w="993"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 xml:space="preserve"> (2)</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 xml:space="preserve"> (1)</w:t>
            </w:r>
          </w:p>
        </w:tc>
        <w:tc>
          <w:tcPr>
            <w:tcW w:w="709"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 xml:space="preserve"> (0)</w:t>
            </w:r>
          </w:p>
        </w:tc>
        <w:tc>
          <w:tcPr>
            <w:tcW w:w="850"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 xml:space="preserve"> (0)</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(32 238)</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 xml:space="preserve"> (7)</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(32 249)</w:t>
            </w:r>
          </w:p>
        </w:tc>
      </w:tr>
      <w:tr>
        <w:tc>
          <w:tcPr>
            <w:tcW w:w="2943"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eastAsia="Times New Roman" w:cs="Verdana"/>
              </w:rPr>
            </w:pPr>
            <w:r>
              <w:t>Yhteensä</w:t>
            </w:r>
          </w:p>
        </w:tc>
        <w:tc>
          <w:tcPr>
            <w:tcW w:w="993"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 xml:space="preserve"> 216</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5 689</w:t>
            </w:r>
          </w:p>
        </w:tc>
        <w:tc>
          <w:tcPr>
            <w:tcW w:w="709"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 xml:space="preserve"> 407</w:t>
            </w:r>
          </w:p>
        </w:tc>
        <w:tc>
          <w:tcPr>
            <w:tcW w:w="850"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 xml:space="preserve"> 523</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17 397</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1 824</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26 055</w:t>
            </w:r>
          </w:p>
        </w:tc>
      </w:tr>
    </w:tbl>
    <w:p>
      <w:pPr>
        <w:pStyle w:val="Textstand-alone"/>
        <w:spacing w:before="60" w:after="0"/>
        <w:rPr>
          <w:i/>
          <w:sz w:val="1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992"/>
        <w:gridCol w:w="709"/>
        <w:gridCol w:w="850"/>
        <w:gridCol w:w="1134"/>
        <w:gridCol w:w="851"/>
        <w:gridCol w:w="1275"/>
      </w:tblGrid>
      <w:tr>
        <w:trPr>
          <w:trHeight w:val="274"/>
        </w:trPr>
        <w:tc>
          <w:tcPr>
            <w:tcW w:w="294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bookmarkStart w:id="194" w:name="DOC_TBL00084_1_1"/>
            <w:bookmarkEnd w:id="194"/>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850"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r>
              <w:t>milj. euroa</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c>
          <w:tcPr>
            <w:tcW w:w="6804" w:type="dxa"/>
            <w:gridSpan w:val="7"/>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c>
          <w:tcPr>
            <w:tcW w:w="99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USD</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GBP</w:t>
            </w:r>
          </w:p>
        </w:tc>
        <w:tc>
          <w:tcPr>
            <w:tcW w:w="709"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DKK</w:t>
            </w:r>
          </w:p>
        </w:tc>
        <w:tc>
          <w:tcPr>
            <w:tcW w:w="850"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SEK</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euro</w:t>
            </w: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Muut</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Yhteensä</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Rahoitusvarat</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Myytävissä olevat rahoitusvarat</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680</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57</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17</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56</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12 806</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16</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13 632</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Käypään arvoon tulosvaikutteisesti kirjattavat rahoitusvarat</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(632)</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655</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23</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Antolainaus*</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0</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123</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137</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Saamiset ja kerrytettävissä olevat rahamäärät</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15</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549</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63</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86</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11 591</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12 366</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rPr>
            </w:pPr>
            <w:r>
              <w:t>Käteisvarat ja muut rahavarat</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49</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3 180</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27</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693</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18 468</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1 694</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24 111</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118</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3 787</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107</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835</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43 642</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1 779</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50 268</w:t>
            </w:r>
          </w:p>
        </w:tc>
      </w:tr>
      <w:tr>
        <w:tc>
          <w:tcPr>
            <w:tcW w:w="2943"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Rahoitusvelat</w:t>
            </w:r>
          </w:p>
        </w:tc>
        <w:tc>
          <w:tcPr>
            <w:tcW w:w="99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70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Käypään arvoon tulosvaikutteisesti kirjattavat rahoitusvelat</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rPr>
            </w:pPr>
            <w:r>
              <w:t>Muut lyhytaikaiset velat</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(39 029)</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(12)</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(39 048)</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(4)</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(2)</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(0)</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(39 029)</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(14)</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(39 050)</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r>
              <w:t>Yhteensä</w:t>
            </w: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114</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3 785</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107</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834</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4 613</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1 765</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11 218</w:t>
            </w:r>
          </w:p>
        </w:tc>
      </w:tr>
    </w:tbl>
    <w:p>
      <w:pPr>
        <w:pStyle w:val="Textstand-alone"/>
        <w:spacing w:before="60" w:after="0"/>
        <w:rPr>
          <w:i/>
          <w:sz w:val="14"/>
        </w:rPr>
      </w:pPr>
      <w:r>
        <w:rPr>
          <w:i/>
          <w:sz w:val="14"/>
        </w:rPr>
        <w:t>* Pois lukien rahoitusapua varten myönnetyt back-to-back-lainat.</w:t>
      </w:r>
    </w:p>
    <w:p>
      <w:pPr>
        <w:pStyle w:val="DGTextstand-alone"/>
        <w:spacing w:before="0" w:after="0"/>
        <w:sectPr>
          <w:headerReference w:type="even" r:id="rId376"/>
          <w:headerReference w:type="default" r:id="rId377"/>
          <w:footerReference w:type="even" r:id="rId378"/>
          <w:footerReference w:type="default" r:id="rId379"/>
          <w:headerReference w:type="first" r:id="rId380"/>
          <w:footerReference w:type="first" r:id="rId381"/>
          <w:pgSz w:w="11906" w:h="16838"/>
          <w:pgMar w:top="1134" w:right="1134" w:bottom="1134" w:left="1134" w:header="709" w:footer="709" w:gutter="0"/>
          <w:cols w:space="708"/>
          <w:docGrid w:linePitch="360"/>
        </w:sectPr>
      </w:pPr>
      <w:r>
        <w:t xml:space="preserve"> </w:t>
      </w:r>
      <w:bookmarkEnd w:id="192"/>
    </w:p>
    <w:p>
      <w:pPr>
        <w:rPr>
          <w:rFonts w:ascii="Verdana" w:eastAsia="Calibri" w:hAnsi="Verdana"/>
          <w:noProof/>
          <w:sz w:val="18"/>
          <w:szCs w:val="18"/>
          <w:bdr w:val="nil"/>
        </w:rPr>
      </w:pPr>
      <w:bookmarkStart w:id="195" w:name="_DMBM_14869"/>
      <w:r>
        <w:rPr>
          <w:noProof/>
        </w:rPr>
        <w:br w:type="page"/>
      </w:r>
    </w:p>
    <w:p>
      <w:pPr>
        <w:pStyle w:val="DGTextstand-alone"/>
      </w:pPr>
      <w:r>
        <w:t>Jos euro olisi vahvistunut 10 prosenttia suhteessa tiettyihin muihin valuuttoihin, vaikutukset olisivat olleet seuraavat: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196" w:name="DOC_TBL00085_1_1"/>
            <w:bookmarkEnd w:id="196"/>
          </w:p>
        </w:tc>
        <w:tc>
          <w:tcPr>
            <w:tcW w:w="4678" w:type="dxa"/>
            <w:gridSpan w:val="3"/>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milj. euroa</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r>
              <w:rPr>
                <w:noProof/>
              </w:rPr>
              <w:t>Taloudellinen tulos</w:t>
            </w:r>
          </w:p>
        </w:tc>
        <w:tc>
          <w:tcPr>
            <w:tcW w:w="1559" w:type="dxa"/>
            <w:tcBorders>
              <w:top w:val="nil"/>
              <w:left w:val="nil"/>
              <w:bottom w:val="nil"/>
              <w:right w:val="nil"/>
            </w:tcBorders>
            <w:shd w:val="clear" w:color="auto" w:fill="016794"/>
            <w:tcMar>
              <w:top w:w="0" w:type="dxa"/>
              <w:left w:w="108" w:type="dxa"/>
              <w:bottom w:w="0" w:type="dxa"/>
              <w:right w:w="108" w:type="dxa"/>
            </w:tcMar>
          </w:tcPr>
          <w:p>
            <w:pPr>
              <w:spacing w:after="200" w:line="276" w:lineRule="auto"/>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SEK</w:t>
            </w:r>
          </w:p>
        </w:tc>
      </w:tr>
      <w:tr>
        <w:tc>
          <w:tcPr>
            <w:tcW w:w="351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2018</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(7)</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(512)</w:t>
            </w:r>
          </w:p>
        </w:tc>
        <w:tc>
          <w:tcPr>
            <w:tcW w:w="156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(35)</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(47)</w:t>
            </w:r>
          </w:p>
        </w:tc>
      </w:tr>
      <w:tr>
        <w:tc>
          <w:tcPr>
            <w:tcW w:w="3510"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r>
              <w:t>2017</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(5)</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(339)</w:t>
            </w:r>
          </w:p>
        </w:tc>
        <w:tc>
          <w:tcPr>
            <w:tcW w:w="1560"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(8)</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(71)</w:t>
            </w:r>
          </w:p>
        </w:tc>
      </w:tr>
    </w:tbl>
    <w:p>
      <w:pPr>
        <w:pStyle w:val="Textstand-alone"/>
        <w:spacing w:before="0"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197" w:name="DOC_TBL00086_1_1"/>
            <w:bookmarkEnd w:id="197"/>
          </w:p>
        </w:tc>
        <w:tc>
          <w:tcPr>
            <w:tcW w:w="4678" w:type="dxa"/>
            <w:gridSpan w:val="3"/>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milj. euroa</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r>
              <w:rPr>
                <w:noProof/>
              </w:rPr>
              <w:t>Nettovarat</w:t>
            </w:r>
          </w:p>
        </w:tc>
        <w:tc>
          <w:tcPr>
            <w:tcW w:w="1559" w:type="dxa"/>
            <w:tcBorders>
              <w:top w:val="nil"/>
              <w:left w:val="nil"/>
              <w:bottom w:val="nil"/>
              <w:right w:val="nil"/>
            </w:tcBorders>
            <w:shd w:val="clear" w:color="auto" w:fill="016794"/>
            <w:tcMar>
              <w:top w:w="0" w:type="dxa"/>
              <w:left w:w="108" w:type="dxa"/>
              <w:bottom w:w="0" w:type="dxa"/>
              <w:right w:w="108" w:type="dxa"/>
            </w:tcMar>
          </w:tcPr>
          <w:p>
            <w:pPr>
              <w:spacing w:after="200" w:line="276" w:lineRule="auto"/>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SEK</w:t>
            </w:r>
          </w:p>
        </w:tc>
      </w:tr>
      <w:tr>
        <w:tc>
          <w:tcPr>
            <w:tcW w:w="351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31.12.2018</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(13)</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w:t>
            </w:r>
          </w:p>
        </w:tc>
        <w:tc>
          <w:tcPr>
            <w:tcW w:w="156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w:t>
            </w:r>
          </w:p>
        </w:tc>
      </w:tr>
      <w:tr>
        <w:tc>
          <w:tcPr>
            <w:tcW w:w="3510"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r>
              <w:t>31.12.2017</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(5)</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(5)</w:t>
            </w:r>
          </w:p>
        </w:tc>
        <w:tc>
          <w:tcPr>
            <w:tcW w:w="1560"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(2)</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(5)</w:t>
            </w:r>
          </w:p>
        </w:tc>
      </w:tr>
    </w:tbl>
    <w:p>
      <w:pPr>
        <w:pStyle w:val="Textstand-alone"/>
      </w:pPr>
      <w:r>
        <w:t>Jos euro olisi heikentynyt 10 prosenttia suhteessa kyseisiin valuuttoihin, vaikutukset olisivat olleet seuraavat: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198" w:name="DOC_TBL00087_1_1"/>
            <w:bookmarkEnd w:id="198"/>
          </w:p>
        </w:tc>
        <w:tc>
          <w:tcPr>
            <w:tcW w:w="4678" w:type="dxa"/>
            <w:gridSpan w:val="3"/>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milj. euroa</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r>
              <w:rPr>
                <w:noProof/>
              </w:rPr>
              <w:t>Taloudellinen tulos</w:t>
            </w:r>
          </w:p>
        </w:tc>
        <w:tc>
          <w:tcPr>
            <w:tcW w:w="1559" w:type="dxa"/>
            <w:tcBorders>
              <w:top w:val="nil"/>
              <w:left w:val="nil"/>
              <w:bottom w:val="nil"/>
              <w:right w:val="nil"/>
            </w:tcBorders>
            <w:shd w:val="clear" w:color="auto" w:fill="016794"/>
            <w:tcMar>
              <w:top w:w="0" w:type="dxa"/>
              <w:left w:w="108" w:type="dxa"/>
              <w:bottom w:w="0" w:type="dxa"/>
              <w:right w:w="108" w:type="dxa"/>
            </w:tcMar>
          </w:tcPr>
          <w:p>
            <w:pPr>
              <w:spacing w:after="200" w:line="276" w:lineRule="auto"/>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SEK</w:t>
            </w:r>
          </w:p>
        </w:tc>
      </w:tr>
      <w:tr>
        <w:tc>
          <w:tcPr>
            <w:tcW w:w="351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2018</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9</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625</w:t>
            </w:r>
          </w:p>
        </w:tc>
        <w:tc>
          <w:tcPr>
            <w:tcW w:w="156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43</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57</w:t>
            </w:r>
          </w:p>
        </w:tc>
      </w:tr>
      <w:tr>
        <w:tc>
          <w:tcPr>
            <w:tcW w:w="3510"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r>
              <w:t>2017</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6</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414</w:t>
            </w:r>
          </w:p>
        </w:tc>
        <w:tc>
          <w:tcPr>
            <w:tcW w:w="1560"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10</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87</w:t>
            </w:r>
          </w:p>
        </w:tc>
      </w:tr>
    </w:tbl>
    <w:p>
      <w:pPr>
        <w:pStyle w:val="Textstand-alone"/>
        <w:spacing w:before="0"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199" w:name="DOC_TBL00088_1_1"/>
            <w:bookmarkEnd w:id="199"/>
          </w:p>
        </w:tc>
        <w:tc>
          <w:tcPr>
            <w:tcW w:w="4678" w:type="dxa"/>
            <w:gridSpan w:val="3"/>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milj. euroa</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r>
              <w:rPr>
                <w:noProof/>
              </w:rPr>
              <w:t>Nettovarat</w:t>
            </w:r>
          </w:p>
        </w:tc>
        <w:tc>
          <w:tcPr>
            <w:tcW w:w="1559" w:type="dxa"/>
            <w:tcBorders>
              <w:top w:val="nil"/>
              <w:left w:val="nil"/>
              <w:bottom w:val="nil"/>
              <w:right w:val="nil"/>
            </w:tcBorders>
            <w:shd w:val="clear" w:color="auto" w:fill="016794"/>
            <w:tcMar>
              <w:top w:w="0" w:type="dxa"/>
              <w:left w:w="108" w:type="dxa"/>
              <w:bottom w:w="0" w:type="dxa"/>
              <w:right w:w="108" w:type="dxa"/>
            </w:tcMar>
          </w:tcPr>
          <w:p>
            <w:pPr>
              <w:spacing w:after="200" w:line="276" w:lineRule="auto"/>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SEK</w:t>
            </w:r>
          </w:p>
        </w:tc>
      </w:tr>
      <w:tr>
        <w:tc>
          <w:tcPr>
            <w:tcW w:w="351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31.12.2018</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16</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6</w:t>
            </w:r>
          </w:p>
        </w:tc>
        <w:tc>
          <w:tcPr>
            <w:tcW w:w="156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w:t>
            </w:r>
          </w:p>
        </w:tc>
      </w:tr>
      <w:tr>
        <w:tc>
          <w:tcPr>
            <w:tcW w:w="3510"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r>
              <w:t>31.12.2017</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7</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6</w:t>
            </w:r>
          </w:p>
        </w:tc>
        <w:tc>
          <w:tcPr>
            <w:tcW w:w="1560"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2</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6</w:t>
            </w:r>
          </w:p>
        </w:tc>
      </w:tr>
    </w:tbl>
    <w:p>
      <w:pPr>
        <w:pStyle w:val="HEADER5"/>
        <w:rPr>
          <w:noProof/>
        </w:rPr>
      </w:pPr>
    </w:p>
    <w:p>
      <w:pPr>
        <w:pStyle w:val="HEADER5"/>
        <w:rPr>
          <w:noProof/>
        </w:rPr>
      </w:pPr>
      <w:r>
        <w:rPr>
          <w:noProof/>
        </w:rPr>
        <w:t>Rahoitusavun myöntämiseen liittyvä otto- ja antolainaustoiminta</w:t>
      </w:r>
    </w:p>
    <w:p>
      <w:pPr>
        <w:pStyle w:val="Textstand-alone"/>
      </w:pPr>
      <w:r>
        <w:t xml:space="preserve">Rahoitusvarat ja </w:t>
      </w:r>
      <w:r>
        <w:noBreakHyphen/>
        <w:t xml:space="preserve">velat ovat pääasiassa euromääräisiä, joten EU:lla ei ole valuuttariskiä. </w:t>
      </w:r>
    </w:p>
    <w:p>
      <w:pPr>
        <w:pStyle w:val="HEADER5"/>
        <w:rPr>
          <w:noProof/>
        </w:rPr>
      </w:pPr>
      <w:r>
        <w:rPr>
          <w:noProof/>
        </w:rPr>
        <w:t>Treasury-toiminnot</w:t>
      </w:r>
    </w:p>
    <w:p>
      <w:pPr>
        <w:pStyle w:val="Textstand-alone"/>
      </w:pPr>
      <w:r>
        <w:t>Neuvoston asetuksen (EU, Euratom) N:o 609/2014 sellaisena kuin se on muutettuna neuvoston asetuksella (EU) N:o 804/2016, mukaisesti omat varat, jotka jäsenvaltiot maksavat muissa valuutoissa kuin euroina, säilytetään omien varojen pankkitileillä. Varat muunnetaan euroiksi, kun niitä tarvitaan maksujen suorittamiseen. Edellä mainitussa asetuksessa säädetään menettelyistä, joita sovelletaan kyseisten varojen hallinnoinnissa. Joissakin tapauksissa varoja käytetään kyseisen vieraan valuutan määräisten maksujen suorittamiseen ilman muuntamista euroiksi.</w:t>
      </w:r>
    </w:p>
    <w:p>
      <w:pPr>
        <w:pStyle w:val="Textstand-alone"/>
      </w:pPr>
      <w:r>
        <w:t>Komissio on avannut muiden EU-valuuttojen kuin euron sekä Sveitsin frangin ja Yhdysvaltain dollarin määräisiä pankkitilejä liikepankeissa suorittaakseen kyseisten valuuttojen määräisiä maksuja. Näille tileille siirretään lisää varoja sitä mukaa kuin maksuja suoritetaan, minkä vuoksi ne eivät muodosta valuuttariskiä.</w:t>
      </w:r>
    </w:p>
    <w:p>
      <w:pPr>
        <w:pStyle w:val="Textstand-alone"/>
      </w:pPr>
      <w:r>
        <w:t>Kun sekalaisia tuloja (muita tuloja kuin omia varoja) saadaan muussa valuutassa kuin euroina, ne joko siirretään muille saman valuutan määräisille komission tileille, jos varoja tarvitaan maksujen suorittamiseen, tai ne muunnetaan euroiksi ja siirretään muille euromääräisille tileille. Muille kuin euromääräisille ennakkotileille siirretään varoja sen mukaan miten paljon kulloinkin kyseeseen tulevan valuutan määräisiä varoja arvioidaan lyhyellä aikavälillä tarvittavan maksujen kattamiseksi. Näiden tilien saldoille on asetettu enimmäismäärät.</w:t>
      </w:r>
    </w:p>
    <w:p>
      <w:pPr>
        <w:pStyle w:val="HEADER5"/>
        <w:keepNext/>
        <w:rPr>
          <w:noProof/>
        </w:rPr>
      </w:pPr>
      <w:r>
        <w:rPr>
          <w:noProof/>
        </w:rPr>
        <w:t>Sakot</w:t>
      </w:r>
    </w:p>
    <w:p>
      <w:pPr>
        <w:pStyle w:val="Textstand-alone"/>
        <w:keepNext/>
        <w:rPr>
          <w:i/>
        </w:rPr>
      </w:pPr>
      <w:r>
        <w:rPr>
          <w:i/>
        </w:rPr>
        <w:t>Alustavasti maksetut sakot (talletukset ja BUFI-salkku) ja pankkitakaukset</w:t>
      </w:r>
    </w:p>
    <w:p>
      <w:pPr>
        <w:pStyle w:val="Textstand-alone"/>
      </w:pPr>
      <w:r>
        <w:t>Koska kaikki sakot määrätään ja maksetaan euroina, komissiolle ei aiheudu riskiä valuuttakurssien vaihtelusta.</w:t>
      </w:r>
    </w:p>
    <w:p>
      <w:pPr>
        <w:pStyle w:val="HEADER5"/>
        <w:rPr>
          <w:noProof/>
        </w:rPr>
      </w:pPr>
      <w:r>
        <w:rPr>
          <w:noProof/>
        </w:rPr>
        <w:t>Ulkosuhteisiin liittyviä hankkeita varten perustettu takuurahasto</w:t>
      </w:r>
    </w:p>
    <w:p>
      <w:pPr>
        <w:pStyle w:val="Textstand-alone"/>
      </w:pPr>
      <w:r>
        <w:t>Tämän rahaston rahoitusvarat ovat euromääräisiä, joten valuuttakurssiriskiä ei ole. Lainat, jotka ovat siirtyneet EU:lle sen vuoksi, että rahastolta on vaadittu maksua lainansaajan maksulaiminlyöntien vuoksi, pidetään alkuperäisessä valuutassa, eivätkä ne aiheuta EU:lle valuuttariskiä. Ulkomaanvaluuttojen kurssien vaihteluilta suojaavia toimia ei ole toteutettu, koska lainojen takaisinmaksun aikataulusta ei ole varmuutta.</w:t>
      </w:r>
    </w:p>
    <w:p>
      <w:pPr>
        <w:pStyle w:val="HEADER5"/>
        <w:rPr>
          <w:noProof/>
        </w:rPr>
      </w:pPr>
      <w:r>
        <w:rPr>
          <w:noProof/>
        </w:rPr>
        <w:t>ESIR-takuurahasto</w:t>
      </w:r>
    </w:p>
    <w:p>
      <w:pPr>
        <w:pStyle w:val="Textstand-alone"/>
      </w:pPr>
      <w:r>
        <w:t>ESIR-takuurahaston toimissa käytetään sekä euroja että Yhdysvaltain dollareita. Valuuttariskiä hallitaan tekemällä johdannaissopimuksia (valuuttatermiinisopimuksia), joilla suojataan dollarimääräisen sijoitussalkun markkina-arvoa. Suojaamattoman valuuttariskin enimmäismääräksi on vahvistettu 1 prosentti sijoitussalkun kokonaisarvosta viitearvon puitteissa ja vuotuisia strategisia allokaatioita noudattaen. Dollarimääräisten sijoitusten markkina-arvon ylittäessä tai alittaessa 1 prosentin raja-arvon tehdään tasapainottava kauppa (muutoksen suuntainen tai vastainen uusi termiinisopimus), jolla suojattu positio kumotaan tai sitä mukautetaan. Suojauksen mukauttaminen voi johtua myös euron ja dollarin kurssin muutoksista.</w:t>
      </w:r>
    </w:p>
    <w:p>
      <w:pPr>
        <w:pStyle w:val="Textstand-alone"/>
      </w:pPr>
      <w:r>
        <w:t>Lainat, jotka ovat siirtyneet EU:lle sen vuoksi, että rahastolta on vaadittu maksua lainansaajan maksulaiminlyöntien vuoksi, pidetään alkuperäisessä valuutassa, eivätkä ne aiheuta EU:lle valuuttariskiä. EU:lle siirrettyjen lainojen osalta ulkomaanvaluuttojen kurssien vaihteluilta suojaavia toimia ei ole toteutettu, koska lainojen takaisinmaksun aikataulusta ei ole varmuutta.</w:t>
      </w:r>
    </w:p>
    <w:p>
      <w:pPr>
        <w:pStyle w:val="HEADER5"/>
        <w:rPr>
          <w:noProof/>
        </w:rPr>
      </w:pPr>
      <w:r>
        <w:rPr>
          <w:noProof/>
        </w:rPr>
        <w:t>EKKR-takuurahasto</w:t>
      </w:r>
    </w:p>
    <w:p>
      <w:pPr>
        <w:pStyle w:val="Textstand-alone"/>
      </w:pPr>
      <w:r>
        <w:t>EKKR-takuurahaston toimissa käytetään tällä hetkellä ainoastaan euroa, mutta EKKR-takuurahaston omaisuudenhoitoa koskevissa suuntaviivoissa tarjotaan mahdollisuus sijoittaa tiettyihin omaisuuseriin, joiden viitevaluuttana ei ole euro.</w:t>
      </w:r>
    </w:p>
    <w:p>
      <w:pPr>
        <w:pStyle w:val="Textstand-alone"/>
        <w:sectPr>
          <w:headerReference w:type="even" r:id="rId382"/>
          <w:headerReference w:type="default" r:id="rId383"/>
          <w:footerReference w:type="even" r:id="rId384"/>
          <w:footerReference w:type="default" r:id="rId385"/>
          <w:headerReference w:type="first" r:id="rId386"/>
          <w:footerReference w:type="first" r:id="rId387"/>
          <w:type w:val="continuous"/>
          <w:pgSz w:w="11906" w:h="16838"/>
          <w:pgMar w:top="1134" w:right="1134" w:bottom="1134" w:left="1134" w:header="709" w:footer="709" w:gutter="0"/>
          <w:cols w:space="708"/>
          <w:docGrid w:linePitch="360"/>
        </w:sectPr>
      </w:pPr>
      <w:r>
        <w:t xml:space="preserve"> </w:t>
      </w:r>
      <w:bookmarkEnd w:id="195"/>
    </w:p>
    <w:p>
      <w:pPr>
        <w:pStyle w:val="HEADER2NOTES"/>
        <w:rPr>
          <w:noProof/>
        </w:rPr>
      </w:pPr>
      <w:bookmarkStart w:id="200" w:name="_DMBM_14774"/>
      <w:r>
        <w:rPr>
          <w:noProof/>
        </w:rPr>
        <w:t>KORKORISKI</w:t>
      </w:r>
    </w:p>
    <w:p>
      <w:pPr>
        <w:pStyle w:val="DGTextstand-alone"/>
      </w:pPr>
      <w:r>
        <w:t>Seuraavassa taulukossa kuvataan myytävissä olevien rahoitusvarojen korkoherkkyyttä olettaen, että korot nousevat tai laskevat 100 peruspistettä (yhden prosenttiyksikön).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01" w:name="DOC_TBL00089_1_1"/>
            <w:bookmarkEnd w:id="201"/>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Nousu (+) / lasku (−) peruspisteinä</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Vaikutus nettovaroihin</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2018: Myytävissä olevat rahoitusvarat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374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2017: Myytävissä olevat rahoitusvarat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382</w:t>
            </w:r>
          </w:p>
        </w:tc>
      </w:tr>
    </w:tbl>
    <w:p>
      <w:pPr>
        <w:pStyle w:val="HEADER5"/>
        <w:rPr>
          <w:noProof/>
        </w:rPr>
      </w:pPr>
    </w:p>
    <w:p>
      <w:pPr>
        <w:pStyle w:val="HEADER5"/>
        <w:rPr>
          <w:noProof/>
        </w:rPr>
      </w:pPr>
      <w:r>
        <w:rPr>
          <w:noProof/>
        </w:rPr>
        <w:t>Rahoitusavun myöntämiseen liittyvä otto- ja antolainaustoiminta</w:t>
      </w:r>
    </w:p>
    <w:p>
      <w:pPr>
        <w:pStyle w:val="DGTextstand-alone"/>
      </w:pPr>
      <w:r>
        <w:t xml:space="preserve">EU:lla on otto- ja antolainaustoimintansa luonteen vuoksi merkittävät korolliset varat ja velat. Korkoriskiä ei kuitenkaan ole, koska EU myöntää lainaa samoin ehdoin kuin se on sitä ottanut (back-to-back). </w:t>
      </w:r>
    </w:p>
    <w:p>
      <w:pPr>
        <w:pStyle w:val="HEADER5"/>
        <w:rPr>
          <w:noProof/>
        </w:rPr>
      </w:pPr>
      <w:r>
        <w:rPr>
          <w:noProof/>
        </w:rPr>
        <w:t>Treasury-toiminnot</w:t>
      </w:r>
    </w:p>
    <w:p>
      <w:pPr>
        <w:pStyle w:val="DGTextstand-alone"/>
      </w:pPr>
      <w:r>
        <w:t xml:space="preserve">Komission treasury-toimintaan ei kuulu ottolainaus. Tämän vuoksi korkoriskiä ei ole. Korko saa kuitenkin korkoa varoista, joita se säilyttää pankkitileillään. Komissio on tämän vuoksi ottanut käyttöön toimenpiteitä, joilla varmistetaan, että pankkitileille kertynyt korko vastaa markkinakorkoja ja niiden mahdollista vaihtelua. </w:t>
      </w:r>
    </w:p>
    <w:p>
      <w:pPr>
        <w:pStyle w:val="DGTextstand-alone"/>
      </w:pPr>
      <w:r>
        <w:t>Jäsenvaltioiden valtiokonttoreihin omien varojen vastaanottamista varten avatut tilit ovat korottomia, eikä niistä peritä kuluja. Kansallisissa keskuspankeissa oleville tileille voidaan maksaa korkoa kunkin laitoksen kanssa sovittujen ehtojen mukaisesti. Koska osa näihin tileihin sovellettavista koroista voi olla nykyään negatiivisia, tileillä olevat saldot pidetään mahdollisimman pieninä kassanhallintaan liittyvillä menettelyillä.</w:t>
      </w:r>
    </w:p>
    <w:p>
      <w:pPr>
        <w:pStyle w:val="DGTextstand-alone"/>
      </w:pPr>
      <w:r>
        <w:t>Lisäksi omien varojen tilit suojataan negatiivisen koron vaikutuksilta neuvoston asetuksen (EU, Euratom) N:o 609/2014 mukaisesti sellaisena kuin se on muutettuna neuvoston asetuksella (EU, Euratom) 804/2016.</w:t>
      </w:r>
    </w:p>
    <w:p>
      <w:pPr>
        <w:pStyle w:val="DGTextstand-alone"/>
      </w:pPr>
      <w:r>
        <w:t>Liikepankeissa olevien tilien yliyön-saldoille kertyy korko päivittäin. Korko perustuu muuttuviin markkinakorkoihin, joihin sovelletaan positiivista tai negatiivista sopimusmarginaalia. Sopimuksissa määrätään yleensä, että liikepankkien maksama korko ei voi laskea alle nollan. Tämän vuoksi ei ole riskiä siitä, että komission saama korko alittaisi markkinakorot.</w:t>
      </w:r>
    </w:p>
    <w:p>
      <w:pPr>
        <w:pStyle w:val="HEADER5"/>
        <w:rPr>
          <w:noProof/>
        </w:rPr>
      </w:pPr>
      <w:r>
        <w:rPr>
          <w:noProof/>
        </w:rPr>
        <w:t>Sakot</w:t>
      </w:r>
    </w:p>
    <w:p>
      <w:pPr>
        <w:pStyle w:val="Textstand-alone"/>
        <w:rPr>
          <w:i/>
        </w:rPr>
      </w:pPr>
      <w:r>
        <w:rPr>
          <w:i/>
        </w:rPr>
        <w:t>Alustavasti maksetut sakot (talletukset ja BUFI-salkku) ja pankkitakaukset</w:t>
      </w:r>
    </w:p>
    <w:p>
      <w:pPr>
        <w:pStyle w:val="DGTextstand-alone"/>
      </w:pPr>
      <w:r>
        <w:t>Alustavasti maksetut sakot sijoitetaan rahamarkkinainstrumenttien ja pitkäaikaisten joukkolainojen salkkuun. Niiden duraatio on keskimäärin 2,58 vuotta.</w:t>
      </w:r>
    </w:p>
    <w:p>
      <w:pPr>
        <w:pStyle w:val="HEADER5"/>
        <w:rPr>
          <w:noProof/>
        </w:rPr>
      </w:pPr>
      <w:r>
        <w:rPr>
          <w:noProof/>
        </w:rPr>
        <w:t>Ulkosuhteisiin liittyviä hankkeita varten perustettu takuurahasto</w:t>
      </w:r>
    </w:p>
    <w:p>
      <w:pPr>
        <w:pStyle w:val="DGTextstand-alone"/>
      </w:pPr>
      <w:r>
        <w:t xml:space="preserve">Takuurahastossa olevat varat on sijoitettu salkkuun, jossa olevien rahamarkkinainstrumenttien ja pitkäaikaisten joukkolainojen duraatio on keskimäärin 2,58 vuotta. </w:t>
      </w:r>
    </w:p>
    <w:p>
      <w:pPr>
        <w:pStyle w:val="HEADER5"/>
        <w:rPr>
          <w:noProof/>
        </w:rPr>
      </w:pPr>
      <w:r>
        <w:rPr>
          <w:noProof/>
        </w:rPr>
        <w:t>ESIR-takuurahasto</w:t>
      </w:r>
    </w:p>
    <w:p>
      <w:pPr>
        <w:pStyle w:val="DGTextstand-alone"/>
      </w:pPr>
      <w:r>
        <w:t>ESIR-takuurahastossa olevat varat on sijoitettu salkkuun, jossa olevien rahamarkkinainstrumenttien ja pitkäaikaisten joukkolainojen duraatio on keskimäärin 2,4 vuotta.</w:t>
      </w:r>
    </w:p>
    <w:p>
      <w:pPr>
        <w:pStyle w:val="HEADER5"/>
        <w:rPr>
          <w:noProof/>
        </w:rPr>
      </w:pPr>
      <w:r>
        <w:rPr>
          <w:noProof/>
        </w:rPr>
        <w:t>EKKR-takuurahasto</w:t>
      </w:r>
    </w:p>
    <w:p>
      <w:pPr>
        <w:pStyle w:val="DGTextstand-alone"/>
      </w:pPr>
      <w:r>
        <w:t>Koska EKKR-takuurahaston ensimmäinen rahoittaminen alkoi vasta vuoden 2018 lopussa, rahasto koostuu pääasiassa keskuspankeissa pidetyistä käteisvaroista. Salkun duraatio on keskimäärin 0,03 vuotta.</w:t>
      </w:r>
    </w:p>
    <w:p>
      <w:pPr>
        <w:pStyle w:val="DGTextstand-alone"/>
        <w:sectPr>
          <w:headerReference w:type="even" r:id="rId388"/>
          <w:headerReference w:type="default" r:id="rId389"/>
          <w:footerReference w:type="even" r:id="rId390"/>
          <w:footerReference w:type="default" r:id="rId391"/>
          <w:headerReference w:type="first" r:id="rId392"/>
          <w:footerReference w:type="first" r:id="rId393"/>
          <w:type w:val="continuous"/>
          <w:pgSz w:w="11906" w:h="16838"/>
          <w:pgMar w:top="1134" w:right="1134" w:bottom="1134" w:left="1134" w:header="709" w:footer="709" w:gutter="0"/>
          <w:cols w:space="708"/>
          <w:docGrid w:linePitch="360"/>
        </w:sectPr>
      </w:pPr>
      <w:r>
        <w:t xml:space="preserve"> </w:t>
      </w:r>
      <w:bookmarkEnd w:id="200"/>
    </w:p>
    <w:p>
      <w:pPr>
        <w:rPr>
          <w:rFonts w:ascii="Verdana" w:hAnsi="Verdana"/>
          <w:b/>
          <w:noProof/>
          <w:color w:val="016794"/>
          <w:sz w:val="28"/>
          <w:szCs w:val="28"/>
        </w:rPr>
      </w:pPr>
      <w:bookmarkStart w:id="202" w:name="_DMBM_14804"/>
      <w:r>
        <w:rPr>
          <w:noProof/>
        </w:rPr>
        <w:br w:type="page"/>
      </w:r>
    </w:p>
    <w:p>
      <w:pPr>
        <w:pStyle w:val="HEADER2NOTES"/>
        <w:rPr>
          <w:noProof/>
        </w:rPr>
      </w:pPr>
      <w:r>
        <w:rPr>
          <w:noProof/>
        </w:rPr>
        <w:t>LUOTTORISKI</w:t>
      </w:r>
    </w:p>
    <w:p>
      <w:pPr>
        <w:pStyle w:val="DGTextstand-alone"/>
      </w:pPr>
      <w:r>
        <w:t xml:space="preserve">Rahamäärät, jotka edustavat EU:hun kohdistuvaa luottoriskiä raportointikauden lopussa, ovat rahoitusvälineiden kirjanpitoarvot sellaisina kuin ne ilmoitetaan liitetiedossa </w:t>
      </w:r>
      <w:r>
        <w:rPr>
          <w:b/>
        </w:rPr>
        <w:t>2</w:t>
      </w:r>
      <w:r>
        <w:t>.</w:t>
      </w:r>
    </w:p>
    <w:p>
      <w:pPr>
        <w:pStyle w:val="HEADER5"/>
        <w:rPr>
          <w:noProof/>
        </w:rPr>
      </w:pPr>
      <w:r>
        <w:rPr>
          <w:noProof/>
        </w:rPr>
        <w:t>Analyysi niiden rahoitusvarojen ikäjakaumasta, joiden arvo ei ole alentunut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417"/>
        <w:gridCol w:w="1267"/>
        <w:gridCol w:w="1267"/>
        <w:gridCol w:w="1273"/>
        <w:gridCol w:w="1261"/>
      </w:tblGrid>
      <w:tr>
        <w:tc>
          <w:tcPr>
            <w:tcW w:w="3369"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203" w:name="DOC_TBL00090_1_1"/>
            <w:bookmarkEnd w:id="203"/>
          </w:p>
        </w:tc>
        <w:tc>
          <w:tcPr>
            <w:tcW w:w="1417"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3807" w:type="dxa"/>
            <w:gridSpan w:val="3"/>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61" w:type="dxa"/>
            <w:tcBorders>
              <w:top w:val="nil"/>
              <w:left w:val="nil"/>
              <w:bottom w:val="nil"/>
              <w:right w:val="nil"/>
            </w:tcBorders>
            <w:tcMar>
              <w:top w:w="0" w:type="dxa"/>
              <w:left w:w="108" w:type="dxa"/>
              <w:bottom w:w="0" w:type="dxa"/>
              <w:right w:w="108" w:type="dxa"/>
            </w:tcMar>
          </w:tcPr>
          <w:p>
            <w:pPr>
              <w:pStyle w:val="Text7pItalicRight025"/>
              <w:rPr>
                <w:rFonts w:eastAsia="Times New Roman" w:cs="Verdana"/>
              </w:rPr>
            </w:pPr>
            <w:r>
              <w:t>milj. euroa</w:t>
            </w:r>
          </w:p>
        </w:tc>
      </w:tr>
      <w:tr>
        <w:tc>
          <w:tcPr>
            <w:tcW w:w="336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Yhteensä</w:t>
            </w: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noProof/>
              </w:rPr>
            </w:pPr>
            <w:r>
              <w:rPr>
                <w:noProof/>
              </w:rPr>
              <w:t xml:space="preserve">Suoritus </w:t>
            </w:r>
          </w:p>
          <w:p>
            <w:pPr>
              <w:pStyle w:val="Heading9pNormalCentered"/>
              <w:jc w:val="right"/>
              <w:rPr>
                <w:rFonts w:cs="Verdana"/>
                <w:noProof/>
              </w:rPr>
            </w:pPr>
            <w:r>
              <w:rPr>
                <w:noProof/>
              </w:rPr>
              <w:t>ei ole viivästynyt eikä arvo alentunut</w:t>
            </w:r>
          </w:p>
        </w:tc>
        <w:tc>
          <w:tcPr>
            <w:tcW w:w="3801"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noProof/>
              </w:rPr>
            </w:pPr>
            <w:r>
              <w:rPr>
                <w:noProof/>
              </w:rPr>
              <w:t xml:space="preserve">Suoritus viivästynyt, </w:t>
            </w:r>
          </w:p>
          <w:p>
            <w:pPr>
              <w:pStyle w:val="Heading9pNormalCentered"/>
              <w:rPr>
                <w:rFonts w:cs="Verdana"/>
                <w:noProof/>
              </w:rPr>
            </w:pPr>
            <w:r>
              <w:rPr>
                <w:noProof/>
              </w:rPr>
              <w:t>mutta arvo ei alentunut</w:t>
            </w:r>
          </w:p>
        </w:tc>
      </w:tr>
      <w:tr>
        <w:tc>
          <w:tcPr>
            <w:tcW w:w="336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p>
        </w:tc>
        <w:tc>
          <w:tcPr>
            <w:tcW w:w="1267"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cs="Verdana"/>
                <w:noProof/>
              </w:rPr>
            </w:pPr>
            <w:r>
              <w:rPr>
                <w:noProof/>
              </w:rPr>
              <w:t>&lt; 1 vuosi</w:t>
            </w:r>
          </w:p>
        </w:tc>
        <w:tc>
          <w:tcPr>
            <w:tcW w:w="1273"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cs="Verdana"/>
                <w:noProof/>
              </w:rPr>
            </w:pPr>
            <w:r>
              <w:rPr>
                <w:noProof/>
              </w:rPr>
              <w:t>1–5 vuotta</w:t>
            </w:r>
          </w:p>
        </w:tc>
        <w:tc>
          <w:tcPr>
            <w:tcW w:w="1261"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cs="Verdana"/>
                <w:noProof/>
              </w:rPr>
            </w:pPr>
            <w:r>
              <w:rPr>
                <w:noProof/>
              </w:rPr>
              <w:t>&gt; 5 vuotta</w:t>
            </w:r>
          </w:p>
        </w:tc>
      </w:tr>
      <w:tr>
        <w:tc>
          <w:tcPr>
            <w:tcW w:w="3369"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Antolainaus</w:t>
            </w: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53 939</w:t>
            </w:r>
          </w:p>
        </w:tc>
        <w:tc>
          <w:tcPr>
            <w:tcW w:w="126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53 939</w:t>
            </w:r>
          </w:p>
        </w:tc>
        <w:tc>
          <w:tcPr>
            <w:tcW w:w="126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27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26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r>
      <w:tr>
        <w:tc>
          <w:tcPr>
            <w:tcW w:w="3369"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Saamiset ja kerrytettävissä olevat rahamäärät</w:t>
            </w: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24 664</w:t>
            </w:r>
          </w:p>
        </w:tc>
        <w:tc>
          <w:tcPr>
            <w:tcW w:w="126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14 737</w:t>
            </w:r>
          </w:p>
        </w:tc>
        <w:tc>
          <w:tcPr>
            <w:tcW w:w="126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6 585</w:t>
            </w:r>
          </w:p>
        </w:tc>
        <w:tc>
          <w:tcPr>
            <w:tcW w:w="127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3 209</w:t>
            </w:r>
          </w:p>
        </w:tc>
        <w:tc>
          <w:tcPr>
            <w:tcW w:w="126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134</w:t>
            </w:r>
          </w:p>
        </w:tc>
      </w:tr>
      <w:tr>
        <w:tc>
          <w:tcPr>
            <w:tcW w:w="3369" w:type="dxa"/>
            <w:tcBorders>
              <w:top w:val="nil"/>
              <w:left w:val="nil"/>
              <w:bottom w:val="single" w:sz="4" w:space="0" w:color="FFFFFF"/>
              <w:right w:val="nil"/>
            </w:tcBorders>
            <w:tcMar>
              <w:top w:w="0" w:type="dxa"/>
              <w:left w:w="108" w:type="dxa"/>
              <w:bottom w:w="0" w:type="dxa"/>
              <w:right w:w="108" w:type="dxa"/>
            </w:tcMar>
          </w:tcPr>
          <w:p>
            <w:pPr>
              <w:pStyle w:val="Text9pItalicLeft"/>
              <w:rPr>
                <w:rFonts w:eastAsia="Times New Roman" w:cs="Verdana"/>
              </w:rPr>
            </w:pPr>
            <w:r>
              <w:t>Käypään arvoon tulosvaikutteisesti kirjattavat rahoitusvarat</w:t>
            </w:r>
          </w:p>
        </w:tc>
        <w:tc>
          <w:tcPr>
            <w:tcW w:w="1417" w:type="dxa"/>
            <w:tcBorders>
              <w:top w:val="nil"/>
              <w:left w:val="nil"/>
              <w:bottom w:val="single" w:sz="4" w:space="0" w:color="FFFFFF"/>
              <w:right w:val="nil"/>
            </w:tcBorders>
            <w:tcMar>
              <w:top w:w="0" w:type="dxa"/>
              <w:left w:w="108" w:type="dxa"/>
              <w:bottom w:w="0" w:type="dxa"/>
              <w:right w:w="108" w:type="dxa"/>
            </w:tcMar>
          </w:tcPr>
          <w:p>
            <w:pPr>
              <w:pStyle w:val="Figures9pItalicRight025"/>
              <w:rPr>
                <w:rFonts w:eastAsia="Times New Roman" w:cs="Verdana"/>
              </w:rPr>
            </w:pPr>
            <w:r>
              <w:t xml:space="preserve"> 16</w:t>
            </w:r>
          </w:p>
        </w:tc>
        <w:tc>
          <w:tcPr>
            <w:tcW w:w="1267" w:type="dxa"/>
            <w:tcBorders>
              <w:top w:val="nil"/>
              <w:left w:val="nil"/>
              <w:bottom w:val="single" w:sz="4" w:space="0" w:color="FFFFFF"/>
              <w:right w:val="nil"/>
            </w:tcBorders>
            <w:tcMar>
              <w:top w:w="0" w:type="dxa"/>
              <w:left w:w="108" w:type="dxa"/>
              <w:bottom w:w="0" w:type="dxa"/>
              <w:right w:w="108" w:type="dxa"/>
            </w:tcMar>
          </w:tcPr>
          <w:p>
            <w:pPr>
              <w:pStyle w:val="Figures9pItalicRight025"/>
              <w:rPr>
                <w:rFonts w:eastAsia="Times New Roman" w:cs="Verdana"/>
              </w:rPr>
            </w:pPr>
            <w:r>
              <w:t xml:space="preserve"> 16</w:t>
            </w:r>
          </w:p>
        </w:tc>
        <w:tc>
          <w:tcPr>
            <w:tcW w:w="1267" w:type="dxa"/>
            <w:tcBorders>
              <w:top w:val="nil"/>
              <w:left w:val="nil"/>
              <w:bottom w:val="single" w:sz="4" w:space="0" w:color="FFFFFF"/>
              <w:right w:val="nil"/>
            </w:tcBorders>
            <w:tcMar>
              <w:top w:w="0" w:type="dxa"/>
              <w:left w:w="108" w:type="dxa"/>
              <w:bottom w:w="0" w:type="dxa"/>
              <w:right w:w="108" w:type="dxa"/>
            </w:tcMar>
          </w:tcPr>
          <w:p>
            <w:pPr>
              <w:pStyle w:val="Figures9pItalicRight025"/>
              <w:rPr>
                <w:rFonts w:eastAsia="Times New Roman" w:cs="Verdana"/>
              </w:rPr>
            </w:pPr>
            <w:r>
              <w:t>–</w:t>
            </w:r>
          </w:p>
        </w:tc>
        <w:tc>
          <w:tcPr>
            <w:tcW w:w="1273" w:type="dxa"/>
            <w:tcBorders>
              <w:top w:val="nil"/>
              <w:left w:val="nil"/>
              <w:bottom w:val="single" w:sz="4" w:space="0" w:color="FFFFFF"/>
              <w:right w:val="nil"/>
            </w:tcBorders>
            <w:tcMar>
              <w:top w:w="0" w:type="dxa"/>
              <w:left w:w="108" w:type="dxa"/>
              <w:bottom w:w="0" w:type="dxa"/>
              <w:right w:w="108" w:type="dxa"/>
            </w:tcMar>
          </w:tcPr>
          <w:p>
            <w:pPr>
              <w:pStyle w:val="Figures9pItalicRight025"/>
              <w:rPr>
                <w:rFonts w:eastAsia="Times New Roman" w:cs="Verdana"/>
              </w:rPr>
            </w:pPr>
            <w:r>
              <w:t>–</w:t>
            </w:r>
          </w:p>
        </w:tc>
        <w:tc>
          <w:tcPr>
            <w:tcW w:w="1261" w:type="dxa"/>
            <w:tcBorders>
              <w:top w:val="nil"/>
              <w:left w:val="nil"/>
              <w:bottom w:val="single" w:sz="4" w:space="0" w:color="FFFFFF"/>
              <w:right w:val="nil"/>
            </w:tcBorders>
            <w:tcMar>
              <w:top w:w="0" w:type="dxa"/>
              <w:left w:w="108" w:type="dxa"/>
              <w:bottom w:w="0" w:type="dxa"/>
              <w:right w:w="108" w:type="dxa"/>
            </w:tcMar>
          </w:tcPr>
          <w:p>
            <w:pPr>
              <w:pStyle w:val="Figures9pItalicRight025"/>
              <w:rPr>
                <w:rFonts w:eastAsia="Times New Roman" w:cs="Verdana"/>
              </w:rPr>
            </w:pPr>
            <w:r>
              <w:t>–</w:t>
            </w:r>
          </w:p>
        </w:tc>
      </w:tr>
      <w:tr>
        <w:tc>
          <w:tcPr>
            <w:tcW w:w="3369"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eastAsia="Times New Roman" w:cs="Verdana"/>
              </w:rPr>
            </w:pPr>
            <w:r>
              <w:t>Yhteensä 31.12.2018</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78 620</w:t>
            </w:r>
          </w:p>
        </w:tc>
        <w:tc>
          <w:tcPr>
            <w:tcW w:w="1267"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68 692</w:t>
            </w:r>
          </w:p>
        </w:tc>
        <w:tc>
          <w:tcPr>
            <w:tcW w:w="1267"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6 585</w:t>
            </w:r>
          </w:p>
        </w:tc>
        <w:tc>
          <w:tcPr>
            <w:tcW w:w="1273"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3 209</w:t>
            </w:r>
          </w:p>
        </w:tc>
        <w:tc>
          <w:tcPr>
            <w:tcW w:w="1261"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 xml:space="preserve"> 134</w:t>
            </w:r>
          </w:p>
        </w:tc>
      </w:tr>
      <w:tr>
        <w:tc>
          <w:tcPr>
            <w:tcW w:w="3369" w:type="dxa"/>
            <w:tcBorders>
              <w:top w:val="single" w:sz="4" w:space="0" w:color="016794"/>
              <w:left w:val="nil"/>
              <w:bottom w:val="nil"/>
              <w:right w:val="nil"/>
            </w:tcBorders>
            <w:tcMar>
              <w:top w:w="0" w:type="dxa"/>
              <w:left w:w="108" w:type="dxa"/>
              <w:bottom w:w="0" w:type="dxa"/>
              <w:right w:w="108" w:type="dxa"/>
            </w:tcMar>
          </w:tcPr>
          <w:p>
            <w:pPr>
              <w:pStyle w:val="Text9pItalicLeft"/>
              <w:rPr>
                <w:rFonts w:eastAsia="Times New Roman" w:cs="Verdana"/>
              </w:rPr>
            </w:pPr>
            <w:r>
              <w:t>Antolainaus</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rPr>
            </w:pPr>
            <w:r>
              <w:t>54 981</w:t>
            </w:r>
          </w:p>
        </w:tc>
        <w:tc>
          <w:tcPr>
            <w:tcW w:w="1267"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rPr>
            </w:pPr>
            <w:r>
              <w:t>54 980</w:t>
            </w:r>
          </w:p>
        </w:tc>
        <w:tc>
          <w:tcPr>
            <w:tcW w:w="1267"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273"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261"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r>
      <w:tr>
        <w:tc>
          <w:tcPr>
            <w:tcW w:w="3369"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Saamiset ja kerrytettävissä olevat rahamäärät</w:t>
            </w: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12 366</w:t>
            </w:r>
          </w:p>
        </w:tc>
        <w:tc>
          <w:tcPr>
            <w:tcW w:w="126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8 905</w:t>
            </w:r>
          </w:p>
        </w:tc>
        <w:tc>
          <w:tcPr>
            <w:tcW w:w="126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2 894</w:t>
            </w:r>
          </w:p>
        </w:tc>
        <w:tc>
          <w:tcPr>
            <w:tcW w:w="127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359</w:t>
            </w:r>
          </w:p>
        </w:tc>
        <w:tc>
          <w:tcPr>
            <w:tcW w:w="126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208</w:t>
            </w:r>
          </w:p>
        </w:tc>
      </w:tr>
      <w:tr>
        <w:tc>
          <w:tcPr>
            <w:tcW w:w="3369" w:type="dxa"/>
            <w:tcBorders>
              <w:top w:val="nil"/>
              <w:left w:val="nil"/>
              <w:bottom w:val="single" w:sz="4" w:space="0" w:color="FFFFFF"/>
              <w:right w:val="nil"/>
            </w:tcBorders>
            <w:tcMar>
              <w:top w:w="0" w:type="dxa"/>
              <w:left w:w="108" w:type="dxa"/>
              <w:bottom w:w="0" w:type="dxa"/>
              <w:right w:w="108" w:type="dxa"/>
            </w:tcMar>
          </w:tcPr>
          <w:p>
            <w:pPr>
              <w:pStyle w:val="Text9pItalicLeft"/>
              <w:rPr>
                <w:rFonts w:eastAsia="Times New Roman" w:cs="Verdana"/>
              </w:rPr>
            </w:pPr>
            <w:r>
              <w:t>Käypään arvoon tulosvaikutteisesti kirjattavat rahoitusvarat</w:t>
            </w:r>
          </w:p>
        </w:tc>
        <w:tc>
          <w:tcPr>
            <w:tcW w:w="1417" w:type="dxa"/>
            <w:tcBorders>
              <w:top w:val="nil"/>
              <w:left w:val="nil"/>
              <w:bottom w:val="single" w:sz="4" w:space="0" w:color="FFFFFF"/>
              <w:right w:val="nil"/>
            </w:tcBorders>
            <w:tcMar>
              <w:top w:w="0" w:type="dxa"/>
              <w:left w:w="108" w:type="dxa"/>
              <w:bottom w:w="0" w:type="dxa"/>
              <w:right w:w="108" w:type="dxa"/>
            </w:tcMar>
          </w:tcPr>
          <w:p>
            <w:pPr>
              <w:pStyle w:val="Figures9pItalicRight025"/>
              <w:rPr>
                <w:rFonts w:eastAsia="Times New Roman" w:cs="Verdana"/>
              </w:rPr>
            </w:pPr>
            <w:r>
              <w:t xml:space="preserve"> 23</w:t>
            </w:r>
          </w:p>
        </w:tc>
        <w:tc>
          <w:tcPr>
            <w:tcW w:w="1267" w:type="dxa"/>
            <w:tcBorders>
              <w:top w:val="nil"/>
              <w:left w:val="nil"/>
              <w:bottom w:val="single" w:sz="4" w:space="0" w:color="FFFFFF"/>
              <w:right w:val="nil"/>
            </w:tcBorders>
            <w:tcMar>
              <w:top w:w="0" w:type="dxa"/>
              <w:left w:w="108" w:type="dxa"/>
              <w:bottom w:w="0" w:type="dxa"/>
              <w:right w:w="108" w:type="dxa"/>
            </w:tcMar>
          </w:tcPr>
          <w:p>
            <w:pPr>
              <w:pStyle w:val="Figures9pItalicRight025"/>
              <w:rPr>
                <w:rFonts w:eastAsia="Times New Roman" w:cs="Verdana"/>
              </w:rPr>
            </w:pPr>
            <w:r>
              <w:t xml:space="preserve"> 23</w:t>
            </w:r>
          </w:p>
        </w:tc>
        <w:tc>
          <w:tcPr>
            <w:tcW w:w="1267" w:type="dxa"/>
            <w:tcBorders>
              <w:top w:val="nil"/>
              <w:left w:val="nil"/>
              <w:bottom w:val="single" w:sz="4" w:space="0" w:color="FFFFFF"/>
              <w:right w:val="nil"/>
            </w:tcBorders>
            <w:tcMar>
              <w:top w:w="0" w:type="dxa"/>
              <w:left w:w="108" w:type="dxa"/>
              <w:bottom w:w="0" w:type="dxa"/>
              <w:right w:w="108" w:type="dxa"/>
            </w:tcMar>
          </w:tcPr>
          <w:p>
            <w:pPr>
              <w:pStyle w:val="Figures9pItalicRight025"/>
              <w:rPr>
                <w:rFonts w:eastAsia="Times New Roman" w:cs="Verdana"/>
              </w:rPr>
            </w:pPr>
            <w:r>
              <w:t>–</w:t>
            </w:r>
          </w:p>
        </w:tc>
        <w:tc>
          <w:tcPr>
            <w:tcW w:w="1273" w:type="dxa"/>
            <w:tcBorders>
              <w:top w:val="nil"/>
              <w:left w:val="nil"/>
              <w:bottom w:val="single" w:sz="4" w:space="0" w:color="FFFFFF"/>
              <w:right w:val="nil"/>
            </w:tcBorders>
            <w:tcMar>
              <w:top w:w="0" w:type="dxa"/>
              <w:left w:w="108" w:type="dxa"/>
              <w:bottom w:w="0" w:type="dxa"/>
              <w:right w:w="108" w:type="dxa"/>
            </w:tcMar>
          </w:tcPr>
          <w:p>
            <w:pPr>
              <w:pStyle w:val="Figures9pItalicRight025"/>
              <w:rPr>
                <w:rFonts w:eastAsia="Times New Roman" w:cs="Verdana"/>
              </w:rPr>
            </w:pPr>
            <w:r>
              <w:t>–</w:t>
            </w:r>
          </w:p>
        </w:tc>
        <w:tc>
          <w:tcPr>
            <w:tcW w:w="1261" w:type="dxa"/>
            <w:tcBorders>
              <w:top w:val="nil"/>
              <w:left w:val="nil"/>
              <w:bottom w:val="single" w:sz="4" w:space="0" w:color="FFFFFF"/>
              <w:right w:val="nil"/>
            </w:tcBorders>
            <w:tcMar>
              <w:top w:w="0" w:type="dxa"/>
              <w:left w:w="108" w:type="dxa"/>
              <w:bottom w:w="0" w:type="dxa"/>
              <w:right w:w="108" w:type="dxa"/>
            </w:tcMar>
          </w:tcPr>
          <w:p>
            <w:pPr>
              <w:pStyle w:val="Figures9pItalicRight025"/>
              <w:rPr>
                <w:rFonts w:eastAsia="Times New Roman" w:cs="Verdana"/>
              </w:rPr>
            </w:pPr>
            <w:r>
              <w:t>–</w:t>
            </w:r>
          </w:p>
        </w:tc>
      </w:tr>
      <w:tr>
        <w:tc>
          <w:tcPr>
            <w:tcW w:w="3369"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eastAsia="Times New Roman" w:cs="Verdana"/>
              </w:rPr>
            </w:pPr>
            <w:r>
              <w:t>Yhteensä 31.12.2017</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67 369</w:t>
            </w:r>
          </w:p>
        </w:tc>
        <w:tc>
          <w:tcPr>
            <w:tcW w:w="1267"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63 908</w:t>
            </w:r>
          </w:p>
        </w:tc>
        <w:tc>
          <w:tcPr>
            <w:tcW w:w="1267"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2 894</w:t>
            </w:r>
          </w:p>
        </w:tc>
        <w:tc>
          <w:tcPr>
            <w:tcW w:w="1273"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 xml:space="preserve"> 359</w:t>
            </w:r>
          </w:p>
        </w:tc>
        <w:tc>
          <w:tcPr>
            <w:tcW w:w="1261"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 xml:space="preserve"> 208</w:t>
            </w:r>
          </w:p>
        </w:tc>
      </w:tr>
    </w:tbl>
    <w:p>
      <w:pPr>
        <w:pStyle w:val="HEADER5"/>
        <w:jc w:val="both"/>
        <w:rPr>
          <w:rFonts w:eastAsia="Calibri"/>
          <w:noProof/>
          <w:color w:val="auto"/>
        </w:rPr>
      </w:pPr>
    </w:p>
    <w:p>
      <w:pPr>
        <w:pStyle w:val="DGTextstand-alone"/>
      </w:pPr>
      <w:r>
        <w:t>Saamisiin ja kerrytettävissä oleviin rahamääriin, jotka kuuluvat ryhmään alle 1 vuosi, sisältyy kilpailusääntöjen rikkomisesta määrättyihin sakkoihin liittyviä kerrytettävissä olevia rahamääriä 6 366 miljoonaa euroa. Saamisiin ja kerrytettävissä oleviin rahamääriin, jotka kuuluvat ryhmään 1–5 vuotta, sisältyy kilpailusääntöjen rikkomisesta määrättyihin sakkoihin liittyviä kerrytettävissä olevia rahamääriä 3 136 miljoonaa euroa. Edellä mainitut rahamäärät on suurelta osin katettu pankkitakauksilla, joten komissioon kohdistuva luottoriski on vähäinen. Sakkojen maksamiseen velvoitetut yritykset antavat nämä takaukset vaihtoehtona sakkoihin liittyville alustaville maksuille.</w:t>
      </w:r>
    </w:p>
    <w:p>
      <w:pPr>
        <w:rPr>
          <w:rFonts w:ascii="Verdana" w:hAnsi="Verdana"/>
          <w:noProof/>
          <w:color w:val="016794"/>
          <w:sz w:val="18"/>
          <w:szCs w:val="18"/>
        </w:rPr>
      </w:pPr>
    </w:p>
    <w:p>
      <w:pPr>
        <w:pStyle w:val="HEADER5"/>
        <w:rPr>
          <w:noProof/>
        </w:rPr>
      </w:pPr>
      <w:r>
        <w:rPr>
          <w:noProof/>
        </w:rPr>
        <w:t>Luoton laatu niissä rahoitusvaroissa, joihin liittyvä suoritus ei ole viivästynyt ja joiden arvo ei ole alentunut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1275"/>
        <w:gridCol w:w="284"/>
        <w:gridCol w:w="992"/>
        <w:gridCol w:w="1276"/>
        <w:gridCol w:w="283"/>
        <w:gridCol w:w="993"/>
        <w:gridCol w:w="283"/>
        <w:gridCol w:w="1134"/>
      </w:tblGrid>
      <w:t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04" w:name="DOC_TBL00091_1_1"/>
            <w:bookmarkEnd w:id="204"/>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gridSpan w:val="2"/>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gridSpan w:val="2"/>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milj. euroa</w:t>
            </w:r>
          </w:p>
        </w:tc>
      </w:tr>
      <w:tr>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7938" w:type="dxa"/>
            <w:gridSpan w:val="9"/>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31.12.2018</w:t>
            </w:r>
          </w:p>
        </w:tc>
      </w:tr>
      <w:tr>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pPr>
              <w:pStyle w:val="Heading9pNormalLeft"/>
              <w:jc w:val="right"/>
              <w:rPr>
                <w:rFonts w:eastAsia="Verdana" w:cs="Verdana"/>
                <w:noProof/>
              </w:rPr>
            </w:pP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jc w:val="right"/>
              <w:rPr>
                <w:rFonts w:eastAsia="Verdana" w:cs="Verdana"/>
              </w:rPr>
            </w:pPr>
            <w:r>
              <w:t>Myytävissä olevat rahoitusvarat*</w:t>
            </w:r>
          </w:p>
        </w:tc>
        <w:tc>
          <w:tcPr>
            <w:tcW w:w="1559" w:type="dxa"/>
            <w:gridSpan w:val="2"/>
            <w:tcBorders>
              <w:top w:val="nil"/>
              <w:left w:val="nil"/>
              <w:bottom w:val="nil"/>
              <w:right w:val="nil"/>
            </w:tcBorders>
            <w:shd w:val="clear" w:color="auto" w:fill="016794"/>
            <w:tcMar>
              <w:top w:w="0" w:type="dxa"/>
              <w:left w:w="108" w:type="dxa"/>
              <w:bottom w:w="0" w:type="dxa"/>
              <w:right w:w="108" w:type="dxa"/>
            </w:tcMar>
          </w:tcPr>
          <w:p>
            <w:pPr>
              <w:pStyle w:val="Heading8pNormalCentered"/>
              <w:jc w:val="right"/>
              <w:rPr>
                <w:rFonts w:eastAsia="Verdana" w:cs="Verdana"/>
              </w:rPr>
            </w:pPr>
            <w:r>
              <w:t>Tulos-vaikutteisesti käypään arvoon kirjattavat rahoitusvarat**</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jc w:val="right"/>
              <w:rPr>
                <w:rFonts w:eastAsia="Verdana" w:cs="Verdana"/>
              </w:rPr>
            </w:pPr>
            <w:r>
              <w:t>Lainat</w:t>
            </w:r>
          </w:p>
        </w:tc>
        <w:tc>
          <w:tcPr>
            <w:tcW w:w="1559" w:type="dxa"/>
            <w:gridSpan w:val="2"/>
            <w:tcBorders>
              <w:top w:val="nil"/>
              <w:left w:val="nil"/>
              <w:bottom w:val="nil"/>
              <w:right w:val="nil"/>
            </w:tcBorders>
            <w:shd w:val="clear" w:color="auto" w:fill="016794"/>
            <w:tcMar>
              <w:top w:w="0" w:type="dxa"/>
              <w:left w:w="108" w:type="dxa"/>
              <w:bottom w:w="0" w:type="dxa"/>
              <w:right w:w="108" w:type="dxa"/>
            </w:tcMar>
          </w:tcPr>
          <w:p>
            <w:pPr>
              <w:pStyle w:val="Heading8pNormalCentered"/>
              <w:jc w:val="right"/>
              <w:rPr>
                <w:rFonts w:eastAsia="Verdana" w:cs="Verdana"/>
              </w:rPr>
            </w:pPr>
            <w:r>
              <w:t>Saamiset ja kerrytettävissä olevat rahamäärät</w:t>
            </w:r>
          </w:p>
        </w:tc>
        <w:tc>
          <w:tcPr>
            <w:tcW w:w="1276" w:type="dxa"/>
            <w:gridSpan w:val="2"/>
            <w:tcBorders>
              <w:top w:val="nil"/>
              <w:left w:val="nil"/>
              <w:bottom w:val="nil"/>
              <w:right w:val="nil"/>
            </w:tcBorders>
            <w:shd w:val="clear" w:color="auto" w:fill="016794"/>
            <w:tcMar>
              <w:top w:w="0" w:type="dxa"/>
              <w:left w:w="108" w:type="dxa"/>
              <w:bottom w:w="0" w:type="dxa"/>
              <w:right w:w="108" w:type="dxa"/>
            </w:tcMar>
          </w:tcPr>
          <w:p>
            <w:pPr>
              <w:pStyle w:val="Heading8pNormalCentered"/>
              <w:jc w:val="right"/>
              <w:rPr>
                <w:rFonts w:eastAsia="Verdana" w:cs="Verdana"/>
              </w:rPr>
            </w:pPr>
            <w:r>
              <w:t>Käteisvarat</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jc w:val="right"/>
              <w:rPr>
                <w:rFonts w:eastAsia="Verdana" w:cs="Verdana"/>
              </w:rPr>
            </w:pPr>
            <w:r>
              <w:t>Yhteensä</w:t>
            </w: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Vastapuolet, joilla on ulkoinen luottoluokitus</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559" w:type="dxa"/>
            <w:gridSpan w:val="2"/>
            <w:tcBorders>
              <w:top w:val="nil"/>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559" w:type="dxa"/>
            <w:gridSpan w:val="2"/>
            <w:tcBorders>
              <w:top w:val="nil"/>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276" w:type="dxa"/>
            <w:gridSpan w:val="2"/>
            <w:tcBorders>
              <w:top w:val="nil"/>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Paras ja hyvä luokitus</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9 019</w:t>
            </w:r>
          </w:p>
        </w:tc>
        <w:tc>
          <w:tcPr>
            <w:tcW w:w="1559"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16</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98</w:t>
            </w:r>
          </w:p>
        </w:tc>
        <w:tc>
          <w:tcPr>
            <w:tcW w:w="1559"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9 064</w:t>
            </w:r>
          </w:p>
        </w:tc>
        <w:tc>
          <w:tcPr>
            <w:tcW w:w="1276"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14 950</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33 146</w:t>
            </w: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Ylemmän keskitason luokitus</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3 209</w:t>
            </w:r>
          </w:p>
        </w:tc>
        <w:tc>
          <w:tcPr>
            <w:tcW w:w="1559"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23 513</w:t>
            </w:r>
          </w:p>
        </w:tc>
        <w:tc>
          <w:tcPr>
            <w:tcW w:w="1559"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755</w:t>
            </w:r>
          </w:p>
        </w:tc>
        <w:tc>
          <w:tcPr>
            <w:tcW w:w="1276"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2 740</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30 217</w:t>
            </w: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Alemman keskitason luokitus</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1 765</w:t>
            </w:r>
          </w:p>
        </w:tc>
        <w:tc>
          <w:tcPr>
            <w:tcW w:w="1559"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25 775</w:t>
            </w:r>
          </w:p>
        </w:tc>
        <w:tc>
          <w:tcPr>
            <w:tcW w:w="1559"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1 456</w:t>
            </w:r>
          </w:p>
        </w:tc>
        <w:tc>
          <w:tcPr>
            <w:tcW w:w="1276"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181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29 177</w:t>
            </w:r>
          </w:p>
        </w:tc>
      </w:tr>
      <w:tr>
        <w:trPr>
          <w:trHeight w:val="24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8pItalicLeft"/>
              <w:rPr>
                <w:rFonts w:eastAsia="Verdana" w:cs="Verdana"/>
              </w:rPr>
            </w:pPr>
            <w:r>
              <w:t>Spekulatiivinen luokitus</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gridSpan w:val="2"/>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4 488</w:t>
            </w:r>
          </w:p>
        </w:tc>
        <w:tc>
          <w:tcPr>
            <w:tcW w:w="1559" w:type="dxa"/>
            <w:gridSpan w:val="2"/>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200</w:t>
            </w:r>
          </w:p>
        </w:tc>
        <w:tc>
          <w:tcPr>
            <w:tcW w:w="1276" w:type="dxa"/>
            <w:gridSpan w:val="2"/>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221</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4 909</w:t>
            </w:r>
          </w:p>
        </w:tc>
      </w:tr>
      <w:tr>
        <w:trPr>
          <w:trHeight w:val="247"/>
        </w:trPr>
        <w:tc>
          <w:tcPr>
            <w:tcW w:w="19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13 993</w:t>
            </w:r>
          </w:p>
        </w:tc>
        <w:tc>
          <w:tcPr>
            <w:tcW w:w="1559" w:type="dxa"/>
            <w:gridSpan w:val="2"/>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16</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53 874</w:t>
            </w:r>
          </w:p>
        </w:tc>
        <w:tc>
          <w:tcPr>
            <w:tcW w:w="1559" w:type="dxa"/>
            <w:gridSpan w:val="2"/>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11 475</w:t>
            </w:r>
          </w:p>
        </w:tc>
        <w:tc>
          <w:tcPr>
            <w:tcW w:w="1276" w:type="dxa"/>
            <w:gridSpan w:val="2"/>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18 092</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97 449</w:t>
            </w:r>
          </w:p>
        </w:tc>
      </w:tr>
      <w:tr>
        <w:trPr>
          <w:trHeight w:val="247"/>
        </w:trPr>
        <w:tc>
          <w:tcPr>
            <w:tcW w:w="19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Vastapuolet, joilla ei ole ulkoista luottoluokitusta</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559" w:type="dxa"/>
            <w:gridSpan w:val="2"/>
            <w:tcBorders>
              <w:top w:val="single" w:sz="4" w:space="0" w:color="016794"/>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559" w:type="dxa"/>
            <w:gridSpan w:val="2"/>
            <w:tcBorders>
              <w:top w:val="single" w:sz="4" w:space="0" w:color="016794"/>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276" w:type="dxa"/>
            <w:gridSpan w:val="2"/>
            <w:tcBorders>
              <w:top w:val="single" w:sz="4" w:space="0" w:color="016794"/>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Ryhmä 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64</w:t>
            </w:r>
          </w:p>
        </w:tc>
        <w:tc>
          <w:tcPr>
            <w:tcW w:w="1559"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3 262</w:t>
            </w:r>
          </w:p>
        </w:tc>
        <w:tc>
          <w:tcPr>
            <w:tcW w:w="1276"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3 347</w:t>
            </w:r>
          </w:p>
        </w:tc>
      </w:tr>
      <w:tr>
        <w:trPr>
          <w:trHeight w:val="24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8pItalicLeft"/>
              <w:rPr>
                <w:rFonts w:eastAsia="Verdana" w:cs="Verdana"/>
              </w:rPr>
            </w:pPr>
            <w:r>
              <w:t>Ryhmä 2</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gridSpan w:val="2"/>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w:t>
            </w:r>
          </w:p>
        </w:tc>
        <w:tc>
          <w:tcPr>
            <w:tcW w:w="1559" w:type="dxa"/>
            <w:gridSpan w:val="2"/>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c>
          <w:tcPr>
            <w:tcW w:w="1276" w:type="dxa"/>
            <w:gridSpan w:val="2"/>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w:t>
            </w:r>
          </w:p>
        </w:tc>
      </w:tr>
      <w:tr>
        <w:trPr>
          <w:trHeight w:val="247"/>
        </w:trPr>
        <w:tc>
          <w:tcPr>
            <w:tcW w:w="19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w:t>
            </w:r>
          </w:p>
        </w:tc>
        <w:tc>
          <w:tcPr>
            <w:tcW w:w="1559" w:type="dxa"/>
            <w:gridSpan w:val="2"/>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66</w:t>
            </w:r>
          </w:p>
        </w:tc>
        <w:tc>
          <w:tcPr>
            <w:tcW w:w="1559" w:type="dxa"/>
            <w:gridSpan w:val="2"/>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3 262</w:t>
            </w:r>
          </w:p>
        </w:tc>
        <w:tc>
          <w:tcPr>
            <w:tcW w:w="1276" w:type="dxa"/>
            <w:gridSpan w:val="2"/>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21</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3 349</w:t>
            </w:r>
          </w:p>
        </w:tc>
      </w:tr>
      <w:tr>
        <w:trPr>
          <w:trHeight w:val="247"/>
        </w:trPr>
        <w:tc>
          <w:tcPr>
            <w:tcW w:w="19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r>
              <w:t>Yhteensä</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13 993</w:t>
            </w:r>
          </w:p>
        </w:tc>
        <w:tc>
          <w:tcPr>
            <w:tcW w:w="1559" w:type="dxa"/>
            <w:gridSpan w:val="2"/>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16</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53 939</w:t>
            </w:r>
          </w:p>
        </w:tc>
        <w:tc>
          <w:tcPr>
            <w:tcW w:w="1559" w:type="dxa"/>
            <w:gridSpan w:val="2"/>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14 737</w:t>
            </w:r>
          </w:p>
        </w:tc>
        <w:tc>
          <w:tcPr>
            <w:tcW w:w="1276" w:type="dxa"/>
            <w:gridSpan w:val="2"/>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18 113</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100 797</w:t>
            </w:r>
          </w:p>
        </w:tc>
      </w:tr>
      <w:t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05" w:name="DOC_TBL00092_1_1"/>
            <w:bookmarkEnd w:id="205"/>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gridSpan w:val="2"/>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gridSpan w:val="2"/>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milj. euroa</w:t>
            </w:r>
          </w:p>
        </w:tc>
      </w:tr>
      <w:tr>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7938" w:type="dxa"/>
            <w:gridSpan w:val="9"/>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r>
      <w:tr>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pPr>
              <w:pStyle w:val="Heading9pNormalLeft"/>
              <w:jc w:val="right"/>
              <w:rPr>
                <w:rFonts w:eastAsia="Verdana" w:cs="Verdana"/>
                <w:noProof/>
              </w:rPr>
            </w:pP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jc w:val="right"/>
              <w:rPr>
                <w:rFonts w:eastAsia="Verdana" w:cs="Verdana"/>
              </w:rPr>
            </w:pPr>
            <w:r>
              <w:t>Myytävissä olevat rahoitusvarat*</w:t>
            </w:r>
          </w:p>
        </w:tc>
        <w:tc>
          <w:tcPr>
            <w:tcW w:w="1559" w:type="dxa"/>
            <w:gridSpan w:val="2"/>
            <w:tcBorders>
              <w:top w:val="nil"/>
              <w:left w:val="nil"/>
              <w:bottom w:val="nil"/>
              <w:right w:val="nil"/>
            </w:tcBorders>
            <w:shd w:val="clear" w:color="auto" w:fill="016794"/>
            <w:tcMar>
              <w:top w:w="0" w:type="dxa"/>
              <w:left w:w="108" w:type="dxa"/>
              <w:bottom w:w="0" w:type="dxa"/>
              <w:right w:w="108" w:type="dxa"/>
            </w:tcMar>
          </w:tcPr>
          <w:p>
            <w:pPr>
              <w:pStyle w:val="Heading8pNormalCentered"/>
              <w:jc w:val="right"/>
            </w:pPr>
            <w:r>
              <w:t>Tulos-</w:t>
            </w:r>
          </w:p>
          <w:p>
            <w:pPr>
              <w:pStyle w:val="Heading8pNormalCentered"/>
              <w:jc w:val="right"/>
              <w:rPr>
                <w:rFonts w:eastAsia="Verdana" w:cs="Verdana"/>
              </w:rPr>
            </w:pPr>
            <w:r>
              <w:t>vaikutteisesti käypään arvoon kirjattavat rahoitusvarat**</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jc w:val="right"/>
              <w:rPr>
                <w:rFonts w:eastAsia="Verdana" w:cs="Verdana"/>
              </w:rPr>
            </w:pPr>
            <w:r>
              <w:t>Lainat</w:t>
            </w:r>
          </w:p>
        </w:tc>
        <w:tc>
          <w:tcPr>
            <w:tcW w:w="1559" w:type="dxa"/>
            <w:gridSpan w:val="2"/>
            <w:tcBorders>
              <w:top w:val="nil"/>
              <w:left w:val="nil"/>
              <w:bottom w:val="nil"/>
              <w:right w:val="nil"/>
            </w:tcBorders>
            <w:shd w:val="clear" w:color="auto" w:fill="016794"/>
            <w:tcMar>
              <w:top w:w="0" w:type="dxa"/>
              <w:left w:w="108" w:type="dxa"/>
              <w:bottom w:w="0" w:type="dxa"/>
              <w:right w:w="108" w:type="dxa"/>
            </w:tcMar>
          </w:tcPr>
          <w:p>
            <w:pPr>
              <w:pStyle w:val="Heading8pNormalCentered"/>
              <w:jc w:val="right"/>
              <w:rPr>
                <w:rFonts w:eastAsia="Verdana" w:cs="Verdana"/>
              </w:rPr>
            </w:pPr>
            <w:r>
              <w:t>Saamiset ja kerrytettävissä olevat rahamäärät</w:t>
            </w:r>
          </w:p>
        </w:tc>
        <w:tc>
          <w:tcPr>
            <w:tcW w:w="1276" w:type="dxa"/>
            <w:gridSpan w:val="2"/>
            <w:tcBorders>
              <w:top w:val="nil"/>
              <w:left w:val="nil"/>
              <w:bottom w:val="nil"/>
              <w:right w:val="nil"/>
            </w:tcBorders>
            <w:shd w:val="clear" w:color="auto" w:fill="016794"/>
            <w:tcMar>
              <w:top w:w="0" w:type="dxa"/>
              <w:left w:w="108" w:type="dxa"/>
              <w:bottom w:w="0" w:type="dxa"/>
              <w:right w:w="108" w:type="dxa"/>
            </w:tcMar>
          </w:tcPr>
          <w:p>
            <w:pPr>
              <w:pStyle w:val="Heading8pNormalCentered"/>
              <w:jc w:val="right"/>
              <w:rPr>
                <w:rFonts w:eastAsia="Verdana" w:cs="Verdana"/>
              </w:rPr>
            </w:pPr>
            <w:r>
              <w:t>Käteisvarat</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jc w:val="right"/>
              <w:rPr>
                <w:rFonts w:eastAsia="Verdana" w:cs="Verdana"/>
              </w:rPr>
            </w:pPr>
            <w:r>
              <w:t>Yhteensä</w:t>
            </w: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Vastapuolet, joilla on ulkoinen luottoluokitus</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559" w:type="dxa"/>
            <w:gridSpan w:val="2"/>
            <w:tcBorders>
              <w:top w:val="nil"/>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559" w:type="dxa"/>
            <w:gridSpan w:val="2"/>
            <w:tcBorders>
              <w:top w:val="nil"/>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276" w:type="dxa"/>
            <w:gridSpan w:val="2"/>
            <w:tcBorders>
              <w:top w:val="nil"/>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Paras ja hyvä luokitus</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8 068</w:t>
            </w:r>
          </w:p>
        </w:tc>
        <w:tc>
          <w:tcPr>
            <w:tcW w:w="1559"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16</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143</w:t>
            </w:r>
          </w:p>
        </w:tc>
        <w:tc>
          <w:tcPr>
            <w:tcW w:w="1559"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2 989</w:t>
            </w:r>
          </w:p>
        </w:tc>
        <w:tc>
          <w:tcPr>
            <w:tcW w:w="1276"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19 261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30 477</w:t>
            </w: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Ylemmän keskitason luokitus</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1 794</w:t>
            </w:r>
          </w:p>
        </w:tc>
        <w:tc>
          <w:tcPr>
            <w:tcW w:w="1559"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23 585</w:t>
            </w:r>
          </w:p>
        </w:tc>
        <w:tc>
          <w:tcPr>
            <w:tcW w:w="1559"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293</w:t>
            </w:r>
          </w:p>
        </w:tc>
        <w:tc>
          <w:tcPr>
            <w:tcW w:w="1276"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3 977</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29 650</w:t>
            </w: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Alemman keskitason luokitus</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2 186</w:t>
            </w:r>
          </w:p>
        </w:tc>
        <w:tc>
          <w:tcPr>
            <w:tcW w:w="1559"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27 195</w:t>
            </w:r>
          </w:p>
        </w:tc>
        <w:tc>
          <w:tcPr>
            <w:tcW w:w="1559"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846</w:t>
            </w:r>
          </w:p>
        </w:tc>
        <w:tc>
          <w:tcPr>
            <w:tcW w:w="1276"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463</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30 691</w:t>
            </w:r>
          </w:p>
        </w:tc>
      </w:tr>
      <w:tr>
        <w:trPr>
          <w:trHeight w:val="24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8pItalicLeft"/>
              <w:rPr>
                <w:rFonts w:eastAsia="Verdana" w:cs="Verdana"/>
              </w:rPr>
            </w:pPr>
            <w:r>
              <w:t>Spekulatiivinen luokitus</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gridSpan w:val="2"/>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3 977</w:t>
            </w:r>
          </w:p>
        </w:tc>
        <w:tc>
          <w:tcPr>
            <w:tcW w:w="1559" w:type="dxa"/>
            <w:gridSpan w:val="2"/>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110</w:t>
            </w:r>
          </w:p>
        </w:tc>
        <w:tc>
          <w:tcPr>
            <w:tcW w:w="1276" w:type="dxa"/>
            <w:gridSpan w:val="2"/>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389</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4 476</w:t>
            </w:r>
          </w:p>
        </w:tc>
      </w:tr>
      <w:tr>
        <w:trPr>
          <w:trHeight w:val="247"/>
        </w:trPr>
        <w:tc>
          <w:tcPr>
            <w:tcW w:w="19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12 048</w:t>
            </w:r>
          </w:p>
        </w:tc>
        <w:tc>
          <w:tcPr>
            <w:tcW w:w="1559" w:type="dxa"/>
            <w:gridSpan w:val="2"/>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16</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54 901</w:t>
            </w:r>
          </w:p>
        </w:tc>
        <w:tc>
          <w:tcPr>
            <w:tcW w:w="1559" w:type="dxa"/>
            <w:gridSpan w:val="2"/>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4 239</w:t>
            </w:r>
          </w:p>
        </w:tc>
        <w:tc>
          <w:tcPr>
            <w:tcW w:w="1276" w:type="dxa"/>
            <w:gridSpan w:val="2"/>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24 090</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95 293</w:t>
            </w:r>
          </w:p>
        </w:tc>
      </w:tr>
      <w:tr>
        <w:trPr>
          <w:trHeight w:val="247"/>
        </w:trPr>
        <w:tc>
          <w:tcPr>
            <w:tcW w:w="19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Vastapuolet, joilla ei ole ulkoista luottoluokitusta</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559" w:type="dxa"/>
            <w:gridSpan w:val="2"/>
            <w:tcBorders>
              <w:top w:val="single" w:sz="4" w:space="0" w:color="016794"/>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559" w:type="dxa"/>
            <w:gridSpan w:val="2"/>
            <w:tcBorders>
              <w:top w:val="single" w:sz="4" w:space="0" w:color="016794"/>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276" w:type="dxa"/>
            <w:gridSpan w:val="2"/>
            <w:tcBorders>
              <w:top w:val="single" w:sz="4" w:space="0" w:color="016794"/>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Ryhmä 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6</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80</w:t>
            </w:r>
          </w:p>
        </w:tc>
        <w:tc>
          <w:tcPr>
            <w:tcW w:w="1559"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4 665</w:t>
            </w:r>
          </w:p>
        </w:tc>
        <w:tc>
          <w:tcPr>
            <w:tcW w:w="1276"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4 772</w:t>
            </w:r>
          </w:p>
        </w:tc>
      </w:tr>
      <w:tr>
        <w:trPr>
          <w:trHeight w:val="24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8pItalicLeft"/>
              <w:rPr>
                <w:rFonts w:eastAsia="Verdana" w:cs="Verdana"/>
              </w:rPr>
            </w:pPr>
            <w:r>
              <w:t>Ryhmä 2</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gridSpan w:val="2"/>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gridSpan w:val="2"/>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w:t>
            </w:r>
          </w:p>
        </w:tc>
        <w:tc>
          <w:tcPr>
            <w:tcW w:w="1276" w:type="dxa"/>
            <w:gridSpan w:val="2"/>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w:t>
            </w:r>
          </w:p>
        </w:tc>
      </w:tr>
      <w:tr>
        <w:trPr>
          <w:trHeight w:val="247"/>
        </w:trPr>
        <w:tc>
          <w:tcPr>
            <w:tcW w:w="19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w:t>
            </w:r>
          </w:p>
        </w:tc>
        <w:tc>
          <w:tcPr>
            <w:tcW w:w="1559" w:type="dxa"/>
            <w:gridSpan w:val="2"/>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6</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80</w:t>
            </w:r>
          </w:p>
        </w:tc>
        <w:tc>
          <w:tcPr>
            <w:tcW w:w="1559" w:type="dxa"/>
            <w:gridSpan w:val="2"/>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4 666</w:t>
            </w:r>
          </w:p>
        </w:tc>
        <w:tc>
          <w:tcPr>
            <w:tcW w:w="1276" w:type="dxa"/>
            <w:gridSpan w:val="2"/>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21</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4 773</w:t>
            </w:r>
          </w:p>
        </w:tc>
      </w:tr>
      <w:tr>
        <w:trPr>
          <w:trHeight w:val="247"/>
        </w:trPr>
        <w:tc>
          <w:tcPr>
            <w:tcW w:w="19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r>
              <w:t>Yhteensä</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12 048</w:t>
            </w:r>
          </w:p>
        </w:tc>
        <w:tc>
          <w:tcPr>
            <w:tcW w:w="1559" w:type="dxa"/>
            <w:gridSpan w:val="2"/>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23</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54 980</w:t>
            </w:r>
          </w:p>
        </w:tc>
        <w:tc>
          <w:tcPr>
            <w:tcW w:w="1559" w:type="dxa"/>
            <w:gridSpan w:val="2"/>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8 904</w:t>
            </w:r>
          </w:p>
        </w:tc>
        <w:tc>
          <w:tcPr>
            <w:tcW w:w="1276" w:type="dxa"/>
            <w:gridSpan w:val="2"/>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24 111</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100 067</w:t>
            </w:r>
          </w:p>
        </w:tc>
      </w:tr>
    </w:tbl>
    <w:p>
      <w:pPr>
        <w:pStyle w:val="Textstand-alone"/>
        <w:tabs>
          <w:tab w:val="left" w:pos="284"/>
        </w:tabs>
        <w:spacing w:before="60" w:after="0"/>
        <w:rPr>
          <w:i/>
          <w:sz w:val="14"/>
        </w:rPr>
      </w:pPr>
      <w:r>
        <w:rPr>
          <w:i/>
          <w:sz w:val="14"/>
        </w:rPr>
        <w:t xml:space="preserve">* </w:t>
      </w:r>
      <w:r>
        <w:tab/>
      </w:r>
      <w:r>
        <w:rPr>
          <w:i/>
          <w:sz w:val="14"/>
        </w:rPr>
        <w:t>Myytävissä olevat rahoitusvarat (pois lukien oman pääoman ehtoiset instrumentit ja Unitary-rahamarkkinarahasto).</w:t>
      </w:r>
    </w:p>
    <w:p>
      <w:pPr>
        <w:pStyle w:val="Textstand-alone"/>
        <w:tabs>
          <w:tab w:val="left" w:pos="284"/>
        </w:tabs>
        <w:spacing w:before="0" w:after="0"/>
        <w:rPr>
          <w:i/>
          <w:sz w:val="14"/>
        </w:rPr>
      </w:pPr>
      <w:r>
        <w:rPr>
          <w:i/>
          <w:sz w:val="14"/>
        </w:rPr>
        <w:t>**</w:t>
      </w:r>
      <w:r>
        <w:tab/>
      </w:r>
      <w:r>
        <w:rPr>
          <w:i/>
          <w:sz w:val="14"/>
        </w:rPr>
        <w:t>Käypään arvoon tulosvaikutteisesti kirjattavat rahoitusvarat.</w:t>
      </w:r>
    </w:p>
    <w:p>
      <w:pPr>
        <w:pStyle w:val="DGTextstand-alone"/>
      </w:pPr>
      <w:r>
        <w:t>Edellä olevaan taulukkoon ei ole sisällytetty sellaisia myytävissä olevia rahoitusvaroja, jotka ovat oman pääoman ehtoisia rahoitusvälineitä ilman ulkoista luottoluokitusta. Edellä mainitut neljä riskiluokkaa perustuvat pääosin ulkoisten luokituslaitosten luottoluokkiin seuraavasti:</w:t>
      </w:r>
    </w:p>
    <w:p>
      <w:pPr>
        <w:pStyle w:val="DGTextstand-alone"/>
        <w:numPr>
          <w:ilvl w:val="0"/>
          <w:numId w:val="34"/>
        </w:numPr>
      </w:pPr>
      <w:r>
        <w:t>Paras ja hyvä luokitus: Moody’s P-1, Aaa – Aa 3; S&amp;P A-1+, A-1, AAA – AA-; Fitch F1+, F1, AAA – AA- ja vastaavat.</w:t>
      </w:r>
    </w:p>
    <w:p>
      <w:pPr>
        <w:pStyle w:val="DGTextstand-alone"/>
        <w:numPr>
          <w:ilvl w:val="0"/>
          <w:numId w:val="34"/>
        </w:numPr>
      </w:pPr>
      <w:r>
        <w:t>Ylemmän keskitason luokitus: Moody’s P-2, A1–A3; S&amp;P A-2+, A+ - A-; Fitch F2, A+ – A- ja vastaavat.</w:t>
      </w:r>
    </w:p>
    <w:p>
      <w:pPr>
        <w:pStyle w:val="DGTextstand-alone"/>
        <w:numPr>
          <w:ilvl w:val="0"/>
          <w:numId w:val="34"/>
        </w:numPr>
      </w:pPr>
      <w:r>
        <w:t>Alemman keskitason luokitus: Moody’s P-3, Baa1–Baa3, S&amp;P A-3, BBB+ – BBB-; Fitch F-3, BBBB+ – BBB- ja vastaavat.</w:t>
      </w:r>
    </w:p>
    <w:p>
      <w:pPr>
        <w:pStyle w:val="DGTextstand-alone"/>
        <w:numPr>
          <w:ilvl w:val="0"/>
          <w:numId w:val="34"/>
        </w:numPr>
      </w:pPr>
      <w:r>
        <w:t>Spekulatiivinen luokitus: Moody’s (muu kuin prime), Ba1–C; S&amp;P B, C, BB+ – D; Fitch B, C, BB+ – D ja vastaavat.</w:t>
      </w:r>
    </w:p>
    <w:p>
      <w:pPr>
        <w:pStyle w:val="DGTextstand-alone"/>
      </w:pPr>
      <w:r>
        <w:t>EU käyttää näitä ulkoisten luokituslaitosten luottoluokituksia viitearvoina erityisesti rahoitusvälineitä ja liikepankkeja arvioidessaan. EU voi kuitenkin yksittäistapauksia analysoituaan päättää pitää omaisuuserän tai pankin jossakin edellä mainitussa riskiluokassa, vaikka yksi tai useampi edellä mainituista luokituslaitoksista olisi laskenut vastaavan vastapuolen luottoluokitusta. Vailla luottoluokitusta olevia vastapuolia arvioitaessa ryhmään 1 kuuluvat velalliset, joilla ei ole aiempia maksulaiminlyöntejä, ja ryhmään 2 velalliset, joilla niitä on.</w:t>
      </w:r>
    </w:p>
    <w:p>
      <w:pPr>
        <w:pStyle w:val="DGTextstand-alone"/>
      </w:pPr>
      <w:r>
        <w:t>Edellä kohdassa ”Lainat ja muut saamiset” esitetyt spekulatiivisiksi luokitellut määrät liittyvät pääasiassa lainoihin, jotka komissio on myöntänyt tukena taloudellisissa vaikeuksissa oleville jäsenvaltioille, ja tiettyjä jäsenvaltioita koskeviin kerrytettävissä oleviin määriin, jotka perustuvat omia varoja koskeviin säännöksiin tai muuhun oikeusperustaan. Käteisvarat liittyvät omien varojen pankkitileihin, jotka on avattu jäsenvaltioiden valtiokonttoreihin tai keskuspankkeihin edellä mainitussa asetuksessa säädettyjen omien varojen maksuosuuksien säilyttämistä varten. Komissio voi nostaa näiltä tileiltä varoja ainoastaan kattaakseen talousarvion toteuttamisesta johtuvia käteisvaratarpeita.</w:t>
      </w:r>
    </w:p>
    <w:p>
      <w:pPr>
        <w:pStyle w:val="HEADER5"/>
        <w:rPr>
          <w:noProof/>
        </w:rPr>
      </w:pPr>
      <w:r>
        <w:rPr>
          <w:noProof/>
        </w:rPr>
        <w:t>Rahoitusavun myöntämiseen liittyvä otto- ja antolainaustoiminta</w:t>
      </w:r>
    </w:p>
    <w:p>
      <w:pPr>
        <w:pStyle w:val="DGTextstand-alone"/>
      </w:pPr>
      <w:r>
        <w:t>Luottoriskiä hallitaan ensisijaisesti hankkimalla takauksia valtioilta (Euratomin tapauksessa). Seuraavaksi kyseeseen tulee ulkosuhteisiin liittyviä hankkeita varten perustettu takuurahasto (makrotaloudellinen rahoitusapu ja Euratom) ja takuurahaston jälkeen varojen ottaminen jäsenvaltioissa olevilta komission nimissä avatuilta omien varojen tileiltä. Viime kädessä luottoriskiä hallinnoidaan EU:n talousarvion kautta.</w:t>
      </w:r>
    </w:p>
    <w:p>
      <w:pPr>
        <w:pStyle w:val="DGTextstand-alone"/>
      </w:pPr>
      <w:r>
        <w:t>Omia varoja koskevien maksujen enimmäismäärä on omista varoista annettujen säännösten mukaan 1,20 prosenttia suhteessa jäsenvaltioiden BKTL:oon. Maksumäärärahojen kattamiseen vuonna 2018 käytetty omien varojen määrä oli 0,90 prosenttia. Tämä tarkoittaa sitä, että 31. joulukuuta 2018 näiden vakuuksien kattamiseen oli käytettävissä 0,30 prosentin marginaali. Tätä varten EU:lla on oikeus kääntyä jäsenvaltioiden puoleen varmistaakseen, että se pystyy täyttämään oikeudelliset velvoitteensa velkojiaan kohtaan.</w:t>
      </w:r>
    </w:p>
    <w:p>
      <w:pPr>
        <w:pStyle w:val="HEADER5"/>
        <w:rPr>
          <w:noProof/>
        </w:rPr>
      </w:pPr>
      <w:r>
        <w:rPr>
          <w:noProof/>
        </w:rPr>
        <w:t>Treasury-toiminnot</w:t>
      </w:r>
    </w:p>
    <w:p>
      <w:pPr>
        <w:pStyle w:val="DGTextstand-alone"/>
      </w:pPr>
      <w:r>
        <w:t>Pääosaa komission rahavaroista säilytetään omista varoista annetun neuvoston asetuksen (EU, Euratom) N:o 609/2014 (sellaisena kuin se on muutettuna neuvoston asetuksella (EU, Euratom) 804/2016) mukaisesti pankkitileillä, jotka jäsenvaltiot ovat avanneet rahoitusosuuksien maksamista varten (omat varat). Kaikki tällaiset tilit ovat jäsenvaltioiden valtiokonttoreissa tai keskuspankeissa. Näistä laitoksista aiheutuu komissiolle pienin mahdollinen luottoriski (tai vastapuoliriski), koska vastapuolena on jäsenvaltio. Osa komission rahavaroista on talletettu liikepankkeihin maksujen suorittamista varten. Näitä tilejä täydennetään tarpeen mukaan, ja niitä hallinnoidaan automaattisesti kassanhallintajärjestelmällä. Kullakin tilillä säilytetään vähimmäismäärä varoja, joka vastaa tileiltä keskimäärin päivittäin suoritettavia maksuja. Tämän vuoksi tilien yliyön-saldot ovat koko ajan pieniä (noin 20 tilillä on keskimäärin alle 80 miljoonaa euroa) eikä komissiolle aiheudu juurikaan riskiä. Nämä määrät on syytä suhteuttaa kaikkien pankkitileillä olevien varojen päivittäiseen yhteismäärään, joka vaihteli 6 miljardista eurosta 37 miljardiin euroon vuonna 2018. Vuonna 2018 näiltä tileiltä suoritettiin maksuja yli 155 miljardia euroa.</w:t>
      </w:r>
    </w:p>
    <w:p>
      <w:pPr>
        <w:pStyle w:val="DGTextstand-alone"/>
      </w:pPr>
      <w:r>
        <w:t>Komissioon kohdistuva vastapuoliriski pyritään lisäksi minimoimaan valitsemalla liikepankit erityisohjeiden mukaisesti.</w:t>
      </w:r>
    </w:p>
    <w:p>
      <w:pPr>
        <w:pStyle w:val="DGTextstand-alone"/>
        <w:numPr>
          <w:ilvl w:val="0"/>
          <w:numId w:val="35"/>
        </w:numPr>
      </w:pPr>
      <w:r>
        <w:t>Liikepankit valitaan aina tarjouskilpailulla. Liikepankin lyhytaikaisen luottoluokituksen on oltava vähintään P-1 (Moody’s) tai vastaava, jotta se voi osallistua tarjouskilpailuun. Tietyissä asianmukaisesti perustelluissa tapauksissa voidaan hyväksyä alhaisempikin luokitus.</w:t>
      </w:r>
    </w:p>
    <w:p>
      <w:pPr>
        <w:pStyle w:val="DGTextstand-alone"/>
        <w:numPr>
          <w:ilvl w:val="0"/>
          <w:numId w:val="35"/>
        </w:numPr>
      </w:pPr>
      <w:r>
        <w:t xml:space="preserve">Niiden liikepankkien, joissa komissiolla on tilejä, luottoluokituksia seurataan päivittäin. </w:t>
      </w:r>
    </w:p>
    <w:p>
      <w:pPr>
        <w:pStyle w:val="DGTextstand-alone"/>
        <w:numPr>
          <w:ilvl w:val="0"/>
          <w:numId w:val="35"/>
        </w:numPr>
      </w:pPr>
      <w:r>
        <w:t>EU:n ulkopuolisilla edustustoilla on ennakkotilejä paikallisissa pankeissa, jotka on valittu yksinkertaistetulla tarjouskilpailulla. Luokitusvaatimukset riippuvat paikallisista olosuhteista ja voivat vaihdella huomattavasti maiden välillä. Riskien rajoittamiseksi näiden tilien saldot pidetään niin pieninä kuin operatiiviset tarpeet sallivat. Tileille siirretään varoja säännöllisesti ja sovellettavia enimmäismääriä tarkistetaan vuosittain.</w:t>
      </w:r>
    </w:p>
    <w:p>
      <w:pPr>
        <w:pStyle w:val="HEADER5"/>
        <w:rPr>
          <w:noProof/>
        </w:rPr>
      </w:pPr>
      <w:r>
        <w:rPr>
          <w:noProof/>
        </w:rPr>
        <w:t>Sakot</w:t>
      </w:r>
    </w:p>
    <w:p>
      <w:pPr>
        <w:pStyle w:val="Textstand-alone"/>
        <w:rPr>
          <w:i/>
        </w:rPr>
      </w:pPr>
      <w:r>
        <w:rPr>
          <w:i/>
        </w:rPr>
        <w:t>Alustavasti maksetut sakot: talletukset</w:t>
      </w:r>
    </w:p>
    <w:p>
      <w:pPr>
        <w:pStyle w:val="DGTextstand-alone"/>
      </w:pPr>
      <w:r>
        <w:t>Pankit, joihin talletetaan alustavasti maksetuista sakoista ennen vuotta 2010 saadut määrät, on valittu tarjouskilpailussa noudattaen riskienhallintapolitiikkaa, jossa määritetään luottoluokitusta koskevat vaatimukset ja varojen määrä, joka voidaan tallettaa suhteessa vastapuolen oman pääoman määrään.</w:t>
      </w:r>
    </w:p>
    <w:p>
      <w:pPr>
        <w:pStyle w:val="DGTextstand-alone"/>
      </w:pPr>
      <w:r>
        <w:t>Liikepankeilla, jotka on erikseen valittu alustavasti maksettujen sakkojen tallettamista varten, on pääsäännön mukaan oltava kahdessa luottoluokituslaitoksessa pitkän aikavälin luottoluokituksena vähintään A- (S&amp;P tai vastaava). Erityistoimia sovelletaan silloin, kun kyseisiin ryhmiin kuuluvien pankkien luottoluokitusta alennetaan. Lisäksi kuhunkin pankkiin talletettu määrä on rajoitettu tiettyyn prosenttiosuuteen pankin omista varoista. Tämä osuus vaihtelee pankin luottoluokituksen mukaan. Tällaisten enimmäismäärien laskennassa otetaan huomioon myös kyseisen pankin komission hyväksi antamien vakuuksien määrä. Komissio varmistaa säännöllisesti sen, että pankkeihin tehdyt talletukset täyttävät riskienhallintapolitiikan vaatimukset.</w:t>
      </w:r>
    </w:p>
    <w:p>
      <w:pPr>
        <w:pStyle w:val="Textstand-alone"/>
        <w:rPr>
          <w:i/>
        </w:rPr>
      </w:pPr>
      <w:r>
        <w:rPr>
          <w:i/>
        </w:rPr>
        <w:t>Alustavasti maksetut sakot: BUFI-salkku</w:t>
      </w:r>
    </w:p>
    <w:p>
      <w:pPr>
        <w:pStyle w:val="DGTextstand-alone"/>
      </w:pPr>
      <w:r>
        <w:t>Vuodesta 2010 lähtien määrätyistä alustavasti maksetuista sakoista saatujen varojen sijoittamisesta valtionlainoihin aiheutuu komissiolle luottoriski. Suurimmat riskikeskittymät aiheutuvat Espanjasta, jonka osuus sijoitussalkun yhteenlasketusta nimellismäärästä on 16 prosenttia Viiden suurimman riskin maan (Espanja, Ranska, Luxemburg, Saksa ja Italia) osuus sijoitussalkusta on yhteensä 67 prosenttia. Salkun painotettu keskimääräinen luottoluokitus on A– (S&amp;P tai vastaava).</w:t>
      </w:r>
    </w:p>
    <w:p>
      <w:pPr>
        <w:rPr>
          <w:rFonts w:ascii="Verdana" w:hAnsi="Verdana"/>
          <w:i/>
          <w:noProof/>
          <w:sz w:val="18"/>
          <w:szCs w:val="18"/>
        </w:rPr>
      </w:pPr>
      <w:r>
        <w:rPr>
          <w:i/>
          <w:noProof/>
        </w:rPr>
        <w:br w:type="page"/>
      </w:r>
    </w:p>
    <w:p>
      <w:pPr>
        <w:pStyle w:val="Textstand-alone"/>
        <w:rPr>
          <w:i/>
        </w:rPr>
      </w:pPr>
      <w:r>
        <w:rPr>
          <w:i/>
        </w:rPr>
        <w:t>Pankkitakaukset</w:t>
      </w:r>
    </w:p>
    <w:p>
      <w:pPr>
        <w:pStyle w:val="DGTextstand-alone"/>
      </w:pPr>
      <w:r>
        <w:t>Näiden takauksien hyväksymiseen sovellettavalla riskienhallintapolitiikalla varmistetaan, että komission luottokannan laatu on hyvä. Komissio varmistaa säännöllisesti sen, että avoinna olevat vakuudet täyttävät riskinhallintapolitiikan vaatimukset.</w:t>
      </w:r>
    </w:p>
    <w:p>
      <w:pPr>
        <w:pStyle w:val="HEADER5"/>
        <w:rPr>
          <w:noProof/>
        </w:rPr>
      </w:pPr>
      <w:r>
        <w:rPr>
          <w:noProof/>
        </w:rPr>
        <w:t>Ulkosuhteisiin liittyviä hankkeita varten perustettu takuurahasto</w:t>
      </w:r>
    </w:p>
    <w:p>
      <w:pPr>
        <w:pStyle w:val="DGTextstand-alone"/>
      </w:pPr>
      <w:r>
        <w:t>Käteissalkkua varten hyväksytyissä omaisuudenhoidon suuntaviivoissa ja/tai sijoitusstrategiassa määritetään tietyt raja-arvot ja rajoitukset, joilla rajoitetaan salkkuun kohdistuvaa luottoriskiä. Näihin raja-arvoihin ja rajoituksiin kuuluvat kelpoisuuskriteerit, liikkeeseenlaskijaluokasta riippuvat nimellismääräiset absoluuttiset luottolimiitit, liikkeeseenlaskijaluokasta riippuvat suhteelliset keskittymärajat ja yksittäistä liikkeeseenlaskua koskevat keskittymärajat. Kaikilla sijoituksilla on vähintään investointitason luokitus (investment grade).</w:t>
      </w:r>
    </w:p>
    <w:p>
      <w:pPr>
        <w:pStyle w:val="HEADER5"/>
        <w:rPr>
          <w:noProof/>
        </w:rPr>
      </w:pPr>
      <w:r>
        <w:rPr>
          <w:noProof/>
        </w:rPr>
        <w:t>ESIR-takuurahasto</w:t>
      </w:r>
    </w:p>
    <w:p>
      <w:pPr>
        <w:pStyle w:val="DGTextstand-alone"/>
      </w:pPr>
      <w:r>
        <w:t>Omaisuudenhoitoa koskevissa suuntaviivoissa ja riski- ja sijoitusstrategioissa määritetään tietyt raja-arvot ja rajoitukset, joilla rajoitetaan salkkuun kohdistuvaa luottoriskiä. Se rajoitetaan yleensä investointiluokkaan. Salkun painotettu keskimääräinen luottoluokitus on A– (S&amp;P tai vastaava).</w:t>
      </w:r>
    </w:p>
    <w:p>
      <w:pPr>
        <w:pStyle w:val="DGTextstand-alone"/>
      </w:pPr>
      <w:r>
        <w:t>Luottoriskiä vähentäviä lisäjärjestelyjä, kuten takauksia, nettoutussopimuksia tai muita vakuuksia ei ole otettu toistaiseksi käyttöön, koska kaikkien valuuttatermiinisopimusten ainoa vastapuoli on joulukuun 31. päivästä 2018 Banque de France. Valuuttajohdannaisiin, joiden käypä arvo raportointikauden lopussa on positiivinen, liittyvä suurin mahdollinen luottoriski on sama kuin niiden taseeseen merkitty kirjanpitoarvo.</w:t>
      </w:r>
    </w:p>
    <w:p>
      <w:pPr>
        <w:pStyle w:val="HEADER5"/>
        <w:rPr>
          <w:noProof/>
        </w:rPr>
      </w:pPr>
      <w:r>
        <w:rPr>
          <w:noProof/>
        </w:rPr>
        <w:t>EKKR-takuurahasto</w:t>
      </w:r>
    </w:p>
    <w:p>
      <w:pPr>
        <w:pStyle w:val="DGTextstand-alone"/>
        <w:spacing w:after="0"/>
      </w:pPr>
      <w:r>
        <w:t>Omaisuudenhoitoa koskevissa suuntaviivoissa ja riski- ja sijoitusstrategioissa määritetään tietyt raja-arvot ja rajoitukset, joilla rajoitetaan salkkuun kohdistuvaa luottoriskiä. Se rajoitetaan yleensä investointiluokkaan. Salkun painotettu keskimääräinen luottoluokitus on AAA (S&amp;P tai vastaava), kun sovelletaan julkisyhteisöjen luottoluokitusta keskuspankeissa pidettyihin käteisvaroihin.</w:t>
      </w:r>
    </w:p>
    <w:p>
      <w:pPr>
        <w:pStyle w:val="DGTextstand-alone"/>
        <w:spacing w:before="0" w:after="0"/>
        <w:sectPr>
          <w:headerReference w:type="even" r:id="rId394"/>
          <w:headerReference w:type="default" r:id="rId395"/>
          <w:footerReference w:type="even" r:id="rId396"/>
          <w:footerReference w:type="default" r:id="rId397"/>
          <w:headerReference w:type="first" r:id="rId398"/>
          <w:footerReference w:type="first" r:id="rId399"/>
          <w:type w:val="continuous"/>
          <w:pgSz w:w="11906" w:h="16838"/>
          <w:pgMar w:top="1134" w:right="1134" w:bottom="1134" w:left="1134" w:header="709" w:footer="709" w:gutter="0"/>
          <w:cols w:space="708"/>
          <w:docGrid w:linePitch="360"/>
        </w:sectPr>
      </w:pPr>
      <w:r>
        <w:t xml:space="preserve"> </w:t>
      </w:r>
      <w:bookmarkEnd w:id="202"/>
    </w:p>
    <w:p>
      <w:pPr>
        <w:pStyle w:val="HEADER2NOTES"/>
        <w:rPr>
          <w:noProof/>
        </w:rPr>
      </w:pPr>
      <w:bookmarkStart w:id="206" w:name="_DMBM_14789"/>
      <w:r>
        <w:rPr>
          <w:noProof/>
        </w:rPr>
        <w:t>LIKVIDITEETTIRISKI</w:t>
      </w:r>
    </w:p>
    <w:p>
      <w:pPr>
        <w:pStyle w:val="HEADER5"/>
        <w:rPr>
          <w:noProof/>
        </w:rPr>
      </w:pPr>
      <w:r>
        <w:rPr>
          <w:noProof/>
        </w:rPr>
        <w:t>Rahoitusvelkojen maturiteettien analyysi sopimuksen jäljellä olevan maturiteetin mukaan jaoteltuna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268"/>
        <w:gridCol w:w="1701"/>
        <w:gridCol w:w="1701"/>
        <w:gridCol w:w="1417"/>
      </w:tblGrid>
      <w:tr>
        <w:trPr>
          <w:cantSplit/>
        </w:trPr>
        <w:tc>
          <w:tcPr>
            <w:tcW w:w="266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07" w:name="DOC_TBL00093_1_1"/>
            <w:bookmarkEnd w:id="207"/>
          </w:p>
        </w:tc>
        <w:tc>
          <w:tcPr>
            <w:tcW w:w="226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rPr>
          <w:cantSplit/>
        </w:trPr>
        <w:tc>
          <w:tcPr>
            <w:tcW w:w="2660"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2268" w:type="dxa"/>
            <w:tcBorders>
              <w:top w:val="nil"/>
              <w:left w:val="nil"/>
              <w:bottom w:val="nil"/>
              <w:right w:val="nil"/>
            </w:tcBorders>
            <w:shd w:val="clear" w:color="auto" w:fill="016794"/>
            <w:tcMar>
              <w:top w:w="0" w:type="dxa"/>
              <w:left w:w="108" w:type="dxa"/>
              <w:bottom w:w="0" w:type="dxa"/>
              <w:right w:w="108" w:type="dxa"/>
            </w:tcMar>
          </w:tcPr>
          <w:p>
            <w:pPr>
              <w:pStyle w:val="Heading-9pNormalCentered"/>
            </w:pPr>
            <w:r>
              <w:t xml:space="preserve">Erääntymiseen </w:t>
            </w:r>
          </w:p>
          <w:p>
            <w:pPr>
              <w:pStyle w:val="Heading-9pNormalCentered"/>
              <w:rPr>
                <w:rFonts w:eastAsia="Verdana" w:cs="Verdana"/>
              </w:rPr>
            </w:pPr>
            <w:r>
              <w:t>&lt; 1 vuosi</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9pNormalCentered"/>
            </w:pPr>
            <w:r>
              <w:t xml:space="preserve">Erääntymiseen </w:t>
            </w:r>
          </w:p>
          <w:p>
            <w:pPr>
              <w:pStyle w:val="Heading-9pNormalCentered"/>
              <w:rPr>
                <w:rFonts w:eastAsia="Verdana" w:cs="Verdana"/>
              </w:rPr>
            </w:pPr>
            <w:r>
              <w:t>1–5 vuotta</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Erääntymiseen &gt; 5 vuotta</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Yhteensä</w:t>
            </w:r>
          </w:p>
        </w:tc>
      </w:tr>
      <w:tr>
        <w:trPr>
          <w:cantSplit/>
        </w:trPr>
        <w:tc>
          <w:tcPr>
            <w:tcW w:w="2660"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Ottolainaus</w:t>
            </w:r>
          </w:p>
        </w:tc>
        <w:tc>
          <w:tcPr>
            <w:tcW w:w="226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(2 350)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(17 363)</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(34 158)</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(53 872)</w:t>
            </w:r>
          </w:p>
        </w:tc>
      </w:tr>
      <w:tr>
        <w:trPr>
          <w:cantSplit/>
        </w:trPr>
        <w:tc>
          <w:tcPr>
            <w:tcW w:w="2660"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Muut lyhytaikaiset velat</w:t>
            </w:r>
          </w:p>
        </w:tc>
        <w:tc>
          <w:tcPr>
            <w:tcW w:w="226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(32 227)</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(32 227)</w:t>
            </w:r>
          </w:p>
        </w:tc>
      </w:tr>
      <w:tr>
        <w:trPr>
          <w:cantSplit/>
        </w:trPr>
        <w:tc>
          <w:tcPr>
            <w:tcW w:w="2660"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Muut</w:t>
            </w:r>
          </w:p>
        </w:tc>
        <w:tc>
          <w:tcPr>
            <w:tcW w:w="226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(252)</w:t>
            </w:r>
          </w:p>
        </w:tc>
        <w:tc>
          <w:tcPr>
            <w:tcW w:w="170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(648)</w:t>
            </w:r>
          </w:p>
        </w:tc>
        <w:tc>
          <w:tcPr>
            <w:tcW w:w="170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(1 112)</w:t>
            </w:r>
          </w:p>
        </w:tc>
        <w:tc>
          <w:tcPr>
            <w:tcW w:w="141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(2 012)</w:t>
            </w:r>
          </w:p>
        </w:tc>
      </w:tr>
      <w:tr>
        <w:trPr>
          <w:cantSplit/>
        </w:trPr>
        <w:tc>
          <w:tcPr>
            <w:tcW w:w="266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Yhteensä 31.12.2018</w:t>
            </w:r>
          </w:p>
        </w:tc>
        <w:tc>
          <w:tcPr>
            <w:tcW w:w="226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(34 829)</w:t>
            </w:r>
          </w:p>
        </w:tc>
        <w:tc>
          <w:tcPr>
            <w:tcW w:w="170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(18 011)</w:t>
            </w:r>
          </w:p>
        </w:tc>
        <w:tc>
          <w:tcPr>
            <w:tcW w:w="170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(35 270)</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(88 110)</w:t>
            </w:r>
          </w:p>
        </w:tc>
      </w:tr>
      <w:tr>
        <w:trPr>
          <w:cantSplit/>
        </w:trPr>
        <w:tc>
          <w:tcPr>
            <w:tcW w:w="2660"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Ottolainaus</w:t>
            </w:r>
          </w:p>
        </w:tc>
        <w:tc>
          <w:tcPr>
            <w:tcW w:w="226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(6 700)</w:t>
            </w:r>
          </w:p>
        </w:tc>
        <w:tc>
          <w:tcPr>
            <w:tcW w:w="170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(14 862)</w:t>
            </w:r>
          </w:p>
        </w:tc>
        <w:tc>
          <w:tcPr>
            <w:tcW w:w="170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(33 279)</w:t>
            </w: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(54 841)</w:t>
            </w:r>
          </w:p>
        </w:tc>
      </w:tr>
      <w:tr>
        <w:trPr>
          <w:cantSplit/>
        </w:trPr>
        <w:tc>
          <w:tcPr>
            <w:tcW w:w="2660"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Muut lyhytaikaiset velat</w:t>
            </w:r>
          </w:p>
        </w:tc>
        <w:tc>
          <w:tcPr>
            <w:tcW w:w="226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(39 048)</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(39 048)</w:t>
            </w:r>
          </w:p>
        </w:tc>
      </w:tr>
      <w:tr>
        <w:trPr>
          <w:cantSplit/>
        </w:trPr>
        <w:tc>
          <w:tcPr>
            <w:tcW w:w="2660"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Muut</w:t>
            </w:r>
          </w:p>
        </w:tc>
        <w:tc>
          <w:tcPr>
            <w:tcW w:w="226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(150)</w:t>
            </w:r>
          </w:p>
        </w:tc>
        <w:tc>
          <w:tcPr>
            <w:tcW w:w="170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(665)</w:t>
            </w:r>
          </w:p>
        </w:tc>
        <w:tc>
          <w:tcPr>
            <w:tcW w:w="170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(1 255)</w:t>
            </w:r>
          </w:p>
        </w:tc>
        <w:tc>
          <w:tcPr>
            <w:tcW w:w="141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(2 070)</w:t>
            </w:r>
          </w:p>
        </w:tc>
      </w:tr>
      <w:tr>
        <w:trPr>
          <w:cantSplit/>
        </w:trPr>
        <w:tc>
          <w:tcPr>
            <w:tcW w:w="266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Yhteensä 31.12.2017</w:t>
            </w:r>
          </w:p>
        </w:tc>
        <w:tc>
          <w:tcPr>
            <w:tcW w:w="226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(45 898)</w:t>
            </w:r>
          </w:p>
        </w:tc>
        <w:tc>
          <w:tcPr>
            <w:tcW w:w="170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(15 527)</w:t>
            </w:r>
          </w:p>
        </w:tc>
        <w:tc>
          <w:tcPr>
            <w:tcW w:w="170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(34 534)</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(95 959)</w:t>
            </w:r>
          </w:p>
        </w:tc>
      </w:tr>
      <w:tr>
        <w:trPr>
          <w:cantSplit/>
        </w:trPr>
        <w:tc>
          <w:tcPr>
            <w:tcW w:w="2660"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p>
        </w:tc>
        <w:tc>
          <w:tcPr>
            <w:tcW w:w="226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p>
        </w:tc>
        <w:tc>
          <w:tcPr>
            <w:tcW w:w="170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p>
        </w:tc>
        <w:tc>
          <w:tcPr>
            <w:tcW w:w="170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p>
        </w:tc>
      </w:tr>
    </w:tbl>
    <w:p>
      <w:pPr>
        <w:pStyle w:val="Text8pItalicRight025EUR"/>
      </w:pPr>
    </w:p>
    <w:p>
      <w:pPr>
        <w:pStyle w:val="HEADER5"/>
        <w:rPr>
          <w:noProof/>
        </w:rPr>
      </w:pPr>
      <w:r>
        <w:rPr>
          <w:noProof/>
        </w:rPr>
        <w:t xml:space="preserve">Käypään arvoon tulosvaikutteisesti kirjattavat rahoitusvälineet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709"/>
        <w:gridCol w:w="1134"/>
        <w:gridCol w:w="1701"/>
        <w:gridCol w:w="1701"/>
        <w:gridCol w:w="1417"/>
      </w:tblGrid>
      <w:tr>
        <w:tc>
          <w:tcPr>
            <w:tcW w:w="3794" w:type="dxa"/>
            <w:gridSpan w:val="2"/>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08" w:name="DOC_TBL00094_1_1"/>
            <w:bookmarkEnd w:id="208"/>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milj. euroa</w:t>
            </w:r>
          </w:p>
        </w:tc>
      </w:tr>
      <w:tr>
        <w:tc>
          <w:tcPr>
            <w:tcW w:w="3085"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843"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pPr>
            <w:r>
              <w:t>Erääntymiseen</w:t>
            </w:r>
          </w:p>
          <w:p>
            <w:pPr>
              <w:pStyle w:val="Heading-9pNormalCentered"/>
              <w:rPr>
                <w:rFonts w:eastAsia="Verdana" w:cs="Verdana"/>
              </w:rPr>
            </w:pPr>
            <w:r>
              <w:t>&lt; 1 vuosi</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Erääntymiseen 1–5 vuotta</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Erääntymiseen &gt; 5 vuotta</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Yhteensä</w:t>
            </w:r>
          </w:p>
        </w:tc>
      </w:tr>
      <w:tr>
        <w:tc>
          <w:tcPr>
            <w:tcW w:w="3794" w:type="dxa"/>
            <w:gridSpan w:val="2"/>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Johdannaisiin liittyvät velat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(490)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(498)</w:t>
            </w:r>
          </w:p>
        </w:tc>
      </w:tr>
      <w:tr>
        <w:tc>
          <w:tcPr>
            <w:tcW w:w="3794" w:type="dxa"/>
            <w:gridSpan w:val="2"/>
            <w:tcBorders>
              <w:top w:val="nil"/>
              <w:left w:val="nil"/>
              <w:bottom w:val="single" w:sz="4" w:space="0" w:color="FFFFFF"/>
              <w:right w:val="nil"/>
            </w:tcBorders>
            <w:shd w:val="clear" w:color="auto" w:fill="auto"/>
            <w:tcMar>
              <w:top w:w="0" w:type="dxa"/>
              <w:left w:w="108" w:type="dxa"/>
              <w:bottom w:w="0" w:type="dxa"/>
              <w:right w:w="108" w:type="dxa"/>
            </w:tcMar>
          </w:tcPr>
          <w:p>
            <w:pPr>
              <w:pStyle w:val="Text9pNormalLeft"/>
              <w:rPr>
                <w:rFonts w:eastAsia="Verdana" w:cs="Verdana"/>
                <w:i/>
              </w:rPr>
            </w:pPr>
            <w:r>
              <w:rPr>
                <w:i/>
              </w:rPr>
              <w:t>Johdannaisiin liittyvät saamiset</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477</w:t>
            </w:r>
          </w:p>
        </w:tc>
        <w:tc>
          <w:tcPr>
            <w:tcW w:w="1701"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701"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477</w:t>
            </w:r>
          </w:p>
        </w:tc>
      </w:tr>
      <w:tr>
        <w:tc>
          <w:tcPr>
            <w:tcW w:w="3794" w:type="dxa"/>
            <w:gridSpan w:val="2"/>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Nettorahavirta 31.12.2018</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(14)</w:t>
            </w:r>
          </w:p>
        </w:tc>
        <w:tc>
          <w:tcPr>
            <w:tcW w:w="170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w:t>
            </w:r>
          </w:p>
        </w:tc>
        <w:tc>
          <w:tcPr>
            <w:tcW w:w="170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(6)</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(21)</w:t>
            </w:r>
          </w:p>
        </w:tc>
      </w:tr>
      <w:tr>
        <w:tc>
          <w:tcPr>
            <w:tcW w:w="3794" w:type="dxa"/>
            <w:gridSpan w:val="2"/>
            <w:tcBorders>
              <w:top w:val="single" w:sz="4" w:space="0" w:color="016794"/>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Johdannaisiin liittyvät velat</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(634)</w:t>
            </w:r>
          </w:p>
        </w:tc>
        <w:tc>
          <w:tcPr>
            <w:tcW w:w="170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w:t>
            </w:r>
          </w:p>
        </w:tc>
        <w:tc>
          <w:tcPr>
            <w:tcW w:w="170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(635)</w:t>
            </w:r>
          </w:p>
        </w:tc>
      </w:tr>
      <w:tr>
        <w:tc>
          <w:tcPr>
            <w:tcW w:w="3794" w:type="dxa"/>
            <w:gridSpan w:val="2"/>
            <w:tcBorders>
              <w:top w:val="nil"/>
              <w:left w:val="nil"/>
              <w:bottom w:val="single" w:sz="4" w:space="0" w:color="FFFFFF"/>
              <w:right w:val="nil"/>
            </w:tcBorders>
            <w:shd w:val="clear" w:color="auto" w:fill="auto"/>
            <w:tcMar>
              <w:top w:w="0" w:type="dxa"/>
              <w:left w:w="108" w:type="dxa"/>
              <w:bottom w:w="0" w:type="dxa"/>
              <w:right w:w="108" w:type="dxa"/>
            </w:tcMar>
          </w:tcPr>
          <w:p>
            <w:pPr>
              <w:pStyle w:val="Text9pNormalLeft"/>
              <w:rPr>
                <w:rFonts w:eastAsia="Verdana" w:cs="Verdana"/>
                <w:i/>
              </w:rPr>
            </w:pPr>
            <w:r>
              <w:rPr>
                <w:i/>
              </w:rPr>
              <w:t>Johdannaisiin liittyvät saamiset</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638</w:t>
            </w:r>
          </w:p>
        </w:tc>
        <w:tc>
          <w:tcPr>
            <w:tcW w:w="1701"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701"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638</w:t>
            </w:r>
          </w:p>
        </w:tc>
      </w:tr>
      <w:tr>
        <w:tc>
          <w:tcPr>
            <w:tcW w:w="3794" w:type="dxa"/>
            <w:gridSpan w:val="2"/>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Nettorahavirta 31.12.2017</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w:t>
            </w:r>
          </w:p>
        </w:tc>
        <w:tc>
          <w:tcPr>
            <w:tcW w:w="170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w:t>
            </w:r>
          </w:p>
        </w:tc>
        <w:tc>
          <w:tcPr>
            <w:tcW w:w="170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w:t>
            </w:r>
          </w:p>
        </w:tc>
      </w:tr>
    </w:tbl>
    <w:p>
      <w:pPr>
        <w:pStyle w:val="Text8pItalicRight025EUR"/>
      </w:pPr>
    </w:p>
    <w:p>
      <w:pPr>
        <w:pStyle w:val="HEADER5"/>
        <w:rPr>
          <w:noProof/>
        </w:rPr>
      </w:pPr>
      <w:r>
        <w:rPr>
          <w:noProof/>
        </w:rPr>
        <w:t>Rahoitusavun myöntämiseen liittyvä otto- ja antolainaustoiminta</w:t>
      </w:r>
    </w:p>
    <w:p>
      <w:pPr>
        <w:pStyle w:val="DGTextstand-alone"/>
      </w:pPr>
      <w:r>
        <w:t>Lainanotosta aiheutuva likviditeettiriski katetaan yleensä siten, että EU myöntää lainaa samoin ehdoin kuin se on sitä ottanut (back-to-back). Ulkosuhteisiin liittyviä hankkeita varten perustettu takuurahasto toimii makrotaloudellisen rahoitusavun ja Euratomin likviditeettireservinä ja turvaverkkona siltä varalta, että velalliset myöhästyvät maksuissaan tai laiminlyövät ne. Maksutaselainoihin liittyvissä laiminlyönneissä sovelletaan neuvoston asetusta (EY) N:o 431/2009. Tässä asetuksessa säädetään menettelystä, joka antaa riittävästi aikaa ottaa käyttöön varoja jäsenvaltioissa olevilta komission nimissä avatuilta omien varojen tileiltä. Vastaavasta Euroopan rahoituksenvakautusmekanismiin sovellettavasta menettelystä säädetään asetuksessa (EU) N:o 407/2010.</w:t>
      </w:r>
    </w:p>
    <w:p>
      <w:pPr>
        <w:pStyle w:val="HEADER5"/>
        <w:rPr>
          <w:noProof/>
        </w:rPr>
      </w:pPr>
      <w:r>
        <w:rPr>
          <w:noProof/>
        </w:rPr>
        <w:t>Treasury-toiminnot</w:t>
      </w:r>
    </w:p>
    <w:p>
      <w:pPr>
        <w:pStyle w:val="DGTextstand-alone"/>
      </w:pPr>
      <w:r>
        <w:t>EU:n budjettiperiaatteilla varmistetaan se, että rahavaroista pystytään koko vuoden ajan suorittamaan kaikki maksut. Käytännössä jäsenvaltioiden rahoitusosuuksien kokonaismäärä ja sekalaiset tulot vastaavat varainhoitovuoden maksumäärärahoja. Jäsenvaltioiden rahoitusosuudet saadaan kahtenatoista kuukausittaisena suorituksena vuoden mittaan, mutta maksujen aikataulu on epätasaisempi. Lisäksi neuvoston asetuksen (EU, Euratom) N:o 609/2014 (omien varojen käyttöön asettamisesta annettu asetus sellaisena kuin se on muutettuna neuvoston asetuksella 804/2016) mukaan jäsenvaltioiden rahoitusosuudet, jotka liittyvät tiettynä kuukautena (n) hyväksyttyihin lisätalousarvioihin, ovat käytettävissä vasta kuukauden n + 1 ensimmäisenä työpäivänä (jos lisätalousarvio hyväksytään ennen kuukauden 16. päivää) tai kuukauden n + 2 ensimmäisenä työpäivänä (jos lisätalousarvio hyväksytään kuukauden 16. päivän jälkeen). Vastaavat maksumäärärahat sen sijaan ovat käytettävissä välittömästi.</w:t>
      </w:r>
    </w:p>
    <w:p>
      <w:pPr>
        <w:pStyle w:val="DGTextstand-alone"/>
      </w:pPr>
      <w:r>
        <w:t>Jotta voidaan varmistaa, että käytettävissä olevat rahavarat riittävät joka kuukausi maksujen suorittamiseen, tarvittavien rahavarojen määrästä laaditaan säännöllisesti ennusteita. Jäsenvaltioita voidaan myös pyytää maksamaan etukäteen omiin varoihin kuuluvia rahoitusosuuksiaan tiettyyn enimmäismäärään saakka, jos tietyt edellytykset täyttyvät, tai niiltä voidaan pyytää etukäteen lisärahoitusta. Menojen epätasainen aikataulu ja yleiset budjettirajoitukset ovat viime vuosina johtaneet siihen, että maksujen rytmiä on valvottava tiiviimmin vuoden aikana. Lisäksi komission päivittäisessä kassanhallinnassa käytetään automatisoituja kassanhallintavälineitä, joilla varmistetaan, että komission jokaisella pankkitilillä on joka päivä riittävästi varoja.</w:t>
      </w:r>
    </w:p>
    <w:p>
      <w:pPr>
        <w:pStyle w:val="HEADER5"/>
        <w:rPr>
          <w:noProof/>
        </w:rPr>
      </w:pPr>
      <w:r>
        <w:rPr>
          <w:noProof/>
        </w:rPr>
        <w:t>Sakot</w:t>
      </w:r>
    </w:p>
    <w:p>
      <w:pPr>
        <w:pStyle w:val="DGTextstand-alone"/>
        <w:rPr>
          <w:i/>
        </w:rPr>
      </w:pPr>
      <w:r>
        <w:rPr>
          <w:i/>
        </w:rPr>
        <w:t>Alustavasti maksetut sakot: BUFI-salkku</w:t>
      </w:r>
    </w:p>
    <w:p>
      <w:pPr>
        <w:pStyle w:val="DGTextstand-alone"/>
      </w:pPr>
      <w:r>
        <w:t>Rahastoa hallinnoitaessa noudatetaan periaatetta, jonka mukaan omaisuuserillä on oltava vastattaviksi tulevien sitoumusten täyttämiseksi riittävä likvidiys ja siirrettävyys. Salkussa on pääasiassa hyvin likvidejä arvopapereita, jotka voidaan myydä odottamattomien käteistarpeiden täyttämiseksi. Lisäksi 12 kuukauden kuluessa erääntyvien käteisvarojen, muiden rahavarojen ja arvopaperien osuus on 23 prosenttia.</w:t>
      </w:r>
    </w:p>
    <w:p>
      <w:pPr>
        <w:pStyle w:val="HEADER5"/>
        <w:rPr>
          <w:noProof/>
        </w:rPr>
      </w:pPr>
      <w:r>
        <w:rPr>
          <w:noProof/>
        </w:rPr>
        <w:t>Ulkosuhteisiin liittyviä hankkeita varten perustettu takuurahasto</w:t>
      </w:r>
    </w:p>
    <w:p>
      <w:pPr>
        <w:pStyle w:val="DGTextstand-alone"/>
      </w:pPr>
      <w:r>
        <w:t>Rahastoa hallinnoitaessa noudatetaan periaatetta, jonka mukaan omaisuuserillä on oltava vastattaviksi tulevien sitoumusten täyttämiseksi riittävä likvidiys ja siirrettävyys. Rahastolla on näin ollen riittävästi monetaarisia varoja lyhytaikaisten tarpeiden kattamiseksi. Rahastossa olevien 12 kuukauden kuluessa erääntyvien käteisvarojen, muiden rahavarojen ja arvopaperien osuus on 9,2 prosenttia.</w:t>
      </w:r>
    </w:p>
    <w:p>
      <w:pPr>
        <w:pStyle w:val="HEADER5"/>
        <w:rPr>
          <w:noProof/>
        </w:rPr>
      </w:pPr>
      <w:r>
        <w:rPr>
          <w:noProof/>
        </w:rPr>
        <w:t>ESIR-takuurahasto</w:t>
      </w:r>
    </w:p>
    <w:p>
      <w:pPr>
        <w:pStyle w:val="DGTextstand-alone"/>
      </w:pPr>
      <w:r>
        <w:t>ESIR-takuurahastoa hallinnoitaessa noudatetaan periaatetta, jonka mukaan omaisuuserillä on oltava vastattaviksi tulevien sitoumusten täyttämiseksi riittävä likvidiys ja siirrettävyys. Salkussa on hyvin likvidejä omaisuuseriä, jotka voidaan myydä odottamattomien käteistarpeiden täyttämiseksi. Lisäksi 12 kuukauden kuluessa erääntyvien käteisvarojen, muiden rahavarojen ja arvopaperien osuus on 22 prosenttia.</w:t>
      </w:r>
    </w:p>
    <w:p>
      <w:pPr>
        <w:pStyle w:val="DGTextstand-alone"/>
      </w:pPr>
      <w:r>
        <w:t>Johdannaissopimusten selvitys tapahtuu bruttoselvityksenä niiden sopimusperusteisen maturiteetin mukaisesti. Velvoitteet täytetään dollarimääräisten omaisuuserien myynnillä ja/tai vaihtosopimuksella, jolloin voi syntyä yhteisöstä poistuvaa kassavirtaa valuuttakurssierojen vuoksi.</w:t>
      </w:r>
    </w:p>
    <w:p>
      <w:pPr>
        <w:pStyle w:val="DGTextstand-alone"/>
      </w:pPr>
      <w:r>
        <w:t>Vakuusvaatimuksiin liittyvää maksuvalmiuden hallintaa ei tarvita, koska nykyinen suojauksen vastapuoli on suostunut toimimaan komission kanssa ilman vakuusvaatimuksia/vakuuksien muutospyyntöjä.</w:t>
      </w:r>
    </w:p>
    <w:p>
      <w:pPr>
        <w:pStyle w:val="HEADER5"/>
        <w:rPr>
          <w:noProof/>
        </w:rPr>
      </w:pPr>
      <w:r>
        <w:rPr>
          <w:noProof/>
        </w:rPr>
        <w:t>EKKR-takuurahasto</w:t>
      </w:r>
    </w:p>
    <w:p>
      <w:pPr>
        <w:pStyle w:val="DGTextstand-alone"/>
      </w:pPr>
      <w:r>
        <w:t>EKKR-takuurahastoa hallinnoitaessa noudatetaan periaatetta, jonka mukaan omaisuuserillä on oltava vastattaviksi tulevien sitoumusten täyttämiseksi riittävä likvidiys ja siirrettävyys.</w:t>
      </w:r>
    </w:p>
    <w:p>
      <w:pPr>
        <w:pStyle w:val="DGTextstand-alone"/>
      </w:pPr>
      <w:r>
        <w:t>Käyttötileillä pidettyjen käteisvarojen osuus salkusta on 97 prosenttia.</w:t>
      </w:r>
    </w:p>
    <w:p>
      <w:pPr>
        <w:pStyle w:val="HEADER5"/>
        <w:rPr>
          <w:noProof/>
        </w:rPr>
      </w:pPr>
      <w:r>
        <w:rPr>
          <w:noProof/>
        </w:rPr>
        <w:t>Muut rahoitusvälineet – johdannaissopimuksiin liittyvät rahoitusvelat</w:t>
      </w:r>
    </w:p>
    <w:p>
      <w:pPr>
        <w:pStyle w:val="DGTextstand-alone"/>
      </w:pPr>
      <w:r>
        <w:t xml:space="preserve">EU teki vuonna 2017 johdannaissopimuksen (ulkomaanvaluutan määräinen optio), jolla se kattaa rahoituslaitosten myöntämiin lainoihin liittyvän ulkomaanvaluutan devalvoinnin (ks. liitetieto </w:t>
      </w:r>
      <w:r>
        <w:rPr>
          <w:b/>
        </w:rPr>
        <w:t>2.11.2</w:t>
      </w:r>
      <w:r>
        <w:t>). Lisäksi EIP-ryhmän pääomasijoitussalkkujen EU-takaus aiheutti taloudellisen velvoitteen kattaa kohteena olevien sijoitusten arvon muutokset tai alentumiset. Muiden EU:n talousarviosta rahoitettujen rahoitusvälineiden osalta määrä, josta EU on vastuussa näiden välineiden mukaisesti, ei voi ylittää sidottua määrää, joka on likviditeettiriski.</w:t>
      </w:r>
    </w:p>
    <w:p>
      <w:pPr>
        <w:pStyle w:val="DGTextstand-alone"/>
        <w:sectPr>
          <w:headerReference w:type="even" r:id="rId400"/>
          <w:headerReference w:type="default" r:id="rId401"/>
          <w:footerReference w:type="even" r:id="rId402"/>
          <w:footerReference w:type="default" r:id="rId403"/>
          <w:headerReference w:type="first" r:id="rId404"/>
          <w:footerReference w:type="first" r:id="rId405"/>
          <w:type w:val="continuous"/>
          <w:pgSz w:w="11906" w:h="16838"/>
          <w:pgMar w:top="1134" w:right="1134" w:bottom="1134" w:left="1134" w:header="709" w:footer="709" w:gutter="0"/>
          <w:cols w:space="708"/>
          <w:docGrid w:linePitch="360"/>
        </w:sectPr>
      </w:pPr>
      <w:r>
        <w:t xml:space="preserve"> </w:t>
      </w:r>
      <w:bookmarkEnd w:id="206"/>
    </w:p>
    <w:p>
      <w:pPr>
        <w:pStyle w:val="HEADER1NOTES"/>
        <w:rPr>
          <w:noProof/>
        </w:rPr>
      </w:pPr>
      <w:bookmarkStart w:id="209" w:name="_Toc11939026"/>
      <w:bookmarkStart w:id="210" w:name="_Toc17883234"/>
      <w:bookmarkStart w:id="211" w:name="_DMBM_14795"/>
      <w:r>
        <w:rPr>
          <w:noProof/>
        </w:rPr>
        <w:t>LÄHIPIIRIÄ KOSKEVAT TIEDOT</w:t>
      </w:r>
      <w:bookmarkEnd w:id="209"/>
      <w:bookmarkEnd w:id="210"/>
    </w:p>
    <w:p>
      <w:pPr>
        <w:pStyle w:val="HEADER2NOTES"/>
        <w:rPr>
          <w:noProof/>
        </w:rPr>
      </w:pPr>
      <w:r>
        <w:rPr>
          <w:noProof/>
        </w:rPr>
        <w:t>LÄHIPIIRI</w:t>
      </w:r>
    </w:p>
    <w:p>
      <w:pPr>
        <w:pStyle w:val="DGTextstand-alone"/>
      </w:pPr>
      <w:r>
        <w:t>EU:n lähipiiriin kuuluvat EU:n konsolidoidut yhteisöt ja kyseisten yhteisöjen johtoon kuuluvat avainhenkilöt. Näiden yhteisöjen väliset transaktiot ovat osa EU:n normaalia toimintaa. Tämän vuoksi EU:n tilinpäätössääntöihin ei sisälly kyseisiä transaktioita koskevia erityisiä tiedonantovaatimuksia.</w:t>
      </w:r>
    </w:p>
    <w:p>
      <w:pPr>
        <w:pStyle w:val="HEADER2NOTES"/>
        <w:rPr>
          <w:noProof/>
        </w:rPr>
      </w:pPr>
      <w:r>
        <w:rPr>
          <w:noProof/>
        </w:rPr>
        <w:t>JOHTOON KUULUVIEN AVAINHENKILÖIDEN ETUUDET</w:t>
      </w:r>
    </w:p>
    <w:p>
      <w:pPr>
        <w:pStyle w:val="DGTextstand-alone"/>
      </w:pPr>
      <w:r>
        <w:t>Euroopan komission johtoon kuuluviin avainhenkilöihin liittyvien lähipiiriä koskevien tietojen esittämiseksi kyseiset henkilöt on jaettu seuraaviin viiteen ryhmään:</w:t>
      </w:r>
    </w:p>
    <w:p>
      <w:pPr>
        <w:pStyle w:val="Textstand-alone"/>
      </w:pPr>
      <w:r>
        <w:rPr>
          <w:color w:val="016794"/>
        </w:rPr>
        <w:t>Ryhmä 1:</w:t>
      </w:r>
      <w:r>
        <w:t xml:space="preserve"> </w:t>
      </w:r>
      <w:r>
        <w:rPr>
          <w:rStyle w:val="DGTextstand-aloneChar"/>
        </w:rPr>
        <w:t>Eurooppa-neuvoston puheenjohtaja, komission puheenjohtaja ja Euroopan unionin tuomioistuimen presidentti.</w:t>
      </w:r>
    </w:p>
    <w:p>
      <w:pPr>
        <w:pStyle w:val="Textstand-alone"/>
      </w:pPr>
      <w:r>
        <w:rPr>
          <w:color w:val="016794"/>
        </w:rPr>
        <w:t>Ryhmä 2:</w:t>
      </w:r>
      <w:r>
        <w:rPr>
          <w:rStyle w:val="DGTextstand-aloneChar"/>
        </w:rPr>
        <w:t xml:space="preserve"> komission varapuheenjohtaja, Euroopan unionin ulko- ja turvallisuuspolitiikan korkea edustaja ja muut komission varapuheenjohtajat.</w:t>
      </w:r>
    </w:p>
    <w:p>
      <w:pPr>
        <w:pStyle w:val="Textstand-alone"/>
      </w:pPr>
      <w:r>
        <w:rPr>
          <w:color w:val="016794"/>
        </w:rPr>
        <w:t>Ryhmä 3:</w:t>
      </w:r>
      <w:r>
        <w:t xml:space="preserve"> </w:t>
      </w:r>
      <w:r>
        <w:rPr>
          <w:rStyle w:val="DGTextstand-aloneChar"/>
        </w:rPr>
        <w:t>neuvoston pääsihteeri, komission jäsenet, unionin tuomioistuimen tuomarit ja julkisasiamiehet, unionin yleisen tuomioistuimen presidentti ja jäsenet, Euroopan unionin virkamiestuomioistuimen presidentti ja jäsenet, Euroopan oikeusasiamies ja Euroopan tietosuojavaltuutettu.</w:t>
      </w:r>
    </w:p>
    <w:p>
      <w:pPr>
        <w:pStyle w:val="DGTextstand-alone"/>
      </w:pPr>
      <w:r>
        <w:rPr>
          <w:color w:val="016794"/>
        </w:rPr>
        <w:t>Ryhmä 4:</w:t>
      </w:r>
      <w:r>
        <w:t xml:space="preserve"> tilintarkastustuomioistuimen presidentti ja jäsenet.</w:t>
      </w:r>
    </w:p>
    <w:p>
      <w:pPr>
        <w:pStyle w:val="DGTextstand-alone"/>
      </w:pPr>
      <w:r>
        <w:rPr>
          <w:color w:val="016794"/>
        </w:rPr>
        <w:t>Ryhmä 5:</w:t>
      </w:r>
      <w:r>
        <w:t xml:space="preserve"> Euroopan unionin toimielinten ja erillisvirastojen korkeimmat virkamiehet.</w:t>
      </w:r>
    </w:p>
    <w:p>
      <w:pPr>
        <w:pStyle w:val="DGTextstand-alone"/>
      </w:pPr>
      <w:r>
        <w:t>Tiivistelmä ylimmän johdon etuuksista esitetään seuraavassa taulukossa – lisätietoja löytyy myös Europa-sivustolla julkaistuista henkilöstösäännöistä. Henkilöstösäännöt ovat virallinen asiakirja, jossa esitetään kaikkien EU:n virkamiesten oikeudet ja velvollisuudet. Johtoon kuuluvat avainhenkilöt eivät ole saaneet EU:lta edullisin ehdoin myönnettäviä lainoja.</w:t>
      </w: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HEADERTABLE"/>
        <w:rPr>
          <w:noProof/>
        </w:rPr>
      </w:pPr>
      <w:r>
        <w:rPr>
          <w:noProof/>
        </w:rPr>
        <w:t xml:space="preserve">JOHTOON KUULUVIEN AVAINHENKILÖIDEN TALOUDELLISET ETUUDET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5"/>
        <w:gridCol w:w="1202"/>
        <w:gridCol w:w="1233"/>
        <w:gridCol w:w="1233"/>
        <w:gridCol w:w="1233"/>
        <w:gridCol w:w="1233"/>
      </w:tblGrid>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12" w:name="DOC_TBL00095_1_1"/>
            <w:bookmarkEnd w:id="212"/>
          </w:p>
        </w:tc>
        <w:tc>
          <w:tcPr>
            <w:tcW w:w="127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2835"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euroa</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Left"/>
              <w:rPr>
                <w:rFonts w:eastAsia="Verdana" w:cs="Verdana"/>
                <w:noProof/>
              </w:rPr>
            </w:pPr>
            <w:r>
              <w:rPr>
                <w:noProof/>
              </w:rPr>
              <w:t>Etuus työntekijää kohti</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Ryhmä 1</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Ryhmä 2</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Ryhmä 3</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Ryhmä 4</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Ryhmä 5</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Peruspalkka (kuukausipalkka)</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27 903,32</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25 274,75 -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20 219,80 -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21 837,39 -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12 856,84 -</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26 285,75</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22 747,28</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23 252,78</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20 219,80</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 xml:space="preserve">Asuinpaikkakorvaus/Ulkomaankorvaus </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0–4 %–16 %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Perhelisät:</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Kotitalouslisä (% palkasta)</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+ 187,69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+ 187,69</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+ 187,69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+ 187,69</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+ 187,69</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Huollettavana oleva lapsi</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410,11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410,11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410,11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410,11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410,11</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Alle kouluikäinen</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100,18</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100,18</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100,18</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100,18</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100,18</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Kouluikäinen tai</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278,25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278,25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278,25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278,25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278,25</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koulutus työpaikan sijaintipaikan ulkopuolella</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556,5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556,5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556,5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556,5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556,5</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Oikeuden puheenjohtajan korvaus</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638,43</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Edustuslisä</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1 512,12</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971,82</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638,43</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Vuotuinen matkakulukorvaus</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Siirrot palkasta jäsenvaltioihin:</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Koulutuslisä*</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Kyllä</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Kyllä</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Kyllä</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Kyllä</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Kyllä</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 palkasta*</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 palkasta ilman korjauskerrointa</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Enintään 25 %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Enintään 25 %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Enintään 25 %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Enintään 25 %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Enintään 25 %</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Edustuskulut</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Korvataan</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Korvataan</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Korvataan</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Palvelukseen astuminen:</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Asettautumiskorvaus</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55 806,65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50 549,49</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40 439,60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43 674,78</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Korvataan</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- 52 571,49</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- 45 494,55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- 46 505,55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Perheen matkakulut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Korvataan</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Korvataan</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Korvataan</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Korvataan</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Korvataan</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Muuttokulut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Korvataan</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Korvataan</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Korvataan</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Korvataan</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Korvataan</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Palvelussuhteen päättyminen:</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Uudelleenasettautumiskorvaus</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27 903,32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25 274,75 -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20 219,80 -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21 837,39 -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Korvataan</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26 285,75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22 747,28</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23 252,78</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Perheen matkakulut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Korvataan</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Korvataan</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Korvataan</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Korvataan</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Korvataan</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Muuttokulut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Korvataan</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Korvataan</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Korvataan</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Korvataan</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Korvataan</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Siirtymäjakso (% palkasta)**</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 – 65 %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 – 65 %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 – 65 %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 – 65 %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Sairausvakuutus</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Kyllä</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Kyllä</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Kyllä</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Kyllä</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Kyllä</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Eläke (% palkasta, ennen veroja)</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Enintään 70 %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Enintään 70 %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Enintään 70 %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Enintään 70 %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Enintään 70 %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Vähennykset:</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Vero palkasta</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 45 %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 45 %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 45 %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 45 %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 45 %</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Sairausvakuutusmaksu (% palkasta)</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Erityismaksu</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6–7 %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Eläkemaksu</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10,0 %</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Henkilöiden lukumäärä 31.12.2018</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3</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6</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93</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28</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112</w:t>
            </w:r>
          </w:p>
        </w:tc>
      </w:tr>
    </w:tbl>
    <w:p>
      <w:pPr>
        <w:pStyle w:val="Textstand-alone"/>
        <w:spacing w:before="60" w:after="0"/>
        <w:rPr>
          <w:i/>
          <w:sz w:val="14"/>
        </w:rPr>
      </w:pPr>
      <w:r>
        <w:rPr>
          <w:i/>
          <w:sz w:val="14"/>
        </w:rPr>
        <w:t>* Sovelletaan korjauskerrointa.</w:t>
      </w:r>
    </w:p>
    <w:p>
      <w:pPr>
        <w:pStyle w:val="Textstand-alone"/>
        <w:spacing w:before="60" w:after="0"/>
        <w:rPr>
          <w:i/>
          <w:sz w:val="14"/>
        </w:rPr>
      </w:pPr>
      <w:r>
        <w:rPr>
          <w:i/>
          <w:sz w:val="14"/>
        </w:rPr>
        <w:t>** Maksetaan palvelussuhteen päättymisen jälkeisten kolmen ensimmäisen vuoden aikana.</w:t>
      </w:r>
    </w:p>
    <w:p>
      <w:pPr>
        <w:pStyle w:val="DGTextstand-alone"/>
        <w:sectPr>
          <w:headerReference w:type="even" r:id="rId406"/>
          <w:headerReference w:type="default" r:id="rId407"/>
          <w:footerReference w:type="even" r:id="rId408"/>
          <w:footerReference w:type="default" r:id="rId409"/>
          <w:headerReference w:type="first" r:id="rId410"/>
          <w:footerReference w:type="first" r:id="rId411"/>
          <w:pgSz w:w="11906" w:h="16838"/>
          <w:pgMar w:top="1134" w:right="1134" w:bottom="1134" w:left="1134" w:header="709" w:footer="709" w:gutter="0"/>
          <w:cols w:space="708"/>
          <w:docGrid w:linePitch="360"/>
        </w:sectPr>
      </w:pPr>
      <w:r>
        <w:t xml:space="preserve"> </w:t>
      </w:r>
      <w:bookmarkEnd w:id="211"/>
    </w:p>
    <w:p>
      <w:pPr>
        <w:pStyle w:val="HEADER1NOTES"/>
        <w:rPr>
          <w:rFonts w:eastAsia="Calibri"/>
          <w:noProof/>
        </w:rPr>
      </w:pPr>
      <w:bookmarkStart w:id="213" w:name="_Toc11939027"/>
      <w:bookmarkStart w:id="214" w:name="_Toc17883235"/>
      <w:bookmarkStart w:id="215" w:name="_DMBM_14787"/>
      <w:r>
        <w:rPr>
          <w:noProof/>
        </w:rPr>
        <w:t>TILINPÄÄTÖSPÄIVÄN JÄLKEISET TAPAHTUMAT</w:t>
      </w:r>
      <w:bookmarkEnd w:id="213"/>
      <w:bookmarkEnd w:id="214"/>
    </w:p>
    <w:p>
      <w:pPr>
        <w:pStyle w:val="DGTextstand-alone"/>
      </w:pPr>
      <w:r>
        <w:t>Jäljempänä esitettyjä tietoja lukuun ottamatta komission tilinpitäjän tietoon ei tilinpäätöksen allekirjoittamispäivään mennessä ollut tullut sellaisia olennaisia tapahtumia, jotka olisi ilmoitettava erikseen tässä kohdassa. Tilinpäätös ja sen liitetiedot on laadittu tuoreimpien käytettävissä olevien tietojen perusteella, ja edellä esitetyt tiedot perustuvat tällaisiin tietoihin.</w:t>
      </w:r>
    </w:p>
    <w:p>
      <w:pPr>
        <w:pStyle w:val="DGTextstand-alone"/>
        <w:sectPr>
          <w:headerReference w:type="even" r:id="rId412"/>
          <w:headerReference w:type="default" r:id="rId413"/>
          <w:footerReference w:type="even" r:id="rId414"/>
          <w:footerReference w:type="default" r:id="rId415"/>
          <w:headerReference w:type="first" r:id="rId416"/>
          <w:footerReference w:type="first" r:id="rId417"/>
          <w:pgSz w:w="11906" w:h="16838"/>
          <w:pgMar w:top="1134" w:right="1134" w:bottom="1134" w:left="1134" w:header="709" w:footer="709" w:gutter="0"/>
          <w:cols w:space="708"/>
          <w:docGrid w:linePitch="360"/>
        </w:sectPr>
      </w:pPr>
      <w:r>
        <w:t xml:space="preserve"> </w:t>
      </w:r>
      <w:bookmarkEnd w:id="215"/>
    </w:p>
    <w:p>
      <w:pPr>
        <w:pStyle w:val="HEADER1NOTES"/>
        <w:rPr>
          <w:noProof/>
        </w:rPr>
      </w:pPr>
      <w:bookmarkStart w:id="216" w:name="_Toc11939028"/>
      <w:bookmarkStart w:id="217" w:name="_Toc17883236"/>
      <w:bookmarkStart w:id="218" w:name="_DMBM_14742"/>
      <w:r>
        <w:rPr>
          <w:noProof/>
        </w:rPr>
        <w:t>KONSOLIDOINNIN LAAJUUS</w:t>
      </w:r>
      <w:bookmarkEnd w:id="216"/>
      <w:bookmarkEnd w:id="217"/>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3"/>
        <w:gridCol w:w="4874"/>
      </w:tblGrid>
      <w:tr>
        <w:trPr>
          <w:trHeight w:val="229"/>
        </w:trPr>
        <w:tc>
          <w:tcPr>
            <w:tcW w:w="4873"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bookmarkStart w:id="219" w:name="DOC_TBL00096_1_1"/>
            <w:bookmarkEnd w:id="219"/>
            <w:r>
              <w:t>A. EUROOPAN UNIONIN MÄÄRÄYSVALLASSA OLEVAT YHTEISÖT (52)</w:t>
            </w:r>
          </w:p>
        </w:tc>
        <w:tc>
          <w:tcPr>
            <w:tcW w:w="4874" w:type="dxa"/>
            <w:tcBorders>
              <w:top w:val="nil"/>
              <w:left w:val="nil"/>
              <w:bottom w:val="nil"/>
              <w:right w:val="nil"/>
            </w:tcBorders>
            <w:shd w:val="clear" w:color="auto" w:fill="016794"/>
            <w:tcMar>
              <w:top w:w="0" w:type="dxa"/>
              <w:left w:w="108" w:type="dxa"/>
              <w:bottom w:w="0" w:type="dxa"/>
              <w:right w:w="108" w:type="dxa"/>
            </w:tcMar>
          </w:tcPr>
          <w:p>
            <w:pPr>
              <w:jc w:val="both"/>
              <w:rPr>
                <w:noProof/>
              </w:rPr>
            </w:pPr>
          </w:p>
        </w:tc>
      </w:tr>
      <w:tr>
        <w:tc>
          <w:tcPr>
            <w:tcW w:w="487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1. Toimielimet ja neuvoa-antavat elimet (11)</w:t>
            </w:r>
          </w:p>
        </w:tc>
        <w:tc>
          <w:tcPr>
            <w:tcW w:w="4874" w:type="dxa"/>
            <w:tcBorders>
              <w:top w:val="nil"/>
              <w:left w:val="nil"/>
              <w:bottom w:val="nil"/>
              <w:right w:val="nil"/>
            </w:tcBorders>
            <w:shd w:val="clear" w:color="auto" w:fill="CCE1EA"/>
            <w:tcMar>
              <w:top w:w="0" w:type="dxa"/>
              <w:left w:w="108" w:type="dxa"/>
              <w:bottom w:w="0" w:type="dxa"/>
              <w:right w:w="108" w:type="dxa"/>
            </w:tcMar>
          </w:tcPr>
          <w:p>
            <w:pPr>
              <w:pStyle w:val="Text9pBold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Euroopan parlamentti</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Euroopan tietosuojavaltuutettu</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Eurooppa-neuvosto</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Euroopan talous- ja sosiaalikomitea</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Euroopan komissio</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Euroopan oikeusasiamies</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Euroopan tilintarkastustuomioistuin</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Alueiden komitea</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Euroopan unionin tuomioistuin</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Euroopan unionin neuvosto</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Euroopan ulkosuhdehallinto</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2. EU:n virastot (39)</w:t>
            </w:r>
          </w:p>
        </w:tc>
        <w:tc>
          <w:tcPr>
            <w:tcW w:w="4874" w:type="dxa"/>
            <w:tcBorders>
              <w:top w:val="nil"/>
              <w:left w:val="nil"/>
              <w:bottom w:val="nil"/>
              <w:right w:val="nil"/>
            </w:tcBorders>
            <w:shd w:val="clear" w:color="auto" w:fill="CCE1EA"/>
            <w:tcMar>
              <w:top w:w="0" w:type="dxa"/>
              <w:left w:w="108" w:type="dxa"/>
              <w:bottom w:w="0" w:type="dxa"/>
              <w:right w:w="108" w:type="dxa"/>
            </w:tcMar>
          </w:tcPr>
          <w:p>
            <w:pPr>
              <w:pStyle w:val="Text9pBold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2.1. Toimeenpanovirastot (6)</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Bold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Koulutus-, audiovisuaali- ja kulttuurialan toimeenpanovirasto</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Pienistä ja keskisuurista yrityksistä vastaava toimeenpanovirasto</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Kuluttaja-, terveys-, maatalous- ja elintarvikeasioiden toimeenpanovirasto</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Innovoinnin ja verkkojen toimeenpanovirasto</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Tutkimuksen toimeenpanovirasto</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Euroopan tutkimusneuvoston toimeenpanovirasto</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2.2. Erillisvirastot (33)</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Bold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Euroopan meriturvallisuusvirasto</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Euroopan elintarviketurvallisuusviranomainen</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Euroopan lääkevirasto</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Euroopan rautatievirasto</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Eurooppalaisen GNSS-järjestelmän valvontaviranomainen</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Yhteisön kasvilajikevirasto</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Euroopan kemikaalivirasto</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Euroopan kalastuksenvalvontavirasto</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Fusion for Energy -yhteisyritys (Eurooppalainen yhteisyritys ITERiä ja fuusioenergian kehittämistä varten)</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Euroopan huumausaineiden ja niiden väärinkäytön seurantakeskus</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Eurojust</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Euroopan unionin teollisoikeuksien virasto</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Euroopan tasa-arvoinstituutti</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Euroopan poliisivirasto (Europol)</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Euroopan työterveys- ja työturvallisuusvirasto</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Euroopan lentoturvallisuusvirasto</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Euroopan tautienehkäisy- ja -valvontakeskus</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Euroopan verkko- ja tietoturvavirasto</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Euroopan ympäristökeskus</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Euroopan perusoikeusvirasto</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Euroopan ammatillisen koulutuksen kehittämiskeskus</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Euroopan vakuutus- ja lisäeläkeviranomainen</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Euroopan unionin energia-alan sääntelyviranomaisten yhteistyövirasto</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Euroopan unionin elinten käännöskeskus</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Euroopan pankkiviranomainen</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Euroopan arvopaperimarkkinaviranomainen</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Euroopan turvapaikka-asioiden tukivirasto (EASO)</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Euroopan koulutussäätiö</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Euroopan sähköisen viestinnän sääntelyviranomaisten yhteistyöelin – Virasto</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Euroopan elin- ja työolojen kehittämissäätiö</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Euroopan raja- ja merivartiovirasto (Frontex)</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Euroopan unionin lainvalvontakoulutusvirasto (CEPOL)</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eu-LISA (vapauden, turvallisuuden ja oikeuden alueen laaja-alaisten tietojärjestelmien operatiivisesta hallinnoinnista vastaava eurooppalainen virasto)</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3. Muut määräysvallassa olevat yhteisöt (2)</w:t>
            </w:r>
          </w:p>
        </w:tc>
        <w:tc>
          <w:tcPr>
            <w:tcW w:w="4874" w:type="dxa"/>
            <w:tcBorders>
              <w:top w:val="nil"/>
              <w:left w:val="nil"/>
              <w:bottom w:val="nil"/>
              <w:right w:val="nil"/>
            </w:tcBorders>
            <w:shd w:val="clear" w:color="auto" w:fill="CCE1EA"/>
            <w:tcMar>
              <w:top w:w="0" w:type="dxa"/>
              <w:left w:w="108" w:type="dxa"/>
              <w:bottom w:w="0" w:type="dxa"/>
              <w:right w:w="108" w:type="dxa"/>
            </w:tcMar>
          </w:tcPr>
          <w:p>
            <w:pPr>
              <w:pStyle w:val="Text9pBold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Euroopan hiili- ja teräsyhteisö (selvitystilassa)</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Euroopan innovaatio- ja teknologiainstituutti</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rPr>
          <w:trHeight w:val="229"/>
        </w:trPr>
        <w:tc>
          <w:tcPr>
            <w:tcW w:w="4873"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B. OSAKKUUSYRITYKSET (1)</w:t>
            </w:r>
          </w:p>
        </w:tc>
        <w:tc>
          <w:tcPr>
            <w:tcW w:w="4874" w:type="dxa"/>
            <w:tcBorders>
              <w:top w:val="nil"/>
              <w:left w:val="nil"/>
              <w:bottom w:val="nil"/>
              <w:right w:val="nil"/>
            </w:tcBorders>
            <w:shd w:val="clear" w:color="auto" w:fill="016794"/>
            <w:tcMar>
              <w:top w:w="0" w:type="dxa"/>
              <w:left w:w="108" w:type="dxa"/>
              <w:bottom w:w="0" w:type="dxa"/>
              <w:right w:w="108" w:type="dxa"/>
            </w:tcMar>
          </w:tcPr>
          <w:p>
            <w:pPr>
              <w:jc w:val="both"/>
              <w:rPr>
                <w:noProof/>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Euroopan investointirahasto </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bl>
    <w:p>
      <w:pPr>
        <w:pStyle w:val="DGTextstand-alone"/>
      </w:pPr>
      <w:r>
        <w:br w:type="page"/>
      </w:r>
    </w:p>
    <w:p>
      <w:pPr>
        <w:pStyle w:val="HEADER5"/>
        <w:rPr>
          <w:noProof/>
        </w:rPr>
      </w:pPr>
      <w:r>
        <w:rPr>
          <w:noProof/>
        </w:rPr>
        <w:t>VÄHÄMERKITYKSISET YHTEISÖT</w:t>
      </w:r>
    </w:p>
    <w:p>
      <w:pPr>
        <w:pStyle w:val="DGTextstand-alone"/>
      </w:pPr>
      <w:r>
        <w:t>Jäljempänä lueteltuja yhteisöjä ei ole käsitelty pääomaosuusmenetelmää soveltaen EU:n vuoden 2018 konsolidoidussa tilinpäätöksessä, koska niiden merkityksen katsotaan olevan vähäinen.</w:t>
      </w:r>
    </w:p>
    <w:p>
      <w:pPr>
        <w:pStyle w:val="HEADER5"/>
        <w:rPr>
          <w:noProof/>
        </w:rPr>
      </w:pPr>
      <w:r>
        <w:rPr>
          <w:noProof/>
        </w:rPr>
        <w:t xml:space="preserve">Biopohjaisten teollisuudenalojen yhteisyritys (BBI-yhteisyritys) </w:t>
      </w:r>
    </w:p>
    <w:p>
      <w:pPr>
        <w:pStyle w:val="DGTextstand-alone"/>
      </w:pPr>
      <w:r>
        <w:t>BBI-yhteisyritys on EU:n ja Bio-based Industries Consortiumin (BIC) välinen julkisen ja yksityisen sektorin kumppanuushanke. Se pyrkii toteuttamaan eurooppalaista biotalouden potentiaalia jalostamalla biojätettä vihreämmiksi arkipäivän tuotteiksi käyttäen innovatiivista teknologiaa ja biojalostamoita, jotka muodostavat biotalouden ytimen.</w:t>
      </w:r>
    </w:p>
    <w:p>
      <w:pPr>
        <w:pStyle w:val="HEADER5"/>
        <w:rPr>
          <w:noProof/>
        </w:rPr>
      </w:pPr>
      <w:r>
        <w:rPr>
          <w:noProof/>
        </w:rPr>
        <w:t>Clean Sky -yhteisyritys</w:t>
      </w:r>
    </w:p>
    <w:p>
      <w:pPr>
        <w:pStyle w:val="DGTextstand-alone"/>
      </w:pPr>
      <w:r>
        <w:t xml:space="preserve">Clean Sky on suurin eurooppalainen tutkimusohjelma, jossa kehitetään innovatiivista huipputeknologiaa lentoliikenteen melutason, hiilidioksidipäästöjen ja muiden päästöjen vähentämiseksi. EU:n Horisontti 2020 </w:t>
      </w:r>
      <w:r>
        <w:noBreakHyphen/>
        <w:t xml:space="preserve">ohjelmasta rahoitusta saavalla Clean Sky </w:t>
      </w:r>
      <w:r>
        <w:noBreakHyphen/>
        <w:t>yhteisyrityksellä edistetään EU:n ilmailuteollisuuden yhteistyötä, globaalia johtajuutta ja kilpailukykyä.</w:t>
      </w:r>
    </w:p>
    <w:p>
      <w:pPr>
        <w:pStyle w:val="HEADER5"/>
        <w:rPr>
          <w:noProof/>
        </w:rPr>
      </w:pPr>
      <w:r>
        <w:rPr>
          <w:noProof/>
        </w:rPr>
        <w:t>Innovatiivisten lääkkeiden alan yhteisen teknologia-aloitteen toteuttamiseksi perustettu yhteisyritys (IMI-yhteisyritys)</w:t>
      </w:r>
    </w:p>
    <w:p>
      <w:pPr>
        <w:pStyle w:val="DGTextstand-alone"/>
      </w:pPr>
      <w:r>
        <w:t>IMI-yhteisyritys on Euroopan suurin julkisen ja yksityisen sektorin kumppanuushanke. Sillä pyritään nopeuttamaan parempien ja turvallisempien lääkkeiden kehittämistä potilaille. IMI on Euroopan unionin ja Euroopan lääketeollisuuden kattojärjestön yhteisyritys.</w:t>
      </w:r>
    </w:p>
    <w:p>
      <w:pPr>
        <w:pStyle w:val="HEADER5"/>
        <w:rPr>
          <w:noProof/>
        </w:rPr>
      </w:pPr>
      <w:r>
        <w:rPr>
          <w:noProof/>
        </w:rPr>
        <w:t xml:space="preserve">Elektronisia komponentteja ja järjestelmiä Euroopan johtoasemaa varten (Electronic Components and Systems for European Leadership) kehittävän yhteisen teknologia-aloitteen toteuttamiseksi perustettu ECSEL-yhteisyritys (johon on sulautettu entiset ARTEMIS- ja ENIAC-yhteisyritykset) </w:t>
      </w:r>
    </w:p>
    <w:p>
      <w:pPr>
        <w:pStyle w:val="DGTextstand-alone"/>
      </w:pPr>
      <w:r>
        <w:t>ECSEL-yhteisyritys on elektronisten komponenttien ja järjestelmien alalla toteutettu julkisen ja yksityisen sektorin kumppanuushanke, jolla kurotaan umpeen tutkimuksen ja käytännön hyödyntämisen välistä kuilua, yhteensovitetaan strategioita eurooppalaisten ja kansallisten investointien lisäämiseksi ja rakennetaan edistyksellistä ekosysteemiä.</w:t>
      </w:r>
    </w:p>
    <w:p>
      <w:pPr>
        <w:pStyle w:val="HEADER5"/>
        <w:rPr>
          <w:noProof/>
        </w:rPr>
      </w:pPr>
      <w:r>
        <w:rPr>
          <w:noProof/>
        </w:rPr>
        <w:t>Polttokenno- ja vety-yhteisyritys (FCH)</w:t>
      </w:r>
    </w:p>
    <w:p>
      <w:pPr>
        <w:pStyle w:val="DGTextstand-alone"/>
      </w:pPr>
      <w:r>
        <w:t>FCH-yhteisyritys on julkisen ja yksityisen sektorin kumppanuushanke, jolla tuetaan tutkimukseen, teknologian kehittämiseen ja demonstrointiin liittyviä toimia polttokenno- ja vetyenergiateknologian alalla Euroopassa. Yhteisyrityksen avulla pyritään nopeuttamaan näiden alojen teknologian tuloa markkinoille ja toteuttamaan niiden potentiaali välineenä, jolla autetaan saavuttamaan vähähiilinen energiajärjestelmä.</w:t>
      </w:r>
    </w:p>
    <w:p>
      <w:pPr>
        <w:pStyle w:val="HEADER5"/>
        <w:rPr>
          <w:noProof/>
        </w:rPr>
      </w:pPr>
      <w:r>
        <w:rPr>
          <w:noProof/>
        </w:rPr>
        <w:t>Eurooppalaisen ilmaliikenteen hallinnan nykyaikaistamishanke (SESAR-yhteisyritys)</w:t>
      </w:r>
    </w:p>
    <w:p>
      <w:pPr>
        <w:pStyle w:val="DGTextstand-alone"/>
      </w:pPr>
      <w:r>
        <w:t>SESAR-yhteisyritys on julkisen ja yksityisen sektorin kumppanuushanke, jonka tavoitteena on ajanmukaistaa Euroopan ilmaliikenteen hallintajärjestelmä koordinoimalla ja keskittämällä kaikki alaa koskevat tutkimus- ja innovointitoimet EU:ssa.</w:t>
      </w:r>
    </w:p>
    <w:p>
      <w:pPr>
        <w:pStyle w:val="HEADER5"/>
        <w:rPr>
          <w:noProof/>
        </w:rPr>
      </w:pPr>
      <w:r>
        <w:rPr>
          <w:noProof/>
        </w:rPr>
        <w:t>Shift2Rail-yhteisyritys</w:t>
      </w:r>
    </w:p>
    <w:p>
      <w:pPr>
        <w:pStyle w:val="DGTextstand-alone"/>
      </w:pPr>
      <w:r>
        <w:t>Shift2Rail on ensimmäinen eurooppalainen yhteinen teknologia-aloite rautatiealalla. Yhteisyritys pyrkii keskittämään tutkimusta ja innovaatioita ja löytämään markkinaperusteisia ratkaisuja nopeuttamalla uuden edistyneen teknologian integroimista rautatiealan innovatiivisiksi tuoteratkaisuiksi. </w:t>
      </w:r>
    </w:p>
    <w:p>
      <w:pPr>
        <w:pStyle w:val="DGTextstand-alone"/>
      </w:pPr>
      <w:r>
        <w:t>Edellä mainittujen yhteisöjen tilinpäätökset ovat julkisesti saatavilla niiden verkkosivuilla.</w:t>
      </w:r>
    </w:p>
    <w:p>
      <w:pPr>
        <w:pStyle w:val="DGTextstand-alone"/>
        <w:sectPr>
          <w:headerReference w:type="even" r:id="rId418"/>
          <w:headerReference w:type="default" r:id="rId419"/>
          <w:footerReference w:type="even" r:id="rId420"/>
          <w:footerReference w:type="default" r:id="rId421"/>
          <w:headerReference w:type="first" r:id="rId422"/>
          <w:footerReference w:type="first" r:id="rId423"/>
          <w:pgSz w:w="11906" w:h="16838"/>
          <w:pgMar w:top="1134" w:right="1134" w:bottom="1134" w:left="1134" w:header="709" w:footer="709" w:gutter="0"/>
          <w:cols w:space="708"/>
          <w:docGrid w:linePitch="360"/>
        </w:sectPr>
      </w:pPr>
      <w:r>
        <w:t xml:space="preserve"> </w:t>
      </w:r>
      <w:bookmarkEnd w:id="218"/>
    </w:p>
    <w:p>
      <w:pPr>
        <w:pStyle w:val="Textstand-alone"/>
      </w:pPr>
      <w:bookmarkStart w:id="220" w:name="_DMBM_14745"/>
    </w:p>
    <w:p>
      <w:pPr>
        <w:pStyle w:val="Textstand-alone"/>
      </w:pPr>
    </w:p>
    <w:p>
      <w:pPr>
        <w:pStyle w:val="Textstand-alone"/>
      </w:pPr>
    </w:p>
    <w:p>
      <w:pPr>
        <w:pStyle w:val="Textstand-alone"/>
      </w:pPr>
    </w:p>
    <w:p>
      <w:pPr>
        <w:pStyle w:val="FIRSTCHAPTERPAGE"/>
        <w:rPr>
          <w:noProof/>
        </w:rPr>
      </w:pPr>
    </w:p>
    <w:p>
      <w:pPr>
        <w:pStyle w:val="FIRSTCHAPTERPAGE"/>
        <w:rPr>
          <w:noProof/>
        </w:rPr>
      </w:pPr>
    </w:p>
    <w:p>
      <w:pPr>
        <w:pStyle w:val="FIRSTCHAPTERPAGE"/>
        <w:rPr>
          <w:noProof/>
        </w:rPr>
      </w:pPr>
    </w:p>
    <w:p>
      <w:pPr>
        <w:pStyle w:val="FIRSTCHAPTERPAGE"/>
        <w:rPr>
          <w:noProof/>
        </w:rPr>
      </w:pPr>
      <w:bookmarkStart w:id="221" w:name="_Toc11938934"/>
      <w:bookmarkStart w:id="222" w:name="_Toc17883116"/>
      <w:r>
        <w:rPr>
          <w:noProof/>
        </w:rPr>
        <w:t>TILINPÄÄTÖKSEN SISÄLTÖ JA ANALYYSI</w:t>
      </w:r>
      <w:bookmarkEnd w:id="221"/>
      <w:bookmarkEnd w:id="222"/>
    </w:p>
    <w:p>
      <w:pPr>
        <w:pStyle w:val="Financialyear0"/>
        <w:rPr>
          <w:noProof/>
        </w:rPr>
      </w:pPr>
      <w:r>
        <w:rPr>
          <w:noProof/>
        </w:rPr>
        <w:t>VARAINHOITOVUOSI 2018</w:t>
      </w:r>
    </w:p>
    <w:p>
      <w:pPr>
        <w:pStyle w:val="DGTextstand-alone"/>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rPr>
          <w:rFonts w:ascii="Verdana" w:hAnsi="Verdana"/>
          <w:i/>
          <w:noProof/>
          <w:sz w:val="18"/>
          <w:szCs w:val="18"/>
        </w:rPr>
      </w:pPr>
      <w:r>
        <w:rPr>
          <w:rFonts w:ascii="Verdana" w:hAnsi="Verdana"/>
          <w:i/>
          <w:noProof/>
          <w:color w:val="016794"/>
          <w:sz w:val="18"/>
        </w:rPr>
        <w:t>On huomattava, että osa talousarviota kuvaavien taulukoiden tiedoista ei näytä täsmäävän, koska numerotiedot on pyöristetty miljooniin euroihin.</w:t>
      </w:r>
      <w:r>
        <w:rPr>
          <w:noProof/>
        </w:rPr>
        <w:br w:type="page"/>
      </w:r>
    </w:p>
    <w:p>
      <w:pPr>
        <w:pStyle w:val="HEADERTABLE"/>
        <w:rPr>
          <w:noProof/>
        </w:rPr>
      </w:pPr>
      <w:r>
        <w:rPr>
          <w:noProof/>
        </w:rPr>
        <w:t>SISÄLLYSLUETTELO</w:t>
      </w:r>
    </w:p>
    <w:sdt>
      <w:sdtPr>
        <w:rPr>
          <w:rFonts w:ascii="Times New Roman" w:eastAsia="Times New Roman" w:hAnsi="Times New Roman" w:cs="Times New Roman"/>
          <w:b w:val="0"/>
          <w:bCs w:val="0"/>
          <w:noProof/>
          <w:color w:val="auto"/>
          <w:sz w:val="24"/>
          <w:szCs w:val="24"/>
        </w:rPr>
        <w:id w:val="-428046295"/>
        <w:docPartObj>
          <w:docPartGallery w:val="Table of Contents"/>
          <w:docPartUnique/>
        </w:docPartObj>
      </w:sdtPr>
      <w:sdtContent>
        <w:p>
          <w:pPr>
            <w:pStyle w:val="TOCHeading"/>
            <w:rPr>
              <w:noProof/>
            </w:rPr>
          </w:pPr>
        </w:p>
        <w:p>
          <w:pPr>
            <w:pStyle w:val="TOC1"/>
            <w:tabs>
              <w:tab w:val="left" w:pos="660"/>
              <w:tab w:val="right" w:leader="dot" w:pos="9629"/>
            </w:tabs>
            <w:rPr>
              <w:rFonts w:asciiTheme="minorHAnsi" w:eastAsiaTheme="minorEastAsia" w:hAnsiTheme="minorHAnsi" w:cstheme="minorBidi"/>
              <w:noProof/>
              <w:color w:val="auto"/>
              <w:szCs w:val="22"/>
              <w:lang w:bidi="ar-SA"/>
            </w:rPr>
          </w:pPr>
          <w:r>
            <w:rPr>
              <w:noProof/>
            </w:rPr>
            <w:fldChar w:fldCharType="begin"/>
          </w:r>
          <w:r>
            <w:rPr>
              <w:noProof/>
            </w:rPr>
            <w:instrText xml:space="preserve"> TOC \o "1-3" \h \z \t "HEADER 1_Part 4;1;HEADER 2_Part 4;2" </w:instrText>
          </w:r>
          <w:r>
            <w:rPr>
              <w:noProof/>
            </w:rPr>
            <w:fldChar w:fldCharType="separate"/>
          </w:r>
          <w:hyperlink w:anchor="_Toc17886363" w:history="1">
            <w:r>
              <w:rPr>
                <w:rStyle w:val="Hyperlink"/>
                <w:noProof/>
              </w:rPr>
              <w:t>1.</w:t>
            </w:r>
            <w:r>
              <w:rPr>
                <w:rFonts w:asciiTheme="minorHAnsi" w:eastAsiaTheme="minorEastAsia" w:hAnsiTheme="minorHAnsi" w:cstheme="minorBidi"/>
                <w:noProof/>
                <w:color w:val="auto"/>
                <w:szCs w:val="22"/>
                <w:lang w:bidi="ar-SA"/>
              </w:rPr>
              <w:tab/>
            </w:r>
            <w:r>
              <w:rPr>
                <w:rStyle w:val="Hyperlink"/>
                <w:noProof/>
              </w:rPr>
              <w:t>EUROOPAN UNIONIN KONSOLIDOITU TILINPÄÄTÖS: TALOUDELLINEN TILANNE VUONNA 2018</w:t>
            </w:r>
            <w:r>
              <w:rPr>
                <w:noProof/>
                <w:webHidden/>
              </w:rPr>
              <w:tab/>
            </w:r>
            <w:r>
              <w:rPr>
                <w:noProof/>
                <w:webHidden/>
              </w:rPr>
              <w:fldChar w:fldCharType="begin"/>
            </w:r>
            <w:r>
              <w:rPr>
                <w:noProof/>
                <w:webHidden/>
              </w:rPr>
              <w:instrText xml:space="preserve"> PAGEREF _Toc17886363 \h </w:instrText>
            </w:r>
            <w:r>
              <w:rPr>
                <w:noProof/>
                <w:webHidden/>
              </w:rPr>
            </w:r>
            <w:r>
              <w:rPr>
                <w:noProof/>
                <w:webHidden/>
              </w:rPr>
              <w:fldChar w:fldCharType="separate"/>
            </w:r>
            <w:r>
              <w:rPr>
                <w:noProof/>
                <w:webHidden/>
              </w:rPr>
              <w:t>105</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886364" w:history="1">
            <w:r>
              <w:rPr>
                <w:rStyle w:val="Hyperlink"/>
                <w:noProof/>
              </w:rPr>
              <w:t>1.1.</w:t>
            </w:r>
            <w:r>
              <w:rPr>
                <w:rFonts w:asciiTheme="minorHAnsi" w:eastAsiaTheme="minorEastAsia" w:hAnsiTheme="minorHAnsi" w:cstheme="minorBidi"/>
                <w:noProof/>
                <w:color w:val="auto"/>
                <w:szCs w:val="22"/>
                <w:lang w:bidi="ar-SA"/>
              </w:rPr>
              <w:tab/>
            </w:r>
            <w:r>
              <w:rPr>
                <w:rStyle w:val="Hyperlink"/>
                <w:noProof/>
              </w:rPr>
              <w:t>TULOT</w:t>
            </w:r>
            <w:r>
              <w:rPr>
                <w:noProof/>
                <w:webHidden/>
              </w:rPr>
              <w:tab/>
            </w:r>
            <w:r>
              <w:rPr>
                <w:noProof/>
                <w:webHidden/>
              </w:rPr>
              <w:fldChar w:fldCharType="begin"/>
            </w:r>
            <w:r>
              <w:rPr>
                <w:noProof/>
                <w:webHidden/>
              </w:rPr>
              <w:instrText xml:space="preserve"> PAGEREF _Toc17886364 \h </w:instrText>
            </w:r>
            <w:r>
              <w:rPr>
                <w:noProof/>
                <w:webHidden/>
              </w:rPr>
            </w:r>
            <w:r>
              <w:rPr>
                <w:noProof/>
                <w:webHidden/>
              </w:rPr>
              <w:fldChar w:fldCharType="separate"/>
            </w:r>
            <w:r>
              <w:rPr>
                <w:noProof/>
                <w:webHidden/>
              </w:rPr>
              <w:t>105</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886365" w:history="1">
            <w:r>
              <w:rPr>
                <w:rStyle w:val="Hyperlink"/>
                <w:noProof/>
              </w:rPr>
              <w:t>1.2.</w:t>
            </w:r>
            <w:r>
              <w:rPr>
                <w:rFonts w:asciiTheme="minorHAnsi" w:eastAsiaTheme="minorEastAsia" w:hAnsiTheme="minorHAnsi" w:cstheme="minorBidi"/>
                <w:noProof/>
                <w:color w:val="auto"/>
                <w:szCs w:val="22"/>
                <w:lang w:bidi="ar-SA"/>
              </w:rPr>
              <w:tab/>
            </w:r>
            <w:r>
              <w:rPr>
                <w:rStyle w:val="Hyperlink"/>
                <w:noProof/>
              </w:rPr>
              <w:t>MENOT</w:t>
            </w:r>
            <w:r>
              <w:rPr>
                <w:noProof/>
                <w:webHidden/>
              </w:rPr>
              <w:tab/>
            </w:r>
            <w:r>
              <w:rPr>
                <w:noProof/>
                <w:webHidden/>
              </w:rPr>
              <w:fldChar w:fldCharType="begin"/>
            </w:r>
            <w:r>
              <w:rPr>
                <w:noProof/>
                <w:webHidden/>
              </w:rPr>
              <w:instrText xml:space="preserve"> PAGEREF _Toc17886365 \h </w:instrText>
            </w:r>
            <w:r>
              <w:rPr>
                <w:noProof/>
                <w:webHidden/>
              </w:rPr>
            </w:r>
            <w:r>
              <w:rPr>
                <w:noProof/>
                <w:webHidden/>
              </w:rPr>
              <w:fldChar w:fldCharType="separate"/>
            </w:r>
            <w:r>
              <w:rPr>
                <w:noProof/>
                <w:webHidden/>
              </w:rPr>
              <w:t>106</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886366" w:history="1">
            <w:r>
              <w:rPr>
                <w:rStyle w:val="Hyperlink"/>
                <w:noProof/>
              </w:rPr>
              <w:t>1.3.</w:t>
            </w:r>
            <w:r>
              <w:rPr>
                <w:rFonts w:asciiTheme="minorHAnsi" w:eastAsiaTheme="minorEastAsia" w:hAnsiTheme="minorHAnsi" w:cstheme="minorBidi"/>
                <w:noProof/>
                <w:color w:val="auto"/>
                <w:szCs w:val="22"/>
                <w:lang w:bidi="ar-SA"/>
              </w:rPr>
              <w:tab/>
            </w:r>
            <w:r>
              <w:rPr>
                <w:rStyle w:val="Hyperlink"/>
                <w:noProof/>
              </w:rPr>
              <w:t>VARAT</w:t>
            </w:r>
            <w:r>
              <w:rPr>
                <w:noProof/>
                <w:webHidden/>
              </w:rPr>
              <w:tab/>
            </w:r>
            <w:r>
              <w:rPr>
                <w:noProof/>
                <w:webHidden/>
              </w:rPr>
              <w:fldChar w:fldCharType="begin"/>
            </w:r>
            <w:r>
              <w:rPr>
                <w:noProof/>
                <w:webHidden/>
              </w:rPr>
              <w:instrText xml:space="preserve"> PAGEREF _Toc17886366 \h </w:instrText>
            </w:r>
            <w:r>
              <w:rPr>
                <w:noProof/>
                <w:webHidden/>
              </w:rPr>
            </w:r>
            <w:r>
              <w:rPr>
                <w:noProof/>
                <w:webHidden/>
              </w:rPr>
              <w:fldChar w:fldCharType="separate"/>
            </w:r>
            <w:r>
              <w:rPr>
                <w:noProof/>
                <w:webHidden/>
              </w:rPr>
              <w:t>107</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886367" w:history="1">
            <w:r>
              <w:rPr>
                <w:rStyle w:val="Hyperlink"/>
                <w:noProof/>
              </w:rPr>
              <w:t>1.4.</w:t>
            </w:r>
            <w:r>
              <w:rPr>
                <w:rFonts w:asciiTheme="minorHAnsi" w:eastAsiaTheme="minorEastAsia" w:hAnsiTheme="minorHAnsi" w:cstheme="minorBidi"/>
                <w:noProof/>
                <w:color w:val="auto"/>
                <w:szCs w:val="22"/>
                <w:lang w:bidi="ar-SA"/>
              </w:rPr>
              <w:tab/>
            </w:r>
            <w:r>
              <w:rPr>
                <w:rStyle w:val="Hyperlink"/>
                <w:noProof/>
              </w:rPr>
              <w:t>VELAT</w:t>
            </w:r>
            <w:r>
              <w:rPr>
                <w:noProof/>
                <w:webHidden/>
              </w:rPr>
              <w:tab/>
            </w:r>
            <w:r>
              <w:rPr>
                <w:noProof/>
                <w:webHidden/>
              </w:rPr>
              <w:fldChar w:fldCharType="begin"/>
            </w:r>
            <w:r>
              <w:rPr>
                <w:noProof/>
                <w:webHidden/>
              </w:rPr>
              <w:instrText xml:space="preserve"> PAGEREF _Toc17886367 \h </w:instrText>
            </w:r>
            <w:r>
              <w:rPr>
                <w:noProof/>
                <w:webHidden/>
              </w:rPr>
            </w:r>
            <w:r>
              <w:rPr>
                <w:noProof/>
                <w:webHidden/>
              </w:rPr>
              <w:fldChar w:fldCharType="separate"/>
            </w:r>
            <w:r>
              <w:rPr>
                <w:noProof/>
                <w:webHidden/>
              </w:rPr>
              <w:t>114</w:t>
            </w:r>
            <w:r>
              <w:rPr>
                <w:noProof/>
                <w:webHidden/>
              </w:rPr>
              <w:fldChar w:fldCharType="end"/>
            </w:r>
          </w:hyperlink>
        </w:p>
        <w:p>
          <w:pPr>
            <w:pStyle w:val="TOC1"/>
            <w:tabs>
              <w:tab w:val="left" w:pos="660"/>
              <w:tab w:val="right" w:leader="dot" w:pos="9629"/>
            </w:tabs>
            <w:rPr>
              <w:rFonts w:asciiTheme="minorHAnsi" w:eastAsiaTheme="minorEastAsia" w:hAnsiTheme="minorHAnsi" w:cstheme="minorBidi"/>
              <w:noProof/>
              <w:color w:val="auto"/>
              <w:szCs w:val="22"/>
              <w:lang w:bidi="ar-SA"/>
            </w:rPr>
          </w:pPr>
          <w:hyperlink w:anchor="_Toc17886368" w:history="1">
            <w:r>
              <w:rPr>
                <w:rStyle w:val="Hyperlink"/>
                <w:noProof/>
              </w:rPr>
              <w:t>2.</w:t>
            </w:r>
            <w:r>
              <w:rPr>
                <w:rFonts w:asciiTheme="minorHAnsi" w:eastAsiaTheme="minorEastAsia" w:hAnsiTheme="minorHAnsi" w:cstheme="minorBidi"/>
                <w:noProof/>
                <w:color w:val="auto"/>
                <w:szCs w:val="22"/>
                <w:lang w:bidi="ar-SA"/>
              </w:rPr>
              <w:tab/>
            </w:r>
            <w:r>
              <w:rPr>
                <w:rStyle w:val="Hyperlink"/>
                <w:noProof/>
              </w:rPr>
              <w:t>RISKIEN JA EPÄVARMUUSTEKIJÖIDEN HALLINTA EU:N TALOUSARVIOTA TOTEUTETTAESSA</w:t>
            </w:r>
            <w:r>
              <w:rPr>
                <w:noProof/>
                <w:webHidden/>
              </w:rPr>
              <w:tab/>
            </w:r>
            <w:r>
              <w:rPr>
                <w:noProof/>
                <w:webHidden/>
              </w:rPr>
              <w:fldChar w:fldCharType="begin"/>
            </w:r>
            <w:r>
              <w:rPr>
                <w:noProof/>
                <w:webHidden/>
              </w:rPr>
              <w:instrText xml:space="preserve"> PAGEREF _Toc17886368 \h </w:instrText>
            </w:r>
            <w:r>
              <w:rPr>
                <w:noProof/>
                <w:webHidden/>
              </w:rPr>
            </w:r>
            <w:r>
              <w:rPr>
                <w:noProof/>
                <w:webHidden/>
              </w:rPr>
              <w:fldChar w:fldCharType="separate"/>
            </w:r>
            <w:r>
              <w:rPr>
                <w:noProof/>
                <w:webHidden/>
              </w:rPr>
              <w:t>115</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886369" w:history="1">
            <w:r>
              <w:rPr>
                <w:rStyle w:val="Hyperlink"/>
                <w:noProof/>
              </w:rPr>
              <w:t>2.1.</w:t>
            </w:r>
            <w:r>
              <w:rPr>
                <w:rFonts w:asciiTheme="minorHAnsi" w:eastAsiaTheme="minorEastAsia" w:hAnsiTheme="minorHAnsi" w:cstheme="minorBidi"/>
                <w:noProof/>
                <w:color w:val="auto"/>
                <w:szCs w:val="22"/>
                <w:lang w:bidi="ar-SA"/>
              </w:rPr>
              <w:tab/>
            </w:r>
            <w:r>
              <w:rPr>
                <w:rStyle w:val="Hyperlink"/>
                <w:noProof/>
              </w:rPr>
              <w:t>MAKROTALOUDELLINEN YMPÄRISTÖ</w:t>
            </w:r>
            <w:r>
              <w:rPr>
                <w:noProof/>
                <w:webHidden/>
              </w:rPr>
              <w:tab/>
            </w:r>
            <w:r>
              <w:rPr>
                <w:noProof/>
                <w:webHidden/>
              </w:rPr>
              <w:fldChar w:fldCharType="begin"/>
            </w:r>
            <w:r>
              <w:rPr>
                <w:noProof/>
                <w:webHidden/>
              </w:rPr>
              <w:instrText xml:space="preserve"> PAGEREF _Toc17886369 \h </w:instrText>
            </w:r>
            <w:r>
              <w:rPr>
                <w:noProof/>
                <w:webHidden/>
              </w:rPr>
            </w:r>
            <w:r>
              <w:rPr>
                <w:noProof/>
                <w:webHidden/>
              </w:rPr>
              <w:fldChar w:fldCharType="separate"/>
            </w:r>
            <w:r>
              <w:rPr>
                <w:noProof/>
                <w:webHidden/>
              </w:rPr>
              <w:t>115</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886370" w:history="1">
            <w:r>
              <w:rPr>
                <w:rStyle w:val="Hyperlink"/>
                <w:noProof/>
              </w:rPr>
              <w:t>2.2.</w:t>
            </w:r>
            <w:r>
              <w:rPr>
                <w:rFonts w:asciiTheme="minorHAnsi" w:eastAsiaTheme="minorEastAsia" w:hAnsiTheme="minorHAnsi" w:cstheme="minorBidi"/>
                <w:noProof/>
                <w:color w:val="auto"/>
                <w:szCs w:val="22"/>
                <w:lang w:bidi="ar-SA"/>
              </w:rPr>
              <w:tab/>
            </w:r>
            <w:r>
              <w:rPr>
                <w:rStyle w:val="Hyperlink"/>
                <w:noProof/>
              </w:rPr>
              <w:t>TALOUSARVIOON KOHDISTUVAT RAHOITUSAPUUN LIITTYVÄT EHDOLLISET VELAT</w:t>
            </w:r>
            <w:r>
              <w:rPr>
                <w:noProof/>
                <w:webHidden/>
              </w:rPr>
              <w:tab/>
            </w:r>
            <w:r>
              <w:rPr>
                <w:noProof/>
                <w:webHidden/>
              </w:rPr>
              <w:fldChar w:fldCharType="begin"/>
            </w:r>
            <w:r>
              <w:rPr>
                <w:noProof/>
                <w:webHidden/>
              </w:rPr>
              <w:instrText xml:space="preserve"> PAGEREF _Toc17886370 \h </w:instrText>
            </w:r>
            <w:r>
              <w:rPr>
                <w:noProof/>
                <w:webHidden/>
              </w:rPr>
            </w:r>
            <w:r>
              <w:rPr>
                <w:noProof/>
                <w:webHidden/>
              </w:rPr>
              <w:fldChar w:fldCharType="separate"/>
            </w:r>
            <w:r>
              <w:rPr>
                <w:noProof/>
                <w:webHidden/>
              </w:rPr>
              <w:t>116</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886371" w:history="1">
            <w:r>
              <w:rPr>
                <w:rStyle w:val="Hyperlink"/>
                <w:noProof/>
              </w:rPr>
              <w:t>2.3.</w:t>
            </w:r>
            <w:r>
              <w:rPr>
                <w:rFonts w:asciiTheme="minorHAnsi" w:eastAsiaTheme="minorEastAsia" w:hAnsiTheme="minorHAnsi" w:cstheme="minorBidi"/>
                <w:noProof/>
                <w:color w:val="auto"/>
                <w:szCs w:val="22"/>
                <w:lang w:bidi="ar-SA"/>
              </w:rPr>
              <w:tab/>
            </w:r>
            <w:r>
              <w:rPr>
                <w:rStyle w:val="Hyperlink"/>
                <w:noProof/>
              </w:rPr>
              <w:t>TALOUSARVIOTAKAUKSET</w:t>
            </w:r>
            <w:r>
              <w:rPr>
                <w:noProof/>
                <w:webHidden/>
              </w:rPr>
              <w:tab/>
            </w:r>
            <w:r>
              <w:rPr>
                <w:noProof/>
                <w:webHidden/>
              </w:rPr>
              <w:fldChar w:fldCharType="begin"/>
            </w:r>
            <w:r>
              <w:rPr>
                <w:noProof/>
                <w:webHidden/>
              </w:rPr>
              <w:instrText xml:space="preserve"> PAGEREF _Toc17886371 \h </w:instrText>
            </w:r>
            <w:r>
              <w:rPr>
                <w:noProof/>
                <w:webHidden/>
              </w:rPr>
            </w:r>
            <w:r>
              <w:rPr>
                <w:noProof/>
                <w:webHidden/>
              </w:rPr>
              <w:fldChar w:fldCharType="separate"/>
            </w:r>
            <w:r>
              <w:rPr>
                <w:noProof/>
                <w:webHidden/>
              </w:rPr>
              <w:t>117</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886372" w:history="1">
            <w:r>
              <w:rPr>
                <w:rStyle w:val="Hyperlink"/>
                <w:noProof/>
              </w:rPr>
              <w:t>2.4.</w:t>
            </w:r>
            <w:r>
              <w:rPr>
                <w:rFonts w:asciiTheme="minorHAnsi" w:eastAsiaTheme="minorEastAsia" w:hAnsiTheme="minorHAnsi" w:cstheme="minorBidi"/>
                <w:noProof/>
                <w:color w:val="auto"/>
                <w:szCs w:val="22"/>
                <w:lang w:bidi="ar-SA"/>
              </w:rPr>
              <w:tab/>
            </w:r>
            <w:r>
              <w:rPr>
                <w:rStyle w:val="Hyperlink"/>
                <w:noProof/>
              </w:rPr>
              <w:t xml:space="preserve">UUSIEN OSALLISTUJIEN VARANTO (NER 300 </w:t>
            </w:r>
            <w:r>
              <w:rPr>
                <w:rStyle w:val="Hyperlink"/>
                <w:noProof/>
              </w:rPr>
              <w:noBreakHyphen/>
              <w:t>OHJELMA)</w:t>
            </w:r>
            <w:r>
              <w:rPr>
                <w:noProof/>
                <w:webHidden/>
              </w:rPr>
              <w:tab/>
            </w:r>
            <w:r>
              <w:rPr>
                <w:noProof/>
                <w:webHidden/>
              </w:rPr>
              <w:fldChar w:fldCharType="begin"/>
            </w:r>
            <w:r>
              <w:rPr>
                <w:noProof/>
                <w:webHidden/>
              </w:rPr>
              <w:instrText xml:space="preserve"> PAGEREF _Toc17886372 \h </w:instrText>
            </w:r>
            <w:r>
              <w:rPr>
                <w:noProof/>
                <w:webHidden/>
              </w:rPr>
            </w:r>
            <w:r>
              <w:rPr>
                <w:noProof/>
                <w:webHidden/>
              </w:rPr>
              <w:fldChar w:fldCharType="separate"/>
            </w:r>
            <w:r>
              <w:rPr>
                <w:noProof/>
                <w:webHidden/>
              </w:rPr>
              <w:t>118</w:t>
            </w:r>
            <w:r>
              <w:rPr>
                <w:noProof/>
                <w:webHidden/>
              </w:rPr>
              <w:fldChar w:fldCharType="end"/>
            </w:r>
          </w:hyperlink>
        </w:p>
        <w:p>
          <w:pPr>
            <w:pStyle w:val="TOC1"/>
            <w:tabs>
              <w:tab w:val="left" w:pos="660"/>
              <w:tab w:val="right" w:leader="dot" w:pos="9629"/>
            </w:tabs>
            <w:rPr>
              <w:rFonts w:asciiTheme="minorHAnsi" w:eastAsiaTheme="minorEastAsia" w:hAnsiTheme="minorHAnsi" w:cstheme="minorBidi"/>
              <w:noProof/>
              <w:color w:val="auto"/>
              <w:szCs w:val="22"/>
            </w:rPr>
          </w:pPr>
          <w:r>
            <w:rPr>
              <w:noProof/>
              <w:color w:val="808080" w:themeColor="background1" w:themeShade="80"/>
            </w:rPr>
            <w:fldChar w:fldCharType="end"/>
          </w:r>
        </w:p>
      </w:sdtContent>
    </w:sdt>
    <w:p>
      <w:pPr>
        <w:pStyle w:val="DGTextstand-alone"/>
      </w:pPr>
    </w:p>
    <w:p>
      <w:pPr>
        <w:rPr>
          <w:rFonts w:ascii="Verdana" w:hAnsi="Verdana"/>
          <w:noProof/>
          <w:sz w:val="18"/>
          <w:szCs w:val="18"/>
        </w:rPr>
      </w:pPr>
      <w:r>
        <w:rPr>
          <w:noProof/>
        </w:rPr>
        <w:br w:type="page"/>
      </w:r>
    </w:p>
    <w:p>
      <w:pPr>
        <w:pStyle w:val="DGTextstand-alone"/>
      </w:pPr>
      <w:r>
        <w:t xml:space="preserve">Tämän ”Tilinpäätöksen sisältö ja analyysi” </w:t>
      </w:r>
      <w:r>
        <w:noBreakHyphen/>
        <w:t>osion tavoite on antaa lukijalle käsitys unionin konsolidoidussa tilinpäätöksessä esitetyistä EU:n taloudellisesta asemasta, toiminnan tuloksesta ja rahavirroista. Tässä osiossa esitettyjä taloudellisia tietoja ei ole tarkastettu.</w:t>
      </w:r>
    </w:p>
    <w:p>
      <w:pPr>
        <w:pStyle w:val="HEADER1Part4"/>
        <w:rPr>
          <w:noProof/>
        </w:rPr>
      </w:pPr>
      <w:bookmarkStart w:id="223" w:name="_Toc491880233"/>
      <w:bookmarkStart w:id="224" w:name="_Toc11225929"/>
      <w:bookmarkStart w:id="225" w:name="_Toc11939473"/>
      <w:bookmarkStart w:id="226" w:name="_Toc17886363"/>
      <w:r>
        <w:rPr>
          <w:noProof/>
        </w:rPr>
        <w:t>EUROOPAN UNIONIN KONSOLIDOITU TILINPÄÄTÖS: TALOUDELLINEN TILANNE VUONNA 201</w:t>
      </w:r>
      <w:bookmarkEnd w:id="223"/>
      <w:r>
        <w:rPr>
          <w:noProof/>
        </w:rPr>
        <w:t>8</w:t>
      </w:r>
      <w:bookmarkEnd w:id="224"/>
      <w:bookmarkEnd w:id="225"/>
      <w:bookmarkEnd w:id="226"/>
    </w:p>
    <w:p>
      <w:pPr>
        <w:pStyle w:val="HEADER2Part4"/>
      </w:pPr>
      <w:bookmarkStart w:id="227" w:name="_Toc491880234"/>
      <w:bookmarkStart w:id="228" w:name="_Toc11225930"/>
      <w:bookmarkStart w:id="229" w:name="_Toc11939474"/>
      <w:bookmarkStart w:id="230" w:name="_Toc17886364"/>
      <w:r>
        <w:t>TULOT</w:t>
      </w:r>
      <w:bookmarkEnd w:id="227"/>
      <w:bookmarkEnd w:id="228"/>
      <w:bookmarkEnd w:id="229"/>
      <w:bookmarkEnd w:id="230"/>
    </w:p>
    <w:p>
      <w:pPr>
        <w:pStyle w:val="DGTextstand-alone"/>
      </w:pPr>
      <w:r>
        <w:t>EU:n konsolidoidut tulot sisältävät vaihtoon perustuviin transaktioihin ja muihin kuin vaihtoon perustuviin transaktioihin liittyvät määrät, joista viimeksi mainitut ovat merkittävimpiä.</w:t>
      </w:r>
    </w:p>
    <w:p>
      <w:pPr>
        <w:pStyle w:val="DGTextstand-alone"/>
      </w:pPr>
      <w:r>
        <w:t>Seuraavassa taulukossa luodaan yleiskatsaus muiden kuin vaihtoon perustuvien transaktioiden tärkeimpiin tuloluokkiin.</w:t>
      </w:r>
    </w:p>
    <w:p>
      <w:pPr>
        <w:pStyle w:val="HEADER5"/>
        <w:rPr>
          <w:b/>
          <w:noProof/>
        </w:rPr>
      </w:pPr>
      <w:r>
        <w:rPr>
          <w:noProof/>
        </w:rPr>
        <w:t>Muista kuin vaihtoon liittyvistä transaktioista saatujen tulojen viiden vuoden trendi (milj. euroa)</w:t>
      </w:r>
    </w:p>
    <w:p>
      <w:pPr>
        <w:pStyle w:val="Textstand-alone"/>
        <w:jc w:val="center"/>
      </w:pPr>
      <w:r>
        <w:rPr>
          <w:lang w:val="en-GB" w:eastAsia="en-GB" w:bidi="ar-SA"/>
        </w:rPr>
        <w:drawing>
          <wp:inline distT="0" distB="0" distL="0" distR="0">
            <wp:extent cx="4857750" cy="30194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4857750" cy="3019425"/>
                    </a:xfrm>
                    <a:prstGeom prst="rect">
                      <a:avLst/>
                    </a:prstGeom>
                    <a:noFill/>
                    <a:ln>
                      <a:noFill/>
                    </a:ln>
                  </pic:spPr>
                </pic:pic>
              </a:graphicData>
            </a:graphic>
          </wp:inline>
        </w:drawing>
      </w:r>
    </w:p>
    <w:p>
      <w:pPr>
        <w:pStyle w:val="DGTextstand-alone"/>
      </w:pPr>
      <w:r>
        <w:t>Koska talousarvioon otettujen tulojen on aina vähintäänkin vastattava talousarvioon otettuja menoja, tärkein edellä kuvattuun tulojen trendiin vaikuttava tekijä ovat kunakin vuonna suoritetut maksut. Konsolidoidut tulot kasvoivat vuonna 2018 edelliseen vuoteen verrattuna 20 prosenttia 163 miljardiin euroon pääasiassa seuraavista syistä:</w:t>
      </w:r>
    </w:p>
    <w:p>
      <w:pPr>
        <w:pStyle w:val="DGTextstand-alone"/>
        <w:numPr>
          <w:ilvl w:val="0"/>
          <w:numId w:val="36"/>
        </w:numPr>
      </w:pPr>
      <w:r>
        <w:t>BKTL-varat kasvoivat 27 miljardia euroa eli 35 prosenttia verrattuna edelliseen vuoteen. Kasvu liittyy lähinnä maksumäärärahojen kasvuun vuoden 2018 talousarviossa. Merkittävän kasvun taustalla ovat pääasiassa BKTL-varojen vähäisyys vuonna 2017 sekä vuoden 2016 talousarvion ylijäämä (6,4 miljardia euroa), joka kirjattiin ”muihin tuottoihin muista kuin vaihtoon perustuvista transaktioista”. Vuonna 2018 tuotto- ja kululaskelmaan 31. joulukuuta 2018 kirjattu talousarvion ylijäämä vuodelta 2017 oli paljon pienempi (0,6 miljardia euroa). Tämä selittää toisaalta lisääntyneen BKTL-varojen tarpeen, koska BKTL-varoja käytetään rahoittamaan se osuus talousarviosta, jota ei voida kattaa muista lähteistä saatavilla tuloilla, ja toisaalta ”muiden tuottojen” vähenemisen;</w:t>
      </w:r>
    </w:p>
    <w:p>
      <w:pPr>
        <w:pStyle w:val="DGTextstand-alone"/>
        <w:numPr>
          <w:ilvl w:val="0"/>
          <w:numId w:val="36"/>
        </w:numPr>
      </w:pPr>
      <w:r>
        <w:t>perinteiset omat varat kasvoivat 2,2 miljardia euroa. Tämä kasvu liittyi siihen, että Yhdistynyt kuningaskunta rikkoi EU:n lainsäädäntöä marraskuun 2011 ja lokakuun 2017 välisenä aikana. Tämän rikkomisen seurauksena perittiin 1,3 miljardin euron viivästyskorko, mikä selittää rahoitustuottojen kasvun; ja</w:t>
      </w:r>
    </w:p>
    <w:p>
      <w:pPr>
        <w:pStyle w:val="DGTextstand-alone"/>
        <w:numPr>
          <w:ilvl w:val="0"/>
          <w:numId w:val="36"/>
        </w:numPr>
      </w:pPr>
      <w:r>
        <w:t>EU:n määräämät kilpailusakot kasvoivat 2 miljardia euroa vuoteen 2017 verrattuna. Sakkoja määrättiin yksityisille yhteisöille lainsäädännön rikkomisen vuoksi.</w:t>
      </w:r>
    </w:p>
    <w:p>
      <w:pPr>
        <w:pStyle w:val="DGTextstand-alone"/>
        <w:ind w:left="720"/>
      </w:pPr>
    </w:p>
    <w:p>
      <w:pPr>
        <w:pStyle w:val="HEADER2Part4"/>
      </w:pPr>
      <w:bookmarkStart w:id="231" w:name="_Toc491880235"/>
      <w:bookmarkStart w:id="232" w:name="_Toc11225931"/>
      <w:bookmarkStart w:id="233" w:name="_Toc11939475"/>
      <w:bookmarkStart w:id="234" w:name="_Toc17886365"/>
      <w:r>
        <w:t>MENOT</w:t>
      </w:r>
      <w:bookmarkEnd w:id="231"/>
      <w:bookmarkEnd w:id="232"/>
      <w:bookmarkEnd w:id="233"/>
      <w:bookmarkEnd w:id="234"/>
    </w:p>
    <w:p>
      <w:pPr>
        <w:pStyle w:val="DGTextstand-alone"/>
      </w:pPr>
      <w:r>
        <w:t>Suurimmat menoerät konsolidoidussa tilinpäätöksessä ovat jäsenvaltioiden kanssa yhteistyössä hallinnoitavien varojen siirtoja, jotka koskevat seuraavia rahastoja: i) Euroopan maatalouden tukirahasto (maataloustukirahasto); ii) maaseuturahasto ja muut maaseudun kehittämisen välineet; iii) Euroopan aluekehitysrahasto (EAKR) ja koheesiorahasto sekä iv) Euroopan sosiaalirahasto (ESR). Näiden rahastojen menot muodostivat lähes 66 prosenttia kokonaismenoista vuonna 2018. Menojen jakautuminen rahastoittain on esitetty jäljempänä olevassa kuviossa.</w:t>
      </w:r>
    </w:p>
    <w:p>
      <w:pPr>
        <w:pStyle w:val="HEADER5"/>
        <w:rPr>
          <w:b/>
          <w:noProof/>
        </w:rPr>
      </w:pPr>
      <w:r>
        <w:rPr>
          <w:noProof/>
        </w:rPr>
        <w:t>Jäsenvaltioiden (yhteistyöhön perustuva hallinnointi) varainhoitovuonna 2018 toteuttamien merkittävimpien menojen suhteellinen osuus</w:t>
      </w:r>
    </w:p>
    <w:p>
      <w:pPr>
        <w:pStyle w:val="DGTextstand-alone"/>
        <w:jc w:val="center"/>
      </w:pPr>
      <w:r>
        <w:rPr>
          <w:lang w:val="en-GB" w:eastAsia="en-GB" w:bidi="ar-SA"/>
        </w:rPr>
        <w:drawing>
          <wp:inline distT="0" distB="0" distL="0" distR="0">
            <wp:extent cx="4572000" cy="27336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4572000" cy="2733675"/>
                    </a:xfrm>
                    <a:prstGeom prst="rect">
                      <a:avLst/>
                    </a:prstGeom>
                    <a:noFill/>
                    <a:ln>
                      <a:noFill/>
                    </a:ln>
                  </pic:spPr>
                </pic:pic>
              </a:graphicData>
            </a:graphic>
          </wp:inline>
        </w:drawing>
      </w:r>
    </w:p>
    <w:p>
      <w:pPr>
        <w:pStyle w:val="DGTextstand-alone"/>
      </w:pPr>
      <w:r>
        <w:t xml:space="preserve">Suoraan hallinnoitavat menot syntyvät komission, toimeenpanovirastojen ja erityisrahastojen toteuttaessa talousarviota. Välillisessä hallinnoinnissa talousarviota toteuttavat EU:n virastot ja elimet, kolmannet maat, kansainväliset järjestöt ja muut yhteisöt. </w:t>
      </w:r>
    </w:p>
    <w:p>
      <w:pPr>
        <w:pStyle w:val="DGTextstand-alone"/>
      </w:pPr>
      <w:r>
        <w:t>Suoran ja välillisen hallinnoinnin piiriin kuuluvat menot muodostavat noin 19 prosenttia kokonaismenoista (28,5 miljardia euroa). Osuus pysyi samana edelliseen varainhoitovuoteen verrattuna.</w:t>
      </w:r>
    </w:p>
    <w:p>
      <w:pPr>
        <w:pStyle w:val="DGTextstand-alone"/>
      </w:pPr>
      <w:r>
        <w:t>EU kirjaa tietyt tulevat maksuvelvoitteet menoiksi, mutta ne eivät vielä näy maksuperusteisessa talousarviokirjanpidossa. Merkittävät määrät merkitään muihin lyhytaikaisiin velkoihin ja menojäämiin maatalouden ja maaseudun kehittämisen osalta sekä eläkkeisiin ja työsuhde-etuuksiin liittyviin velkoihin komissaarien, Euroopan parlamentin jäsenten ja henkilöstön eläkeoikeuksien ja muiden työsuhteen päättymisen jälkeisten oikeuksien osalta.</w:t>
      </w:r>
    </w:p>
    <w:p>
      <w:pPr>
        <w:pStyle w:val="DGTextstand-alone"/>
      </w:pPr>
      <w:r>
        <w:t>Menot kasvoivat yhteensä 16 prosenttia 149 miljardiin euroon vuoteen 2017 verrattuna. Kasvu johtui pääasiassa jäsenvaltioiden toteuttamista ohjelmista, joiden menot kasvoivat noin 24 prosenttia eli 19,8 miljardia euroa, koska ohjelmien toteuttaminen on edennyt vaiheeseen, jossa niistä aiheutuu enemmän menoja. Tärkeimmät tähän kasvuun vaikuttaneet ohjelmat olivat EAKR:n, koheesiorahaston ja ESR:n ohjelmat, joiden osuus kasvusta on yhteensä 17,2 miljardia euroa.</w:t>
      </w:r>
    </w:p>
    <w:p>
      <w:pPr>
        <w:rPr>
          <w:rFonts w:ascii="Verdana" w:hAnsi="Verdana"/>
          <w:b/>
          <w:noProof/>
          <w:color w:val="016794"/>
          <w:sz w:val="28"/>
          <w:szCs w:val="30"/>
        </w:rPr>
      </w:pPr>
      <w:bookmarkStart w:id="235" w:name="_Toc491880236"/>
      <w:r>
        <w:rPr>
          <w:noProof/>
        </w:rPr>
        <w:br w:type="page"/>
      </w:r>
    </w:p>
    <w:p>
      <w:pPr>
        <w:pStyle w:val="HEADER2Part4"/>
      </w:pPr>
      <w:bookmarkStart w:id="236" w:name="_Toc11225932"/>
      <w:bookmarkStart w:id="237" w:name="_Toc11939476"/>
      <w:bookmarkStart w:id="238" w:name="_Toc17886366"/>
      <w:r>
        <w:t>VARAT</w:t>
      </w:r>
      <w:bookmarkEnd w:id="235"/>
      <w:bookmarkEnd w:id="236"/>
      <w:bookmarkEnd w:id="237"/>
      <w:bookmarkEnd w:id="238"/>
    </w:p>
    <w:p>
      <w:pPr>
        <w:pStyle w:val="DGTextstand-alone"/>
      </w:pPr>
      <w:r>
        <w:t>Merkittävimmät erät taseen vastaavaa-puolella ovat rahoitusvarat (myönnetyt lainat, myytävissä olevat rahoitusvarat ja käteisvarat) ja ennakkomaksut, jotka muodostavat lähes 79 prosenttia EU:n varoista.</w:t>
      </w:r>
    </w:p>
    <w:p>
      <w:pPr>
        <w:pStyle w:val="HEADER5"/>
        <w:rPr>
          <w:noProof/>
        </w:rPr>
      </w:pPr>
      <w:r>
        <w:rPr>
          <w:noProof/>
        </w:rPr>
        <w:t>EU:n konsolidoitujen varojen koostumus</w:t>
      </w:r>
    </w:p>
    <w:p>
      <w:pPr>
        <w:pStyle w:val="HEADER5"/>
        <w:jc w:val="center"/>
        <w:rPr>
          <w:noProof/>
        </w:rPr>
      </w:pPr>
      <w:r>
        <w:rPr>
          <w:noProof/>
          <w:lang w:val="en-GB" w:eastAsia="en-GB" w:bidi="ar-SA"/>
        </w:rPr>
        <w:drawing>
          <wp:inline distT="0" distB="0" distL="0" distR="0">
            <wp:extent cx="5143500" cy="35147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5143500" cy="3514725"/>
                    </a:xfrm>
                    <a:prstGeom prst="rect">
                      <a:avLst/>
                    </a:prstGeom>
                    <a:noFill/>
                    <a:ln>
                      <a:noFill/>
                    </a:ln>
                  </pic:spPr>
                </pic:pic>
              </a:graphicData>
            </a:graphic>
          </wp:inline>
        </w:drawing>
      </w:r>
    </w:p>
    <w:p>
      <w:pPr>
        <w:pStyle w:val="DGTextstand-alone"/>
      </w:pPr>
      <w:r>
        <w:t>Varat olivat kokonaisuudessaan 174,4 miljardia 31. joulukuuta 2018, eli ne lisääntyivät noin 5 prosenttia. Tärkeimmät muutokset olivat seuraavat:</w:t>
      </w:r>
    </w:p>
    <w:p>
      <w:pPr>
        <w:pStyle w:val="DGTextstand-alone"/>
        <w:numPr>
          <w:ilvl w:val="0"/>
          <w:numId w:val="37"/>
        </w:numPr>
      </w:pPr>
      <w:r>
        <w:t xml:space="preserve">lyhytaikaisissa saamisissa ja kerrytettävissä olevissa rahamäärissä tapahtui 12,5 miljardin euron lisäys, joka liittyi suoraan sellaisten tulojen lisäykseen vuonna 2018, joita ei ole maksettu tilinpäätöspäivänä; </w:t>
      </w:r>
    </w:p>
    <w:p>
      <w:pPr>
        <w:pStyle w:val="DGTextstand-alone"/>
        <w:numPr>
          <w:ilvl w:val="0"/>
          <w:numId w:val="37"/>
        </w:numPr>
      </w:pPr>
      <w:r>
        <w:t>edellä mainittua vaikutusta kompensoi osittain se, että käteisvarat ja muut rahavarat vähenivät 6 miljardia euroa (ks. jäljempänä);</w:t>
      </w:r>
    </w:p>
    <w:p>
      <w:pPr>
        <w:pStyle w:val="DGTextstand-alone"/>
        <w:numPr>
          <w:ilvl w:val="0"/>
          <w:numId w:val="38"/>
        </w:numPr>
      </w:pPr>
      <w:r>
        <w:t>rahoitusvaroissa tapahtui 1 miljardin euron lisäys, joka liittyi pääasiassa ESIR-takuurahaston määrärahoihin;</w:t>
      </w:r>
    </w:p>
    <w:p>
      <w:pPr>
        <w:pStyle w:val="DGTextstand-alone"/>
        <w:numPr>
          <w:ilvl w:val="0"/>
          <w:numId w:val="38"/>
        </w:numPr>
      </w:pPr>
      <w:r>
        <w:t>aineellisissa käyttöomaisuushyödykkeissä tapahtui 0,4 miljardin euron lisäys, joka johtuu avaruusresurssien (Galileo ja Copernicus) kehityksestä.</w:t>
      </w:r>
    </w:p>
    <w:p>
      <w:pPr>
        <w:pStyle w:val="DGTextstand-alone"/>
      </w:pPr>
      <w:r>
        <w:t>EU:n toimielimet ja elimet pyrkivät pitämään käteisvarojen ja muiden rahavarojen määrän alhaisena. Käteisvarojen saldo vuoden lopussa (18,1 miljardia euroa) on pienempi kuin vuonna 2017. Siihen vaikuttivat seuraavat osatekijät:</w:t>
      </w:r>
    </w:p>
    <w:p>
      <w:pPr>
        <w:pStyle w:val="DGTextstand-alone"/>
        <w:numPr>
          <w:ilvl w:val="0"/>
          <w:numId w:val="27"/>
        </w:numPr>
        <w:rPr>
          <w:sz w:val="16"/>
        </w:rPr>
      </w:pPr>
      <w:r>
        <w:t>Omien varojen osalta vuoden lopun saldoon sisältyy 0,75 miljardia euroa joidenkin jäsenvaltioiden ennakkoon maksamia määriä, jotka perustuvat vuonna 2018 hyväksyttyyn lisätalousarvion nro 6.</w:t>
      </w:r>
    </w:p>
    <w:p>
      <w:pPr>
        <w:pStyle w:val="DGTextstand-alone"/>
        <w:numPr>
          <w:ilvl w:val="0"/>
          <w:numId w:val="27"/>
        </w:numPr>
        <w:rPr>
          <w:sz w:val="16"/>
        </w:rPr>
      </w:pPr>
      <w:r>
        <w:t>Vuonna 2018 maksettiin lopullisesti 1,4 miljardia euroa sakkoja, jotka komissio on määrännyt kilpailusääntöjen rikkomisesta ja jotka eivät vielä sisälly yhteenkään lisätalousarvioon. Nämä sakot sisältyvät kassavarojen vuoden lopun saldoon</w:t>
      </w:r>
    </w:p>
    <w:p>
      <w:pPr>
        <w:pStyle w:val="DGTextstand-alone"/>
        <w:numPr>
          <w:ilvl w:val="0"/>
          <w:numId w:val="27"/>
        </w:numPr>
        <w:rPr>
          <w:sz w:val="16"/>
        </w:rPr>
      </w:pPr>
      <w:r>
        <w:t>Kassavaroihin sisältyy myös 7,4 miljardia euroa käyttötarkoitukseensa sidottuja tuloja ja muita maksumäärärahoja.</w:t>
      </w:r>
    </w:p>
    <w:p>
      <w:pPr>
        <w:pStyle w:val="HEADER5"/>
        <w:rPr>
          <w:noProof/>
        </w:rPr>
      </w:pPr>
      <w:r>
        <w:rPr>
          <w:noProof/>
        </w:rPr>
        <w:t>Ennakkomaksut</w:t>
      </w:r>
    </w:p>
    <w:p>
      <w:pPr>
        <w:pStyle w:val="DGTextstand-alone"/>
      </w:pPr>
      <w:r>
        <w:t>On huomattava, että ennakkomaksujen määrään vaikuttaa merkittävästi monivuotisen rahoituskehyksen sykli. Esimerkiksi rahoituskehyksen soveltamiskauden alussa voidaan olettaa, että jäsenvaltioille maksetaan koheesiopolitiikan mukaisesti suuria ennakkomaksuja. Komissio pyrkii kaikin tavoin varmistamaan, että ennakkomaksut pysyvät sopivalla tasolla. Hankkeiden riittävän rahoituksen varmistamisen ja menojen oikea-aikaisen kirjaamisen välille on löydettävä oikea tasapaino.</w:t>
      </w:r>
    </w:p>
    <w:p>
      <w:pPr>
        <w:pStyle w:val="DGTextstand-alone"/>
      </w:pPr>
      <w:r>
        <w:t>Ennakkomaksujen (pl. muut ennakot jäsenvaltioille sekä Bêkou- ja Afrikka-erityisrahastojen rahoitusosuudet) kokonaismäärä on EU:n taseessa 43,4 miljardia euroa (44,3 miljardia euroa vuonna 2017). Kyseinen määrä liittyy lähes kokonaan komission toimintaan. Noin 60:tä prosenttia komission ennakkomaksuista hallinnoidaan yhteistyössä jäsenvaltioiden kanssa. Tämä tarkoittaa sitä, että talousarvion toteuttaminen on siirretty jäsenvaltioille (komissiolla on valvontatehtävä).</w:t>
      </w:r>
    </w:p>
    <w:p>
      <w:pPr>
        <w:pStyle w:val="HEADER5"/>
        <w:rPr>
          <w:noProof/>
        </w:rPr>
      </w:pPr>
      <w:r>
        <w:rPr>
          <w:noProof/>
        </w:rPr>
        <w:t>Komission ennakkomaksut hallinnointitavan mukaan jaoteltuna</w:t>
      </w:r>
    </w:p>
    <w:p>
      <w:pPr>
        <w:pStyle w:val="Textstand-alone"/>
        <w:jc w:val="center"/>
      </w:pPr>
      <w:r>
        <w:rPr>
          <w:lang w:val="en-GB" w:eastAsia="en-GB" w:bidi="ar-SA"/>
        </w:rPr>
        <w:drawing>
          <wp:inline distT="0" distB="0" distL="0" distR="0">
            <wp:extent cx="4572000" cy="27336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4572000" cy="2733675"/>
                    </a:xfrm>
                    <a:prstGeom prst="rect">
                      <a:avLst/>
                    </a:prstGeom>
                    <a:noFill/>
                    <a:ln>
                      <a:noFill/>
                    </a:ln>
                  </pic:spPr>
                </pic:pic>
              </a:graphicData>
            </a:graphic>
          </wp:inline>
        </w:drawing>
      </w:r>
    </w:p>
    <w:p>
      <w:pPr>
        <w:pStyle w:val="DGTextstand-alone"/>
      </w:pPr>
      <w:r>
        <w:t>Merkittävimmät yhteistyössä jäsenvaltioiden kanssa hallinnoitavat ennakkomaksut koskevat Euroopan aluekehitysrahastoa ja koheesiorahastoa (14,6 miljardia euroa). Tämä vastaa vuoden 2017 tasoa.</w:t>
      </w:r>
    </w:p>
    <w:p>
      <w:pPr>
        <w:pStyle w:val="HEADER5"/>
        <w:rPr>
          <w:noProof/>
        </w:rPr>
      </w:pPr>
      <w:r>
        <w:rPr>
          <w:noProof/>
        </w:rPr>
        <w:t>RAHOITUSVÄLINEET</w:t>
      </w:r>
    </w:p>
    <w:p>
      <w:pPr>
        <w:pStyle w:val="DGTextstand-alone"/>
      </w:pPr>
      <w:r>
        <w:t>Seuraavat erät esitetään rahoitusvälineinä EU:n konsolidoidussa tilinpäätöksessä:</w:t>
      </w:r>
    </w:p>
    <w:p>
      <w:pPr>
        <w:pStyle w:val="DGTextstand-alone"/>
        <w:numPr>
          <w:ilvl w:val="0"/>
          <w:numId w:val="39"/>
        </w:numPr>
      </w:pPr>
      <w:r>
        <w:t>EU:n talousarviosta rahoitetut rahoitusvälineet: talousarvion toteuttamiseen liittyvät varat on joko jo maksettu valtuutettujen elinten varainhoitotileille ja ovat edelleen käytettävissä (käteisvarat ja muut rahavarat ja velkapaperit) kattamaan tulevat vakuuteen perustuvat maksuvaatimukset tai ovat sijoituksia oman pääoman ehtoisiin välineisiin;</w:t>
      </w:r>
    </w:p>
    <w:p>
      <w:pPr>
        <w:pStyle w:val="DGTextstand-alone"/>
        <w:numPr>
          <w:ilvl w:val="0"/>
          <w:numId w:val="39"/>
        </w:numPr>
      </w:pPr>
      <w:r>
        <w:t xml:space="preserve">Talousarviotakauksia varten takuurahastoissa olevat rahoitusvarat: talousarvion toteuttamisessa EU tarjoaa takaukset vastapuolille, joiden rahoitus toteutetaan vain osittain komission perustamien takuurahastojen kautta, jotka muodostavat näin EU:n talousarvioon kohdistuvia ehdollisia velkoja – ks. liitetieto </w:t>
      </w:r>
      <w:r>
        <w:rPr>
          <w:b/>
        </w:rPr>
        <w:t>4.1</w:t>
      </w:r>
      <w:r>
        <w:t>; sekä</w:t>
      </w:r>
    </w:p>
    <w:p>
      <w:pPr>
        <w:pStyle w:val="DGTextstand-alone"/>
        <w:numPr>
          <w:ilvl w:val="0"/>
          <w:numId w:val="39"/>
        </w:numPr>
      </w:pPr>
      <w:r>
        <w:t>Rahoitusapuohjelmien puitteissa myönnetyt lainat ja niihin liittyvä lainanotto.</w:t>
      </w:r>
    </w:p>
    <w:p>
      <w:pPr>
        <w:pStyle w:val="HEADER5"/>
        <w:rPr>
          <w:noProof/>
        </w:rPr>
      </w:pPr>
      <w:r>
        <w:rPr>
          <w:noProof/>
        </w:rPr>
        <w:t>EU:n talousarviosta rahoitetut rahoitusvälineet</w:t>
      </w:r>
    </w:p>
    <w:p>
      <w:pPr>
        <w:pStyle w:val="DGTextstand-alone"/>
      </w:pPr>
      <w:r>
        <w:t>EU:n talousarviosta rahoitettavien, suoran ja välillisen hallinnoinnin piiriin kuuluvien rahoitusvälineiden merkitys ja volyymi ovat kasvaneet vuosi vuodelta. Tämä lähestymistapa poikkeaa avustusten ja tukien myöntämiseen perustuvasta perinteisestä tavasta toteuttaa talousarvio. Sitä sovellettaessa jokaisesta eurosta, joka maksetaan talousarviosta rahoitusvälineiden kautta, lopullinen tuensaaja saa yli euron rahoitustukea vipuvaikutuksen ansiosta. Tällä EU:n budjettivarojen käytöllä pyritään maksimoimaan käytettävissä olevien varojen vaikutus. EU:n talousarviosta rahoitettavat rahoitusvälineet ovat takausvälineitä, oman pääoman ehtoisia välineitä tai lainavälineitä – ks. yleiskatsaus rahoituskehyksittäin jäljempänä olevassa taulukossa. Näissä rahoitusvälineissä olevat omaisuuserät ovat joko käteisvaroja ja muita rahavaroja tai sijoituksia oman pääoman ehtoisiin välineisiin ja velkapapereihin. Ne luokitellaan myytävissä oleviksi rahoitusvaroiksi EU:n konsolidoidussa tilinpäätöksessä.</w:t>
      </w:r>
    </w:p>
    <w:p>
      <w:pPr>
        <w:pStyle w:val="DGTextstand-alone"/>
        <w:spacing w:after="0"/>
        <w:rPr>
          <w:b/>
          <w:color w:val="000000" w:themeColor="text1"/>
        </w:rPr>
      </w:pPr>
      <w:r>
        <w:rPr>
          <w:color w:val="000000" w:themeColor="text1"/>
        </w:rPr>
        <w:t>EU:n talousarviosta rahoitettaviin rahoitusvälineisiin sisältyvät myytävissä olevat rahoitusvarat (vuoden lopun arvo):</w:t>
      </w:r>
    </w:p>
    <w:p>
      <w:pPr>
        <w:pStyle w:val="Textstand-alone"/>
        <w:spacing w:before="0"/>
        <w:jc w:val="center"/>
      </w:pPr>
      <w:r>
        <w:rPr>
          <w:lang w:val="en-GB" w:eastAsia="en-GB" w:bidi="ar-SA"/>
        </w:rPr>
        <w:drawing>
          <wp:inline distT="0" distB="0" distL="0" distR="0">
            <wp:extent cx="4572000" cy="27336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4572000" cy="2733675"/>
                    </a:xfrm>
                    <a:prstGeom prst="rect">
                      <a:avLst/>
                    </a:prstGeom>
                    <a:noFill/>
                    <a:ln>
                      <a:noFill/>
                    </a:ln>
                  </pic:spPr>
                </pic:pic>
              </a:graphicData>
            </a:graphic>
          </wp:inline>
        </w:drawing>
      </w:r>
    </w:p>
    <w:p>
      <w:pPr>
        <w:pStyle w:val="DGTextstand-alone"/>
        <w:spacing w:after="0"/>
        <w:rPr>
          <w:b/>
        </w:rPr>
      </w:pPr>
      <w:r>
        <w:t>Seuraavissa taulukoissa esitetään yhteenveto EU:n talousarviosta rahoitettavista rahoitusvälineistä monivuotisissa rahoituskehyksissä ja niiden arvot 31. joulukuuta 2018:</w:t>
      </w:r>
    </w:p>
    <w:tbl>
      <w:tblPr>
        <w:tblW w:w="10135" w:type="dxa"/>
        <w:tblInd w:w="108" w:type="dxa"/>
        <w:tblLook w:val="0480" w:firstRow="0" w:lastRow="0" w:firstColumn="1" w:lastColumn="0" w:noHBand="0" w:noVBand="1"/>
      </w:tblPr>
      <w:tblGrid>
        <w:gridCol w:w="6379"/>
        <w:gridCol w:w="819"/>
        <w:gridCol w:w="1348"/>
        <w:gridCol w:w="1589"/>
      </w:tblGrid>
      <w:tr>
        <w:trPr>
          <w:trHeight w:val="315"/>
        </w:trPr>
        <w:tc>
          <w:tcPr>
            <w:tcW w:w="6379"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819"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348"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589" w:type="dxa"/>
            <w:tcBorders>
              <w:top w:val="nil"/>
              <w:left w:val="nil"/>
              <w:bottom w:val="nil"/>
              <w:right w:val="nil"/>
            </w:tcBorders>
            <w:shd w:val="clear" w:color="auto" w:fill="auto"/>
            <w:noWrap/>
            <w:vAlign w:val="bottom"/>
            <w:hideMark/>
          </w:tcPr>
          <w:p>
            <w:pPr>
              <w:rPr>
                <w:rFonts w:ascii="Verdana" w:hAnsi="Verdana"/>
                <w:i/>
                <w:noProof/>
                <w:color w:val="000000"/>
                <w:sz w:val="16"/>
                <w:szCs w:val="18"/>
              </w:rPr>
            </w:pPr>
            <w:r>
              <w:rPr>
                <w:rFonts w:ascii="Verdana" w:hAnsi="Verdana"/>
                <w:i/>
                <w:noProof/>
                <w:color w:val="000000"/>
                <w:sz w:val="16"/>
              </w:rPr>
              <w:t>milj. euroa</w:t>
            </w:r>
          </w:p>
        </w:tc>
      </w:tr>
      <w:tr>
        <w:trPr>
          <w:trHeight w:val="300"/>
        </w:trPr>
        <w:tc>
          <w:tcPr>
            <w:tcW w:w="6379"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noProof/>
                <w:color w:val="FFFFFF"/>
                <w:sz w:val="16"/>
              </w:rPr>
              <w:t>Useampaa kuin yhtä monivuotista rahoituskehystä koskevat</w:t>
            </w:r>
          </w:p>
        </w:tc>
        <w:tc>
          <w:tcPr>
            <w:tcW w:w="819" w:type="dxa"/>
            <w:tcBorders>
              <w:top w:val="single" w:sz="8" w:space="0" w:color="auto"/>
              <w:left w:val="nil"/>
              <w:bottom w:val="nil"/>
              <w:right w:val="nil"/>
            </w:tcBorders>
            <w:shd w:val="clear" w:color="000000" w:fill="366092"/>
            <w:noWrap/>
            <w:vAlign w:val="center"/>
            <w:hideMark/>
          </w:tcPr>
          <w:p>
            <w:pPr>
              <w:jc w:val="right"/>
              <w:rPr>
                <w:rFonts w:ascii="Verdana" w:hAnsi="Verdana"/>
                <w:b/>
                <w:bCs/>
                <w:noProof/>
                <w:color w:val="FFFFFF"/>
                <w:sz w:val="16"/>
                <w:szCs w:val="16"/>
              </w:rPr>
            </w:pPr>
            <w:r>
              <w:rPr>
                <w:rFonts w:ascii="Verdana" w:hAnsi="Verdana"/>
                <w:b/>
                <w:noProof/>
                <w:color w:val="FFFFFF"/>
                <w:sz w:val="16"/>
              </w:rPr>
              <w:t>Varat*</w:t>
            </w:r>
          </w:p>
        </w:tc>
        <w:tc>
          <w:tcPr>
            <w:tcW w:w="1348" w:type="dxa"/>
            <w:tcBorders>
              <w:top w:val="single" w:sz="8" w:space="0" w:color="auto"/>
              <w:left w:val="nil"/>
              <w:bottom w:val="nil"/>
              <w:right w:val="nil"/>
            </w:tcBorders>
            <w:shd w:val="clear" w:color="000000" w:fill="366092"/>
            <w:noWrap/>
            <w:vAlign w:val="center"/>
            <w:hideMark/>
          </w:tcPr>
          <w:p>
            <w:pPr>
              <w:jc w:val="right"/>
              <w:rPr>
                <w:rFonts w:ascii="Verdana" w:hAnsi="Verdana"/>
                <w:b/>
                <w:bCs/>
                <w:noProof/>
                <w:color w:val="FFFFFF"/>
                <w:sz w:val="16"/>
                <w:szCs w:val="16"/>
              </w:rPr>
            </w:pPr>
            <w:r>
              <w:rPr>
                <w:rFonts w:ascii="Verdana" w:hAnsi="Verdana"/>
                <w:b/>
                <w:noProof/>
                <w:color w:val="FFFFFF"/>
                <w:sz w:val="16"/>
              </w:rPr>
              <w:t>Velat**</w:t>
            </w:r>
          </w:p>
        </w:tc>
        <w:tc>
          <w:tcPr>
            <w:tcW w:w="1589" w:type="dxa"/>
            <w:tcBorders>
              <w:top w:val="single" w:sz="8" w:space="0" w:color="auto"/>
              <w:left w:val="nil"/>
              <w:bottom w:val="nil"/>
              <w:right w:val="single" w:sz="8" w:space="0" w:color="auto"/>
            </w:tcBorders>
            <w:shd w:val="clear" w:color="000000" w:fill="366092"/>
            <w:noWrap/>
            <w:vAlign w:val="center"/>
            <w:hideMark/>
          </w:tcPr>
          <w:p>
            <w:pPr>
              <w:jc w:val="right"/>
              <w:rPr>
                <w:rFonts w:ascii="Verdana" w:hAnsi="Verdana"/>
                <w:b/>
                <w:bCs/>
                <w:noProof/>
                <w:color w:val="FFFFFF"/>
                <w:sz w:val="16"/>
                <w:szCs w:val="16"/>
              </w:rPr>
            </w:pPr>
            <w:r>
              <w:rPr>
                <w:rFonts w:ascii="Verdana" w:hAnsi="Verdana"/>
                <w:b/>
                <w:noProof/>
                <w:color w:val="FFFFFF"/>
                <w:sz w:val="16"/>
              </w:rPr>
              <w:t>Annetut takaukset***</w:t>
            </w:r>
          </w:p>
        </w:tc>
      </w:tr>
      <w:tr>
        <w:trPr>
          <w:trHeight w:hRule="exact" w:val="284"/>
        </w:trPr>
        <w:tc>
          <w:tcPr>
            <w:tcW w:w="6379"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Takaus- ja riskinjakovälineet:</w:t>
            </w:r>
          </w:p>
        </w:tc>
        <w:tc>
          <w:tcPr>
            <w:tcW w:w="819" w:type="dxa"/>
            <w:tcBorders>
              <w:top w:val="nil"/>
              <w:left w:val="nil"/>
              <w:bottom w:val="nil"/>
              <w:right w:val="nil"/>
            </w:tcBorders>
            <w:shd w:val="clear" w:color="auto" w:fill="auto"/>
            <w:noWrap/>
            <w:vAlign w:val="center"/>
            <w:hideMark/>
          </w:tcPr>
          <w:p>
            <w:pPr>
              <w:rPr>
                <w:rFonts w:ascii="Verdana" w:hAnsi="Verdana"/>
                <w:noProof/>
                <w:color w:val="000000"/>
                <w:sz w:val="16"/>
                <w:szCs w:val="16"/>
              </w:rPr>
            </w:pPr>
          </w:p>
        </w:tc>
        <w:tc>
          <w:tcPr>
            <w:tcW w:w="1348" w:type="dxa"/>
            <w:tcBorders>
              <w:top w:val="nil"/>
              <w:left w:val="nil"/>
              <w:bottom w:val="nil"/>
              <w:right w:val="nil"/>
            </w:tcBorders>
            <w:shd w:val="clear" w:color="auto" w:fill="auto"/>
            <w:noWrap/>
            <w:vAlign w:val="center"/>
            <w:hideMark/>
          </w:tcPr>
          <w:p>
            <w:pPr>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 </w:t>
            </w:r>
          </w:p>
        </w:tc>
      </w:tr>
      <w:tr>
        <w:trPr>
          <w:trHeight w:hRule="exact" w:val="284"/>
        </w:trPr>
        <w:tc>
          <w:tcPr>
            <w:tcW w:w="6379"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Länsi-Balkanin takausväline</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37</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(34)</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6379" w:type="dxa"/>
            <w:tcBorders>
              <w:top w:val="single" w:sz="8" w:space="0" w:color="auto"/>
              <w:left w:val="single" w:sz="8" w:space="0" w:color="auto"/>
              <w:bottom w:val="single" w:sz="8" w:space="0" w:color="auto"/>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 </w:t>
            </w:r>
          </w:p>
        </w:tc>
        <w:tc>
          <w:tcPr>
            <w:tcW w:w="819"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37</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(34)</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 xml:space="preserve">– </w:t>
            </w:r>
          </w:p>
        </w:tc>
      </w:tr>
      <w:tr>
        <w:trPr>
          <w:trHeight w:hRule="exact" w:val="284"/>
        </w:trPr>
        <w:tc>
          <w:tcPr>
            <w:tcW w:w="6379"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Oman pääoman ehtoiset rahoitusvälineet:</w:t>
            </w:r>
          </w:p>
        </w:tc>
        <w:tc>
          <w:tcPr>
            <w:tcW w:w="819"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noProof/>
                <w:color w:val="FFFFFF"/>
                <w:sz w:val="16"/>
              </w:rPr>
              <w:t> </w:t>
            </w:r>
          </w:p>
        </w:tc>
      </w:tr>
      <w:tr>
        <w:trPr>
          <w:trHeight w:hRule="exact" w:val="284"/>
        </w:trPr>
        <w:tc>
          <w:tcPr>
            <w:tcW w:w="6379"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bookmarkStart w:id="239" w:name="OLE_LINK3"/>
            <w:r>
              <w:rPr>
                <w:rFonts w:ascii="Verdana" w:hAnsi="Verdana"/>
                <w:noProof/>
                <w:color w:val="000000"/>
                <w:sz w:val="16"/>
              </w:rPr>
              <w:t xml:space="preserve">Euroopan Kaakkois-Eurooppa-rahasto (EFSE) </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165</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6379"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Vihreän kasvun rahasto (itäiset lähialueet)</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63</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6379"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MENA -rahasto mikro- ja pk-yrityksille (SANAD)</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25</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6379"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Yritysten innovointirahasto – ENIF</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18</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6379"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Yritysten laajentumisrahasto – ENEF</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10</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6379"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Aasian velkarahastoon liittyvä mikrotaloushanke</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9</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39"/>
      <w:tr>
        <w:trPr>
          <w:trHeight w:hRule="exact" w:val="284"/>
        </w:trPr>
        <w:tc>
          <w:tcPr>
            <w:tcW w:w="6379" w:type="dxa"/>
            <w:tcBorders>
              <w:top w:val="single" w:sz="8" w:space="0" w:color="auto"/>
              <w:left w:val="single" w:sz="8" w:space="0" w:color="auto"/>
              <w:bottom w:val="single" w:sz="8" w:space="0" w:color="auto"/>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 </w:t>
            </w:r>
          </w:p>
        </w:tc>
        <w:tc>
          <w:tcPr>
            <w:tcW w:w="819"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290</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(0)</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 xml:space="preserve">– </w:t>
            </w:r>
          </w:p>
        </w:tc>
      </w:tr>
      <w:tr>
        <w:trPr>
          <w:trHeight w:val="315"/>
        </w:trPr>
        <w:tc>
          <w:tcPr>
            <w:tcW w:w="6379" w:type="dxa"/>
            <w:tcBorders>
              <w:top w:val="nil"/>
              <w:left w:val="single" w:sz="8" w:space="0" w:color="auto"/>
              <w:bottom w:val="single" w:sz="8" w:space="0" w:color="auto"/>
              <w:right w:val="nil"/>
            </w:tcBorders>
            <w:shd w:val="clear" w:color="000000" w:fill="B8CCE4"/>
            <w:noWrap/>
            <w:vAlign w:val="center"/>
            <w:hideMark/>
          </w:tcPr>
          <w:p>
            <w:pPr>
              <w:rPr>
                <w:rFonts w:ascii="Verdana" w:hAnsi="Verdana"/>
                <w:b/>
                <w:bCs/>
                <w:noProof/>
                <w:color w:val="000000"/>
                <w:sz w:val="16"/>
                <w:szCs w:val="16"/>
              </w:rPr>
            </w:pPr>
            <w:r>
              <w:rPr>
                <w:rFonts w:ascii="Verdana" w:hAnsi="Verdana"/>
                <w:b/>
                <w:noProof/>
                <w:color w:val="000000"/>
                <w:sz w:val="16"/>
              </w:rPr>
              <w:t xml:space="preserve">Yhteensä </w:t>
            </w:r>
          </w:p>
        </w:tc>
        <w:tc>
          <w:tcPr>
            <w:tcW w:w="819"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327</w:t>
            </w:r>
          </w:p>
        </w:tc>
        <w:tc>
          <w:tcPr>
            <w:tcW w:w="134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(34)</w:t>
            </w:r>
          </w:p>
        </w:tc>
        <w:tc>
          <w:tcPr>
            <w:tcW w:w="1589" w:type="dxa"/>
            <w:tcBorders>
              <w:top w:val="nil"/>
              <w:left w:val="nil"/>
              <w:bottom w:val="single" w:sz="8" w:space="0" w:color="auto"/>
              <w:right w:val="single" w:sz="8" w:space="0" w:color="auto"/>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w:t>
            </w:r>
          </w:p>
        </w:tc>
      </w:tr>
    </w:tbl>
    <w:p>
      <w:pPr>
        <w:rPr>
          <w:noProof/>
        </w:rPr>
      </w:pPr>
      <w:r>
        <w:rPr>
          <w:noProof/>
        </w:rPr>
        <w:br w:type="page"/>
      </w:r>
    </w:p>
    <w:tbl>
      <w:tblPr>
        <w:tblW w:w="10135" w:type="dxa"/>
        <w:tblInd w:w="108" w:type="dxa"/>
        <w:tblLook w:val="0480" w:firstRow="0" w:lastRow="0" w:firstColumn="1" w:lastColumn="0" w:noHBand="0" w:noVBand="1"/>
      </w:tblPr>
      <w:tblGrid>
        <w:gridCol w:w="6379"/>
        <w:gridCol w:w="819"/>
        <w:gridCol w:w="1348"/>
        <w:gridCol w:w="1589"/>
      </w:tblGrid>
      <w:tr>
        <w:trPr>
          <w:trHeight w:hRule="exact" w:val="170"/>
        </w:trPr>
        <w:tc>
          <w:tcPr>
            <w:tcW w:w="6379" w:type="dxa"/>
            <w:tcBorders>
              <w:top w:val="nil"/>
              <w:left w:val="nil"/>
              <w:bottom w:val="nil"/>
              <w:right w:val="nil"/>
            </w:tcBorders>
            <w:shd w:val="clear" w:color="auto" w:fill="auto"/>
            <w:noWrap/>
            <w:vAlign w:val="bottom"/>
            <w:hideMark/>
          </w:tcPr>
          <w:p>
            <w:pPr>
              <w:rPr>
                <w:rFonts w:ascii="Verdana" w:hAnsi="Verdana"/>
                <w:noProof/>
                <w:color w:val="000000"/>
                <w:sz w:val="16"/>
                <w:szCs w:val="18"/>
              </w:rPr>
            </w:pPr>
          </w:p>
        </w:tc>
        <w:tc>
          <w:tcPr>
            <w:tcW w:w="819" w:type="dxa"/>
            <w:tcBorders>
              <w:top w:val="nil"/>
              <w:left w:val="nil"/>
              <w:bottom w:val="nil"/>
              <w:right w:val="nil"/>
            </w:tcBorders>
            <w:shd w:val="clear" w:color="auto" w:fill="auto"/>
            <w:noWrap/>
            <w:vAlign w:val="bottom"/>
            <w:hideMark/>
          </w:tcPr>
          <w:p>
            <w:pPr>
              <w:rPr>
                <w:rFonts w:ascii="Verdana" w:hAnsi="Verdana"/>
                <w:noProof/>
                <w:color w:val="000000"/>
                <w:sz w:val="16"/>
                <w:szCs w:val="18"/>
              </w:rPr>
            </w:pPr>
          </w:p>
        </w:tc>
        <w:tc>
          <w:tcPr>
            <w:tcW w:w="1348" w:type="dxa"/>
            <w:tcBorders>
              <w:top w:val="nil"/>
              <w:left w:val="nil"/>
              <w:bottom w:val="nil"/>
              <w:right w:val="nil"/>
            </w:tcBorders>
            <w:shd w:val="clear" w:color="auto" w:fill="auto"/>
            <w:noWrap/>
            <w:vAlign w:val="bottom"/>
            <w:hideMark/>
          </w:tcPr>
          <w:p>
            <w:pPr>
              <w:rPr>
                <w:rFonts w:ascii="Verdana" w:hAnsi="Verdana"/>
                <w:noProof/>
                <w:color w:val="000000"/>
                <w:sz w:val="16"/>
                <w:szCs w:val="18"/>
              </w:rPr>
            </w:pPr>
          </w:p>
        </w:tc>
        <w:tc>
          <w:tcPr>
            <w:tcW w:w="1589" w:type="dxa"/>
            <w:tcBorders>
              <w:top w:val="nil"/>
              <w:left w:val="nil"/>
              <w:bottom w:val="nil"/>
              <w:right w:val="nil"/>
            </w:tcBorders>
            <w:shd w:val="clear" w:color="auto" w:fill="auto"/>
            <w:noWrap/>
            <w:vAlign w:val="center"/>
            <w:hideMark/>
          </w:tcPr>
          <w:p>
            <w:pPr>
              <w:jc w:val="right"/>
              <w:rPr>
                <w:rFonts w:ascii="Verdana" w:hAnsi="Verdana"/>
                <w:i/>
                <w:iCs/>
                <w:noProof/>
                <w:color w:val="000000"/>
                <w:sz w:val="16"/>
                <w:szCs w:val="18"/>
              </w:rPr>
            </w:pPr>
          </w:p>
        </w:tc>
      </w:tr>
      <w:tr>
        <w:trPr>
          <w:trHeight w:val="300"/>
        </w:trPr>
        <w:tc>
          <w:tcPr>
            <w:tcW w:w="6379"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noProof/>
                <w:color w:val="FFFFFF"/>
                <w:sz w:val="16"/>
              </w:rPr>
              <w:t>Monivuotinen rahoituskehys 2014–2020</w:t>
            </w:r>
          </w:p>
        </w:tc>
        <w:tc>
          <w:tcPr>
            <w:tcW w:w="819" w:type="dxa"/>
            <w:tcBorders>
              <w:top w:val="single" w:sz="8" w:space="0" w:color="auto"/>
              <w:left w:val="nil"/>
              <w:bottom w:val="nil"/>
              <w:right w:val="nil"/>
            </w:tcBorders>
            <w:shd w:val="clear" w:color="000000" w:fill="366092"/>
            <w:noWrap/>
            <w:vAlign w:val="center"/>
            <w:hideMark/>
          </w:tcPr>
          <w:p>
            <w:pPr>
              <w:jc w:val="right"/>
              <w:rPr>
                <w:rFonts w:ascii="Verdana" w:hAnsi="Verdana"/>
                <w:b/>
                <w:bCs/>
                <w:noProof/>
                <w:color w:val="FFFFFF"/>
                <w:sz w:val="16"/>
                <w:szCs w:val="16"/>
              </w:rPr>
            </w:pPr>
            <w:r>
              <w:rPr>
                <w:rFonts w:ascii="Verdana" w:hAnsi="Verdana"/>
                <w:b/>
                <w:noProof/>
                <w:color w:val="FFFFFF"/>
                <w:sz w:val="16"/>
              </w:rPr>
              <w:t>Varat</w:t>
            </w:r>
          </w:p>
        </w:tc>
        <w:tc>
          <w:tcPr>
            <w:tcW w:w="1348" w:type="dxa"/>
            <w:tcBorders>
              <w:top w:val="single" w:sz="8" w:space="0" w:color="auto"/>
              <w:left w:val="nil"/>
              <w:bottom w:val="nil"/>
              <w:right w:val="nil"/>
            </w:tcBorders>
            <w:shd w:val="clear" w:color="000000" w:fill="366092"/>
            <w:noWrap/>
            <w:vAlign w:val="center"/>
            <w:hideMark/>
          </w:tcPr>
          <w:p>
            <w:pPr>
              <w:jc w:val="right"/>
              <w:rPr>
                <w:rFonts w:ascii="Verdana" w:hAnsi="Verdana"/>
                <w:b/>
                <w:bCs/>
                <w:noProof/>
                <w:color w:val="FFFFFF"/>
                <w:sz w:val="16"/>
                <w:szCs w:val="16"/>
              </w:rPr>
            </w:pPr>
            <w:r>
              <w:rPr>
                <w:rFonts w:ascii="Verdana" w:hAnsi="Verdana"/>
                <w:b/>
                <w:noProof/>
                <w:color w:val="FFFFFF"/>
                <w:sz w:val="16"/>
              </w:rPr>
              <w:t>Velat</w:t>
            </w:r>
          </w:p>
        </w:tc>
        <w:tc>
          <w:tcPr>
            <w:tcW w:w="1589" w:type="dxa"/>
            <w:tcBorders>
              <w:top w:val="single" w:sz="8" w:space="0" w:color="auto"/>
              <w:left w:val="nil"/>
              <w:bottom w:val="nil"/>
              <w:right w:val="single" w:sz="8" w:space="0" w:color="auto"/>
            </w:tcBorders>
            <w:shd w:val="clear" w:color="000000" w:fill="366092"/>
            <w:noWrap/>
            <w:vAlign w:val="center"/>
            <w:hideMark/>
          </w:tcPr>
          <w:p>
            <w:pPr>
              <w:jc w:val="right"/>
              <w:rPr>
                <w:rFonts w:ascii="Verdana" w:hAnsi="Verdana"/>
                <w:b/>
                <w:bCs/>
                <w:noProof/>
                <w:color w:val="FFFFFF"/>
                <w:sz w:val="16"/>
                <w:szCs w:val="16"/>
              </w:rPr>
            </w:pPr>
            <w:r>
              <w:rPr>
                <w:rFonts w:ascii="Verdana" w:hAnsi="Verdana"/>
                <w:b/>
                <w:noProof/>
                <w:color w:val="FFFFFF"/>
                <w:sz w:val="16"/>
              </w:rPr>
              <w:t>Annetut takaukset</w:t>
            </w:r>
          </w:p>
        </w:tc>
      </w:tr>
      <w:tr>
        <w:trPr>
          <w:trHeight w:hRule="exact" w:val="284"/>
        </w:trPr>
        <w:tc>
          <w:tcPr>
            <w:tcW w:w="6379" w:type="dxa"/>
            <w:tcBorders>
              <w:top w:val="nil"/>
              <w:left w:val="single" w:sz="8" w:space="0" w:color="auto"/>
              <w:bottom w:val="nil"/>
              <w:right w:val="nil"/>
            </w:tcBorders>
            <w:shd w:val="clear" w:color="auto" w:fill="auto"/>
            <w:noWrap/>
            <w:vAlign w:val="center"/>
            <w:hideMark/>
          </w:tcPr>
          <w:p>
            <w:pPr>
              <w:rPr>
                <w:rFonts w:ascii="Verdana" w:hAnsi="Verdana"/>
                <w:b/>
                <w:bCs/>
                <w:noProof/>
                <w:color w:val="000000"/>
                <w:sz w:val="16"/>
                <w:szCs w:val="16"/>
              </w:rPr>
            </w:pPr>
            <w:r>
              <w:rPr>
                <w:rFonts w:ascii="Verdana" w:hAnsi="Verdana"/>
                <w:b/>
                <w:noProof/>
                <w:color w:val="000000"/>
                <w:sz w:val="16"/>
              </w:rPr>
              <w:t>Takaus- ja riskinjakovälineet:</w:t>
            </w:r>
          </w:p>
        </w:tc>
        <w:tc>
          <w:tcPr>
            <w:tcW w:w="819" w:type="dxa"/>
            <w:tcBorders>
              <w:top w:val="nil"/>
              <w:left w:val="nil"/>
              <w:bottom w:val="nil"/>
              <w:right w:val="nil"/>
            </w:tcBorders>
            <w:shd w:val="clear" w:color="auto" w:fill="auto"/>
            <w:noWrap/>
            <w:vAlign w:val="center"/>
            <w:hideMark/>
          </w:tcPr>
          <w:p>
            <w:pPr>
              <w:jc w:val="right"/>
              <w:rPr>
                <w:rFonts w:ascii="Verdana" w:hAnsi="Verdana"/>
                <w:b/>
                <w:bCs/>
                <w:noProof/>
                <w:color w:val="000000"/>
                <w:sz w:val="16"/>
                <w:szCs w:val="16"/>
              </w:rPr>
            </w:pPr>
          </w:p>
        </w:tc>
        <w:tc>
          <w:tcPr>
            <w:tcW w:w="1348" w:type="dxa"/>
            <w:tcBorders>
              <w:top w:val="nil"/>
              <w:left w:val="nil"/>
              <w:bottom w:val="nil"/>
              <w:right w:val="nil"/>
            </w:tcBorders>
            <w:shd w:val="clear" w:color="auto" w:fill="auto"/>
            <w:noWrap/>
            <w:vAlign w:val="center"/>
            <w:hideMark/>
          </w:tcPr>
          <w:p>
            <w:pPr>
              <w:jc w:val="right"/>
              <w:rPr>
                <w:rFonts w:ascii="Verdana" w:hAnsi="Verdana"/>
                <w:b/>
                <w:bCs/>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b/>
                <w:bCs/>
                <w:noProof/>
                <w:color w:val="000000"/>
                <w:sz w:val="16"/>
                <w:szCs w:val="16"/>
              </w:rPr>
            </w:pPr>
            <w:r>
              <w:rPr>
                <w:rFonts w:ascii="Verdana" w:hAnsi="Verdana"/>
                <w:b/>
                <w:noProof/>
                <w:color w:val="000000"/>
                <w:sz w:val="16"/>
              </w:rPr>
              <w:t> </w:t>
            </w:r>
          </w:p>
        </w:tc>
      </w:tr>
      <w:tr>
        <w:trPr>
          <w:trHeight w:hRule="exact" w:val="454"/>
        </w:trPr>
        <w:tc>
          <w:tcPr>
            <w:tcW w:w="6379"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40" w:name="OLE_LINK4"/>
            <w:r>
              <w:rPr>
                <w:rFonts w:ascii="Verdana" w:hAnsi="Verdana"/>
                <w:noProof/>
                <w:color w:val="000000"/>
                <w:sz w:val="16"/>
              </w:rPr>
              <w:t>Horisontti 2020 – InnovFin tutkimuksen ja innovoinnin laina- ja takauspalvelu</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1 107</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(43)</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(934)</w:t>
            </w:r>
          </w:p>
        </w:tc>
      </w:tr>
      <w:tr>
        <w:trPr>
          <w:trHeight w:hRule="exact" w:val="284"/>
        </w:trPr>
        <w:tc>
          <w:tcPr>
            <w:tcW w:w="6379"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Horisontti 2020 – InnovFin pk-yritysten takausjärjestelmä</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902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(381)</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(533)</w:t>
            </w:r>
          </w:p>
        </w:tc>
      </w:tr>
      <w:tr>
        <w:trPr>
          <w:trHeight w:hRule="exact" w:val="567"/>
        </w:trPr>
        <w:tc>
          <w:tcPr>
            <w:tcW w:w="6379"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 xml:space="preserve">Verkkojen Eurooppa </w:t>
            </w:r>
            <w:r>
              <w:rPr>
                <w:noProof/>
              </w:rPr>
              <w:noBreakHyphen/>
            </w:r>
            <w:r>
              <w:rPr>
                <w:rFonts w:ascii="Verdana" w:hAnsi="Verdana"/>
                <w:noProof/>
                <w:color w:val="000000"/>
                <w:sz w:val="16"/>
              </w:rPr>
              <w:t>välineen vieraan pääoman ehtoinen rahoitusväline (CEF DI)</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598</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(579)</w:t>
            </w:r>
          </w:p>
        </w:tc>
      </w:tr>
      <w:tr>
        <w:trPr>
          <w:trHeight w:hRule="exact" w:val="284"/>
        </w:trPr>
        <w:tc>
          <w:tcPr>
            <w:tcW w:w="6379"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COSME lainatakausjärjestely</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310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(613)</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r>
      <w:tr>
        <w:trPr>
          <w:trHeight w:hRule="exact" w:val="284"/>
        </w:trPr>
        <w:tc>
          <w:tcPr>
            <w:tcW w:w="6379"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Energiatehokkuuden yksityinen rahoitus (PF4EE)</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w:t>
            </w:r>
          </w:p>
        </w:tc>
      </w:tr>
      <w:bookmarkEnd w:id="240"/>
      <w:tr>
        <w:trPr>
          <w:trHeight w:hRule="exact" w:val="284"/>
        </w:trPr>
        <w:tc>
          <w:tcPr>
            <w:tcW w:w="6379"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Kulttuurialan ja luovien alojen lainantakausväline</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(12)</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680"/>
        </w:trPr>
        <w:tc>
          <w:tcPr>
            <w:tcW w:w="6379"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SEMED MSME Financial Inclusion Programme (mikro- ja pk-yritysten taloudellisen osallisuuden ohjelma Välimeren eteläisellä ja itäisellä alueella)</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25</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(11)</w:t>
            </w:r>
          </w:p>
        </w:tc>
      </w:tr>
      <w:tr>
        <w:trPr>
          <w:trHeight w:hRule="exact" w:val="284"/>
        </w:trPr>
        <w:tc>
          <w:tcPr>
            <w:tcW w:w="6379"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Opintolainojen takausjärjestelmä</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6379" w:type="dxa"/>
            <w:tcBorders>
              <w:top w:val="nil"/>
              <w:left w:val="single" w:sz="8" w:space="0" w:color="auto"/>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Itäisen kumppanuuden pk-yritysten rahoitusväline</w:t>
            </w:r>
          </w:p>
        </w:tc>
        <w:tc>
          <w:tcPr>
            <w:tcW w:w="819" w:type="dxa"/>
            <w:tcBorders>
              <w:top w:val="nil"/>
              <w:left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13</w:t>
            </w:r>
          </w:p>
        </w:tc>
        <w:tc>
          <w:tcPr>
            <w:tcW w:w="1348" w:type="dxa"/>
            <w:tcBorders>
              <w:top w:val="nil"/>
              <w:left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w:t>
            </w:r>
          </w:p>
        </w:tc>
        <w:tc>
          <w:tcPr>
            <w:tcW w:w="1589" w:type="dxa"/>
            <w:tcBorders>
              <w:top w:val="nil"/>
              <w:left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w:t>
            </w:r>
          </w:p>
        </w:tc>
      </w:tr>
      <w:tr>
        <w:trPr>
          <w:trHeight w:hRule="exact" w:val="284"/>
        </w:trPr>
        <w:tc>
          <w:tcPr>
            <w:tcW w:w="6379" w:type="dxa"/>
            <w:tcBorders>
              <w:top w:val="nil"/>
              <w:left w:val="single" w:sz="8" w:space="0" w:color="auto"/>
              <w:bottom w:val="single" w:sz="8" w:space="0" w:color="auto"/>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Luonnonpääoman rahoitusjärjestely</w:t>
            </w:r>
          </w:p>
        </w:tc>
        <w:tc>
          <w:tcPr>
            <w:tcW w:w="819" w:type="dxa"/>
            <w:tcBorders>
              <w:top w:val="nil"/>
              <w:left w:val="nil"/>
              <w:bottom w:val="single" w:sz="8" w:space="0" w:color="auto"/>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12</w:t>
            </w:r>
          </w:p>
        </w:tc>
        <w:tc>
          <w:tcPr>
            <w:tcW w:w="1348" w:type="dxa"/>
            <w:tcBorders>
              <w:top w:val="nil"/>
              <w:left w:val="nil"/>
              <w:bottom w:val="single" w:sz="8" w:space="0" w:color="auto"/>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(0)</w:t>
            </w:r>
          </w:p>
        </w:tc>
        <w:tc>
          <w:tcPr>
            <w:tcW w:w="1589" w:type="dxa"/>
            <w:tcBorders>
              <w:top w:val="nil"/>
              <w:left w:val="nil"/>
              <w:bottom w:val="single" w:sz="8" w:space="0" w:color="auto"/>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w:t>
            </w:r>
          </w:p>
        </w:tc>
      </w:tr>
      <w:tr>
        <w:trPr>
          <w:trHeight w:hRule="exact" w:val="284"/>
        </w:trPr>
        <w:tc>
          <w:tcPr>
            <w:tcW w:w="6379" w:type="dxa"/>
            <w:tcBorders>
              <w:bottom w:val="nil"/>
              <w:right w:val="nil"/>
            </w:tcBorders>
            <w:shd w:val="clear" w:color="auto" w:fill="auto"/>
            <w:vAlign w:val="center"/>
          </w:tcPr>
          <w:p>
            <w:pPr>
              <w:rPr>
                <w:rFonts w:ascii="Verdana" w:hAnsi="Verdana"/>
                <w:noProof/>
                <w:color w:val="000000"/>
                <w:sz w:val="16"/>
                <w:szCs w:val="16"/>
              </w:rPr>
            </w:pPr>
          </w:p>
        </w:tc>
        <w:tc>
          <w:tcPr>
            <w:tcW w:w="819" w:type="dxa"/>
            <w:tcBorders>
              <w:left w:val="nil"/>
              <w:bottom w:val="nil"/>
              <w:right w:val="nil"/>
            </w:tcBorders>
            <w:shd w:val="clear" w:color="auto" w:fill="auto"/>
            <w:noWrap/>
            <w:vAlign w:val="center"/>
          </w:tcPr>
          <w:p>
            <w:pPr>
              <w:jc w:val="right"/>
              <w:rPr>
                <w:rFonts w:ascii="Verdana" w:hAnsi="Verdana"/>
                <w:noProof/>
                <w:color w:val="000000"/>
                <w:sz w:val="16"/>
                <w:szCs w:val="16"/>
              </w:rPr>
            </w:pPr>
          </w:p>
        </w:tc>
        <w:tc>
          <w:tcPr>
            <w:tcW w:w="1348" w:type="dxa"/>
            <w:tcBorders>
              <w:left w:val="nil"/>
              <w:bottom w:val="nil"/>
              <w:right w:val="nil"/>
            </w:tcBorders>
            <w:shd w:val="clear" w:color="auto" w:fill="auto"/>
            <w:noWrap/>
            <w:vAlign w:val="center"/>
          </w:tcPr>
          <w:p>
            <w:pPr>
              <w:jc w:val="right"/>
              <w:rPr>
                <w:rFonts w:ascii="Verdana" w:hAnsi="Verdana"/>
                <w:noProof/>
                <w:color w:val="000000"/>
                <w:sz w:val="16"/>
                <w:szCs w:val="16"/>
              </w:rPr>
            </w:pPr>
          </w:p>
        </w:tc>
        <w:tc>
          <w:tcPr>
            <w:tcW w:w="1589" w:type="dxa"/>
            <w:tcBorders>
              <w:left w:val="nil"/>
              <w:bottom w:val="nil"/>
            </w:tcBorders>
            <w:shd w:val="clear" w:color="auto" w:fill="auto"/>
            <w:noWrap/>
            <w:vAlign w:val="center"/>
          </w:tcPr>
          <w:p>
            <w:pPr>
              <w:jc w:val="right"/>
              <w:rPr>
                <w:rFonts w:ascii="Verdana" w:hAnsi="Verdana"/>
                <w:noProof/>
                <w:color w:val="000000"/>
                <w:sz w:val="16"/>
                <w:szCs w:val="16"/>
              </w:rPr>
            </w:pPr>
          </w:p>
        </w:tc>
      </w:tr>
      <w:tr>
        <w:trPr>
          <w:trHeight w:val="300"/>
        </w:trPr>
        <w:tc>
          <w:tcPr>
            <w:tcW w:w="6379"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noProof/>
                <w:color w:val="FFFFFF"/>
                <w:sz w:val="16"/>
              </w:rPr>
              <w:t xml:space="preserve"> Monivuotinen rahoituskehys 2014–2020</w:t>
            </w:r>
          </w:p>
        </w:tc>
        <w:tc>
          <w:tcPr>
            <w:tcW w:w="819" w:type="dxa"/>
            <w:tcBorders>
              <w:top w:val="single" w:sz="8" w:space="0" w:color="auto"/>
              <w:left w:val="nil"/>
              <w:bottom w:val="nil"/>
              <w:right w:val="nil"/>
            </w:tcBorders>
            <w:shd w:val="clear" w:color="000000" w:fill="366092"/>
            <w:noWrap/>
            <w:vAlign w:val="center"/>
            <w:hideMark/>
          </w:tcPr>
          <w:p>
            <w:pPr>
              <w:jc w:val="right"/>
              <w:rPr>
                <w:rFonts w:ascii="Verdana" w:hAnsi="Verdana"/>
                <w:b/>
                <w:bCs/>
                <w:noProof/>
                <w:color w:val="FFFFFF"/>
                <w:sz w:val="16"/>
                <w:szCs w:val="16"/>
              </w:rPr>
            </w:pPr>
            <w:r>
              <w:rPr>
                <w:rFonts w:ascii="Verdana" w:hAnsi="Verdana"/>
                <w:b/>
                <w:noProof/>
                <w:color w:val="FFFFFF"/>
                <w:sz w:val="16"/>
              </w:rPr>
              <w:t>Varat</w:t>
            </w:r>
          </w:p>
        </w:tc>
        <w:tc>
          <w:tcPr>
            <w:tcW w:w="1348" w:type="dxa"/>
            <w:tcBorders>
              <w:top w:val="single" w:sz="8" w:space="0" w:color="auto"/>
              <w:left w:val="nil"/>
              <w:bottom w:val="nil"/>
              <w:right w:val="nil"/>
            </w:tcBorders>
            <w:shd w:val="clear" w:color="000000" w:fill="366092"/>
            <w:noWrap/>
            <w:vAlign w:val="center"/>
            <w:hideMark/>
          </w:tcPr>
          <w:p>
            <w:pPr>
              <w:jc w:val="right"/>
              <w:rPr>
                <w:rFonts w:ascii="Verdana" w:hAnsi="Verdana"/>
                <w:b/>
                <w:bCs/>
                <w:noProof/>
                <w:color w:val="FFFFFF"/>
                <w:sz w:val="16"/>
                <w:szCs w:val="16"/>
              </w:rPr>
            </w:pPr>
            <w:r>
              <w:rPr>
                <w:rFonts w:ascii="Verdana" w:hAnsi="Verdana"/>
                <w:b/>
                <w:noProof/>
                <w:color w:val="FFFFFF"/>
                <w:sz w:val="16"/>
              </w:rPr>
              <w:t>Velat</w:t>
            </w:r>
          </w:p>
        </w:tc>
        <w:tc>
          <w:tcPr>
            <w:tcW w:w="1589" w:type="dxa"/>
            <w:tcBorders>
              <w:top w:val="single" w:sz="8" w:space="0" w:color="auto"/>
              <w:left w:val="nil"/>
              <w:bottom w:val="nil"/>
              <w:right w:val="single" w:sz="8" w:space="0" w:color="auto"/>
            </w:tcBorders>
            <w:shd w:val="clear" w:color="000000" w:fill="366092"/>
            <w:noWrap/>
            <w:vAlign w:val="center"/>
            <w:hideMark/>
          </w:tcPr>
          <w:p>
            <w:pPr>
              <w:jc w:val="right"/>
              <w:rPr>
                <w:rFonts w:ascii="Verdana" w:hAnsi="Verdana"/>
                <w:b/>
                <w:bCs/>
                <w:noProof/>
                <w:color w:val="FFFFFF"/>
                <w:sz w:val="16"/>
                <w:szCs w:val="16"/>
              </w:rPr>
            </w:pPr>
            <w:r>
              <w:rPr>
                <w:rFonts w:ascii="Verdana" w:hAnsi="Verdana"/>
                <w:b/>
                <w:noProof/>
                <w:color w:val="FFFFFF"/>
                <w:sz w:val="16"/>
              </w:rPr>
              <w:t>Annetut takaukset</w:t>
            </w:r>
          </w:p>
        </w:tc>
      </w:tr>
      <w:tr>
        <w:trPr>
          <w:trHeight w:hRule="exact" w:val="284"/>
        </w:trPr>
        <w:tc>
          <w:tcPr>
            <w:tcW w:w="6379" w:type="dxa"/>
            <w:tcBorders>
              <w:top w:val="nil"/>
              <w:left w:val="single" w:sz="8" w:space="0" w:color="auto"/>
              <w:bottom w:val="nil"/>
              <w:right w:val="nil"/>
            </w:tcBorders>
            <w:shd w:val="clear" w:color="auto" w:fill="auto"/>
            <w:vAlign w:val="center"/>
          </w:tcPr>
          <w:p>
            <w:pPr>
              <w:rPr>
                <w:rFonts w:ascii="Verdana" w:hAnsi="Verdana"/>
                <w:i/>
                <w:noProof/>
                <w:color w:val="000000"/>
                <w:sz w:val="16"/>
                <w:szCs w:val="16"/>
              </w:rPr>
            </w:pPr>
            <w:r>
              <w:rPr>
                <w:rFonts w:ascii="Verdana" w:hAnsi="Verdana"/>
                <w:i/>
                <w:noProof/>
                <w:color w:val="000000"/>
                <w:sz w:val="14"/>
              </w:rPr>
              <w:t>(jatkoa edelliseltä sivulta)</w:t>
            </w:r>
          </w:p>
        </w:tc>
        <w:tc>
          <w:tcPr>
            <w:tcW w:w="819"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tcPr>
          <w:p>
            <w:pPr>
              <w:jc w:val="right"/>
              <w:rPr>
                <w:rFonts w:ascii="Verdana" w:hAnsi="Verdana"/>
                <w:noProof/>
                <w:color w:val="000000"/>
                <w:sz w:val="16"/>
                <w:szCs w:val="16"/>
              </w:rPr>
            </w:pPr>
          </w:p>
        </w:tc>
      </w:tr>
      <w:tr>
        <w:trPr>
          <w:trHeight w:hRule="exact" w:val="284"/>
        </w:trPr>
        <w:tc>
          <w:tcPr>
            <w:tcW w:w="6379"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 xml:space="preserve">Itäiseen kumppanuuteen kuuluva Women in Business </w:t>
            </w:r>
            <w:r>
              <w:rPr>
                <w:noProof/>
              </w:rPr>
              <w:noBreakHyphen/>
            </w:r>
            <w:r>
              <w:rPr>
                <w:rFonts w:ascii="Verdana" w:hAnsi="Verdana"/>
                <w:noProof/>
                <w:color w:val="000000"/>
                <w:sz w:val="16"/>
              </w:rPr>
              <w:t>ohjelma</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w:t>
            </w:r>
          </w:p>
        </w:tc>
      </w:tr>
      <w:tr>
        <w:trPr>
          <w:trHeight w:hRule="exact" w:val="284"/>
        </w:trPr>
        <w:tc>
          <w:tcPr>
            <w:tcW w:w="6379"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Tuki Mongolian talouden monipuolistamiselle</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454"/>
        </w:trPr>
        <w:tc>
          <w:tcPr>
            <w:tcW w:w="6379" w:type="dxa"/>
            <w:tcBorders>
              <w:top w:val="nil"/>
              <w:left w:val="single" w:sz="8" w:space="0" w:color="auto"/>
              <w:bottom w:val="nil"/>
              <w:right w:val="nil"/>
            </w:tcBorders>
            <w:shd w:val="clear" w:color="auto" w:fill="auto"/>
            <w:vAlign w:val="center"/>
          </w:tcPr>
          <w:p>
            <w:pPr>
              <w:rPr>
                <w:rFonts w:ascii="Verdana" w:hAnsi="Verdana"/>
                <w:noProof/>
                <w:color w:val="000000"/>
                <w:sz w:val="16"/>
                <w:szCs w:val="16"/>
              </w:rPr>
            </w:pPr>
            <w:r>
              <w:rPr>
                <w:rFonts w:ascii="Verdana" w:hAnsi="Verdana"/>
                <w:noProof/>
                <w:color w:val="000000"/>
                <w:sz w:val="16"/>
              </w:rPr>
              <w:t>Transferability &amp; Convertibility (T&amp;C) Facility (siirrettävyyttä ja muuntoa koskeva väline)</w:t>
            </w:r>
          </w:p>
        </w:tc>
        <w:tc>
          <w:tcPr>
            <w:tcW w:w="819"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1</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(1)</w:t>
            </w:r>
          </w:p>
        </w:tc>
        <w:tc>
          <w:tcPr>
            <w:tcW w:w="1589" w:type="dxa"/>
            <w:tcBorders>
              <w:top w:val="nil"/>
              <w:left w:val="nil"/>
              <w:bottom w:val="nil"/>
              <w:right w:val="single" w:sz="8" w:space="0" w:color="auto"/>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6379" w:type="dxa"/>
            <w:tcBorders>
              <w:top w:val="single" w:sz="8" w:space="0" w:color="auto"/>
              <w:left w:val="single" w:sz="8" w:space="0" w:color="auto"/>
              <w:bottom w:val="single" w:sz="8" w:space="0" w:color="auto"/>
              <w:right w:val="nil"/>
            </w:tcBorders>
            <w:shd w:val="clear" w:color="000000" w:fill="FFFFFF"/>
            <w:noWrap/>
            <w:vAlign w:val="center"/>
            <w:hideMark/>
          </w:tcPr>
          <w:p>
            <w:pPr>
              <w:rPr>
                <w:rFonts w:ascii="Verdana" w:hAnsi="Verdana"/>
                <w:b/>
                <w:bCs/>
                <w:noProof/>
                <w:color w:val="000000"/>
                <w:sz w:val="16"/>
                <w:szCs w:val="16"/>
              </w:rPr>
            </w:pPr>
            <w:r>
              <w:rPr>
                <w:rFonts w:ascii="Verdana" w:hAnsi="Verdana"/>
                <w:b/>
                <w:noProof/>
                <w:color w:val="000000"/>
                <w:sz w:val="16"/>
              </w:rPr>
              <w:t> </w:t>
            </w:r>
          </w:p>
        </w:tc>
        <w:tc>
          <w:tcPr>
            <w:tcW w:w="819"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3 052</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(1 057)</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(2 075)</w:t>
            </w:r>
          </w:p>
        </w:tc>
      </w:tr>
      <w:tr>
        <w:trPr>
          <w:trHeight w:hRule="exact" w:val="284"/>
        </w:trPr>
        <w:tc>
          <w:tcPr>
            <w:tcW w:w="6379"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Oman pääoman ehtoiset rahoitusvälineet:</w:t>
            </w:r>
          </w:p>
        </w:tc>
        <w:tc>
          <w:tcPr>
            <w:tcW w:w="819"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noProof/>
                <w:color w:val="FFFFFF"/>
                <w:sz w:val="16"/>
              </w:rPr>
              <w:t> </w:t>
            </w:r>
          </w:p>
        </w:tc>
      </w:tr>
      <w:tr>
        <w:trPr>
          <w:trHeight w:hRule="exact" w:val="567"/>
        </w:trPr>
        <w:tc>
          <w:tcPr>
            <w:tcW w:w="6379"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41" w:name="OLE_LINK5"/>
            <w:r>
              <w:rPr>
                <w:rFonts w:ascii="Verdana" w:hAnsi="Verdana"/>
                <w:noProof/>
                <w:color w:val="000000"/>
                <w:sz w:val="16"/>
              </w:rPr>
              <w:t xml:space="preserve">Horisontti 2020 </w:t>
            </w:r>
            <w:r>
              <w:rPr>
                <w:noProof/>
              </w:rPr>
              <w:noBreakHyphen/>
            </w:r>
            <w:r>
              <w:rPr>
                <w:rFonts w:ascii="Verdana" w:hAnsi="Verdana"/>
                <w:noProof/>
                <w:color w:val="000000"/>
                <w:sz w:val="16"/>
              </w:rPr>
              <w:t xml:space="preserve">puiteohjelma – InnovFin tutkimuksen ja innovoinnin </w:t>
            </w:r>
            <w:r>
              <w:rPr>
                <w:rFonts w:ascii="Verdana" w:hAnsi="Verdana"/>
                <w:noProof/>
                <w:color w:val="000000"/>
                <w:sz w:val="16"/>
              </w:rPr>
              <w:br/>
              <w:t>pääomajärjestely</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368</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6379"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COSME (kasvuun tähtäävä pääomajärjestely)</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67</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6379"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EU:n eteläisten naapurimaiden riskipääomajärjestely</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6379"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Climate Investor One</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6379"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Latinalaisen Amerikan investointiväline</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6379"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Afrikan maatalous-, kauppa- ja investointirahasto</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11</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41"/>
      <w:tr>
        <w:trPr>
          <w:trHeight w:hRule="exact" w:val="284"/>
        </w:trPr>
        <w:tc>
          <w:tcPr>
            <w:tcW w:w="6379" w:type="dxa"/>
            <w:tcBorders>
              <w:top w:val="single" w:sz="8" w:space="0" w:color="auto"/>
              <w:left w:val="single" w:sz="8" w:space="0" w:color="auto"/>
              <w:bottom w:val="single" w:sz="8" w:space="0" w:color="auto"/>
              <w:right w:val="nil"/>
            </w:tcBorders>
            <w:shd w:val="clear" w:color="000000" w:fill="FFFFFF"/>
            <w:noWrap/>
            <w:vAlign w:val="center"/>
            <w:hideMark/>
          </w:tcPr>
          <w:p>
            <w:pPr>
              <w:rPr>
                <w:rFonts w:ascii="Verdana" w:hAnsi="Verdana"/>
                <w:b/>
                <w:bCs/>
                <w:noProof/>
                <w:color w:val="000000"/>
                <w:sz w:val="16"/>
                <w:szCs w:val="16"/>
              </w:rPr>
            </w:pPr>
            <w:r>
              <w:rPr>
                <w:rFonts w:ascii="Verdana" w:hAnsi="Verdana"/>
                <w:b/>
                <w:noProof/>
                <w:color w:val="000000"/>
                <w:sz w:val="16"/>
              </w:rPr>
              <w:t> </w:t>
            </w:r>
          </w:p>
        </w:tc>
        <w:tc>
          <w:tcPr>
            <w:tcW w:w="819"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504</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(12)</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w:t>
            </w:r>
          </w:p>
        </w:tc>
      </w:tr>
      <w:tr>
        <w:trPr>
          <w:trHeight w:hRule="exact" w:val="284"/>
        </w:trPr>
        <w:tc>
          <w:tcPr>
            <w:tcW w:w="6379"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Yhdistelmärahoitus:</w:t>
            </w:r>
          </w:p>
        </w:tc>
        <w:tc>
          <w:tcPr>
            <w:tcW w:w="819"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noProof/>
                <w:color w:val="FFFFFF"/>
                <w:sz w:val="16"/>
              </w:rPr>
              <w:t> </w:t>
            </w:r>
          </w:p>
        </w:tc>
      </w:tr>
      <w:tr>
        <w:trPr>
          <w:trHeight w:hRule="exact" w:val="397"/>
        </w:trPr>
        <w:tc>
          <w:tcPr>
            <w:tcW w:w="6379" w:type="dxa"/>
            <w:tcBorders>
              <w:top w:val="nil"/>
              <w:left w:val="single" w:sz="8" w:space="0" w:color="auto"/>
              <w:bottom w:val="nil"/>
              <w:right w:val="nil"/>
            </w:tcBorders>
            <w:shd w:val="clear" w:color="auto" w:fill="auto"/>
            <w:vAlign w:val="center"/>
          </w:tcPr>
          <w:p>
            <w:pPr>
              <w:rPr>
                <w:rFonts w:ascii="Verdana" w:hAnsi="Verdana"/>
                <w:noProof/>
                <w:color w:val="000000"/>
                <w:sz w:val="16"/>
                <w:szCs w:val="16"/>
              </w:rPr>
            </w:pPr>
            <w:r>
              <w:rPr>
                <w:rFonts w:ascii="Verdana" w:hAnsi="Verdana"/>
                <w:noProof/>
                <w:color w:val="000000"/>
                <w:sz w:val="16"/>
              </w:rPr>
              <w:t>Työllisyyttä ja sosiaalista innovointia koskevan ohjelman (EaSI-ohjelma) takausjärjestely ja valmiuksien kehittäminen</w:t>
            </w:r>
          </w:p>
        </w:tc>
        <w:tc>
          <w:tcPr>
            <w:tcW w:w="819"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73</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(39)</w:t>
            </w:r>
          </w:p>
        </w:tc>
        <w:tc>
          <w:tcPr>
            <w:tcW w:w="1589" w:type="dxa"/>
            <w:tcBorders>
              <w:top w:val="nil"/>
              <w:left w:val="nil"/>
              <w:bottom w:val="nil"/>
              <w:right w:val="single" w:sz="8" w:space="0" w:color="auto"/>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6379"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42" w:name="OLE_LINK6"/>
            <w:r>
              <w:rPr>
                <w:rFonts w:ascii="Verdana" w:hAnsi="Verdana"/>
                <w:noProof/>
                <w:color w:val="000000"/>
                <w:sz w:val="16"/>
              </w:rPr>
              <w:t>EU:n pitkälle menevä ja laaja-alainen vapaakauppa-alue</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68</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6379" w:type="dxa"/>
            <w:tcBorders>
              <w:top w:val="nil"/>
              <w:left w:val="single" w:sz="8" w:space="0" w:color="auto"/>
              <w:bottom w:val="nil"/>
              <w:right w:val="nil"/>
            </w:tcBorders>
            <w:shd w:val="clear" w:color="auto" w:fill="auto"/>
            <w:noWrap/>
            <w:vAlign w:val="center"/>
          </w:tcPr>
          <w:p>
            <w:pPr>
              <w:rPr>
                <w:rFonts w:ascii="Verdana" w:hAnsi="Verdana"/>
                <w:noProof/>
                <w:sz w:val="16"/>
                <w:szCs w:val="16"/>
              </w:rPr>
            </w:pPr>
            <w:r>
              <w:rPr>
                <w:rFonts w:ascii="Verdana" w:hAnsi="Verdana"/>
                <w:noProof/>
                <w:sz w:val="16"/>
              </w:rPr>
              <w:t>Maaseudun sähköistämisen rahoittamista koskeva aloite (ElectriFI)</w:t>
            </w:r>
          </w:p>
        </w:tc>
        <w:tc>
          <w:tcPr>
            <w:tcW w:w="819"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31</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6379"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sz w:val="16"/>
              </w:rPr>
              <w:t>Maatalouden rahoitusväline (AgriFI)</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42"/>
      <w:tr>
        <w:trPr>
          <w:trHeight w:hRule="exact" w:val="284"/>
        </w:trPr>
        <w:tc>
          <w:tcPr>
            <w:tcW w:w="6379" w:type="dxa"/>
            <w:tcBorders>
              <w:top w:val="single" w:sz="8" w:space="0" w:color="auto"/>
              <w:left w:val="single" w:sz="8" w:space="0" w:color="auto"/>
              <w:bottom w:val="single" w:sz="8" w:space="0" w:color="auto"/>
              <w:right w:val="nil"/>
            </w:tcBorders>
            <w:shd w:val="clear" w:color="000000" w:fill="FFFFFF"/>
            <w:noWrap/>
            <w:vAlign w:val="center"/>
            <w:hideMark/>
          </w:tcPr>
          <w:p>
            <w:pPr>
              <w:rPr>
                <w:rFonts w:ascii="Verdana" w:hAnsi="Verdana"/>
                <w:b/>
                <w:bCs/>
                <w:noProof/>
                <w:color w:val="000000"/>
                <w:sz w:val="16"/>
                <w:szCs w:val="16"/>
              </w:rPr>
            </w:pPr>
            <w:r>
              <w:rPr>
                <w:rFonts w:ascii="Verdana" w:hAnsi="Verdana"/>
                <w:b/>
                <w:noProof/>
                <w:color w:val="000000"/>
                <w:sz w:val="16"/>
              </w:rPr>
              <w:t> </w:t>
            </w:r>
          </w:p>
        </w:tc>
        <w:tc>
          <w:tcPr>
            <w:tcW w:w="819"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182</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(44)</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w:t>
            </w:r>
          </w:p>
        </w:tc>
      </w:tr>
      <w:tr>
        <w:trPr>
          <w:trHeight w:hRule="exact" w:val="284"/>
        </w:trPr>
        <w:tc>
          <w:tcPr>
            <w:tcW w:w="6379" w:type="dxa"/>
            <w:tcBorders>
              <w:top w:val="nil"/>
              <w:left w:val="single" w:sz="8" w:space="0" w:color="auto"/>
              <w:bottom w:val="single" w:sz="8" w:space="0" w:color="auto"/>
              <w:right w:val="nil"/>
            </w:tcBorders>
            <w:shd w:val="clear" w:color="000000" w:fill="B8CCE4"/>
            <w:noWrap/>
            <w:vAlign w:val="center"/>
            <w:hideMark/>
          </w:tcPr>
          <w:p>
            <w:pPr>
              <w:rPr>
                <w:rFonts w:ascii="Verdana" w:hAnsi="Verdana"/>
                <w:b/>
                <w:bCs/>
                <w:noProof/>
                <w:color w:val="000000"/>
                <w:sz w:val="16"/>
                <w:szCs w:val="16"/>
              </w:rPr>
            </w:pPr>
            <w:r>
              <w:rPr>
                <w:rFonts w:ascii="Verdana" w:hAnsi="Verdana"/>
                <w:b/>
                <w:noProof/>
                <w:color w:val="000000"/>
                <w:sz w:val="16"/>
              </w:rPr>
              <w:t xml:space="preserve">Yhteensä </w:t>
            </w:r>
          </w:p>
        </w:tc>
        <w:tc>
          <w:tcPr>
            <w:tcW w:w="819"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3 738</w:t>
            </w:r>
          </w:p>
        </w:tc>
        <w:tc>
          <w:tcPr>
            <w:tcW w:w="134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(1 113)</w:t>
            </w:r>
          </w:p>
        </w:tc>
        <w:tc>
          <w:tcPr>
            <w:tcW w:w="1589" w:type="dxa"/>
            <w:tcBorders>
              <w:top w:val="nil"/>
              <w:left w:val="nil"/>
              <w:bottom w:val="single" w:sz="8" w:space="0" w:color="auto"/>
              <w:right w:val="single" w:sz="8" w:space="0" w:color="auto"/>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(2 075)</w:t>
            </w:r>
          </w:p>
        </w:tc>
      </w:tr>
      <w:tr>
        <w:trPr>
          <w:trHeight w:hRule="exact" w:val="57"/>
        </w:trPr>
        <w:tc>
          <w:tcPr>
            <w:tcW w:w="6379"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c>
          <w:tcPr>
            <w:tcW w:w="819"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c>
          <w:tcPr>
            <w:tcW w:w="1348"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c>
          <w:tcPr>
            <w:tcW w:w="1589"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r>
    </w:tbl>
    <w:p>
      <w:pPr>
        <w:rPr>
          <w:noProof/>
        </w:rPr>
      </w:pPr>
      <w:r>
        <w:rPr>
          <w:noProof/>
        </w:rPr>
        <w:br w:type="page"/>
      </w:r>
    </w:p>
    <w:tbl>
      <w:tblPr>
        <w:tblW w:w="10135" w:type="dxa"/>
        <w:tblInd w:w="108" w:type="dxa"/>
        <w:tblLook w:val="0480" w:firstRow="0" w:lastRow="0" w:firstColumn="1" w:lastColumn="0" w:noHBand="0" w:noVBand="1"/>
      </w:tblPr>
      <w:tblGrid>
        <w:gridCol w:w="6379"/>
        <w:gridCol w:w="819"/>
        <w:gridCol w:w="1348"/>
        <w:gridCol w:w="1589"/>
      </w:tblGrid>
      <w:tr>
        <w:trPr>
          <w:trHeight w:val="300"/>
        </w:trPr>
        <w:tc>
          <w:tcPr>
            <w:tcW w:w="6379"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noProof/>
                <w:color w:val="FFFFFF"/>
                <w:sz w:val="16"/>
              </w:rPr>
              <w:t>Monivuotinen rahoituskehys ennen vuotta 2014</w:t>
            </w:r>
          </w:p>
        </w:tc>
        <w:tc>
          <w:tcPr>
            <w:tcW w:w="819" w:type="dxa"/>
            <w:tcBorders>
              <w:top w:val="single" w:sz="8" w:space="0" w:color="auto"/>
              <w:left w:val="nil"/>
              <w:bottom w:val="nil"/>
              <w:right w:val="nil"/>
            </w:tcBorders>
            <w:shd w:val="clear" w:color="000000" w:fill="366092"/>
            <w:noWrap/>
            <w:vAlign w:val="center"/>
            <w:hideMark/>
          </w:tcPr>
          <w:p>
            <w:pPr>
              <w:jc w:val="right"/>
              <w:rPr>
                <w:rFonts w:ascii="Verdana" w:hAnsi="Verdana"/>
                <w:b/>
                <w:bCs/>
                <w:noProof/>
                <w:color w:val="FFFFFF"/>
                <w:sz w:val="16"/>
                <w:szCs w:val="16"/>
              </w:rPr>
            </w:pPr>
            <w:r>
              <w:rPr>
                <w:rFonts w:ascii="Verdana" w:hAnsi="Verdana"/>
                <w:b/>
                <w:noProof/>
                <w:color w:val="FFFFFF"/>
                <w:sz w:val="16"/>
              </w:rPr>
              <w:t>Varat</w:t>
            </w:r>
          </w:p>
        </w:tc>
        <w:tc>
          <w:tcPr>
            <w:tcW w:w="1348" w:type="dxa"/>
            <w:tcBorders>
              <w:top w:val="single" w:sz="8" w:space="0" w:color="auto"/>
              <w:left w:val="nil"/>
              <w:bottom w:val="nil"/>
              <w:right w:val="nil"/>
            </w:tcBorders>
            <w:shd w:val="clear" w:color="000000" w:fill="366092"/>
            <w:noWrap/>
            <w:vAlign w:val="center"/>
            <w:hideMark/>
          </w:tcPr>
          <w:p>
            <w:pPr>
              <w:jc w:val="right"/>
              <w:rPr>
                <w:rFonts w:ascii="Verdana" w:hAnsi="Verdana"/>
                <w:b/>
                <w:bCs/>
                <w:noProof/>
                <w:color w:val="FFFFFF"/>
                <w:sz w:val="16"/>
                <w:szCs w:val="16"/>
              </w:rPr>
            </w:pPr>
            <w:r>
              <w:rPr>
                <w:rFonts w:ascii="Verdana" w:hAnsi="Verdana"/>
                <w:b/>
                <w:noProof/>
                <w:color w:val="FFFFFF"/>
                <w:sz w:val="16"/>
              </w:rPr>
              <w:t>Velat</w:t>
            </w:r>
          </w:p>
        </w:tc>
        <w:tc>
          <w:tcPr>
            <w:tcW w:w="1589" w:type="dxa"/>
            <w:tcBorders>
              <w:top w:val="single" w:sz="8" w:space="0" w:color="auto"/>
              <w:left w:val="nil"/>
              <w:bottom w:val="nil"/>
              <w:right w:val="single" w:sz="8" w:space="0" w:color="auto"/>
            </w:tcBorders>
            <w:shd w:val="clear" w:color="000000" w:fill="366092"/>
            <w:noWrap/>
            <w:vAlign w:val="center"/>
            <w:hideMark/>
          </w:tcPr>
          <w:p>
            <w:pPr>
              <w:jc w:val="right"/>
              <w:rPr>
                <w:rFonts w:ascii="Verdana" w:hAnsi="Verdana"/>
                <w:b/>
                <w:bCs/>
                <w:noProof/>
                <w:color w:val="FFFFFF"/>
                <w:sz w:val="16"/>
                <w:szCs w:val="16"/>
              </w:rPr>
            </w:pPr>
            <w:r>
              <w:rPr>
                <w:rFonts w:ascii="Verdana" w:hAnsi="Verdana"/>
                <w:b/>
                <w:noProof/>
                <w:color w:val="FFFFFF"/>
                <w:sz w:val="16"/>
              </w:rPr>
              <w:t>Annetut takaukset</w:t>
            </w:r>
          </w:p>
        </w:tc>
      </w:tr>
      <w:tr>
        <w:trPr>
          <w:trHeight w:hRule="exact" w:val="284"/>
        </w:trPr>
        <w:tc>
          <w:tcPr>
            <w:tcW w:w="6379"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Takaus- ja riskinjakovälineet:</w:t>
            </w:r>
          </w:p>
        </w:tc>
        <w:tc>
          <w:tcPr>
            <w:tcW w:w="819" w:type="dxa"/>
            <w:tcBorders>
              <w:top w:val="nil"/>
              <w:left w:val="nil"/>
              <w:bottom w:val="nil"/>
              <w:right w:val="nil"/>
            </w:tcBorders>
            <w:shd w:val="clear" w:color="auto" w:fill="auto"/>
            <w:noWrap/>
            <w:vAlign w:val="center"/>
            <w:hideMark/>
          </w:tcPr>
          <w:p>
            <w:pPr>
              <w:jc w:val="right"/>
              <w:rPr>
                <w:rFonts w:ascii="Verdana" w:hAnsi="Verdana"/>
                <w:b/>
                <w:bCs/>
                <w:noProof/>
                <w:color w:val="000000"/>
                <w:sz w:val="16"/>
                <w:szCs w:val="16"/>
              </w:rPr>
            </w:pPr>
          </w:p>
        </w:tc>
        <w:tc>
          <w:tcPr>
            <w:tcW w:w="1348" w:type="dxa"/>
            <w:tcBorders>
              <w:top w:val="nil"/>
              <w:left w:val="nil"/>
              <w:bottom w:val="nil"/>
              <w:right w:val="nil"/>
            </w:tcBorders>
            <w:shd w:val="clear" w:color="auto" w:fill="auto"/>
            <w:noWrap/>
            <w:vAlign w:val="center"/>
            <w:hideMark/>
          </w:tcPr>
          <w:p>
            <w:pPr>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 </w:t>
            </w:r>
          </w:p>
        </w:tc>
      </w:tr>
      <w:tr>
        <w:trPr>
          <w:trHeight w:hRule="exact" w:val="284"/>
        </w:trPr>
        <w:tc>
          <w:tcPr>
            <w:tcW w:w="6379"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43" w:name="OLE_LINK7"/>
            <w:r>
              <w:rPr>
                <w:rFonts w:ascii="Verdana" w:hAnsi="Verdana"/>
                <w:noProof/>
                <w:color w:val="000000"/>
                <w:sz w:val="16"/>
              </w:rPr>
              <w:t>Riskinjakorahoitusväline (RSFF)</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731</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(642)</w:t>
            </w:r>
          </w:p>
        </w:tc>
      </w:tr>
      <w:tr>
        <w:trPr>
          <w:trHeight w:hRule="exact" w:val="284"/>
        </w:trPr>
        <w:tc>
          <w:tcPr>
            <w:tcW w:w="6379"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CIP:hen sisältyvä pk-yritysten takausjärjestelmä</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83</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(151)</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6379"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Yritysten monivuotinen ohjelma (MAP)</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(31)</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6379"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Pk-yritysten takausjärjestelmä</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7</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6379"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Eurooppalaisen Progress-mikrorahoitusjärjestelyn takausjärjestelmä</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43"/>
      <w:tr>
        <w:trPr>
          <w:trHeight w:hRule="exact" w:val="284"/>
        </w:trPr>
        <w:tc>
          <w:tcPr>
            <w:tcW w:w="6379" w:type="dxa"/>
            <w:tcBorders>
              <w:top w:val="single" w:sz="8" w:space="0" w:color="auto"/>
              <w:left w:val="single" w:sz="8" w:space="0" w:color="auto"/>
              <w:bottom w:val="single" w:sz="8" w:space="0" w:color="auto"/>
              <w:right w:val="nil"/>
            </w:tcBorders>
            <w:shd w:val="clear" w:color="auto" w:fill="auto"/>
            <w:noWrap/>
            <w:vAlign w:val="center"/>
            <w:hideMark/>
          </w:tcPr>
          <w:p>
            <w:pPr>
              <w:jc w:val="right"/>
              <w:rPr>
                <w:rFonts w:ascii="Verdana" w:hAnsi="Verdana"/>
                <w:b/>
                <w:bCs/>
                <w:noProof/>
                <w:color w:val="000000"/>
                <w:sz w:val="16"/>
                <w:szCs w:val="16"/>
              </w:rPr>
            </w:pPr>
            <w:r>
              <w:rPr>
                <w:rFonts w:ascii="Verdana" w:hAnsi="Verdana"/>
                <w:b/>
                <w:noProof/>
                <w:color w:val="000000"/>
                <w:sz w:val="16"/>
              </w:rPr>
              <w:t> </w:t>
            </w:r>
          </w:p>
        </w:tc>
        <w:tc>
          <w:tcPr>
            <w:tcW w:w="819"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857</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(251)</w:t>
            </w:r>
          </w:p>
        </w:tc>
        <w:tc>
          <w:tcPr>
            <w:tcW w:w="1589" w:type="dxa"/>
            <w:tcBorders>
              <w:top w:val="single" w:sz="8" w:space="0" w:color="auto"/>
              <w:left w:val="nil"/>
              <w:bottom w:val="single" w:sz="8" w:space="0" w:color="auto"/>
              <w:right w:val="single" w:sz="8" w:space="0" w:color="auto"/>
            </w:tcBorders>
            <w:shd w:val="clear" w:color="auto" w:fill="auto"/>
            <w:noWrap/>
            <w:vAlign w:val="center"/>
            <w:hideMark/>
          </w:tcPr>
          <w:p>
            <w:pPr>
              <w:jc w:val="right"/>
              <w:rPr>
                <w:rFonts w:ascii="Verdana" w:hAnsi="Verdana"/>
                <w:b/>
                <w:bCs/>
                <w:noProof/>
                <w:sz w:val="16"/>
                <w:szCs w:val="16"/>
              </w:rPr>
            </w:pPr>
            <w:r>
              <w:rPr>
                <w:rFonts w:ascii="Verdana" w:hAnsi="Verdana"/>
                <w:b/>
                <w:noProof/>
                <w:sz w:val="16"/>
              </w:rPr>
              <w:t>(642)</w:t>
            </w:r>
          </w:p>
        </w:tc>
      </w:tr>
      <w:tr>
        <w:trPr>
          <w:trHeight w:hRule="exact" w:val="284"/>
        </w:trPr>
        <w:tc>
          <w:tcPr>
            <w:tcW w:w="6379" w:type="dxa"/>
            <w:tcBorders>
              <w:top w:val="nil"/>
              <w:left w:val="single" w:sz="8" w:space="0" w:color="auto"/>
              <w:bottom w:val="nil"/>
              <w:right w:val="nil"/>
            </w:tcBorders>
            <w:shd w:val="clear" w:color="auto" w:fill="auto"/>
            <w:noWrap/>
            <w:vAlign w:val="center"/>
            <w:hideMark/>
          </w:tcPr>
          <w:p>
            <w:pPr>
              <w:rPr>
                <w:rFonts w:ascii="Verdana" w:hAnsi="Verdana"/>
                <w:b/>
                <w:bCs/>
                <w:noProof/>
                <w:color w:val="000000"/>
                <w:sz w:val="16"/>
                <w:szCs w:val="16"/>
              </w:rPr>
            </w:pPr>
            <w:r>
              <w:rPr>
                <w:rFonts w:ascii="Verdana" w:hAnsi="Verdana"/>
                <w:b/>
                <w:noProof/>
                <w:color w:val="000000"/>
                <w:sz w:val="16"/>
              </w:rPr>
              <w:t xml:space="preserve">Oman pääoman ehtoiset rahoitusvälineet: </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 </w:t>
            </w:r>
          </w:p>
        </w:tc>
      </w:tr>
      <w:tr>
        <w:trPr>
          <w:trHeight w:hRule="exact" w:val="397"/>
        </w:trPr>
        <w:tc>
          <w:tcPr>
            <w:tcW w:w="6379"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44" w:name="OLE_LINK8"/>
            <w:r>
              <w:rPr>
                <w:rFonts w:ascii="Verdana" w:hAnsi="Verdana"/>
                <w:noProof/>
                <w:color w:val="000000"/>
                <w:sz w:val="16"/>
              </w:rPr>
              <w:t>Kilpailukyvyn ja innovoinnin puiteohjelmaan sisältyvä kasvavien ja innovatiivisten pk-yritysten rahoitustuki</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410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6379"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Monivuotisen puiteohjelman pääomajärjestely</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208</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6379"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 xml:space="preserve">Euroopan energiatehokkuusrahasto </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104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397"/>
        </w:trPr>
        <w:tc>
          <w:tcPr>
            <w:tcW w:w="6379"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Energiatehokkuutta ja uusiutuvien energialähteiden käyttöä edistävä maailmanlaajuinen rahasto</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90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6379"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Eurooppalainen Progress-mikrorahoitusrahasto</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68</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6379"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Marguerite-rahasto</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43</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6379"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Euroopan teknologian käynnistysjärjestelmä (ETF) 1998</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9</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6379"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Teknologian siirron pilottihankkeet</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44"/>
      <w:tr>
        <w:trPr>
          <w:trHeight w:hRule="exact" w:val="284"/>
        </w:trPr>
        <w:tc>
          <w:tcPr>
            <w:tcW w:w="6379" w:type="dxa"/>
            <w:tcBorders>
              <w:top w:val="single" w:sz="8" w:space="0" w:color="auto"/>
              <w:left w:val="single" w:sz="8" w:space="0" w:color="auto"/>
              <w:bottom w:val="single" w:sz="8" w:space="0" w:color="auto"/>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 </w:t>
            </w:r>
          </w:p>
        </w:tc>
        <w:tc>
          <w:tcPr>
            <w:tcW w:w="819"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932</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(26)</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w:t>
            </w:r>
          </w:p>
        </w:tc>
      </w:tr>
      <w:tr>
        <w:trPr>
          <w:trHeight w:hRule="exact" w:val="284"/>
        </w:trPr>
        <w:tc>
          <w:tcPr>
            <w:tcW w:w="6379"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Yhdistelmärahoitus:</w:t>
            </w:r>
          </w:p>
        </w:tc>
        <w:tc>
          <w:tcPr>
            <w:tcW w:w="819"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noProof/>
                <w:color w:val="FFFFFF"/>
                <w:sz w:val="16"/>
              </w:rPr>
              <w:t> </w:t>
            </w:r>
          </w:p>
        </w:tc>
      </w:tr>
      <w:tr>
        <w:trPr>
          <w:trHeight w:hRule="exact" w:val="397"/>
        </w:trPr>
        <w:tc>
          <w:tcPr>
            <w:tcW w:w="6379"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45" w:name="OLE_LINK9"/>
            <w:r>
              <w:rPr>
                <w:rFonts w:ascii="Verdana" w:hAnsi="Verdana"/>
                <w:noProof/>
                <w:color w:val="000000"/>
                <w:sz w:val="16"/>
              </w:rPr>
              <w:t>MEDA-ohjelma (Euro–Välimeri-kumppanuuteen kuuluva taloudellisen ja teknisen yhteistyön väline)</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140</w:t>
            </w:r>
          </w:p>
        </w:tc>
        <w:tc>
          <w:tcPr>
            <w:tcW w:w="1348" w:type="dxa"/>
            <w:tcBorders>
              <w:top w:val="nil"/>
              <w:left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c>
          <w:tcPr>
            <w:tcW w:w="1589" w:type="dxa"/>
            <w:tcBorders>
              <w:top w:val="nil"/>
              <w:left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6379"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Eurooppalainen naapuruuden ja kumppanuuden väline (ENPI)</w:t>
            </w:r>
          </w:p>
        </w:tc>
        <w:tc>
          <w:tcPr>
            <w:tcW w:w="819"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120</w:t>
            </w:r>
          </w:p>
        </w:tc>
        <w:tc>
          <w:tcPr>
            <w:tcW w:w="1348" w:type="dxa"/>
            <w:tcBorders>
              <w:top w:val="nil"/>
              <w:left w:val="nil"/>
              <w:bottom w:val="single" w:sz="4" w:space="0" w:color="auto"/>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c>
          <w:tcPr>
            <w:tcW w:w="1589" w:type="dxa"/>
            <w:tcBorders>
              <w:top w:val="nil"/>
              <w:left w:val="nil"/>
              <w:bottom w:val="single" w:sz="4" w:space="0" w:color="auto"/>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45"/>
      <w:tr>
        <w:trPr>
          <w:trHeight w:hRule="exact" w:val="284"/>
        </w:trPr>
        <w:tc>
          <w:tcPr>
            <w:tcW w:w="6379" w:type="dxa"/>
            <w:tcBorders>
              <w:top w:val="single" w:sz="8" w:space="0" w:color="auto"/>
              <w:left w:val="single" w:sz="8" w:space="0" w:color="auto"/>
              <w:bottom w:val="single" w:sz="8" w:space="0" w:color="auto"/>
              <w:right w:val="nil"/>
            </w:tcBorders>
            <w:shd w:val="clear" w:color="auto" w:fill="auto"/>
            <w:noWrap/>
            <w:vAlign w:val="center"/>
            <w:hideMark/>
          </w:tcPr>
          <w:p>
            <w:pPr>
              <w:jc w:val="right"/>
              <w:rPr>
                <w:rFonts w:ascii="Verdana" w:hAnsi="Verdana"/>
                <w:b/>
                <w:bCs/>
                <w:noProof/>
                <w:color w:val="000000"/>
                <w:sz w:val="16"/>
                <w:szCs w:val="18"/>
              </w:rPr>
            </w:pPr>
            <w:r>
              <w:rPr>
                <w:rFonts w:ascii="Verdana" w:hAnsi="Verdana"/>
                <w:b/>
                <w:noProof/>
                <w:color w:val="000000"/>
                <w:sz w:val="16"/>
              </w:rPr>
              <w:t> </w:t>
            </w:r>
          </w:p>
        </w:tc>
        <w:tc>
          <w:tcPr>
            <w:tcW w:w="819"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8"/>
              </w:rPr>
            </w:pPr>
            <w:r>
              <w:rPr>
                <w:rFonts w:ascii="Verdana" w:hAnsi="Verdana"/>
                <w:b/>
                <w:noProof/>
                <w:color w:val="000000"/>
                <w:sz w:val="16"/>
              </w:rPr>
              <w:t>260</w:t>
            </w:r>
          </w:p>
        </w:tc>
        <w:tc>
          <w:tcPr>
            <w:tcW w:w="1348" w:type="dxa"/>
            <w:tcBorders>
              <w:top w:val="single" w:sz="4"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8"/>
              </w:rPr>
            </w:pPr>
            <w:r>
              <w:rPr>
                <w:rFonts w:ascii="Verdana" w:hAnsi="Verdana"/>
                <w:b/>
                <w:noProof/>
                <w:color w:val="000000"/>
                <w:sz w:val="16"/>
              </w:rPr>
              <w:t>(4)</w:t>
            </w:r>
          </w:p>
        </w:tc>
        <w:tc>
          <w:tcPr>
            <w:tcW w:w="1589" w:type="dxa"/>
            <w:tcBorders>
              <w:top w:val="single" w:sz="4"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8"/>
              </w:rPr>
            </w:pPr>
            <w:r>
              <w:rPr>
                <w:rFonts w:ascii="Verdana" w:hAnsi="Verdana"/>
                <w:b/>
                <w:noProof/>
                <w:color w:val="000000"/>
                <w:sz w:val="16"/>
              </w:rPr>
              <w:t>–</w:t>
            </w:r>
          </w:p>
        </w:tc>
      </w:tr>
      <w:tr>
        <w:trPr>
          <w:trHeight w:hRule="exact" w:val="284"/>
        </w:trPr>
        <w:tc>
          <w:tcPr>
            <w:tcW w:w="6379" w:type="dxa"/>
            <w:tcBorders>
              <w:top w:val="nil"/>
              <w:left w:val="single" w:sz="8" w:space="0" w:color="auto"/>
              <w:bottom w:val="single" w:sz="8" w:space="0" w:color="auto"/>
              <w:right w:val="nil"/>
            </w:tcBorders>
            <w:shd w:val="clear" w:color="000000" w:fill="B8CCE4"/>
            <w:noWrap/>
            <w:vAlign w:val="center"/>
            <w:hideMark/>
          </w:tcPr>
          <w:p>
            <w:pPr>
              <w:rPr>
                <w:rFonts w:ascii="Verdana" w:hAnsi="Verdana"/>
                <w:b/>
                <w:bCs/>
                <w:noProof/>
                <w:color w:val="000000"/>
                <w:sz w:val="16"/>
                <w:szCs w:val="18"/>
              </w:rPr>
            </w:pPr>
            <w:r>
              <w:rPr>
                <w:rFonts w:ascii="Verdana" w:hAnsi="Verdana"/>
                <w:b/>
                <w:noProof/>
                <w:color w:val="000000"/>
                <w:sz w:val="16"/>
              </w:rPr>
              <w:t xml:space="preserve">Yhteensä </w:t>
            </w:r>
          </w:p>
        </w:tc>
        <w:tc>
          <w:tcPr>
            <w:tcW w:w="819"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2 049</w:t>
            </w:r>
          </w:p>
        </w:tc>
        <w:tc>
          <w:tcPr>
            <w:tcW w:w="134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(281)</w:t>
            </w:r>
          </w:p>
        </w:tc>
        <w:tc>
          <w:tcPr>
            <w:tcW w:w="1589" w:type="dxa"/>
            <w:tcBorders>
              <w:top w:val="nil"/>
              <w:left w:val="nil"/>
              <w:bottom w:val="single" w:sz="8" w:space="0" w:color="auto"/>
              <w:right w:val="single" w:sz="8" w:space="0" w:color="auto"/>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(642)</w:t>
            </w:r>
          </w:p>
        </w:tc>
      </w:tr>
      <w:tr>
        <w:trPr>
          <w:trHeight w:hRule="exact" w:val="57"/>
        </w:trPr>
        <w:tc>
          <w:tcPr>
            <w:tcW w:w="6379"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c>
          <w:tcPr>
            <w:tcW w:w="819"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c>
          <w:tcPr>
            <w:tcW w:w="1348"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c>
          <w:tcPr>
            <w:tcW w:w="1589"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r>
      <w:tr>
        <w:trPr>
          <w:trHeight w:hRule="exact" w:val="284"/>
        </w:trPr>
        <w:tc>
          <w:tcPr>
            <w:tcW w:w="6379" w:type="dxa"/>
            <w:tcBorders>
              <w:top w:val="single" w:sz="12" w:space="0" w:color="auto"/>
              <w:left w:val="single" w:sz="12" w:space="0" w:color="auto"/>
              <w:bottom w:val="single" w:sz="12" w:space="0" w:color="auto"/>
              <w:right w:val="nil"/>
            </w:tcBorders>
            <w:shd w:val="clear" w:color="000000" w:fill="B8CCE4"/>
            <w:noWrap/>
            <w:vAlign w:val="center"/>
            <w:hideMark/>
          </w:tcPr>
          <w:p>
            <w:pPr>
              <w:rPr>
                <w:rFonts w:ascii="Verdana" w:hAnsi="Verdana"/>
                <w:b/>
                <w:bCs/>
                <w:noProof/>
                <w:color w:val="000000"/>
                <w:sz w:val="16"/>
                <w:szCs w:val="18"/>
              </w:rPr>
            </w:pPr>
            <w:r>
              <w:rPr>
                <w:rFonts w:ascii="Verdana" w:hAnsi="Verdana"/>
                <w:b/>
                <w:noProof/>
                <w:color w:val="000000"/>
                <w:sz w:val="16"/>
              </w:rPr>
              <w:t>Kaikki yhteensä</w:t>
            </w:r>
          </w:p>
        </w:tc>
        <w:tc>
          <w:tcPr>
            <w:tcW w:w="819" w:type="dxa"/>
            <w:tcBorders>
              <w:top w:val="single" w:sz="12" w:space="0" w:color="auto"/>
              <w:left w:val="nil"/>
              <w:bottom w:val="single" w:sz="12"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6 115</w:t>
            </w:r>
          </w:p>
        </w:tc>
        <w:tc>
          <w:tcPr>
            <w:tcW w:w="1348" w:type="dxa"/>
            <w:tcBorders>
              <w:top w:val="single" w:sz="12" w:space="0" w:color="auto"/>
              <w:left w:val="nil"/>
              <w:bottom w:val="single" w:sz="12"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(1 428)</w:t>
            </w:r>
          </w:p>
        </w:tc>
        <w:tc>
          <w:tcPr>
            <w:tcW w:w="1589" w:type="dxa"/>
            <w:tcBorders>
              <w:top w:val="single" w:sz="12" w:space="0" w:color="auto"/>
              <w:left w:val="nil"/>
              <w:bottom w:val="single" w:sz="12" w:space="0" w:color="auto"/>
              <w:right w:val="single" w:sz="12" w:space="0" w:color="auto"/>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(2 717)</w:t>
            </w:r>
          </w:p>
        </w:tc>
      </w:tr>
      <w:tr>
        <w:trPr>
          <w:trHeight w:val="300"/>
        </w:trPr>
        <w:tc>
          <w:tcPr>
            <w:tcW w:w="10135" w:type="dxa"/>
            <w:gridSpan w:val="4"/>
            <w:tcBorders>
              <w:top w:val="single" w:sz="12" w:space="0" w:color="auto"/>
              <w:left w:val="nil"/>
              <w:bottom w:val="nil"/>
              <w:right w:val="nil"/>
            </w:tcBorders>
            <w:shd w:val="clear" w:color="auto" w:fill="auto"/>
            <w:noWrap/>
            <w:vAlign w:val="center"/>
            <w:hideMark/>
          </w:tcPr>
          <w:p>
            <w:pPr>
              <w:pStyle w:val="Asterix"/>
            </w:pPr>
            <w:r>
              <w:rPr>
                <w:i w:val="0"/>
              </w:rPr>
              <w:t xml:space="preserve">*    </w:t>
            </w:r>
            <w:r>
              <w:t>Tässä taulukossa esitetyt varat sisältävät useita tilinpäätöksen kohtia (myytävissä olevat 4 387 miljoonaa euroa (josta 1 294 miljoonaa euroa oman pääoman ehtoisia rahoitusvälineitä); käteisvarat ja muut rahavarat 1 615 miljoonaa euroa; lainat 64 miljoonaa euroa ja muut 49 miljoonaa euroa).</w:t>
            </w:r>
          </w:p>
          <w:p>
            <w:pPr>
              <w:pStyle w:val="Asterix"/>
            </w:pPr>
            <w:r>
              <w:t>**   Tässä taulukossa esitetyt velat sisältävät useita tilinpäätöksen kohtia (varaukset 1 337 miljoonaa euroa; muut lyhytaikaiset velat 69 miljoonaa euroa ja muita kohtia 22 miljoonaa euroa).</w:t>
            </w:r>
          </w:p>
          <w:p>
            <w:pPr>
              <w:pStyle w:val="Asterix"/>
            </w:pPr>
            <w:r>
              <w:t xml:space="preserve">*** Tiettyjen takausten osalta varauksilla katetaan EU:n riski kokonaisuudessaan. </w:t>
            </w:r>
            <w:r>
              <w:br/>
            </w:r>
          </w:p>
        </w:tc>
      </w:tr>
    </w:tbl>
    <w:p>
      <w:pPr>
        <w:pStyle w:val="HEADER5"/>
        <w:rPr>
          <w:noProof/>
        </w:rPr>
      </w:pPr>
      <w:r>
        <w:rPr>
          <w:noProof/>
        </w:rPr>
        <w:t>Talousarviotakauksia varten takuurahastoissa olevat rahoitusvarat</w:t>
      </w:r>
    </w:p>
    <w:p>
      <w:pPr>
        <w:pStyle w:val="DGTextstand-alone"/>
      </w:pPr>
      <w:r>
        <w:t>Komissio on perustanut takuurahastoja EIP-ryhmälle annettujen talousarviotakausten kattamiseksi (ks. konsolidoidun tilinpäätöksen liitetieto </w:t>
      </w:r>
      <w:r>
        <w:rPr>
          <w:b/>
        </w:rPr>
        <w:t>4.1.1</w:t>
      </w:r>
      <w:r>
        <w:t>). Nämä takuurahastot rahoitetaan EU:n talousarviosta suoritetuilla maksuilla, jotta voidaan ylläpitää likviditeettipuskuria niiden potentiaalisten tappioiden varalta, joita voidaan joutua kattamaan takausten piiriin kuuluvien toimien osalta. Takuurahastoihin maksetut varat sijoitetaan rahoitusinstrumentteihin, kuten velkapapereihin ja käteis- ja määräaikaistalletuksiin. Komissiolla oli 31. joulukuuta 2018 rahoitusvaroja</w:t>
      </w:r>
    </w:p>
    <w:p>
      <w:pPr>
        <w:pStyle w:val="DGTextstand-alone"/>
        <w:numPr>
          <w:ilvl w:val="0"/>
          <w:numId w:val="40"/>
        </w:numPr>
      </w:pPr>
      <w:r>
        <w:t xml:space="preserve">ulkosuhteisiin liittyviä hankkeita varten perustetussa takuurahastossa 2,5 miljardia euroa </w:t>
      </w:r>
    </w:p>
    <w:p>
      <w:pPr>
        <w:pStyle w:val="DGTextstand-alone"/>
        <w:numPr>
          <w:ilvl w:val="0"/>
          <w:numId w:val="40"/>
        </w:numPr>
      </w:pPr>
      <w:r>
        <w:t>ESIR-takuurahastossa 5,5 miljardia euroa ja</w:t>
      </w:r>
    </w:p>
    <w:p>
      <w:pPr>
        <w:pStyle w:val="DGTextstand-alone"/>
        <w:numPr>
          <w:ilvl w:val="0"/>
          <w:numId w:val="40"/>
        </w:numPr>
      </w:pPr>
      <w:r>
        <w:t>EKKR-takuurahastossa 0,3 miljardia euroa.</w:t>
      </w:r>
    </w:p>
    <w:p>
      <w:pPr>
        <w:pStyle w:val="HEADER5"/>
        <w:rPr>
          <w:noProof/>
        </w:rPr>
      </w:pPr>
    </w:p>
    <w:p>
      <w:pPr>
        <w:pStyle w:val="HEADER5"/>
        <w:rPr>
          <w:noProof/>
        </w:rPr>
      </w:pPr>
      <w:r>
        <w:rPr>
          <w:noProof/>
        </w:rPr>
        <w:t>Rahoitusapuohjelmien puitteissa myönnetyt lainat ja niihin liittyvä lainanotto</w:t>
      </w:r>
    </w:p>
    <w:p>
      <w:pPr>
        <w:pStyle w:val="DGTextstand-alone"/>
      </w:pPr>
      <w:bookmarkStart w:id="246" w:name="_Toc491880237"/>
      <w:r>
        <w:t>Komissio antaa Euroopan parlamentin ja neuvoston päätösten nojalla jäsenvaltioille ja kolmansille maille rahoitustukea kahdenvälisinä lainoina. Tarvittava rahoitus hankitaan pääomamarkkinoilta, ja sen takaisinmaksu taataan EU:n talousarviosta.</w:t>
      </w:r>
    </w:p>
    <w:p>
      <w:pPr>
        <w:pStyle w:val="DGTextstand-alone"/>
      </w:pPr>
      <w:r>
        <w:t xml:space="preserve">Komissio, joka toimii EU:n puolesta, vastaa tällä hetkellä kolmesta pääasiallisesta lainaohjelmasta: </w:t>
      </w:r>
    </w:p>
    <w:p>
      <w:pPr>
        <w:pStyle w:val="DGTextstand-alone"/>
        <w:numPr>
          <w:ilvl w:val="0"/>
          <w:numId w:val="41"/>
        </w:numPr>
        <w:ind w:left="714" w:hanging="357"/>
        <w:contextualSpacing/>
      </w:pPr>
      <w:r>
        <w:t xml:space="preserve">Euroopan rahoituksenvakautusmekanismi (ERVM) </w:t>
      </w:r>
    </w:p>
    <w:p>
      <w:pPr>
        <w:pStyle w:val="DGTextstand-alone"/>
        <w:numPr>
          <w:ilvl w:val="0"/>
          <w:numId w:val="41"/>
        </w:numPr>
        <w:ind w:left="714" w:hanging="357"/>
        <w:contextualSpacing/>
      </w:pPr>
      <w:r>
        <w:t xml:space="preserve">maksutaselainat ja </w:t>
      </w:r>
    </w:p>
    <w:p>
      <w:pPr>
        <w:pStyle w:val="DGTextstand-alone"/>
        <w:numPr>
          <w:ilvl w:val="0"/>
          <w:numId w:val="41"/>
        </w:numPr>
      </w:pPr>
      <w:r>
        <w:t xml:space="preserve">makrotaloudellinen rahoitusapu, jota voidaan myöntää lainoina. </w:t>
      </w:r>
    </w:p>
    <w:p>
      <w:pPr>
        <w:pStyle w:val="DGTextstand-alone"/>
      </w:pPr>
      <w:r>
        <w:t xml:space="preserve">EU:n antolainauksen rahoittamiseen tarvittavat varat hankitaan pääomamarkkinoilta tai käyttämällä rahoituslaitoksia välittäjinä. </w:t>
      </w:r>
    </w:p>
    <w:p>
      <w:pPr>
        <w:pStyle w:val="DGTextstand-alone"/>
      </w:pPr>
      <w:r>
        <w:t>Joulukuun 31. päivään 2018 ERVM:n ja maksutaselainojen avulla rahoitusapuna myönnettyjen lainojen nimellisarvo oli:</w:t>
      </w:r>
    </w:p>
    <w:tbl>
      <w:tblPr>
        <w:tblW w:w="10214" w:type="dxa"/>
        <w:tblInd w:w="-34" w:type="dxa"/>
        <w:tblLayout w:type="fixed"/>
        <w:tblLook w:val="04A0" w:firstRow="1" w:lastRow="0" w:firstColumn="1" w:lastColumn="0" w:noHBand="0" w:noVBand="1"/>
      </w:tblPr>
      <w:tblGrid>
        <w:gridCol w:w="2836"/>
        <w:gridCol w:w="850"/>
        <w:gridCol w:w="389"/>
        <w:gridCol w:w="745"/>
        <w:gridCol w:w="284"/>
        <w:gridCol w:w="708"/>
        <w:gridCol w:w="851"/>
        <w:gridCol w:w="567"/>
        <w:gridCol w:w="567"/>
        <w:gridCol w:w="567"/>
        <w:gridCol w:w="425"/>
        <w:gridCol w:w="1425"/>
      </w:tblGrid>
      <w:tr>
        <w:trPr>
          <w:trHeight w:val="300"/>
        </w:trPr>
        <w:tc>
          <w:tcPr>
            <w:tcW w:w="2836" w:type="dxa"/>
            <w:tcBorders>
              <w:top w:val="nil"/>
              <w:left w:val="nil"/>
              <w:bottom w:val="nil"/>
              <w:right w:val="nil"/>
            </w:tcBorders>
            <w:shd w:val="clear" w:color="auto" w:fill="auto"/>
            <w:noWrap/>
            <w:vAlign w:val="bottom"/>
          </w:tcPr>
          <w:p>
            <w:pPr>
              <w:jc w:val="right"/>
              <w:rPr>
                <w:rFonts w:ascii="Verdana" w:hAnsi="Verdana"/>
                <w:i/>
                <w:iCs/>
                <w:noProof/>
                <w:color w:val="000000"/>
                <w:sz w:val="18"/>
                <w:szCs w:val="18"/>
              </w:rPr>
            </w:pPr>
          </w:p>
        </w:tc>
        <w:tc>
          <w:tcPr>
            <w:tcW w:w="1239" w:type="dxa"/>
            <w:gridSpan w:val="2"/>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029" w:type="dxa"/>
            <w:gridSpan w:val="2"/>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708" w:type="dxa"/>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418" w:type="dxa"/>
            <w:gridSpan w:val="2"/>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134" w:type="dxa"/>
            <w:gridSpan w:val="2"/>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850" w:type="dxa"/>
            <w:gridSpan w:val="2"/>
            <w:tcBorders>
              <w:top w:val="nil"/>
              <w:left w:val="nil"/>
              <w:bottom w:val="nil"/>
              <w:right w:val="nil"/>
            </w:tcBorders>
            <w:shd w:val="clear" w:color="auto" w:fill="auto"/>
            <w:vAlign w:val="bottom"/>
          </w:tcPr>
          <w:p>
            <w:pPr>
              <w:jc w:val="right"/>
              <w:rPr>
                <w:rFonts w:ascii="Verdana" w:hAnsi="Verdana"/>
                <w:i/>
                <w:iCs/>
                <w:noProof/>
                <w:color w:val="000000"/>
                <w:sz w:val="18"/>
                <w:szCs w:val="18"/>
              </w:rPr>
            </w:pPr>
            <w:r>
              <w:rPr>
                <w:rFonts w:ascii="Verdana" w:hAnsi="Verdana"/>
                <w:i/>
                <w:noProof/>
                <w:color w:val="000000"/>
                <w:sz w:val="18"/>
              </w:rPr>
              <w:t>miljardia euroa</w:t>
            </w:r>
          </w:p>
        </w:tc>
      </w:tr>
      <w:tr>
        <w:trPr>
          <w:trHeight w:val="375"/>
        </w:trPr>
        <w:tc>
          <w:tcPr>
            <w:tcW w:w="2836"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2976" w:type="dxa"/>
            <w:gridSpan w:val="5"/>
            <w:tcBorders>
              <w:top w:val="nil"/>
              <w:left w:val="nil"/>
              <w:bottom w:val="nil"/>
              <w:right w:val="nil"/>
            </w:tcBorders>
            <w:shd w:val="clear" w:color="000000" w:fill="4BACC6"/>
            <w:noWrap/>
            <w:vAlign w:val="bottom"/>
            <w:hideMark/>
          </w:tcPr>
          <w:p>
            <w:pPr>
              <w:jc w:val="center"/>
              <w:rPr>
                <w:rFonts w:ascii="Verdana" w:hAnsi="Verdana"/>
                <w:b/>
                <w:bCs/>
                <w:noProof/>
                <w:color w:val="FFFFFF"/>
                <w:sz w:val="18"/>
                <w:szCs w:val="18"/>
              </w:rPr>
            </w:pPr>
            <w:r>
              <w:rPr>
                <w:rFonts w:ascii="Verdana" w:hAnsi="Verdana"/>
                <w:b/>
                <w:noProof/>
                <w:color w:val="FFFFFF"/>
                <w:sz w:val="18"/>
              </w:rPr>
              <w:t>Maksutasetuki</w:t>
            </w:r>
          </w:p>
        </w:tc>
        <w:tc>
          <w:tcPr>
            <w:tcW w:w="2977" w:type="dxa"/>
            <w:gridSpan w:val="5"/>
            <w:tcBorders>
              <w:top w:val="nil"/>
              <w:left w:val="nil"/>
              <w:bottom w:val="nil"/>
              <w:right w:val="nil"/>
            </w:tcBorders>
            <w:shd w:val="clear" w:color="000000" w:fill="92D050"/>
            <w:vAlign w:val="bottom"/>
          </w:tcPr>
          <w:p>
            <w:pPr>
              <w:jc w:val="center"/>
              <w:rPr>
                <w:rFonts w:ascii="Verdana" w:hAnsi="Verdana"/>
                <w:b/>
                <w:bCs/>
                <w:noProof/>
                <w:color w:val="FFFFFF"/>
                <w:sz w:val="18"/>
                <w:szCs w:val="18"/>
              </w:rPr>
            </w:pPr>
            <w:r>
              <w:rPr>
                <w:rFonts w:ascii="Verdana" w:hAnsi="Verdana"/>
                <w:b/>
                <w:noProof/>
                <w:color w:val="FFFFFF"/>
                <w:sz w:val="18"/>
              </w:rPr>
              <w:t>ERVM*</w:t>
            </w:r>
          </w:p>
        </w:tc>
        <w:tc>
          <w:tcPr>
            <w:tcW w:w="1425" w:type="dxa"/>
            <w:vMerge w:val="restart"/>
            <w:tcBorders>
              <w:top w:val="nil"/>
              <w:left w:val="nil"/>
              <w:bottom w:val="single" w:sz="4" w:space="0" w:color="000000"/>
              <w:right w:val="nil"/>
            </w:tcBorders>
            <w:shd w:val="clear" w:color="000000" w:fill="DA9694"/>
            <w:noWrap/>
            <w:vAlign w:val="center"/>
            <w:hideMark/>
          </w:tcPr>
          <w:p>
            <w:pPr>
              <w:jc w:val="center"/>
              <w:rPr>
                <w:rFonts w:ascii="Verdana" w:hAnsi="Verdana"/>
                <w:b/>
                <w:bCs/>
                <w:noProof/>
                <w:color w:val="FFFFFF"/>
                <w:sz w:val="18"/>
                <w:szCs w:val="18"/>
              </w:rPr>
            </w:pPr>
            <w:r>
              <w:rPr>
                <w:rFonts w:ascii="Verdana" w:hAnsi="Verdana"/>
                <w:b/>
                <w:noProof/>
                <w:color w:val="FFFFFF"/>
                <w:sz w:val="18"/>
              </w:rPr>
              <w:t>YHTEENSÄ</w:t>
            </w:r>
          </w:p>
        </w:tc>
      </w:tr>
      <w:tr>
        <w:trPr>
          <w:trHeight w:val="375"/>
        </w:trPr>
        <w:tc>
          <w:tcPr>
            <w:tcW w:w="2836"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850" w:type="dxa"/>
            <w:tcBorders>
              <w:top w:val="nil"/>
              <w:left w:val="nil"/>
              <w:bottom w:val="single" w:sz="4" w:space="0" w:color="auto"/>
              <w:right w:val="nil"/>
            </w:tcBorders>
            <w:shd w:val="clear" w:color="auto" w:fill="auto"/>
            <w:noWrap/>
            <w:vAlign w:val="bottom"/>
          </w:tcPr>
          <w:p>
            <w:pPr>
              <w:jc w:val="right"/>
              <w:rPr>
                <w:rFonts w:ascii="Verdana" w:hAnsi="Verdana"/>
                <w:bCs/>
                <w:noProof/>
                <w:color w:val="4BACC6"/>
                <w:sz w:val="16"/>
                <w:szCs w:val="18"/>
              </w:rPr>
            </w:pPr>
            <w:r>
              <w:rPr>
                <w:rFonts w:ascii="Verdana" w:hAnsi="Verdana"/>
                <w:noProof/>
                <w:color w:val="4BACC6"/>
                <w:sz w:val="16"/>
              </w:rPr>
              <w:t>Latvia</w:t>
            </w:r>
          </w:p>
        </w:tc>
        <w:tc>
          <w:tcPr>
            <w:tcW w:w="1134" w:type="dxa"/>
            <w:gridSpan w:val="2"/>
            <w:tcBorders>
              <w:top w:val="nil"/>
              <w:left w:val="nil"/>
              <w:bottom w:val="single" w:sz="4" w:space="0" w:color="auto"/>
              <w:right w:val="nil"/>
            </w:tcBorders>
            <w:shd w:val="clear" w:color="auto" w:fill="auto"/>
            <w:noWrap/>
            <w:vAlign w:val="bottom"/>
            <w:hideMark/>
          </w:tcPr>
          <w:p>
            <w:pPr>
              <w:jc w:val="right"/>
              <w:rPr>
                <w:rFonts w:ascii="Verdana" w:hAnsi="Verdana"/>
                <w:bCs/>
                <w:noProof/>
                <w:color w:val="4BACC6"/>
                <w:sz w:val="16"/>
                <w:szCs w:val="18"/>
              </w:rPr>
            </w:pPr>
            <w:r>
              <w:rPr>
                <w:rFonts w:ascii="Verdana" w:hAnsi="Verdana"/>
                <w:noProof/>
                <w:color w:val="4BACC6"/>
                <w:sz w:val="16"/>
              </w:rPr>
              <w:t>Romania</w:t>
            </w:r>
          </w:p>
        </w:tc>
        <w:tc>
          <w:tcPr>
            <w:tcW w:w="992" w:type="dxa"/>
            <w:gridSpan w:val="2"/>
            <w:tcBorders>
              <w:top w:val="nil"/>
              <w:left w:val="nil"/>
              <w:bottom w:val="single" w:sz="4" w:space="0" w:color="auto"/>
              <w:right w:val="nil"/>
            </w:tcBorders>
            <w:shd w:val="clear" w:color="000000" w:fill="DCE6F1"/>
            <w:noWrap/>
            <w:vAlign w:val="bottom"/>
            <w:hideMark/>
          </w:tcPr>
          <w:p>
            <w:pPr>
              <w:jc w:val="right"/>
              <w:rPr>
                <w:rFonts w:ascii="Verdana" w:hAnsi="Verdana"/>
                <w:bCs/>
                <w:noProof/>
                <w:color w:val="4BACC6"/>
                <w:sz w:val="16"/>
                <w:szCs w:val="18"/>
              </w:rPr>
            </w:pPr>
            <w:r>
              <w:rPr>
                <w:rFonts w:ascii="Verdana" w:hAnsi="Verdana"/>
                <w:noProof/>
                <w:color w:val="4BACC6"/>
                <w:sz w:val="16"/>
              </w:rPr>
              <w:t>Yhteensä</w:t>
            </w:r>
          </w:p>
        </w:tc>
        <w:tc>
          <w:tcPr>
            <w:tcW w:w="851" w:type="dxa"/>
            <w:tcBorders>
              <w:top w:val="nil"/>
              <w:left w:val="nil"/>
              <w:bottom w:val="single" w:sz="4" w:space="0" w:color="auto"/>
              <w:right w:val="nil"/>
            </w:tcBorders>
            <w:shd w:val="clear" w:color="auto" w:fill="auto"/>
            <w:noWrap/>
            <w:vAlign w:val="bottom"/>
          </w:tcPr>
          <w:p>
            <w:pPr>
              <w:jc w:val="right"/>
              <w:rPr>
                <w:rFonts w:ascii="Verdana" w:hAnsi="Verdana"/>
                <w:bCs/>
                <w:noProof/>
                <w:color w:val="92D050"/>
                <w:sz w:val="16"/>
                <w:szCs w:val="18"/>
              </w:rPr>
            </w:pPr>
            <w:r>
              <w:rPr>
                <w:rFonts w:ascii="Verdana" w:hAnsi="Verdana"/>
                <w:noProof/>
                <w:color w:val="92D050"/>
                <w:sz w:val="16"/>
              </w:rPr>
              <w:t>Irlanti</w:t>
            </w:r>
          </w:p>
        </w:tc>
        <w:tc>
          <w:tcPr>
            <w:tcW w:w="1134" w:type="dxa"/>
            <w:gridSpan w:val="2"/>
            <w:tcBorders>
              <w:top w:val="nil"/>
              <w:left w:val="nil"/>
              <w:bottom w:val="single" w:sz="4" w:space="0" w:color="auto"/>
              <w:right w:val="nil"/>
            </w:tcBorders>
            <w:vAlign w:val="bottom"/>
          </w:tcPr>
          <w:p>
            <w:pPr>
              <w:jc w:val="right"/>
              <w:rPr>
                <w:rFonts w:ascii="Verdana" w:hAnsi="Verdana"/>
                <w:bCs/>
                <w:noProof/>
                <w:color w:val="92D050"/>
                <w:sz w:val="16"/>
                <w:szCs w:val="18"/>
              </w:rPr>
            </w:pPr>
            <w:r>
              <w:rPr>
                <w:rFonts w:ascii="Verdana" w:hAnsi="Verdana"/>
                <w:noProof/>
                <w:color w:val="92D050"/>
                <w:sz w:val="16"/>
              </w:rPr>
              <w:t>Portugali</w:t>
            </w:r>
          </w:p>
        </w:tc>
        <w:tc>
          <w:tcPr>
            <w:tcW w:w="992" w:type="dxa"/>
            <w:gridSpan w:val="2"/>
            <w:tcBorders>
              <w:top w:val="nil"/>
              <w:left w:val="nil"/>
              <w:bottom w:val="single" w:sz="4" w:space="0" w:color="auto"/>
              <w:right w:val="nil"/>
            </w:tcBorders>
            <w:shd w:val="clear" w:color="000000" w:fill="D8E4BC"/>
            <w:noWrap/>
            <w:vAlign w:val="bottom"/>
            <w:hideMark/>
          </w:tcPr>
          <w:p>
            <w:pPr>
              <w:jc w:val="right"/>
              <w:rPr>
                <w:rFonts w:ascii="Verdana" w:hAnsi="Verdana"/>
                <w:bCs/>
                <w:noProof/>
                <w:color w:val="92D050"/>
                <w:sz w:val="16"/>
                <w:szCs w:val="18"/>
              </w:rPr>
            </w:pPr>
            <w:r>
              <w:rPr>
                <w:rFonts w:ascii="Verdana" w:hAnsi="Verdana"/>
                <w:noProof/>
                <w:color w:val="92D050"/>
                <w:sz w:val="16"/>
              </w:rPr>
              <w:t>Yhteensä</w:t>
            </w:r>
          </w:p>
        </w:tc>
        <w:tc>
          <w:tcPr>
            <w:tcW w:w="1425" w:type="dxa"/>
            <w:vMerge/>
            <w:tcBorders>
              <w:top w:val="nil"/>
              <w:left w:val="nil"/>
              <w:bottom w:val="single" w:sz="4" w:space="0" w:color="000000"/>
              <w:right w:val="nil"/>
            </w:tcBorders>
            <w:vAlign w:val="center"/>
            <w:hideMark/>
          </w:tcPr>
          <w:p>
            <w:pPr>
              <w:rPr>
                <w:rFonts w:ascii="Verdana" w:hAnsi="Verdana"/>
                <w:b/>
                <w:bCs/>
                <w:noProof/>
                <w:color w:val="FFFFFF"/>
                <w:sz w:val="18"/>
                <w:szCs w:val="18"/>
              </w:rPr>
            </w:pPr>
          </w:p>
        </w:tc>
      </w:tr>
      <w:tr>
        <w:trPr>
          <w:trHeight w:val="300"/>
        </w:trPr>
        <w:tc>
          <w:tcPr>
            <w:tcW w:w="2836" w:type="dxa"/>
            <w:tcBorders>
              <w:top w:val="single" w:sz="4" w:space="0" w:color="auto"/>
              <w:left w:val="nil"/>
              <w:bottom w:val="single" w:sz="4" w:space="0" w:color="auto"/>
              <w:right w:val="nil"/>
            </w:tcBorders>
            <w:shd w:val="clear" w:color="auto" w:fill="auto"/>
            <w:noWrap/>
            <w:vAlign w:val="bottom"/>
            <w:hideMark/>
          </w:tcPr>
          <w:p>
            <w:pPr>
              <w:rPr>
                <w:rFonts w:ascii="Verdana" w:hAnsi="Verdana"/>
                <w:bCs/>
                <w:noProof/>
                <w:color w:val="000000"/>
                <w:sz w:val="18"/>
                <w:szCs w:val="18"/>
              </w:rPr>
            </w:pPr>
            <w:r>
              <w:rPr>
                <w:rFonts w:ascii="Verdana" w:hAnsi="Verdana"/>
                <w:noProof/>
                <w:color w:val="000000"/>
                <w:sz w:val="18"/>
              </w:rPr>
              <w:t>Myönnetty yhteensä</w:t>
            </w:r>
          </w:p>
        </w:tc>
        <w:tc>
          <w:tcPr>
            <w:tcW w:w="850" w:type="dxa"/>
            <w:tcBorders>
              <w:top w:val="nil"/>
              <w:left w:val="nil"/>
              <w:bottom w:val="single" w:sz="4" w:space="0" w:color="auto"/>
              <w:right w:val="nil"/>
            </w:tcBorders>
            <w:shd w:val="clear" w:color="auto" w:fill="auto"/>
            <w:noWrap/>
            <w:vAlign w:val="bottom"/>
          </w:tcPr>
          <w:p>
            <w:pPr>
              <w:jc w:val="center"/>
              <w:rPr>
                <w:rFonts w:ascii="Verdana" w:hAnsi="Verdana"/>
                <w:bCs/>
                <w:noProof/>
                <w:color w:val="000000"/>
                <w:sz w:val="18"/>
                <w:szCs w:val="18"/>
              </w:rPr>
            </w:pPr>
            <w:r>
              <w:rPr>
                <w:rFonts w:ascii="Verdana" w:hAnsi="Verdana"/>
                <w:noProof/>
                <w:color w:val="000000"/>
                <w:sz w:val="18"/>
              </w:rPr>
              <w:t>3,1</w:t>
            </w:r>
          </w:p>
        </w:tc>
        <w:tc>
          <w:tcPr>
            <w:tcW w:w="1134" w:type="dxa"/>
            <w:gridSpan w:val="2"/>
            <w:tcBorders>
              <w:top w:val="nil"/>
              <w:left w:val="nil"/>
              <w:bottom w:val="single" w:sz="4" w:space="0" w:color="auto"/>
              <w:right w:val="nil"/>
            </w:tcBorders>
            <w:shd w:val="clear" w:color="auto" w:fill="auto"/>
            <w:noWrap/>
            <w:vAlign w:val="bottom"/>
            <w:hideMark/>
          </w:tcPr>
          <w:p>
            <w:pPr>
              <w:jc w:val="center"/>
              <w:rPr>
                <w:rFonts w:ascii="Verdana" w:hAnsi="Verdana"/>
                <w:bCs/>
                <w:noProof/>
                <w:color w:val="000000"/>
                <w:sz w:val="18"/>
                <w:szCs w:val="18"/>
              </w:rPr>
            </w:pPr>
            <w:r>
              <w:rPr>
                <w:rFonts w:ascii="Verdana" w:hAnsi="Verdana"/>
                <w:noProof/>
                <w:color w:val="000000"/>
                <w:sz w:val="18"/>
              </w:rPr>
              <w:t>5,0</w:t>
            </w:r>
            <w:r>
              <w:rPr>
                <w:rFonts w:ascii="Verdana" w:hAnsi="Verdana"/>
                <w:noProof/>
                <w:color w:val="000000"/>
                <w:sz w:val="18"/>
                <w:vertAlign w:val="superscript"/>
              </w:rPr>
              <w:t>**</w:t>
            </w:r>
          </w:p>
        </w:tc>
        <w:tc>
          <w:tcPr>
            <w:tcW w:w="992" w:type="dxa"/>
            <w:gridSpan w:val="2"/>
            <w:tcBorders>
              <w:top w:val="nil"/>
              <w:left w:val="nil"/>
              <w:bottom w:val="single" w:sz="4" w:space="0" w:color="auto"/>
              <w:right w:val="nil"/>
            </w:tcBorders>
            <w:shd w:val="clear" w:color="000000" w:fill="DCE6F1"/>
            <w:noWrap/>
            <w:vAlign w:val="bottom"/>
            <w:hideMark/>
          </w:tcPr>
          <w:p>
            <w:pPr>
              <w:jc w:val="center"/>
              <w:rPr>
                <w:rFonts w:ascii="Verdana" w:hAnsi="Verdana"/>
                <w:bCs/>
                <w:noProof/>
                <w:color w:val="000000"/>
                <w:sz w:val="18"/>
                <w:szCs w:val="18"/>
              </w:rPr>
            </w:pPr>
            <w:r>
              <w:rPr>
                <w:rFonts w:ascii="Verdana" w:hAnsi="Verdana"/>
                <w:noProof/>
                <w:color w:val="000000"/>
                <w:sz w:val="18"/>
              </w:rPr>
              <w:t>8,1</w:t>
            </w:r>
          </w:p>
        </w:tc>
        <w:tc>
          <w:tcPr>
            <w:tcW w:w="851" w:type="dxa"/>
            <w:tcBorders>
              <w:top w:val="nil"/>
              <w:left w:val="nil"/>
              <w:bottom w:val="single" w:sz="4" w:space="0" w:color="auto"/>
              <w:right w:val="nil"/>
            </w:tcBorders>
            <w:shd w:val="clear" w:color="auto" w:fill="auto"/>
            <w:noWrap/>
            <w:vAlign w:val="bottom"/>
          </w:tcPr>
          <w:p>
            <w:pPr>
              <w:jc w:val="center"/>
              <w:rPr>
                <w:rFonts w:ascii="Verdana" w:hAnsi="Verdana"/>
                <w:bCs/>
                <w:noProof/>
                <w:color w:val="000000"/>
                <w:sz w:val="18"/>
                <w:szCs w:val="18"/>
              </w:rPr>
            </w:pPr>
            <w:r>
              <w:rPr>
                <w:rFonts w:ascii="Verdana" w:hAnsi="Verdana"/>
                <w:noProof/>
                <w:color w:val="000000"/>
                <w:sz w:val="18"/>
              </w:rPr>
              <w:t>22,5</w:t>
            </w:r>
          </w:p>
        </w:tc>
        <w:tc>
          <w:tcPr>
            <w:tcW w:w="1134" w:type="dxa"/>
            <w:gridSpan w:val="2"/>
            <w:tcBorders>
              <w:top w:val="nil"/>
              <w:left w:val="nil"/>
              <w:bottom w:val="single" w:sz="4" w:space="0" w:color="auto"/>
              <w:right w:val="nil"/>
            </w:tcBorders>
            <w:vAlign w:val="bottom"/>
          </w:tcPr>
          <w:p>
            <w:pPr>
              <w:jc w:val="center"/>
              <w:rPr>
                <w:rFonts w:ascii="Verdana" w:hAnsi="Verdana"/>
                <w:bCs/>
                <w:noProof/>
                <w:color w:val="000000"/>
                <w:sz w:val="18"/>
                <w:szCs w:val="18"/>
              </w:rPr>
            </w:pPr>
            <w:r>
              <w:rPr>
                <w:rFonts w:ascii="Verdana" w:hAnsi="Verdana"/>
                <w:noProof/>
                <w:color w:val="000000"/>
                <w:sz w:val="18"/>
              </w:rPr>
              <w:t>26,0</w:t>
            </w:r>
          </w:p>
        </w:tc>
        <w:tc>
          <w:tcPr>
            <w:tcW w:w="992" w:type="dxa"/>
            <w:gridSpan w:val="2"/>
            <w:tcBorders>
              <w:top w:val="nil"/>
              <w:left w:val="nil"/>
              <w:bottom w:val="single" w:sz="4" w:space="0" w:color="auto"/>
              <w:right w:val="nil"/>
            </w:tcBorders>
            <w:shd w:val="clear" w:color="000000" w:fill="D8E4BC"/>
            <w:noWrap/>
            <w:vAlign w:val="bottom"/>
            <w:hideMark/>
          </w:tcPr>
          <w:p>
            <w:pPr>
              <w:jc w:val="center"/>
              <w:rPr>
                <w:rFonts w:ascii="Verdana" w:hAnsi="Verdana"/>
                <w:bCs/>
                <w:noProof/>
                <w:color w:val="000000"/>
                <w:sz w:val="18"/>
                <w:szCs w:val="18"/>
              </w:rPr>
            </w:pPr>
            <w:r>
              <w:rPr>
                <w:rFonts w:ascii="Verdana" w:hAnsi="Verdana"/>
                <w:noProof/>
                <w:color w:val="000000"/>
                <w:sz w:val="18"/>
              </w:rPr>
              <w:t>48,5</w:t>
            </w:r>
          </w:p>
        </w:tc>
        <w:tc>
          <w:tcPr>
            <w:tcW w:w="1425" w:type="dxa"/>
            <w:tcBorders>
              <w:top w:val="nil"/>
              <w:left w:val="nil"/>
              <w:bottom w:val="single" w:sz="4" w:space="0" w:color="auto"/>
              <w:right w:val="nil"/>
            </w:tcBorders>
            <w:shd w:val="clear" w:color="000000" w:fill="F2DCDB"/>
            <w:noWrap/>
            <w:vAlign w:val="bottom"/>
            <w:hideMark/>
          </w:tcPr>
          <w:p>
            <w:pPr>
              <w:jc w:val="center"/>
              <w:rPr>
                <w:rFonts w:ascii="Verdana" w:hAnsi="Verdana"/>
                <w:bCs/>
                <w:noProof/>
                <w:color w:val="000000"/>
                <w:sz w:val="18"/>
                <w:szCs w:val="18"/>
              </w:rPr>
            </w:pPr>
            <w:r>
              <w:rPr>
                <w:rFonts w:ascii="Verdana" w:hAnsi="Verdana"/>
                <w:noProof/>
                <w:color w:val="000000"/>
                <w:sz w:val="18"/>
              </w:rPr>
              <w:t>56,6</w:t>
            </w:r>
          </w:p>
        </w:tc>
      </w:tr>
      <w:tr>
        <w:trPr>
          <w:trHeight w:val="300"/>
        </w:trPr>
        <w:tc>
          <w:tcPr>
            <w:tcW w:w="2836" w:type="dxa"/>
            <w:tcBorders>
              <w:top w:val="single" w:sz="4" w:space="0" w:color="auto"/>
              <w:left w:val="nil"/>
              <w:bottom w:val="single" w:sz="4" w:space="0" w:color="auto"/>
              <w:right w:val="nil"/>
            </w:tcBorders>
            <w:shd w:val="clear" w:color="auto" w:fill="auto"/>
            <w:noWrap/>
            <w:vAlign w:val="bottom"/>
            <w:hideMark/>
          </w:tcPr>
          <w:p>
            <w:pPr>
              <w:rPr>
                <w:rFonts w:ascii="Verdana" w:hAnsi="Verdana"/>
                <w:bCs/>
                <w:noProof/>
                <w:color w:val="000000"/>
                <w:sz w:val="18"/>
                <w:szCs w:val="18"/>
              </w:rPr>
            </w:pPr>
            <w:r>
              <w:rPr>
                <w:rFonts w:ascii="Verdana" w:hAnsi="Verdana"/>
                <w:noProof/>
                <w:color w:val="000000"/>
                <w:sz w:val="18"/>
              </w:rPr>
              <w:t>Nostetut lainat 31.12.2018</w:t>
            </w:r>
          </w:p>
        </w:tc>
        <w:tc>
          <w:tcPr>
            <w:tcW w:w="850" w:type="dxa"/>
            <w:tcBorders>
              <w:top w:val="single" w:sz="4" w:space="0" w:color="auto"/>
              <w:left w:val="nil"/>
              <w:bottom w:val="single" w:sz="4" w:space="0" w:color="auto"/>
              <w:right w:val="nil"/>
            </w:tcBorders>
            <w:shd w:val="clear" w:color="auto" w:fill="auto"/>
            <w:noWrap/>
            <w:vAlign w:val="bottom"/>
          </w:tcPr>
          <w:p>
            <w:pPr>
              <w:jc w:val="center"/>
              <w:rPr>
                <w:rFonts w:ascii="Verdana" w:hAnsi="Verdana"/>
                <w:bCs/>
                <w:noProof/>
                <w:color w:val="000000"/>
                <w:sz w:val="18"/>
                <w:szCs w:val="18"/>
              </w:rPr>
            </w:pPr>
            <w:r>
              <w:rPr>
                <w:rFonts w:ascii="Verdana" w:hAnsi="Verdana"/>
                <w:noProof/>
                <w:color w:val="000000"/>
                <w:sz w:val="18"/>
              </w:rPr>
              <w:t>2,9</w:t>
            </w:r>
          </w:p>
        </w:tc>
        <w:tc>
          <w:tcPr>
            <w:tcW w:w="1134" w:type="dxa"/>
            <w:gridSpan w:val="2"/>
            <w:tcBorders>
              <w:top w:val="single" w:sz="4" w:space="0" w:color="auto"/>
              <w:left w:val="nil"/>
              <w:bottom w:val="single" w:sz="4" w:space="0" w:color="auto"/>
              <w:right w:val="nil"/>
            </w:tcBorders>
            <w:shd w:val="clear" w:color="auto" w:fill="auto"/>
            <w:noWrap/>
            <w:vAlign w:val="bottom"/>
            <w:hideMark/>
          </w:tcPr>
          <w:p>
            <w:pPr>
              <w:jc w:val="center"/>
              <w:rPr>
                <w:rFonts w:ascii="Verdana" w:hAnsi="Verdana"/>
                <w:bCs/>
                <w:noProof/>
                <w:color w:val="000000"/>
                <w:sz w:val="18"/>
                <w:szCs w:val="18"/>
              </w:rPr>
            </w:pPr>
            <w:r>
              <w:rPr>
                <w:rFonts w:ascii="Verdana" w:hAnsi="Verdana"/>
                <w:noProof/>
                <w:color w:val="000000"/>
                <w:sz w:val="18"/>
              </w:rPr>
              <w:t>5,0</w:t>
            </w:r>
          </w:p>
        </w:tc>
        <w:tc>
          <w:tcPr>
            <w:tcW w:w="992" w:type="dxa"/>
            <w:gridSpan w:val="2"/>
            <w:tcBorders>
              <w:top w:val="single" w:sz="4" w:space="0" w:color="auto"/>
              <w:left w:val="nil"/>
              <w:bottom w:val="single" w:sz="4" w:space="0" w:color="auto"/>
              <w:right w:val="nil"/>
            </w:tcBorders>
            <w:shd w:val="clear" w:color="000000" w:fill="DCE6F1"/>
            <w:noWrap/>
            <w:vAlign w:val="bottom"/>
            <w:hideMark/>
          </w:tcPr>
          <w:p>
            <w:pPr>
              <w:jc w:val="center"/>
              <w:rPr>
                <w:rFonts w:ascii="Verdana" w:hAnsi="Verdana"/>
                <w:bCs/>
                <w:noProof/>
                <w:color w:val="000000"/>
                <w:sz w:val="18"/>
                <w:szCs w:val="18"/>
              </w:rPr>
            </w:pPr>
            <w:r>
              <w:rPr>
                <w:rFonts w:ascii="Verdana" w:hAnsi="Verdana"/>
                <w:noProof/>
                <w:color w:val="000000"/>
                <w:sz w:val="18"/>
              </w:rPr>
              <w:t>7,9</w:t>
            </w:r>
          </w:p>
        </w:tc>
        <w:tc>
          <w:tcPr>
            <w:tcW w:w="851" w:type="dxa"/>
            <w:tcBorders>
              <w:top w:val="single" w:sz="4" w:space="0" w:color="auto"/>
              <w:left w:val="nil"/>
              <w:bottom w:val="single" w:sz="4" w:space="0" w:color="auto"/>
              <w:right w:val="nil"/>
            </w:tcBorders>
            <w:shd w:val="clear" w:color="auto" w:fill="auto"/>
            <w:noWrap/>
            <w:vAlign w:val="bottom"/>
          </w:tcPr>
          <w:p>
            <w:pPr>
              <w:jc w:val="center"/>
              <w:rPr>
                <w:rFonts w:ascii="Verdana" w:hAnsi="Verdana"/>
                <w:bCs/>
                <w:noProof/>
                <w:color w:val="000000"/>
                <w:sz w:val="18"/>
                <w:szCs w:val="18"/>
              </w:rPr>
            </w:pPr>
            <w:r>
              <w:rPr>
                <w:rFonts w:ascii="Verdana" w:hAnsi="Verdana"/>
                <w:noProof/>
                <w:color w:val="000000"/>
                <w:sz w:val="18"/>
              </w:rPr>
              <w:t>22,5</w:t>
            </w:r>
          </w:p>
        </w:tc>
        <w:tc>
          <w:tcPr>
            <w:tcW w:w="1134" w:type="dxa"/>
            <w:gridSpan w:val="2"/>
            <w:tcBorders>
              <w:top w:val="single" w:sz="4" w:space="0" w:color="auto"/>
              <w:left w:val="nil"/>
              <w:bottom w:val="single" w:sz="4" w:space="0" w:color="auto"/>
              <w:right w:val="nil"/>
            </w:tcBorders>
            <w:vAlign w:val="bottom"/>
          </w:tcPr>
          <w:p>
            <w:pPr>
              <w:jc w:val="center"/>
              <w:rPr>
                <w:rFonts w:ascii="Verdana" w:hAnsi="Verdana"/>
                <w:bCs/>
                <w:noProof/>
                <w:color w:val="000000"/>
                <w:sz w:val="18"/>
                <w:szCs w:val="18"/>
              </w:rPr>
            </w:pPr>
            <w:r>
              <w:rPr>
                <w:rFonts w:ascii="Verdana" w:hAnsi="Verdana"/>
                <w:noProof/>
                <w:color w:val="000000"/>
                <w:sz w:val="18"/>
              </w:rPr>
              <w:t>24,3</w:t>
            </w:r>
          </w:p>
        </w:tc>
        <w:tc>
          <w:tcPr>
            <w:tcW w:w="992" w:type="dxa"/>
            <w:gridSpan w:val="2"/>
            <w:tcBorders>
              <w:top w:val="single" w:sz="4" w:space="0" w:color="auto"/>
              <w:left w:val="nil"/>
              <w:bottom w:val="single" w:sz="4" w:space="0" w:color="auto"/>
              <w:right w:val="nil"/>
            </w:tcBorders>
            <w:shd w:val="clear" w:color="000000" w:fill="D8E4BC"/>
            <w:noWrap/>
            <w:vAlign w:val="bottom"/>
            <w:hideMark/>
          </w:tcPr>
          <w:p>
            <w:pPr>
              <w:jc w:val="center"/>
              <w:rPr>
                <w:rFonts w:ascii="Verdana" w:hAnsi="Verdana"/>
                <w:bCs/>
                <w:noProof/>
                <w:color w:val="000000"/>
                <w:sz w:val="18"/>
                <w:szCs w:val="18"/>
              </w:rPr>
            </w:pPr>
            <w:r>
              <w:rPr>
                <w:rFonts w:ascii="Verdana" w:hAnsi="Verdana"/>
                <w:noProof/>
                <w:color w:val="000000"/>
                <w:sz w:val="18"/>
              </w:rPr>
              <w:t>46,8</w:t>
            </w:r>
          </w:p>
        </w:tc>
        <w:tc>
          <w:tcPr>
            <w:tcW w:w="1425" w:type="dxa"/>
            <w:tcBorders>
              <w:top w:val="single" w:sz="4" w:space="0" w:color="auto"/>
              <w:left w:val="nil"/>
              <w:bottom w:val="single" w:sz="4" w:space="0" w:color="auto"/>
              <w:right w:val="nil"/>
            </w:tcBorders>
            <w:shd w:val="clear" w:color="000000" w:fill="F2DCDB"/>
            <w:noWrap/>
            <w:vAlign w:val="bottom"/>
            <w:hideMark/>
          </w:tcPr>
          <w:p>
            <w:pPr>
              <w:jc w:val="center"/>
              <w:rPr>
                <w:rFonts w:ascii="Verdana" w:hAnsi="Verdana"/>
                <w:bCs/>
                <w:noProof/>
                <w:color w:val="000000"/>
                <w:sz w:val="18"/>
                <w:szCs w:val="18"/>
              </w:rPr>
            </w:pPr>
            <w:r>
              <w:rPr>
                <w:rFonts w:ascii="Verdana" w:hAnsi="Verdana"/>
                <w:noProof/>
                <w:color w:val="000000"/>
                <w:sz w:val="18"/>
              </w:rPr>
              <w:t>54,7</w:t>
            </w:r>
          </w:p>
        </w:tc>
      </w:tr>
      <w:tr>
        <w:trPr>
          <w:trHeight w:val="300"/>
        </w:trPr>
        <w:tc>
          <w:tcPr>
            <w:tcW w:w="2836"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r>
              <w:rPr>
                <w:rFonts w:ascii="Verdana" w:hAnsi="Verdana"/>
                <w:noProof/>
                <w:color w:val="000000"/>
                <w:sz w:val="18"/>
              </w:rPr>
              <w:t>Takaisin maksetut lainat yhteensä 31.12.2018</w:t>
            </w:r>
          </w:p>
        </w:tc>
        <w:tc>
          <w:tcPr>
            <w:tcW w:w="850" w:type="dxa"/>
            <w:tcBorders>
              <w:top w:val="nil"/>
              <w:left w:val="nil"/>
              <w:bottom w:val="nil"/>
              <w:right w:val="nil"/>
            </w:tcBorders>
            <w:shd w:val="clear" w:color="auto" w:fill="auto"/>
            <w:noWrap/>
            <w:vAlign w:val="bottom"/>
          </w:tcPr>
          <w:p>
            <w:pPr>
              <w:jc w:val="center"/>
              <w:rPr>
                <w:rFonts w:ascii="Verdana" w:hAnsi="Verdana"/>
                <w:noProof/>
                <w:color w:val="000000"/>
                <w:sz w:val="18"/>
                <w:szCs w:val="18"/>
              </w:rPr>
            </w:pPr>
            <w:r>
              <w:rPr>
                <w:rFonts w:ascii="Verdana" w:hAnsi="Verdana"/>
                <w:noProof/>
                <w:color w:val="000000"/>
                <w:sz w:val="18"/>
              </w:rPr>
              <w:t>(2,2)</w:t>
            </w:r>
          </w:p>
        </w:tc>
        <w:tc>
          <w:tcPr>
            <w:tcW w:w="1134" w:type="dxa"/>
            <w:gridSpan w:val="2"/>
            <w:tcBorders>
              <w:top w:val="nil"/>
              <w:left w:val="nil"/>
              <w:bottom w:val="nil"/>
              <w:right w:val="nil"/>
            </w:tcBorders>
            <w:shd w:val="clear" w:color="auto" w:fill="auto"/>
            <w:noWrap/>
            <w:vAlign w:val="bottom"/>
            <w:hideMark/>
          </w:tcPr>
          <w:p>
            <w:pPr>
              <w:jc w:val="center"/>
              <w:rPr>
                <w:rFonts w:ascii="Verdana" w:hAnsi="Verdana"/>
                <w:noProof/>
                <w:color w:val="000000"/>
                <w:sz w:val="18"/>
                <w:szCs w:val="18"/>
              </w:rPr>
            </w:pPr>
            <w:r>
              <w:rPr>
                <w:rFonts w:ascii="Verdana" w:hAnsi="Verdana"/>
                <w:noProof/>
                <w:color w:val="000000"/>
                <w:sz w:val="18"/>
              </w:rPr>
              <w:t>(4)</w:t>
            </w:r>
          </w:p>
        </w:tc>
        <w:tc>
          <w:tcPr>
            <w:tcW w:w="992" w:type="dxa"/>
            <w:gridSpan w:val="2"/>
            <w:tcBorders>
              <w:top w:val="nil"/>
              <w:left w:val="nil"/>
              <w:bottom w:val="nil"/>
              <w:right w:val="nil"/>
            </w:tcBorders>
            <w:shd w:val="clear" w:color="000000" w:fill="DCE6F1"/>
            <w:noWrap/>
            <w:vAlign w:val="bottom"/>
            <w:hideMark/>
          </w:tcPr>
          <w:p>
            <w:pPr>
              <w:jc w:val="center"/>
              <w:rPr>
                <w:rFonts w:ascii="Verdana" w:hAnsi="Verdana"/>
                <w:noProof/>
                <w:color w:val="000000"/>
                <w:sz w:val="18"/>
                <w:szCs w:val="18"/>
              </w:rPr>
            </w:pPr>
            <w:r>
              <w:rPr>
                <w:rFonts w:ascii="Verdana" w:hAnsi="Verdana"/>
                <w:noProof/>
                <w:color w:val="000000"/>
                <w:sz w:val="18"/>
              </w:rPr>
              <w:t>(6,2)</w:t>
            </w:r>
          </w:p>
        </w:tc>
        <w:tc>
          <w:tcPr>
            <w:tcW w:w="851" w:type="dxa"/>
            <w:tcBorders>
              <w:top w:val="nil"/>
              <w:left w:val="nil"/>
              <w:bottom w:val="nil"/>
              <w:right w:val="nil"/>
            </w:tcBorders>
            <w:shd w:val="clear" w:color="auto" w:fill="auto"/>
            <w:noWrap/>
            <w:vAlign w:val="bottom"/>
          </w:tcPr>
          <w:p>
            <w:pPr>
              <w:jc w:val="center"/>
              <w:rPr>
                <w:rFonts w:ascii="Verdana" w:hAnsi="Verdana"/>
                <w:noProof/>
                <w:color w:val="000000"/>
                <w:sz w:val="18"/>
                <w:szCs w:val="18"/>
              </w:rPr>
            </w:pPr>
            <w:r>
              <w:rPr>
                <w:rFonts w:ascii="Verdana" w:hAnsi="Verdana"/>
                <w:noProof/>
                <w:color w:val="000000"/>
                <w:sz w:val="18"/>
              </w:rPr>
              <w:t>–</w:t>
            </w:r>
          </w:p>
        </w:tc>
        <w:tc>
          <w:tcPr>
            <w:tcW w:w="1134" w:type="dxa"/>
            <w:gridSpan w:val="2"/>
            <w:tcBorders>
              <w:top w:val="nil"/>
              <w:left w:val="nil"/>
              <w:bottom w:val="nil"/>
              <w:right w:val="nil"/>
            </w:tcBorders>
            <w:vAlign w:val="bottom"/>
          </w:tcPr>
          <w:p>
            <w:pPr>
              <w:jc w:val="center"/>
              <w:rPr>
                <w:rFonts w:ascii="Verdana" w:hAnsi="Verdana"/>
                <w:noProof/>
                <w:color w:val="000000"/>
                <w:sz w:val="18"/>
                <w:szCs w:val="18"/>
              </w:rPr>
            </w:pPr>
            <w:r>
              <w:rPr>
                <w:rFonts w:ascii="Verdana" w:hAnsi="Verdana"/>
                <w:noProof/>
                <w:color w:val="000000"/>
                <w:sz w:val="18"/>
              </w:rPr>
              <w:t>–</w:t>
            </w:r>
          </w:p>
        </w:tc>
        <w:tc>
          <w:tcPr>
            <w:tcW w:w="992" w:type="dxa"/>
            <w:gridSpan w:val="2"/>
            <w:tcBorders>
              <w:top w:val="nil"/>
              <w:left w:val="nil"/>
              <w:bottom w:val="nil"/>
              <w:right w:val="nil"/>
            </w:tcBorders>
            <w:shd w:val="clear" w:color="000000" w:fill="D8E4BC"/>
            <w:noWrap/>
            <w:vAlign w:val="bottom"/>
            <w:hideMark/>
          </w:tcPr>
          <w:p>
            <w:pPr>
              <w:jc w:val="center"/>
              <w:rPr>
                <w:rFonts w:ascii="Verdana" w:hAnsi="Verdana"/>
                <w:noProof/>
                <w:color w:val="000000"/>
                <w:sz w:val="18"/>
                <w:szCs w:val="18"/>
              </w:rPr>
            </w:pPr>
            <w:r>
              <w:rPr>
                <w:rFonts w:ascii="Verdana" w:hAnsi="Verdana"/>
                <w:noProof/>
                <w:color w:val="000000"/>
                <w:sz w:val="18"/>
              </w:rPr>
              <w:t>–</w:t>
            </w:r>
          </w:p>
        </w:tc>
        <w:tc>
          <w:tcPr>
            <w:tcW w:w="1425" w:type="dxa"/>
            <w:tcBorders>
              <w:top w:val="nil"/>
              <w:left w:val="nil"/>
              <w:bottom w:val="nil"/>
              <w:right w:val="nil"/>
            </w:tcBorders>
            <w:shd w:val="clear" w:color="000000" w:fill="F2DCDB"/>
            <w:noWrap/>
            <w:vAlign w:val="bottom"/>
            <w:hideMark/>
          </w:tcPr>
          <w:p>
            <w:pPr>
              <w:jc w:val="center"/>
              <w:rPr>
                <w:rFonts w:ascii="Verdana" w:hAnsi="Verdana"/>
                <w:noProof/>
                <w:color w:val="000000"/>
                <w:sz w:val="18"/>
                <w:szCs w:val="18"/>
              </w:rPr>
            </w:pPr>
            <w:r>
              <w:rPr>
                <w:rFonts w:ascii="Verdana" w:hAnsi="Verdana"/>
                <w:noProof/>
                <w:color w:val="000000"/>
                <w:sz w:val="18"/>
              </w:rPr>
              <w:t>(6,2)</w:t>
            </w:r>
          </w:p>
        </w:tc>
      </w:tr>
      <w:tr>
        <w:trPr>
          <w:trHeight w:val="300"/>
        </w:trPr>
        <w:tc>
          <w:tcPr>
            <w:tcW w:w="2836" w:type="dxa"/>
            <w:tcBorders>
              <w:top w:val="single" w:sz="4" w:space="0" w:color="auto"/>
              <w:left w:val="nil"/>
              <w:bottom w:val="single" w:sz="4" w:space="0" w:color="auto"/>
              <w:right w:val="nil"/>
            </w:tcBorders>
            <w:shd w:val="clear" w:color="auto" w:fill="auto"/>
            <w:noWrap/>
            <w:vAlign w:val="bottom"/>
            <w:hideMark/>
          </w:tcPr>
          <w:p>
            <w:pPr>
              <w:contextualSpacing/>
              <w:rPr>
                <w:rFonts w:ascii="Verdana" w:hAnsi="Verdana"/>
                <w:bCs/>
                <w:noProof/>
                <w:color w:val="000000"/>
                <w:sz w:val="18"/>
                <w:szCs w:val="18"/>
              </w:rPr>
            </w:pPr>
            <w:r>
              <w:rPr>
                <w:rFonts w:ascii="Verdana" w:hAnsi="Verdana"/>
                <w:noProof/>
                <w:color w:val="000000"/>
                <w:sz w:val="18"/>
              </w:rPr>
              <w:t>Takaisin maksamatta oleva määrä 31.12.2018</w:t>
            </w:r>
          </w:p>
        </w:tc>
        <w:tc>
          <w:tcPr>
            <w:tcW w:w="850" w:type="dxa"/>
            <w:tcBorders>
              <w:top w:val="single" w:sz="4" w:space="0" w:color="auto"/>
              <w:left w:val="nil"/>
              <w:bottom w:val="single" w:sz="4" w:space="0" w:color="auto"/>
              <w:right w:val="nil"/>
            </w:tcBorders>
            <w:shd w:val="clear" w:color="auto" w:fill="auto"/>
            <w:noWrap/>
            <w:vAlign w:val="bottom"/>
          </w:tcPr>
          <w:p>
            <w:pPr>
              <w:contextualSpacing/>
              <w:jc w:val="center"/>
              <w:rPr>
                <w:rFonts w:ascii="Verdana" w:hAnsi="Verdana"/>
                <w:bCs/>
                <w:noProof/>
                <w:color w:val="000000"/>
                <w:sz w:val="18"/>
                <w:szCs w:val="18"/>
              </w:rPr>
            </w:pPr>
            <w:r>
              <w:rPr>
                <w:rFonts w:ascii="Verdana" w:hAnsi="Verdana"/>
                <w:noProof/>
                <w:color w:val="000000"/>
                <w:sz w:val="18"/>
              </w:rPr>
              <w:t>0,7</w:t>
            </w:r>
          </w:p>
        </w:tc>
        <w:tc>
          <w:tcPr>
            <w:tcW w:w="1134" w:type="dxa"/>
            <w:gridSpan w:val="2"/>
            <w:tcBorders>
              <w:top w:val="single" w:sz="4" w:space="0" w:color="auto"/>
              <w:left w:val="nil"/>
              <w:bottom w:val="single" w:sz="4" w:space="0" w:color="auto"/>
              <w:right w:val="nil"/>
            </w:tcBorders>
            <w:shd w:val="clear" w:color="auto" w:fill="auto"/>
            <w:noWrap/>
            <w:vAlign w:val="bottom"/>
            <w:hideMark/>
          </w:tcPr>
          <w:p>
            <w:pPr>
              <w:contextualSpacing/>
              <w:jc w:val="center"/>
              <w:rPr>
                <w:rFonts w:ascii="Verdana" w:hAnsi="Verdana"/>
                <w:bCs/>
                <w:noProof/>
                <w:color w:val="000000"/>
                <w:sz w:val="18"/>
                <w:szCs w:val="18"/>
              </w:rPr>
            </w:pPr>
            <w:r>
              <w:rPr>
                <w:rFonts w:ascii="Verdana" w:hAnsi="Verdana"/>
                <w:noProof/>
                <w:color w:val="000000"/>
                <w:sz w:val="18"/>
              </w:rPr>
              <w:t>1</w:t>
            </w:r>
          </w:p>
        </w:tc>
        <w:tc>
          <w:tcPr>
            <w:tcW w:w="992" w:type="dxa"/>
            <w:gridSpan w:val="2"/>
            <w:tcBorders>
              <w:top w:val="single" w:sz="4" w:space="0" w:color="auto"/>
              <w:left w:val="nil"/>
              <w:bottom w:val="single" w:sz="4" w:space="0" w:color="auto"/>
              <w:right w:val="nil"/>
            </w:tcBorders>
            <w:shd w:val="clear" w:color="000000" w:fill="DCE6F1"/>
            <w:noWrap/>
            <w:vAlign w:val="bottom"/>
            <w:hideMark/>
          </w:tcPr>
          <w:p>
            <w:pPr>
              <w:contextualSpacing/>
              <w:jc w:val="center"/>
              <w:rPr>
                <w:rFonts w:ascii="Verdana" w:hAnsi="Verdana"/>
                <w:bCs/>
                <w:noProof/>
                <w:color w:val="000000"/>
                <w:sz w:val="18"/>
                <w:szCs w:val="18"/>
              </w:rPr>
            </w:pPr>
            <w:r>
              <w:rPr>
                <w:rFonts w:ascii="Verdana" w:hAnsi="Verdana"/>
                <w:noProof/>
                <w:color w:val="000000"/>
                <w:sz w:val="18"/>
              </w:rPr>
              <w:t>1,7</w:t>
            </w:r>
          </w:p>
        </w:tc>
        <w:tc>
          <w:tcPr>
            <w:tcW w:w="851" w:type="dxa"/>
            <w:tcBorders>
              <w:top w:val="single" w:sz="4" w:space="0" w:color="auto"/>
              <w:left w:val="nil"/>
              <w:bottom w:val="single" w:sz="4" w:space="0" w:color="auto"/>
              <w:right w:val="nil"/>
            </w:tcBorders>
            <w:shd w:val="clear" w:color="auto" w:fill="auto"/>
            <w:noWrap/>
            <w:vAlign w:val="bottom"/>
          </w:tcPr>
          <w:p>
            <w:pPr>
              <w:contextualSpacing/>
              <w:jc w:val="center"/>
              <w:rPr>
                <w:rFonts w:ascii="Verdana" w:hAnsi="Verdana"/>
                <w:bCs/>
                <w:noProof/>
                <w:color w:val="000000"/>
                <w:sz w:val="18"/>
                <w:szCs w:val="18"/>
              </w:rPr>
            </w:pPr>
            <w:r>
              <w:rPr>
                <w:rFonts w:ascii="Verdana" w:hAnsi="Verdana"/>
                <w:noProof/>
                <w:color w:val="000000"/>
                <w:sz w:val="18"/>
              </w:rPr>
              <w:t>22,5</w:t>
            </w:r>
          </w:p>
        </w:tc>
        <w:tc>
          <w:tcPr>
            <w:tcW w:w="1134" w:type="dxa"/>
            <w:gridSpan w:val="2"/>
            <w:tcBorders>
              <w:top w:val="single" w:sz="4" w:space="0" w:color="auto"/>
              <w:left w:val="nil"/>
              <w:bottom w:val="single" w:sz="4" w:space="0" w:color="auto"/>
              <w:right w:val="nil"/>
            </w:tcBorders>
            <w:vAlign w:val="bottom"/>
          </w:tcPr>
          <w:p>
            <w:pPr>
              <w:contextualSpacing/>
              <w:jc w:val="center"/>
              <w:rPr>
                <w:rFonts w:ascii="Verdana" w:hAnsi="Verdana"/>
                <w:bCs/>
                <w:noProof/>
                <w:color w:val="000000"/>
                <w:sz w:val="18"/>
                <w:szCs w:val="18"/>
              </w:rPr>
            </w:pPr>
            <w:r>
              <w:rPr>
                <w:rFonts w:ascii="Verdana" w:hAnsi="Verdana"/>
                <w:noProof/>
                <w:color w:val="000000"/>
                <w:sz w:val="18"/>
              </w:rPr>
              <w:t>24,3</w:t>
            </w:r>
          </w:p>
        </w:tc>
        <w:tc>
          <w:tcPr>
            <w:tcW w:w="992" w:type="dxa"/>
            <w:gridSpan w:val="2"/>
            <w:tcBorders>
              <w:top w:val="single" w:sz="4" w:space="0" w:color="auto"/>
              <w:left w:val="nil"/>
              <w:bottom w:val="single" w:sz="4" w:space="0" w:color="auto"/>
              <w:right w:val="nil"/>
            </w:tcBorders>
            <w:shd w:val="clear" w:color="000000" w:fill="D8E4BC"/>
            <w:noWrap/>
            <w:vAlign w:val="bottom"/>
            <w:hideMark/>
          </w:tcPr>
          <w:p>
            <w:pPr>
              <w:contextualSpacing/>
              <w:jc w:val="center"/>
              <w:rPr>
                <w:rFonts w:ascii="Verdana" w:hAnsi="Verdana"/>
                <w:bCs/>
                <w:noProof/>
                <w:color w:val="000000"/>
                <w:sz w:val="18"/>
                <w:szCs w:val="18"/>
              </w:rPr>
            </w:pPr>
            <w:r>
              <w:rPr>
                <w:rFonts w:ascii="Verdana" w:hAnsi="Verdana"/>
                <w:noProof/>
                <w:color w:val="000000"/>
                <w:sz w:val="18"/>
              </w:rPr>
              <w:t>46,8</w:t>
            </w:r>
          </w:p>
        </w:tc>
        <w:tc>
          <w:tcPr>
            <w:tcW w:w="1425" w:type="dxa"/>
            <w:tcBorders>
              <w:top w:val="single" w:sz="4" w:space="0" w:color="auto"/>
              <w:left w:val="nil"/>
              <w:bottom w:val="single" w:sz="4" w:space="0" w:color="auto"/>
              <w:right w:val="nil"/>
            </w:tcBorders>
            <w:shd w:val="clear" w:color="000000" w:fill="F2DCDB"/>
            <w:noWrap/>
            <w:vAlign w:val="bottom"/>
            <w:hideMark/>
          </w:tcPr>
          <w:p>
            <w:pPr>
              <w:contextualSpacing/>
              <w:jc w:val="center"/>
              <w:rPr>
                <w:rFonts w:ascii="Verdana" w:hAnsi="Verdana"/>
                <w:bCs/>
                <w:noProof/>
                <w:color w:val="000000"/>
                <w:sz w:val="18"/>
                <w:szCs w:val="18"/>
              </w:rPr>
            </w:pPr>
            <w:r>
              <w:rPr>
                <w:rFonts w:ascii="Verdana" w:hAnsi="Verdana"/>
                <w:noProof/>
                <w:color w:val="000000"/>
                <w:sz w:val="18"/>
              </w:rPr>
              <w:t>48,5</w:t>
            </w:r>
          </w:p>
        </w:tc>
      </w:tr>
    </w:tbl>
    <w:p>
      <w:pPr>
        <w:pStyle w:val="Asterix"/>
        <w:spacing w:before="120"/>
      </w:pPr>
      <w:r>
        <w:t xml:space="preserve">* </w:t>
      </w:r>
      <w:r>
        <w:tab/>
        <w:t xml:space="preserve">Ilman jälleenrahoitustransaktioita. </w:t>
      </w:r>
    </w:p>
    <w:p>
      <w:pPr>
        <w:pStyle w:val="Asterix"/>
      </w:pPr>
      <w:r>
        <w:t xml:space="preserve">** </w:t>
      </w:r>
      <w:r>
        <w:tab/>
        <w:t>Pois lukien ennalta varautuva rahoitusapu.</w:t>
      </w:r>
    </w:p>
    <w:p>
      <w:pPr>
        <w:pStyle w:val="DGTextstand-alone"/>
        <w:rPr>
          <w:i/>
        </w:rPr>
      </w:pPr>
    </w:p>
    <w:p>
      <w:pPr>
        <w:pStyle w:val="DGTextstand-alone"/>
        <w:rPr>
          <w:i/>
        </w:rPr>
      </w:pPr>
      <w:r>
        <w:rPr>
          <w:i/>
        </w:rPr>
        <w:t>ERVM</w:t>
      </w:r>
    </w:p>
    <w:p>
      <w:pPr>
        <w:pStyle w:val="DGTextstand-alone"/>
      </w:pPr>
      <w:r>
        <w:t>Euroopan rahoituksenvakautusmekanismi (ERVM) perustettiin antamaan rahoitustukea kaikille sellaisille jäsenvaltioille, joille poikkeukselliset tapahtumat ovat kyseisistä jäsenvaltioista riippumattomista syistä aiheuttaneet vakavia taloudellisia tai rahoituksellisia häiriöitä tai vakavasti uhkaavat aiheuttaa tällaisia häiriöitä. ERVM:ää käytettiin uudistusten toteuttamiseen sidotun rahoitusavun myöntämiseen Irlannille ja Portugalille vuosina 2011–2014.</w:t>
      </w:r>
    </w:p>
    <w:p>
      <w:pPr>
        <w:pStyle w:val="DGTextstand-alone"/>
      </w:pPr>
      <w:r>
        <w:t>Ohjelman voimassaolo on päättynyt, minkä vuoksi lisälainoja ei voida nostaa. Mekanismia käytetään kuitenkin erityisiä tehtäviä varten, kuten Irlannin ja Portugalin lainojen maksuajan pidennykseen ja siltarahoitukseen.</w:t>
      </w:r>
    </w:p>
    <w:p>
      <w:pPr>
        <w:pStyle w:val="DGTextstand-alone"/>
      </w:pPr>
      <w:r>
        <w:t>ERVM-ohjelman pääkohdat ovat:</w:t>
      </w:r>
    </w:p>
    <w:p>
      <w:pPr>
        <w:pStyle w:val="DGTextstand-alone"/>
        <w:rPr>
          <w:u w:val="single"/>
        </w:rPr>
      </w:pPr>
      <w:r>
        <w:rPr>
          <w:u w:val="single"/>
        </w:rPr>
        <w:t>Irlanti</w:t>
      </w:r>
    </w:p>
    <w:p>
      <w:pPr>
        <w:pStyle w:val="DGTextstand-alone"/>
        <w:numPr>
          <w:ilvl w:val="0"/>
          <w:numId w:val="42"/>
        </w:numPr>
        <w:spacing w:after="120"/>
      </w:pPr>
      <w:r>
        <w:t>Irlanti pyysi joulukuussa 2010 ERVM:stä myönnetyn 22,5 miljardin euron kokonaismäärän maksamista. Määrä maksettiin kahdeksassa erässä tammikuun 2011 ja maaliskuun 2014 välisenä aikana;</w:t>
      </w:r>
    </w:p>
    <w:p>
      <w:pPr>
        <w:pStyle w:val="DGTextstand-alone"/>
        <w:numPr>
          <w:ilvl w:val="0"/>
          <w:numId w:val="42"/>
        </w:numPr>
        <w:spacing w:after="120"/>
      </w:pPr>
      <w:r>
        <w:t>Irlannilla on mahdollisuus pidentää ERVM-lainojen maksuaikaa lainojen keskimääräisen painotetun erääntymisajan pidentämisen perusteella 19,5 vuoteen, josta neuvosto päätti vuonna 2013;</w:t>
      </w:r>
    </w:p>
    <w:p>
      <w:pPr>
        <w:pStyle w:val="DGTextstand-alone"/>
        <w:numPr>
          <w:ilvl w:val="0"/>
          <w:numId w:val="42"/>
        </w:numPr>
        <w:spacing w:after="120"/>
      </w:pPr>
      <w:r>
        <w:t>Irlannin oli määrä maksaa takaisin 3,4 miljardia euroa huhtikuussa 2018 ja 0,5 miljardia euroa lokakuussa 2018. Irlanti pyysi maksuajan pidennystä, ja tarvittavat määrät myönnettiin ja rahoitettiin ottamalla lainaa markkinoilta vuonna 2018. Uudet määrät erääntyvät kahdessa erässä (2,4 miljardia euroa vuonna 2025 ja 1,5 miljardia euroa vuonna 2033).</w:t>
      </w:r>
    </w:p>
    <w:p>
      <w:pPr>
        <w:pStyle w:val="DGTextstand-alone"/>
        <w:rPr>
          <w:u w:val="single"/>
        </w:rPr>
      </w:pPr>
      <w:r>
        <w:rPr>
          <w:u w:val="single"/>
        </w:rPr>
        <w:t>Portugali</w:t>
      </w:r>
    </w:p>
    <w:p>
      <w:pPr>
        <w:pStyle w:val="DGTextstand-alone"/>
        <w:numPr>
          <w:ilvl w:val="0"/>
          <w:numId w:val="43"/>
        </w:numPr>
        <w:spacing w:before="480"/>
      </w:pPr>
      <w:r>
        <w:t>Portugali on pyytänyt 24,3 miljardia ERVM:stä toukokuussa 2011 myönnetystä yhteensä 26 miljardista eurosta. Määrä maksettiin seitsemässä erässä toukokuun 2011 ja marraskuun 2014 välisenä aikana. Portugalin oli määrä maksaa takaisin 0,6 miljardia euroa lokakuussa 2018, mutta Portugali pyysi Irlannin tapaan maksuajan pidennystä ja laina rahoitettiin uudelleen markkinoilta siten, että uusi erääntymispäivä on vuonna 2033.</w:t>
      </w:r>
    </w:p>
    <w:p>
      <w:pPr>
        <w:rPr>
          <w:rFonts w:ascii="Verdana" w:eastAsia="Calibri" w:hAnsi="Verdana"/>
          <w:i/>
          <w:noProof/>
          <w:sz w:val="18"/>
          <w:szCs w:val="18"/>
          <w:bdr w:val="nil"/>
        </w:rPr>
      </w:pPr>
      <w:r>
        <w:rPr>
          <w:i/>
          <w:noProof/>
        </w:rPr>
        <w:br w:type="page"/>
      </w:r>
    </w:p>
    <w:p>
      <w:pPr>
        <w:pStyle w:val="DGTextstand-alone"/>
        <w:rPr>
          <w:i/>
        </w:rPr>
      </w:pPr>
      <w:r>
        <w:rPr>
          <w:i/>
        </w:rPr>
        <w:t>Maksutaselainat</w:t>
      </w:r>
    </w:p>
    <w:p>
      <w:pPr>
        <w:pStyle w:val="DGTextstand-alone"/>
      </w:pPr>
      <w:r>
        <w:t>Maksutaselainojen rahoitusapuohjelma on suunnattu maksutaseensa osalta vaikeuksissa oleville tai vaikeuksien uhasta kärsiville euroalueen ulkopuolisille maille. Maksutaselainojen rahoitusapu toteutetaan keskipitkän ajan lainoina, joiden ehtona on ongelmien taustalla olevien taloudellisten ongelmien ratkaisemiseen suunniteltujen toimien toteuttaminen. EU:n maksutaseapua tarjotaan tavallisesti yhteistyössä IMF:n ja muiden kansainvälisten laitosten tai valtioiden kanssa.</w:t>
      </w:r>
    </w:p>
    <w:p>
      <w:pPr>
        <w:pStyle w:val="DGTextstand-alone"/>
      </w:pPr>
      <w:r>
        <w:t xml:space="preserve">EU:n keskipitkän aikavälin rahoitustukea koskeva järjestely (maksutasejärjestely) otettiin uudelleen käyttöön marraskuussa 2008 Unkarin tukemiseksi ja sen jälkeen vuoden 2009 tammi- ja toukokuussa Latvian ja Romanian markkinoiden luottamuksen palauttamiseksi. Määrärahoja sidottiin yhteensä 14,6 miljardia euroa. Unkarille myönnettyjen maksutaselainojen rahoitusapuohjelma päättyi 2010, ja lainat on maksettu takaisin kokonaisuudessaan vuonna 2016. Latvian ja Romanian rahoitusapuohjelmat puolestaan päättyivät vuonna 2012, minkä vuoksi lisäeriä ei voida nostaa. </w:t>
      </w:r>
    </w:p>
    <w:p>
      <w:pPr>
        <w:pStyle w:val="DGTextstand-alone"/>
      </w:pPr>
      <w:r>
        <w:t>Lisäksi Romanialle myönnetyt kaksi ennalta varautuvan rahoitusavun ohjelmaa päättyivät vuosina 2013 ja 2015. Romania ei nostanut näitä lainoja ohjelmien voimassaoloaikana.</w:t>
      </w:r>
    </w:p>
    <w:p>
      <w:pPr>
        <w:pStyle w:val="DGTextstand-alone"/>
      </w:pPr>
      <w:r>
        <w:t>Tärkeimmät kohdat ovat seuraavat:</w:t>
      </w:r>
    </w:p>
    <w:p>
      <w:pPr>
        <w:pStyle w:val="DGTextstand-alone"/>
        <w:numPr>
          <w:ilvl w:val="0"/>
          <w:numId w:val="43"/>
        </w:numPr>
      </w:pPr>
      <w:r>
        <w:t>Maksutaselainojen edunsaajamaat ovat vuoden 2018 aikana maksaneet ajallaan ja kokonaisuudessaan takaisin 1,45 miljardia euroa, josta 1,35 miljardia euroa liittyi Romanian maksamaan pääoman lyhennykseen. Loput määrästä oli korkoja;</w:t>
      </w:r>
    </w:p>
    <w:p>
      <w:pPr>
        <w:pStyle w:val="DGTextstand-alone"/>
        <w:numPr>
          <w:ilvl w:val="0"/>
          <w:numId w:val="43"/>
        </w:numPr>
      </w:pPr>
      <w:r>
        <w:t>vuoden 2018 lopussa maksamatta oleva määrä on yhteensä 1,7 miljardia euroa. Tästä 0,7 miljardia koskee Latviaa ja 1 miljardi euroa Romaniaa.</w:t>
      </w:r>
    </w:p>
    <w:p>
      <w:pPr>
        <w:pStyle w:val="DGTextstand-alone"/>
        <w:rPr>
          <w:i/>
        </w:rPr>
      </w:pPr>
      <w:r>
        <w:rPr>
          <w:i/>
        </w:rPr>
        <w:t>Makrotaloudellinen rahoitusapu</w:t>
      </w:r>
    </w:p>
    <w:p>
      <w:pPr>
        <w:pStyle w:val="DGTextstand-alone"/>
      </w:pPr>
      <w:r>
        <w:t>Makrotaloudellinen rahoitusapu on EU:n rahoitusväline, josta myönnetään maksutasetukea EU:n ulkopuolisille kumppanimaille, joilla on maksutasetta koskeva kriisi. Makrotaloudellinen rahoitusapu muodostuu keskipitkän/pitkän aikavälin lainoista tai avustuksista tai tällaisten lainojen ja avustusten yhdistelmästä, ja sitä voivat saada vain IMF:n ohjelman piirissä olevat maat.</w:t>
      </w:r>
    </w:p>
    <w:p>
      <w:pPr>
        <w:pStyle w:val="DGTextstand-alone"/>
      </w:pPr>
      <w:r>
        <w:t xml:space="preserve">Joulukuun 31. päivään 2018 makrotaloudellisen rahoitusavun ohjelmasta mennessä myönnettyjen lainojen nimellisarvo oli 4,4 miljardia euroa. </w:t>
      </w:r>
    </w:p>
    <w:p>
      <w:pPr>
        <w:pStyle w:val="DGTextstand-alone"/>
      </w:pPr>
    </w:p>
    <w:p>
      <w:pPr>
        <w:rPr>
          <w:rFonts w:ascii="Verdana" w:hAnsi="Verdana"/>
          <w:b/>
          <w:noProof/>
          <w:color w:val="016794"/>
          <w:sz w:val="28"/>
          <w:szCs w:val="30"/>
        </w:rPr>
      </w:pPr>
      <w:bookmarkStart w:id="247" w:name="_Toc11225933"/>
      <w:bookmarkStart w:id="248" w:name="_Toc11939477"/>
      <w:bookmarkStart w:id="249" w:name="_Toc17886367"/>
      <w:r>
        <w:rPr>
          <w:noProof/>
        </w:rPr>
        <w:br w:type="page"/>
      </w:r>
    </w:p>
    <w:p>
      <w:pPr>
        <w:pStyle w:val="HEADER2Part4"/>
      </w:pPr>
      <w:r>
        <w:t>VELAT</w:t>
      </w:r>
      <w:bookmarkEnd w:id="246"/>
      <w:bookmarkEnd w:id="247"/>
      <w:bookmarkEnd w:id="248"/>
      <w:bookmarkEnd w:id="249"/>
    </w:p>
    <w:p>
      <w:pPr>
        <w:pStyle w:val="DGTextstand-alone"/>
      </w:pPr>
      <w:r>
        <w:t>Taseen vastattavaa-puoli koostuu pääasiassa neljästä erästä: i) eläkkeisiin ja muihin työsuhde-etuuksiin liittyvät velat, ii) lainat, iii) muut lyhytaikaiset velat kolmansille ja iv) menojäämät.</w:t>
      </w:r>
    </w:p>
    <w:p>
      <w:pPr>
        <w:pStyle w:val="HEADER5"/>
        <w:rPr>
          <w:b/>
          <w:noProof/>
        </w:rPr>
      </w:pPr>
      <w:r>
        <w:rPr>
          <w:noProof/>
        </w:rPr>
        <w:t>EU:n konsolidoidussa taseessa olevien velkojen koostumus</w:t>
      </w:r>
    </w:p>
    <w:p>
      <w:pPr>
        <w:pStyle w:val="HEADER5"/>
        <w:jc w:val="center"/>
        <w:rPr>
          <w:noProof/>
        </w:rPr>
      </w:pPr>
      <w:r>
        <w:rPr>
          <w:noProof/>
          <w:lang w:val="en-GB" w:eastAsia="en-GB" w:bidi="ar-SA"/>
        </w:rPr>
        <w:drawing>
          <wp:inline distT="0" distB="0" distL="0" distR="0">
            <wp:extent cx="5229454" cy="380047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5232674" cy="3802815"/>
                    </a:xfrm>
                    <a:prstGeom prst="rect">
                      <a:avLst/>
                    </a:prstGeom>
                    <a:noFill/>
                    <a:ln>
                      <a:noFill/>
                    </a:ln>
                  </pic:spPr>
                </pic:pic>
              </a:graphicData>
            </a:graphic>
          </wp:inline>
        </w:drawing>
      </w:r>
    </w:p>
    <w:p>
      <w:pPr>
        <w:pStyle w:val="DGTextstand-alone"/>
        <w:spacing w:before="120" w:after="120"/>
      </w:pPr>
      <w:r>
        <w:t xml:space="preserve">Velat olivat 31. joulukuuta 2018 yhteensä 235,9 miljardia euroa, eli ne pysyivät samalla tasolla kuin edellisenä vuonna. </w:t>
      </w:r>
    </w:p>
    <w:p>
      <w:pPr>
        <w:pStyle w:val="DGTextstand-alone"/>
        <w:spacing w:before="120" w:after="120"/>
      </w:pPr>
      <w:r>
        <w:t>Keskeiset muutokset liittyivät seuraaviin:</w:t>
      </w:r>
    </w:p>
    <w:p>
      <w:pPr>
        <w:pStyle w:val="DGTextstand-alone"/>
        <w:numPr>
          <w:ilvl w:val="0"/>
          <w:numId w:val="44"/>
        </w:numPr>
      </w:pPr>
      <w:r>
        <w:t xml:space="preserve">Lyhytaikaiset velat vähenivät 6,8 miljardia euroa, koska omiin varoihin liittyvät jäsenvaltioille maksettavat määrät (eli EU:n talousarvioon suoritetut rahoitusosuudet, jotka palautetaan jäsenvaltioille vuoden lopussa lisätalousarvion mukaisesti) pienenivät. Jäsenvaltiot maksoivat vuonna 2018 ylimääräisiä rahoitusosuuksia. </w:t>
      </w:r>
    </w:p>
    <w:p>
      <w:pPr>
        <w:pStyle w:val="DGTextstand-alone"/>
        <w:numPr>
          <w:ilvl w:val="0"/>
          <w:numId w:val="44"/>
        </w:numPr>
      </w:pPr>
      <w:r>
        <w:t xml:space="preserve">Rahoitusvelat vähenivät hieman (1 miljardi euroa) pääasiassa sen vuoksi, että Romanialle maksutasejärjestelyn puitteissa myönnetyn lainan rahoittamiseksi otetut lainat (1,35 miljardia euroa) maksettiin takaisin. </w:t>
      </w:r>
    </w:p>
    <w:p>
      <w:pPr>
        <w:pStyle w:val="DGTextstand-alone"/>
        <w:numPr>
          <w:ilvl w:val="0"/>
          <w:numId w:val="44"/>
        </w:numPr>
        <w:spacing w:before="120" w:after="120"/>
      </w:pPr>
      <w:r>
        <w:t>Edellä mainittuja vähennyksiä supisti kuitenkin 7,3 miljardin euron lisäys työsuhde-etuuksiin liittyvissä veloissa.</w:t>
      </w:r>
    </w:p>
    <w:p>
      <w:pPr>
        <w:pStyle w:val="DGTextstand-alone"/>
        <w:spacing w:before="120" w:after="120"/>
        <w:ind w:left="720"/>
      </w:pPr>
    </w:p>
    <w:p>
      <w:pPr>
        <w:pStyle w:val="DGTextstand-alone"/>
        <w:spacing w:before="120" w:after="120"/>
      </w:pPr>
      <w:r>
        <w:t>Muut vastattavaa-puolen kohdat pysyivät yleisesti vakaina. Pitkäaikaiset rahoitusvelat (ottolainaus) lisääntyivät, kun taas lyhytaikaiset rahoitusvelat vähenivät pitkäaikaisten rahoitusvelkojen lisäystä vastaavalla määrällä. Tämä liittyy ERVM-velan uudelleenjärjestelyyn Irlannin (3,9 miljardia euroa) ja Portugalin (0,6 miljardia euroa) osalta.</w:t>
      </w:r>
    </w:p>
    <w:p>
      <w:pPr>
        <w:rPr>
          <w:rFonts w:ascii="Verdana" w:eastAsia="Calibri" w:hAnsi="Verdana"/>
          <w:noProof/>
          <w:color w:val="016794"/>
          <w:sz w:val="18"/>
          <w:szCs w:val="18"/>
          <w:bdr w:val="nil"/>
        </w:rPr>
      </w:pPr>
      <w:r>
        <w:rPr>
          <w:noProof/>
          <w:color w:val="016794"/>
        </w:rPr>
        <w:br w:type="page"/>
      </w:r>
    </w:p>
    <w:p>
      <w:pPr>
        <w:pStyle w:val="DGTextstand-alone"/>
        <w:rPr>
          <w:color w:val="016794"/>
        </w:rPr>
      </w:pPr>
      <w:r>
        <w:rPr>
          <w:color w:val="016794"/>
        </w:rPr>
        <w:t>Saadut ja taseessa muiksi lyhytaikaisiksi veloiksi kirjatut maksupyynnöt ja laskut yhteensä</w:t>
      </w:r>
    </w:p>
    <w:p>
      <w:pPr>
        <w:pStyle w:val="HEADER5"/>
        <w:jc w:val="center"/>
        <w:rPr>
          <w:noProof/>
        </w:rPr>
      </w:pPr>
      <w:r>
        <w:rPr>
          <w:noProof/>
          <w:lang w:val="en-GB" w:eastAsia="en-GB" w:bidi="ar-SA"/>
        </w:rPr>
        <w:drawing>
          <wp:inline distT="0" distB="0" distL="0" distR="0">
            <wp:extent cx="4572000" cy="27336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4572000" cy="2733675"/>
                    </a:xfrm>
                    <a:prstGeom prst="rect">
                      <a:avLst/>
                    </a:prstGeom>
                    <a:noFill/>
                    <a:ln>
                      <a:noFill/>
                    </a:ln>
                  </pic:spPr>
                </pic:pic>
              </a:graphicData>
            </a:graphic>
          </wp:inline>
        </w:drawing>
      </w:r>
    </w:p>
    <w:p>
      <w:pPr>
        <w:pStyle w:val="DGTextstand-alone"/>
        <w:rPr>
          <w:color w:val="016794"/>
        </w:rPr>
      </w:pPr>
      <w:r>
        <w:rPr>
          <w:color w:val="016794"/>
        </w:rPr>
        <w:t>Nettovarat</w:t>
      </w:r>
    </w:p>
    <w:p>
      <w:pPr>
        <w:pStyle w:val="DGTextstand-alone"/>
      </w:pPr>
      <w:bookmarkStart w:id="250" w:name="_Toc424652044"/>
      <w:r>
        <w:t>Vaikka velkoja on enemmän kuin varoja, EU:n toimielimet ja elimet eivät ole taloudellisissa vaikeuksissa, vaan tietyt velat maksetaan tulevista vuotuisista talousarvioista. Monet menot kirjataan suoriteperusteen mukaisesti kuluvana vuonna, vaikka niitä vastaavat maksut suoritetaan vasta seuraavan vuoden tai sen jälkeisten vuosien talousarvioista. Niihin liittyvät tulot kirjataan vasta tulevina vuosina. Suurimmat tällaiset määrät liittyvät maataloustukirahaston toimintaan (näistä määristä suurin osa maksetaan yleensä seuraavan vuoden ensimmäisellä neljänneksellä) ja työsuhde-etuuksiin (maksetaan seuraavien yli 30 vuoden aikana).</w:t>
      </w:r>
    </w:p>
    <w:bookmarkEnd w:id="250"/>
    <w:p>
      <w:pPr>
        <w:pStyle w:val="DGTextstand-alone"/>
      </w:pPr>
    </w:p>
    <w:p>
      <w:pPr>
        <w:pStyle w:val="HEADER1Part4"/>
        <w:rPr>
          <w:noProof/>
        </w:rPr>
      </w:pPr>
      <w:bookmarkStart w:id="251" w:name="_Toc11225934"/>
      <w:bookmarkStart w:id="252" w:name="_Toc11939478"/>
      <w:bookmarkStart w:id="253" w:name="_Toc17886368"/>
      <w:r>
        <w:rPr>
          <w:noProof/>
        </w:rPr>
        <w:t>RISKIEN JA EPÄVARMUUSTEKIJÖIDEN HALLINTA EU:N TALOUSARVIOTA TOTEUTETTAESSA</w:t>
      </w:r>
      <w:bookmarkEnd w:id="251"/>
      <w:bookmarkEnd w:id="252"/>
      <w:bookmarkEnd w:id="253"/>
    </w:p>
    <w:p>
      <w:pPr>
        <w:pStyle w:val="HEADER2Part4"/>
      </w:pPr>
      <w:bookmarkStart w:id="254" w:name="_Toc491880238"/>
      <w:bookmarkStart w:id="255" w:name="_Toc11225935"/>
      <w:bookmarkStart w:id="256" w:name="_Toc11939479"/>
      <w:bookmarkStart w:id="257" w:name="_Toc17886369"/>
      <w:r>
        <w:t>MAKROTALOUDELLINEN YMPÄRISTÖ</w:t>
      </w:r>
      <w:bookmarkEnd w:id="254"/>
      <w:bookmarkEnd w:id="255"/>
      <w:bookmarkEnd w:id="256"/>
      <w:bookmarkEnd w:id="257"/>
    </w:p>
    <w:p>
      <w:pPr>
        <w:pStyle w:val="DGTextstand-alone"/>
      </w:pPr>
      <w:r>
        <w:t>Unionin makrotaloudellinen ympäristö</w:t>
      </w:r>
      <w:r>
        <w:rPr>
          <w:rStyle w:val="FootnoteReference"/>
        </w:rPr>
        <w:footnoteReference w:id="13"/>
      </w:r>
      <w:r>
        <w:t xml:space="preserve"> vaikuttaa EU:n jäsenvaltioiden kykyyn täyttää rahoitusvelvoitteensa EU:n toimielimiä ja elimiä kohtaan ja siten myös EU:n kykyyn jatkaa EU:n toimintapolitiikan täytäntöönpanoa.</w:t>
      </w:r>
    </w:p>
    <w:p>
      <w:pPr>
        <w:pStyle w:val="DGTextstand-alone"/>
      </w:pPr>
      <w:r>
        <w:t xml:space="preserve">Euroopan talous kasvoi kuudetta vuotta peräkkäin vuonna 2018. Kasvuaste oli kuitenkin odotettua alhaisempi varsinkin vuoden toisella puoliskolla. Tähän vaikuttivat sekä sisäiset että ulkoiset tekijät. Sisäisiä tekijöitä olivat muun muassa eurooppalaisen teollisuustuotannon (erityisesti autoteollisuuden) häiriöt vuoden kolmannella neljänneksellä sekä sosiaaliset jännitteet ja finanssipoliittinen epävarmuus joissakin jäsenvaltioissa. Tärkeimpiä ulkoisia tekijöitä olivat kauppapolitiikkaan liittyvän epävarmuuden kasvu erityisesti Yhdysvaltojen ja Kiinan välisessä kauppapolitiikassa sekä maailmanlaajuisen teollisuustuotannon laskusuuntaus, jonka vuoksi maailmankaupan kasvu heikkeni. Tämä vaikutti erityisesti euroalueeseen. </w:t>
      </w:r>
    </w:p>
    <w:p>
      <w:pPr>
        <w:pStyle w:val="DGTextstand-alone"/>
      </w:pPr>
      <w:r>
        <w:t>Tästä kehityksestä huolimatta EU:n talouden perustekijät ovat pysyneet vahvoina, ja kahden seuraavan vuoden aikana talouden odotetaan edelleen kasvavan, joskin hieman aiempaa hitaammin.</w:t>
      </w:r>
    </w:p>
    <w:p>
      <w:pPr>
        <w:pStyle w:val="DGTextstand-alone"/>
      </w:pPr>
      <w:r>
        <w:t>Euroalueen ja EU:n BKT:n arvioidaan kasvaneen 1,9 prosenttia vuonna 2018. Euroalueen BKT:n ennustetaan kasvavan 1,3 prosenttia vuonna 2019 ja 1,6 prosenttia vuonna 2020. Vastaavasti EU:n BKT:n ennustetaan kasvavan 1,5 prosenttia vuonna 2019 ja 1,7 prosenttia vuonna 2020.</w:t>
      </w:r>
    </w:p>
    <w:p>
      <w:pPr>
        <w:pStyle w:val="DGTextstand-alone"/>
      </w:pPr>
      <w:r>
        <w:t>Kokonaisinflaatio oli vuonna 2018 keskimäärin 1,7 prosenttia, kun se vuonna 2017 oli 1,5 prosenttia. Öljyn hintaa koskevat oletukset vuodelle 2019 ja vuodelle 2020 ovat nyt alhaisemmat kuin syksyllä 2018, ja euroalueen inflaation ennustetaan hidastuvan 1,4 prosenttiin vuonna 2019 ja sen jälkeen hieman kiihtyvän 1,5 prosenttiin vuonna 2020. Koko EU:ssa inflaation ennustetaan olevan tänä vuonna keskimäärin 1,6 prosenttia ja sen jälkeen kiihtyvän 1,8 prosenttiin vuonna 2020.</w:t>
      </w:r>
    </w:p>
    <w:p>
      <w:pPr>
        <w:pStyle w:val="DGTextstand-alone"/>
      </w:pPr>
      <w:r>
        <w:t>Euroalueen työmarkkinatilanne parani edelleen vuoden 2018 kolmella ensimmäisellä neljänneksellä. Työssäkäyvien määrä nousi korkeimmalle koskaan mitatulle tasolle euroalueella vuoden 2018 kolmannella neljänneksellä. Joulukuussa 2018 euroalueen työttömyysaste oli 7,9 prosenttia, eli se oli pienimmillään lokakuun 2008 jälkeen.</w:t>
      </w:r>
    </w:p>
    <w:p>
      <w:pPr>
        <w:pStyle w:val="DGTextstand-alone"/>
      </w:pPr>
      <w:r>
        <w:t>Talousnäkymiin liittyvät riskit ovat edelleen merkittäviä, koska kaupan jännitteet ja niiden epävarma kehitys aiheuttavat yhä huolta. Yhdysvalloissa voi tapahtua äkillisiä finanssipolitiikan muutoksia. Kiinan talous saattaa hidastua odotettua jyrkemmin. Maailmanlaajuiset rahoitusmarkkinat ja monet kehittyvien talouksien markkinat ovat haavoittuvia riskinottohalun ja kasvuodotusten äkillisille muutoksille. EU:ssa sisäiset tekijät saattavat olla odotettua pitkäkestoisempia ja brexit aiheuttaa edelleen epävarmuutta.</w:t>
      </w:r>
    </w:p>
    <w:p>
      <w:pPr>
        <w:pStyle w:val="DGTextstand-alone"/>
        <w:spacing w:after="480"/>
      </w:pPr>
      <w:r>
        <w:t>Myönteistä on kuitenkin se, että edelleen suotuisat työmarkkinaolosuhteet saattavat lisätä kotimaista kysyntää ja EU:n rahoituksen laajempi käyttö vastaanottajamaissa voi saada aikaan lisäinvestointeja. Maailman BKT:n näkymät pysyvät vakaina, ja sen odotetaan kasvavan 3,8 prosenttia kahden seuraavan vuoden aikana.</w:t>
      </w:r>
    </w:p>
    <w:p>
      <w:pPr>
        <w:pStyle w:val="HEADER2Part4"/>
        <w:tabs>
          <w:tab w:val="clear" w:pos="907"/>
        </w:tabs>
        <w:ind w:left="851" w:hanging="851"/>
      </w:pPr>
      <w:bookmarkStart w:id="258" w:name="_Toc491880239"/>
      <w:bookmarkStart w:id="259" w:name="_Toc11225936"/>
      <w:bookmarkStart w:id="260" w:name="_Toc11939480"/>
      <w:bookmarkStart w:id="261" w:name="_Toc17886370"/>
      <w:r>
        <w:t>TALOUSARVIOON KOHDISTUVAT RAHOITUSAPUUN LIITTYVÄT EHDOLLISET VELAT</w:t>
      </w:r>
      <w:bookmarkEnd w:id="258"/>
      <w:bookmarkEnd w:id="259"/>
      <w:bookmarkEnd w:id="260"/>
      <w:bookmarkEnd w:id="261"/>
    </w:p>
    <w:p>
      <w:pPr>
        <w:pStyle w:val="DGTextstand-alone"/>
      </w:pPr>
      <w:r>
        <w:t>Rahoitusapuohjelmiin liittyvä EU:n otto- ja antolainaus toteutetaan talousarvion ulkopuolella. Hankitut varat lainataan edelleen lainansaajavaltiolle samoin ehdoin kuin ne on hankittu, ts. otetun ja myönnetyn lainan kuponkikorko, erääntymisaika ja määrä ovat samat. Edellä mainitusta järjestelystä huolimatta rahoitusvälineiden velanhoidosta vastaa kuitenkin EU, millä varmistetaan, että kaikki maksut suoritetaan täysimääräisesti ja ajoissa. Komissio on ottanut käyttöön menettelyt sen varmistamiseksi, että otetut lainat maksetaan takaisin myös lainansaajan ollessa maksukyvytön.</w:t>
      </w:r>
    </w:p>
    <w:p>
      <w:pPr>
        <w:pStyle w:val="DGTextstand-alone"/>
      </w:pPr>
      <w:r>
        <w:t>Otetut lainat ovat EU:n suoria ja ehdottomia velvoitteita, joiden takaajina ovat EU:n jäsenvaltiot (talousarvioon kohdistuvat ehdolliset velat). EU:n ulkopuolisille maille myönnettyjen lainojen rahoittamiseksi otetut lainat katetaan ulkosuhteisiin liittyviä hankkeita varten tarkoitetusta takuurahastosta. Jos lainan saanut jäsenvaltio laiminlyö takaisinmaksun, velanmaksua varten tarvittavat varat otetaan mahdollisuuksien mukaan komission kassavaroista. Jos tämä ei ole mahdollista, komissio hankkii tarvittavat varat jäsenvaltioilta. EU:n jäsenvaltioilla on EU:n omia varoja koskevan lainsäädännön mukaan (asetuksen (EU, Euratom) N:o 609/2014 14 artikla) velvollisuus asettaa EU:n käyttöön riittävästi varoja sen velvoitteiden kattamiseksi. Tämän vuoksi sijoittajiin ei kohdistu rahoitettujen lainojen saajavaltioon liittyvää luottoriskiä vaan ainoastaan EU:hun liittyvä luottoriski. Samoin ehdoin toteutettavalla lainanannolla varmistetaan, ettei EU:n talousarvioon kohdistu korko- eikä valuuttariskiä.</w:t>
      </w:r>
    </w:p>
    <w:p>
      <w:pPr>
        <w:pStyle w:val="DGTextstand-alone"/>
      </w:pPr>
      <w:r>
        <w:t>Lainapaketin kokonaismäärä, nostoerien määrä ja (keskimääräinen) enimmäismaturiteetti määritetään kunkin maaohjelman osalta Euroopan parlamentin, neuvoston ja komission päätöksissä. Komissio ja lainansaajavaltio sopivat tämän jälkeen laina- ja rahoitusjärjestelyistä, etenkin lainaerien takaisinmaksun eräpäivistä. Lisäksi kaikkien muiden paitsi ensimmäisen lainaerän maksaminen riippuu EU:n ja IMF:n yhteisen rahoitusavun tapauksessa sovittujen poliittisten ehtojen täyttämisestä. Tämä vaikuttaa osaltaan rahoitustoimien aikatauluun. Tämä merkitsee sitä, että liikkeeseenlaskun aikataulu ja instrumenttien erääntymisajat riippuvat vastaavasta EU:n lainanannosta. Rahoitus on aina euromääräistä, ja erääntymisajat ovat 3–30 vuotta.</w:t>
      </w:r>
    </w:p>
    <w:p>
      <w:pPr>
        <w:rPr>
          <w:rFonts w:ascii="Verdana" w:eastAsia="Calibri" w:hAnsi="Verdana"/>
          <w:noProof/>
          <w:sz w:val="18"/>
          <w:szCs w:val="18"/>
          <w:bdr w:val="nil"/>
        </w:rPr>
      </w:pPr>
      <w:r>
        <w:rPr>
          <w:noProof/>
        </w:rPr>
        <w:br w:type="page"/>
      </w:r>
    </w:p>
    <w:p>
      <w:pPr>
        <w:pStyle w:val="DGTextstand-alone"/>
      </w:pPr>
      <w:r>
        <w:t>Seuraavassa taulukossa esitetään suunniteltu nimellismääräinen takaisinmaksuaikataulu maksamatta oleville ERVM- ja maksutaselainoille 31. joulukuuta 2018:</w:t>
      </w:r>
    </w:p>
    <w:tbl>
      <w:tblPr>
        <w:tblW w:w="5000" w:type="pct"/>
        <w:tblLook w:val="04A0" w:firstRow="1" w:lastRow="0" w:firstColumn="1" w:lastColumn="0" w:noHBand="0" w:noVBand="1"/>
      </w:tblPr>
      <w:tblGrid>
        <w:gridCol w:w="1154"/>
        <w:gridCol w:w="1185"/>
        <w:gridCol w:w="1185"/>
        <w:gridCol w:w="1187"/>
        <w:gridCol w:w="1185"/>
        <w:gridCol w:w="1185"/>
        <w:gridCol w:w="1188"/>
        <w:gridCol w:w="1586"/>
      </w:tblGrid>
      <w:tr>
        <w:trPr>
          <w:trHeight w:val="300"/>
        </w:trPr>
        <w:tc>
          <w:tcPr>
            <w:tcW w:w="464" w:type="pct"/>
            <w:tcBorders>
              <w:top w:val="nil"/>
              <w:left w:val="nil"/>
              <w:bottom w:val="nil"/>
              <w:right w:val="nil"/>
            </w:tcBorders>
            <w:shd w:val="clear" w:color="auto" w:fill="auto"/>
            <w:noWrap/>
            <w:vAlign w:val="bottom"/>
            <w:hideMark/>
          </w:tcPr>
          <w:p>
            <w:pPr>
              <w:rPr>
                <w:rFonts w:ascii="Calibri" w:hAnsi="Calibri"/>
                <w:noProof/>
                <w:color w:val="000000"/>
                <w:sz w:val="22"/>
                <w:szCs w:val="22"/>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sz w:val="22"/>
                <w:szCs w:val="22"/>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sz w:val="22"/>
                <w:szCs w:val="22"/>
              </w:rPr>
            </w:pPr>
          </w:p>
        </w:tc>
        <w:tc>
          <w:tcPr>
            <w:tcW w:w="646" w:type="pct"/>
            <w:tcBorders>
              <w:top w:val="nil"/>
              <w:left w:val="nil"/>
              <w:bottom w:val="nil"/>
              <w:right w:val="nil"/>
            </w:tcBorders>
            <w:shd w:val="clear" w:color="auto" w:fill="auto"/>
            <w:noWrap/>
            <w:vAlign w:val="bottom"/>
            <w:hideMark/>
          </w:tcPr>
          <w:p>
            <w:pPr>
              <w:jc w:val="right"/>
              <w:rPr>
                <w:rFonts w:ascii="Calibri" w:hAnsi="Calibri"/>
                <w:noProof/>
                <w:color w:val="000000"/>
                <w:sz w:val="22"/>
                <w:szCs w:val="22"/>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sz w:val="22"/>
                <w:szCs w:val="22"/>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sz w:val="22"/>
                <w:szCs w:val="22"/>
              </w:rPr>
            </w:pPr>
          </w:p>
        </w:tc>
        <w:tc>
          <w:tcPr>
            <w:tcW w:w="646" w:type="pct"/>
            <w:tcBorders>
              <w:top w:val="nil"/>
              <w:left w:val="nil"/>
              <w:bottom w:val="nil"/>
              <w:right w:val="nil"/>
            </w:tcBorders>
            <w:shd w:val="clear" w:color="auto" w:fill="auto"/>
            <w:noWrap/>
            <w:vAlign w:val="bottom"/>
            <w:hideMark/>
          </w:tcPr>
          <w:p>
            <w:pPr>
              <w:jc w:val="right"/>
              <w:rPr>
                <w:rFonts w:ascii="Calibri" w:hAnsi="Calibri"/>
                <w:noProof/>
                <w:color w:val="000000"/>
                <w:sz w:val="22"/>
                <w:szCs w:val="22"/>
              </w:rPr>
            </w:pPr>
          </w:p>
        </w:tc>
        <w:tc>
          <w:tcPr>
            <w:tcW w:w="665" w:type="pct"/>
            <w:tcBorders>
              <w:top w:val="nil"/>
              <w:left w:val="nil"/>
              <w:bottom w:val="nil"/>
              <w:right w:val="nil"/>
            </w:tcBorders>
            <w:shd w:val="clear" w:color="auto" w:fill="auto"/>
            <w:noWrap/>
            <w:vAlign w:val="bottom"/>
            <w:hideMark/>
          </w:tcPr>
          <w:p>
            <w:pPr>
              <w:jc w:val="right"/>
              <w:rPr>
                <w:rFonts w:ascii="Verdana" w:hAnsi="Verdana"/>
                <w:i/>
                <w:iCs/>
                <w:noProof/>
                <w:color w:val="000000"/>
                <w:sz w:val="18"/>
                <w:szCs w:val="18"/>
              </w:rPr>
            </w:pPr>
            <w:r>
              <w:rPr>
                <w:rFonts w:ascii="Verdana" w:hAnsi="Verdana"/>
                <w:i/>
                <w:noProof/>
                <w:color w:val="000000"/>
                <w:sz w:val="18"/>
              </w:rPr>
              <w:t>miljardia euroa</w:t>
            </w:r>
          </w:p>
        </w:tc>
      </w:tr>
      <w:tr>
        <w:trPr>
          <w:trHeight w:val="375"/>
        </w:trPr>
        <w:tc>
          <w:tcPr>
            <w:tcW w:w="464" w:type="pct"/>
            <w:tcBorders>
              <w:top w:val="nil"/>
              <w:left w:val="nil"/>
              <w:bottom w:val="nil"/>
              <w:right w:val="nil"/>
            </w:tcBorders>
            <w:shd w:val="clear" w:color="auto" w:fill="auto"/>
            <w:noWrap/>
            <w:vAlign w:val="bottom"/>
            <w:hideMark/>
          </w:tcPr>
          <w:p>
            <w:pPr>
              <w:rPr>
                <w:rFonts w:ascii="Calibri" w:hAnsi="Calibri"/>
                <w:noProof/>
                <w:color w:val="000000"/>
                <w:sz w:val="22"/>
                <w:szCs w:val="22"/>
              </w:rPr>
            </w:pPr>
          </w:p>
        </w:tc>
        <w:tc>
          <w:tcPr>
            <w:tcW w:w="1936" w:type="pct"/>
            <w:gridSpan w:val="3"/>
            <w:tcBorders>
              <w:top w:val="nil"/>
              <w:left w:val="nil"/>
              <w:bottom w:val="nil"/>
              <w:right w:val="nil"/>
            </w:tcBorders>
            <w:shd w:val="clear" w:color="000000" w:fill="4BACC6"/>
            <w:noWrap/>
            <w:vAlign w:val="bottom"/>
            <w:hideMark/>
          </w:tcPr>
          <w:p>
            <w:pPr>
              <w:jc w:val="center"/>
              <w:rPr>
                <w:rFonts w:ascii="Verdana" w:hAnsi="Verdana"/>
                <w:b/>
                <w:bCs/>
                <w:noProof/>
                <w:color w:val="FFFFFF"/>
                <w:sz w:val="20"/>
                <w:szCs w:val="28"/>
              </w:rPr>
            </w:pPr>
            <w:r>
              <w:rPr>
                <w:rFonts w:ascii="Verdana" w:hAnsi="Verdana"/>
                <w:b/>
                <w:noProof/>
                <w:color w:val="FFFFFF"/>
                <w:sz w:val="20"/>
              </w:rPr>
              <w:t>Maksutasetuki</w:t>
            </w:r>
          </w:p>
        </w:tc>
        <w:tc>
          <w:tcPr>
            <w:tcW w:w="1936" w:type="pct"/>
            <w:gridSpan w:val="3"/>
            <w:tcBorders>
              <w:top w:val="nil"/>
              <w:left w:val="nil"/>
              <w:bottom w:val="nil"/>
              <w:right w:val="nil"/>
            </w:tcBorders>
            <w:shd w:val="clear" w:color="000000" w:fill="92D050"/>
            <w:noWrap/>
            <w:vAlign w:val="bottom"/>
            <w:hideMark/>
          </w:tcPr>
          <w:p>
            <w:pPr>
              <w:jc w:val="center"/>
              <w:rPr>
                <w:rFonts w:ascii="Verdana" w:hAnsi="Verdana"/>
                <w:b/>
                <w:bCs/>
                <w:noProof/>
                <w:color w:val="FFFFFF"/>
                <w:sz w:val="20"/>
                <w:szCs w:val="28"/>
              </w:rPr>
            </w:pPr>
            <w:r>
              <w:rPr>
                <w:rFonts w:ascii="Verdana" w:hAnsi="Verdana"/>
                <w:b/>
                <w:noProof/>
                <w:color w:val="FFFFFF"/>
                <w:sz w:val="20"/>
              </w:rPr>
              <w:t>ERVM</w:t>
            </w:r>
          </w:p>
        </w:tc>
        <w:tc>
          <w:tcPr>
            <w:tcW w:w="665" w:type="pct"/>
            <w:vMerge w:val="restart"/>
            <w:tcBorders>
              <w:top w:val="nil"/>
              <w:left w:val="nil"/>
              <w:bottom w:val="single" w:sz="4" w:space="0" w:color="000000"/>
              <w:right w:val="nil"/>
            </w:tcBorders>
            <w:shd w:val="clear" w:color="000000" w:fill="DA9694"/>
            <w:noWrap/>
            <w:vAlign w:val="center"/>
            <w:hideMark/>
          </w:tcPr>
          <w:p>
            <w:pPr>
              <w:jc w:val="right"/>
              <w:rPr>
                <w:rFonts w:ascii="Verdana" w:hAnsi="Verdana"/>
                <w:b/>
                <w:bCs/>
                <w:noProof/>
                <w:color w:val="FFFFFF"/>
                <w:sz w:val="28"/>
                <w:szCs w:val="28"/>
              </w:rPr>
            </w:pPr>
            <w:r>
              <w:rPr>
                <w:rFonts w:ascii="Verdana" w:hAnsi="Verdana"/>
                <w:b/>
                <w:noProof/>
                <w:color w:val="FFFFFF"/>
                <w:sz w:val="20"/>
              </w:rPr>
              <w:t>YHTEENSÄ</w:t>
            </w:r>
          </w:p>
        </w:tc>
      </w:tr>
      <w:tr>
        <w:trPr>
          <w:trHeight w:val="375"/>
        </w:trPr>
        <w:tc>
          <w:tcPr>
            <w:tcW w:w="464" w:type="pct"/>
            <w:tcBorders>
              <w:top w:val="nil"/>
              <w:left w:val="nil"/>
              <w:bottom w:val="nil"/>
              <w:right w:val="nil"/>
            </w:tcBorders>
            <w:shd w:val="clear" w:color="auto" w:fill="auto"/>
            <w:noWrap/>
            <w:vAlign w:val="bottom"/>
            <w:hideMark/>
          </w:tcPr>
          <w:p>
            <w:pPr>
              <w:rPr>
                <w:rFonts w:ascii="Calibri" w:hAnsi="Calibri"/>
                <w:noProof/>
                <w:color w:val="000000"/>
                <w:sz w:val="22"/>
                <w:szCs w:val="22"/>
              </w:rPr>
            </w:pPr>
          </w:p>
        </w:tc>
        <w:tc>
          <w:tcPr>
            <w:tcW w:w="645" w:type="pct"/>
            <w:tcBorders>
              <w:top w:val="nil"/>
              <w:left w:val="nil"/>
              <w:bottom w:val="single" w:sz="4" w:space="0" w:color="auto"/>
              <w:right w:val="nil"/>
            </w:tcBorders>
            <w:shd w:val="clear" w:color="auto" w:fill="auto"/>
            <w:noWrap/>
            <w:vAlign w:val="bottom"/>
          </w:tcPr>
          <w:p>
            <w:pPr>
              <w:jc w:val="right"/>
              <w:rPr>
                <w:rFonts w:ascii="Verdana" w:hAnsi="Verdana"/>
                <w:b/>
                <w:bCs/>
                <w:noProof/>
                <w:color w:val="4BACC6"/>
                <w:sz w:val="18"/>
                <w:szCs w:val="28"/>
              </w:rPr>
            </w:pPr>
            <w:r>
              <w:rPr>
                <w:rFonts w:ascii="Verdana" w:hAnsi="Verdana"/>
                <w:b/>
                <w:noProof/>
                <w:color w:val="4BACC6"/>
                <w:sz w:val="18"/>
              </w:rPr>
              <w:t>Latvia</w:t>
            </w:r>
          </w:p>
        </w:tc>
        <w:tc>
          <w:tcPr>
            <w:tcW w:w="645" w:type="pct"/>
            <w:tcBorders>
              <w:top w:val="nil"/>
              <w:left w:val="nil"/>
              <w:bottom w:val="single" w:sz="4" w:space="0" w:color="auto"/>
              <w:right w:val="nil"/>
            </w:tcBorders>
            <w:shd w:val="clear" w:color="auto" w:fill="auto"/>
            <w:noWrap/>
            <w:vAlign w:val="bottom"/>
            <w:hideMark/>
          </w:tcPr>
          <w:p>
            <w:pPr>
              <w:jc w:val="right"/>
              <w:rPr>
                <w:rFonts w:ascii="Verdana" w:hAnsi="Verdana"/>
                <w:b/>
                <w:bCs/>
                <w:noProof/>
                <w:color w:val="4BACC6"/>
                <w:sz w:val="18"/>
                <w:szCs w:val="28"/>
              </w:rPr>
            </w:pPr>
            <w:r>
              <w:rPr>
                <w:rFonts w:ascii="Verdana" w:hAnsi="Verdana"/>
                <w:b/>
                <w:noProof/>
                <w:color w:val="4BACC6"/>
                <w:sz w:val="18"/>
              </w:rPr>
              <w:t>Romania</w:t>
            </w:r>
          </w:p>
        </w:tc>
        <w:tc>
          <w:tcPr>
            <w:tcW w:w="646" w:type="pct"/>
            <w:tcBorders>
              <w:top w:val="nil"/>
              <w:left w:val="nil"/>
              <w:bottom w:val="single" w:sz="4" w:space="0" w:color="auto"/>
              <w:right w:val="nil"/>
            </w:tcBorders>
            <w:shd w:val="clear" w:color="000000" w:fill="DCE6F1"/>
            <w:noWrap/>
            <w:vAlign w:val="bottom"/>
            <w:hideMark/>
          </w:tcPr>
          <w:p>
            <w:pPr>
              <w:jc w:val="right"/>
              <w:rPr>
                <w:rFonts w:ascii="Verdana" w:hAnsi="Verdana"/>
                <w:b/>
                <w:bCs/>
                <w:noProof/>
                <w:color w:val="4BACC6"/>
                <w:sz w:val="18"/>
                <w:szCs w:val="28"/>
              </w:rPr>
            </w:pPr>
            <w:r>
              <w:rPr>
                <w:rFonts w:ascii="Verdana" w:hAnsi="Verdana"/>
                <w:b/>
                <w:noProof/>
                <w:color w:val="4BACC6"/>
                <w:sz w:val="18"/>
              </w:rPr>
              <w:t>Yhteensä</w:t>
            </w:r>
          </w:p>
        </w:tc>
        <w:tc>
          <w:tcPr>
            <w:tcW w:w="645" w:type="pct"/>
            <w:tcBorders>
              <w:top w:val="nil"/>
              <w:left w:val="nil"/>
              <w:bottom w:val="single" w:sz="4" w:space="0" w:color="auto"/>
              <w:right w:val="nil"/>
            </w:tcBorders>
            <w:shd w:val="clear" w:color="auto" w:fill="auto"/>
            <w:noWrap/>
            <w:vAlign w:val="bottom"/>
            <w:hideMark/>
          </w:tcPr>
          <w:p>
            <w:pPr>
              <w:jc w:val="right"/>
              <w:rPr>
                <w:rFonts w:ascii="Verdana" w:hAnsi="Verdana"/>
                <w:b/>
                <w:bCs/>
                <w:noProof/>
                <w:color w:val="92D050"/>
                <w:sz w:val="18"/>
                <w:szCs w:val="28"/>
              </w:rPr>
            </w:pPr>
            <w:r>
              <w:rPr>
                <w:rFonts w:ascii="Verdana" w:hAnsi="Verdana"/>
                <w:b/>
                <w:noProof/>
                <w:color w:val="92D050"/>
                <w:sz w:val="18"/>
              </w:rPr>
              <w:t>Irlanti</w:t>
            </w:r>
          </w:p>
        </w:tc>
        <w:tc>
          <w:tcPr>
            <w:tcW w:w="645" w:type="pct"/>
            <w:tcBorders>
              <w:top w:val="nil"/>
              <w:left w:val="nil"/>
              <w:bottom w:val="single" w:sz="4" w:space="0" w:color="auto"/>
              <w:right w:val="nil"/>
            </w:tcBorders>
            <w:shd w:val="clear" w:color="auto" w:fill="auto"/>
            <w:noWrap/>
            <w:vAlign w:val="bottom"/>
            <w:hideMark/>
          </w:tcPr>
          <w:p>
            <w:pPr>
              <w:jc w:val="right"/>
              <w:rPr>
                <w:rFonts w:ascii="Verdana" w:hAnsi="Verdana"/>
                <w:b/>
                <w:bCs/>
                <w:noProof/>
                <w:color w:val="92D050"/>
                <w:sz w:val="18"/>
                <w:szCs w:val="28"/>
              </w:rPr>
            </w:pPr>
            <w:r>
              <w:rPr>
                <w:rFonts w:ascii="Verdana" w:hAnsi="Verdana"/>
                <w:b/>
                <w:noProof/>
                <w:color w:val="92D050"/>
                <w:sz w:val="18"/>
              </w:rPr>
              <w:t>Portugali</w:t>
            </w:r>
          </w:p>
        </w:tc>
        <w:tc>
          <w:tcPr>
            <w:tcW w:w="646" w:type="pct"/>
            <w:tcBorders>
              <w:top w:val="nil"/>
              <w:left w:val="nil"/>
              <w:bottom w:val="single" w:sz="4" w:space="0" w:color="auto"/>
              <w:right w:val="nil"/>
            </w:tcBorders>
            <w:shd w:val="clear" w:color="000000" w:fill="D8E4BC"/>
            <w:noWrap/>
            <w:vAlign w:val="bottom"/>
            <w:hideMark/>
          </w:tcPr>
          <w:p>
            <w:pPr>
              <w:jc w:val="right"/>
              <w:rPr>
                <w:rFonts w:ascii="Verdana" w:hAnsi="Verdana"/>
                <w:b/>
                <w:bCs/>
                <w:noProof/>
                <w:color w:val="92D050"/>
                <w:sz w:val="18"/>
                <w:szCs w:val="28"/>
              </w:rPr>
            </w:pPr>
            <w:r>
              <w:rPr>
                <w:rFonts w:ascii="Verdana" w:hAnsi="Verdana"/>
                <w:b/>
                <w:noProof/>
                <w:color w:val="92D050"/>
                <w:sz w:val="18"/>
              </w:rPr>
              <w:t>Yhteensä</w:t>
            </w:r>
          </w:p>
        </w:tc>
        <w:tc>
          <w:tcPr>
            <w:tcW w:w="665" w:type="pct"/>
            <w:vMerge/>
            <w:tcBorders>
              <w:top w:val="nil"/>
              <w:left w:val="nil"/>
              <w:bottom w:val="single" w:sz="4" w:space="0" w:color="000000"/>
              <w:right w:val="nil"/>
            </w:tcBorders>
            <w:vAlign w:val="center"/>
            <w:hideMark/>
          </w:tcPr>
          <w:p>
            <w:pPr>
              <w:rPr>
                <w:rFonts w:ascii="Calibri" w:hAnsi="Calibri"/>
                <w:b/>
                <w:bCs/>
                <w:noProof/>
                <w:color w:val="FFFFFF"/>
                <w:sz w:val="28"/>
                <w:szCs w:val="28"/>
              </w:rPr>
            </w:pPr>
          </w:p>
        </w:tc>
      </w:tr>
      <w:tr>
        <w:trPr>
          <w:trHeight w:val="375"/>
        </w:trPr>
        <w:tc>
          <w:tcPr>
            <w:tcW w:w="464"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2019</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0,5</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1,0</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1,5</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65"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1,5</w:t>
            </w:r>
          </w:p>
        </w:tc>
      </w:tr>
      <w:tr>
        <w:trPr>
          <w:trHeight w:val="375"/>
        </w:trPr>
        <w:tc>
          <w:tcPr>
            <w:tcW w:w="464"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2021</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3,0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6,8</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9,8</w:t>
            </w:r>
          </w:p>
        </w:tc>
        <w:tc>
          <w:tcPr>
            <w:tcW w:w="665"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9,8</w:t>
            </w:r>
          </w:p>
        </w:tc>
      </w:tr>
      <w:tr>
        <w:trPr>
          <w:trHeight w:val="375"/>
        </w:trPr>
        <w:tc>
          <w:tcPr>
            <w:tcW w:w="464"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2022</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2,7</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2,7</w:t>
            </w:r>
          </w:p>
        </w:tc>
        <w:tc>
          <w:tcPr>
            <w:tcW w:w="665"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2,7</w:t>
            </w:r>
          </w:p>
        </w:tc>
      </w:tr>
      <w:tr>
        <w:trPr>
          <w:trHeight w:val="300"/>
        </w:trPr>
        <w:tc>
          <w:tcPr>
            <w:tcW w:w="464"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2023</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1,5</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3,5</w:t>
            </w:r>
          </w:p>
        </w:tc>
        <w:tc>
          <w:tcPr>
            <w:tcW w:w="665"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3,5</w:t>
            </w:r>
          </w:p>
        </w:tc>
      </w:tr>
      <w:tr>
        <w:trPr>
          <w:trHeight w:val="300"/>
        </w:trPr>
        <w:tc>
          <w:tcPr>
            <w:tcW w:w="464"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2024</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0,8</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1,8</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2,6</w:t>
            </w:r>
          </w:p>
        </w:tc>
        <w:tc>
          <w:tcPr>
            <w:tcW w:w="665"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2,6</w:t>
            </w:r>
          </w:p>
        </w:tc>
      </w:tr>
      <w:tr>
        <w:trPr>
          <w:trHeight w:val="300"/>
        </w:trPr>
        <w:tc>
          <w:tcPr>
            <w:tcW w:w="464"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2025</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0,2</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0,2</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2,4</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2,4</w:t>
            </w:r>
          </w:p>
        </w:tc>
        <w:tc>
          <w:tcPr>
            <w:tcW w:w="665"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2,6</w:t>
            </w:r>
          </w:p>
        </w:tc>
      </w:tr>
      <w:tr>
        <w:trPr>
          <w:trHeight w:val="300"/>
        </w:trPr>
        <w:tc>
          <w:tcPr>
            <w:tcW w:w="464"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2026</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2,0</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4,0</w:t>
            </w:r>
          </w:p>
        </w:tc>
        <w:tc>
          <w:tcPr>
            <w:tcW w:w="665"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4,0</w:t>
            </w:r>
          </w:p>
        </w:tc>
      </w:tr>
      <w:tr>
        <w:trPr>
          <w:trHeight w:val="300"/>
        </w:trPr>
        <w:tc>
          <w:tcPr>
            <w:tcW w:w="464"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2027</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2,0</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3,0</w:t>
            </w:r>
          </w:p>
        </w:tc>
        <w:tc>
          <w:tcPr>
            <w:tcW w:w="665"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3,0</w:t>
            </w:r>
          </w:p>
        </w:tc>
      </w:tr>
      <w:tr>
        <w:trPr>
          <w:trHeight w:val="300"/>
        </w:trPr>
        <w:tc>
          <w:tcPr>
            <w:tcW w:w="464"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2028</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2,3</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2,3</w:t>
            </w:r>
          </w:p>
        </w:tc>
        <w:tc>
          <w:tcPr>
            <w:tcW w:w="665"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2,3</w:t>
            </w:r>
          </w:p>
        </w:tc>
      </w:tr>
      <w:tr>
        <w:trPr>
          <w:trHeight w:val="300"/>
        </w:trPr>
        <w:tc>
          <w:tcPr>
            <w:tcW w:w="464"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2029</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0,4</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1,4</w:t>
            </w:r>
          </w:p>
        </w:tc>
        <w:tc>
          <w:tcPr>
            <w:tcW w:w="665"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1,4</w:t>
            </w:r>
          </w:p>
        </w:tc>
      </w:tr>
      <w:tr>
        <w:trPr>
          <w:trHeight w:val="300"/>
        </w:trPr>
        <w:tc>
          <w:tcPr>
            <w:tcW w:w="464" w:type="pct"/>
            <w:tcBorders>
              <w:top w:val="nil"/>
              <w:left w:val="nil"/>
              <w:bottom w:val="nil"/>
              <w:right w:val="nil"/>
            </w:tcBorders>
            <w:shd w:val="clear" w:color="auto" w:fill="auto"/>
            <w:noWrap/>
            <w:vAlign w:val="bottom"/>
          </w:tcPr>
          <w:p>
            <w:pPr>
              <w:jc w:val="right"/>
              <w:rPr>
                <w:rFonts w:ascii="Verdana" w:hAnsi="Verdana"/>
                <w:bCs/>
                <w:noProof/>
                <w:color w:val="000000"/>
                <w:sz w:val="18"/>
                <w:szCs w:val="20"/>
              </w:rPr>
            </w:pPr>
            <w:r>
              <w:rPr>
                <w:rFonts w:ascii="Verdana" w:hAnsi="Verdana"/>
                <w:noProof/>
                <w:color w:val="000000"/>
                <w:sz w:val="18"/>
              </w:rPr>
              <w:t>2031</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2,2</w:t>
            </w:r>
          </w:p>
        </w:tc>
        <w:tc>
          <w:tcPr>
            <w:tcW w:w="646" w:type="pct"/>
            <w:tcBorders>
              <w:top w:val="nil"/>
              <w:left w:val="nil"/>
              <w:bottom w:val="nil"/>
              <w:right w:val="nil"/>
            </w:tcBorders>
            <w:shd w:val="clear" w:color="000000" w:fill="D8E4BC"/>
            <w:noWrap/>
            <w:vAlign w:val="bottom"/>
          </w:tcPr>
          <w:p>
            <w:pPr>
              <w:jc w:val="right"/>
              <w:rPr>
                <w:rFonts w:ascii="Verdana" w:hAnsi="Verdana"/>
                <w:noProof/>
                <w:color w:val="000000"/>
                <w:sz w:val="18"/>
                <w:szCs w:val="18"/>
              </w:rPr>
            </w:pPr>
            <w:r>
              <w:rPr>
                <w:rFonts w:ascii="Verdana" w:hAnsi="Verdana"/>
                <w:noProof/>
                <w:color w:val="000000"/>
                <w:sz w:val="18"/>
              </w:rPr>
              <w:t>2,2</w:t>
            </w:r>
          </w:p>
        </w:tc>
        <w:tc>
          <w:tcPr>
            <w:tcW w:w="665" w:type="pct"/>
            <w:tcBorders>
              <w:top w:val="nil"/>
              <w:left w:val="nil"/>
              <w:bottom w:val="nil"/>
              <w:right w:val="nil"/>
            </w:tcBorders>
            <w:shd w:val="clear" w:color="000000" w:fill="F2DCDB"/>
            <w:noWrap/>
            <w:vAlign w:val="bottom"/>
          </w:tcPr>
          <w:p>
            <w:pPr>
              <w:jc w:val="right"/>
              <w:rPr>
                <w:rFonts w:ascii="Verdana" w:hAnsi="Verdana"/>
                <w:noProof/>
                <w:color w:val="000000"/>
                <w:sz w:val="18"/>
                <w:szCs w:val="18"/>
              </w:rPr>
            </w:pPr>
            <w:r>
              <w:rPr>
                <w:rFonts w:ascii="Verdana" w:hAnsi="Verdana"/>
                <w:noProof/>
                <w:color w:val="000000"/>
                <w:sz w:val="18"/>
              </w:rPr>
              <w:t>2,2</w:t>
            </w:r>
          </w:p>
        </w:tc>
      </w:tr>
      <w:tr>
        <w:trPr>
          <w:trHeight w:val="300"/>
        </w:trPr>
        <w:tc>
          <w:tcPr>
            <w:tcW w:w="464"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2032</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3,0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3,0</w:t>
            </w:r>
          </w:p>
        </w:tc>
        <w:tc>
          <w:tcPr>
            <w:tcW w:w="665"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3,0</w:t>
            </w:r>
          </w:p>
        </w:tc>
      </w:tr>
      <w:tr>
        <w:trPr>
          <w:trHeight w:val="300"/>
        </w:trPr>
        <w:tc>
          <w:tcPr>
            <w:tcW w:w="464"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2033</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1,5</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0,6</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2,1</w:t>
            </w:r>
          </w:p>
        </w:tc>
        <w:tc>
          <w:tcPr>
            <w:tcW w:w="665"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2,1</w:t>
            </w:r>
          </w:p>
        </w:tc>
      </w:tr>
      <w:tr>
        <w:trPr>
          <w:trHeight w:val="300"/>
        </w:trPr>
        <w:tc>
          <w:tcPr>
            <w:tcW w:w="464" w:type="pct"/>
            <w:tcBorders>
              <w:top w:val="nil"/>
              <w:left w:val="nil"/>
              <w:bottom w:val="nil"/>
              <w:right w:val="nil"/>
            </w:tcBorders>
            <w:shd w:val="clear" w:color="auto" w:fill="auto"/>
            <w:noWrap/>
            <w:vAlign w:val="bottom"/>
          </w:tcPr>
          <w:p>
            <w:pPr>
              <w:jc w:val="right"/>
              <w:rPr>
                <w:rFonts w:ascii="Verdana" w:hAnsi="Verdana"/>
                <w:bCs/>
                <w:noProof/>
                <w:color w:val="000000"/>
                <w:sz w:val="18"/>
                <w:szCs w:val="20"/>
              </w:rPr>
            </w:pPr>
            <w:r>
              <w:rPr>
                <w:rFonts w:ascii="Verdana" w:hAnsi="Verdana"/>
                <w:noProof/>
                <w:color w:val="000000"/>
                <w:sz w:val="18"/>
              </w:rPr>
              <w:t>2035</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2,0</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8E4BC"/>
            <w:noWrap/>
            <w:vAlign w:val="bottom"/>
          </w:tcPr>
          <w:p>
            <w:pPr>
              <w:jc w:val="right"/>
              <w:rPr>
                <w:rFonts w:ascii="Verdana" w:hAnsi="Verdana"/>
                <w:noProof/>
                <w:color w:val="000000"/>
                <w:sz w:val="18"/>
                <w:szCs w:val="18"/>
              </w:rPr>
            </w:pPr>
            <w:r>
              <w:rPr>
                <w:rFonts w:ascii="Verdana" w:hAnsi="Verdana"/>
                <w:noProof/>
                <w:color w:val="000000"/>
                <w:sz w:val="18"/>
              </w:rPr>
              <w:t>2,0</w:t>
            </w:r>
          </w:p>
        </w:tc>
        <w:tc>
          <w:tcPr>
            <w:tcW w:w="665" w:type="pct"/>
            <w:tcBorders>
              <w:top w:val="nil"/>
              <w:left w:val="nil"/>
              <w:bottom w:val="nil"/>
              <w:right w:val="nil"/>
            </w:tcBorders>
            <w:shd w:val="clear" w:color="000000" w:fill="F2DCDB"/>
            <w:noWrap/>
            <w:vAlign w:val="bottom"/>
          </w:tcPr>
          <w:p>
            <w:pPr>
              <w:jc w:val="right"/>
              <w:rPr>
                <w:rFonts w:ascii="Verdana" w:hAnsi="Verdana"/>
                <w:noProof/>
                <w:color w:val="000000"/>
                <w:sz w:val="18"/>
                <w:szCs w:val="18"/>
              </w:rPr>
            </w:pPr>
            <w:r>
              <w:rPr>
                <w:rFonts w:ascii="Verdana" w:hAnsi="Verdana"/>
                <w:noProof/>
                <w:color w:val="000000"/>
                <w:sz w:val="18"/>
              </w:rPr>
              <w:t>2,0</w:t>
            </w:r>
          </w:p>
        </w:tc>
      </w:tr>
      <w:tr>
        <w:trPr>
          <w:trHeight w:val="300"/>
        </w:trPr>
        <w:tc>
          <w:tcPr>
            <w:tcW w:w="464"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2036</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1,0</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1,0</w:t>
            </w:r>
          </w:p>
        </w:tc>
        <w:tc>
          <w:tcPr>
            <w:tcW w:w="665"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1,0</w:t>
            </w:r>
          </w:p>
        </w:tc>
      </w:tr>
      <w:tr>
        <w:trPr>
          <w:trHeight w:val="300"/>
        </w:trPr>
        <w:tc>
          <w:tcPr>
            <w:tcW w:w="464" w:type="pct"/>
            <w:tcBorders>
              <w:top w:val="nil"/>
              <w:left w:val="nil"/>
              <w:bottom w:val="nil"/>
              <w:right w:val="nil"/>
            </w:tcBorders>
            <w:shd w:val="clear" w:color="auto" w:fill="auto"/>
            <w:noWrap/>
            <w:vAlign w:val="bottom"/>
          </w:tcPr>
          <w:p>
            <w:pPr>
              <w:jc w:val="right"/>
              <w:rPr>
                <w:rFonts w:ascii="Verdana" w:hAnsi="Verdana"/>
                <w:bCs/>
                <w:noProof/>
                <w:color w:val="000000"/>
                <w:sz w:val="18"/>
                <w:szCs w:val="20"/>
              </w:rPr>
            </w:pPr>
            <w:r>
              <w:rPr>
                <w:rFonts w:ascii="Verdana" w:hAnsi="Verdana"/>
                <w:noProof/>
                <w:color w:val="000000"/>
                <w:sz w:val="18"/>
              </w:rPr>
              <w:t>2038</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p>
        </w:tc>
        <w:tc>
          <w:tcPr>
            <w:tcW w:w="646" w:type="pct"/>
            <w:tcBorders>
              <w:top w:val="nil"/>
              <w:left w:val="nil"/>
              <w:bottom w:val="nil"/>
              <w:right w:val="nil"/>
            </w:tcBorders>
            <w:shd w:val="clear" w:color="000000" w:fill="DCE6F1"/>
            <w:noWrap/>
            <w:vAlign w:val="bottom"/>
          </w:tcPr>
          <w:p>
            <w:pPr>
              <w:jc w:val="right"/>
              <w:rPr>
                <w:rFonts w:ascii="Verdana" w:hAnsi="Verdana"/>
                <w:noProof/>
                <w:color w:val="000000"/>
                <w:sz w:val="18"/>
                <w:szCs w:val="18"/>
              </w:rPr>
            </w:pP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1,8</w:t>
            </w:r>
          </w:p>
        </w:tc>
        <w:tc>
          <w:tcPr>
            <w:tcW w:w="646" w:type="pct"/>
            <w:tcBorders>
              <w:top w:val="nil"/>
              <w:left w:val="nil"/>
              <w:bottom w:val="nil"/>
              <w:right w:val="nil"/>
            </w:tcBorders>
            <w:shd w:val="clear" w:color="000000" w:fill="D8E4BC"/>
            <w:noWrap/>
            <w:vAlign w:val="bottom"/>
          </w:tcPr>
          <w:p>
            <w:pPr>
              <w:jc w:val="right"/>
              <w:rPr>
                <w:rFonts w:ascii="Verdana" w:hAnsi="Verdana"/>
                <w:noProof/>
                <w:color w:val="000000"/>
                <w:sz w:val="18"/>
                <w:szCs w:val="18"/>
              </w:rPr>
            </w:pPr>
            <w:r>
              <w:rPr>
                <w:rFonts w:ascii="Verdana" w:hAnsi="Verdana"/>
                <w:noProof/>
                <w:color w:val="000000"/>
                <w:sz w:val="18"/>
              </w:rPr>
              <w:t>1,8</w:t>
            </w:r>
          </w:p>
        </w:tc>
        <w:tc>
          <w:tcPr>
            <w:tcW w:w="665" w:type="pct"/>
            <w:tcBorders>
              <w:top w:val="nil"/>
              <w:left w:val="nil"/>
              <w:bottom w:val="nil"/>
              <w:right w:val="nil"/>
            </w:tcBorders>
            <w:shd w:val="clear" w:color="000000" w:fill="F2DCDB"/>
            <w:noWrap/>
            <w:vAlign w:val="bottom"/>
          </w:tcPr>
          <w:p>
            <w:pPr>
              <w:jc w:val="right"/>
              <w:rPr>
                <w:rFonts w:ascii="Verdana" w:hAnsi="Verdana"/>
                <w:noProof/>
                <w:color w:val="000000"/>
                <w:sz w:val="18"/>
                <w:szCs w:val="18"/>
              </w:rPr>
            </w:pPr>
            <w:r>
              <w:rPr>
                <w:rFonts w:ascii="Verdana" w:hAnsi="Verdana"/>
                <w:noProof/>
                <w:color w:val="000000"/>
                <w:sz w:val="18"/>
              </w:rPr>
              <w:t>1,8</w:t>
            </w:r>
          </w:p>
        </w:tc>
      </w:tr>
      <w:tr>
        <w:trPr>
          <w:trHeight w:val="300"/>
        </w:trPr>
        <w:tc>
          <w:tcPr>
            <w:tcW w:w="464"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2042</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1,5</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1,5</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3,0</w:t>
            </w:r>
          </w:p>
        </w:tc>
        <w:tc>
          <w:tcPr>
            <w:tcW w:w="665"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3,0</w:t>
            </w:r>
          </w:p>
        </w:tc>
      </w:tr>
      <w:tr>
        <w:trPr>
          <w:trHeight w:val="300"/>
        </w:trPr>
        <w:tc>
          <w:tcPr>
            <w:tcW w:w="464"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Yhteensä</w:t>
            </w:r>
          </w:p>
        </w:tc>
        <w:tc>
          <w:tcPr>
            <w:tcW w:w="645" w:type="pct"/>
            <w:tcBorders>
              <w:top w:val="single" w:sz="4" w:space="0" w:color="auto"/>
              <w:left w:val="nil"/>
              <w:bottom w:val="single" w:sz="4" w:space="0" w:color="auto"/>
              <w:right w:val="nil"/>
            </w:tcBorders>
            <w:shd w:val="clear" w:color="auto" w:fill="auto"/>
            <w:noWrap/>
            <w:vAlign w:val="bottom"/>
          </w:tcPr>
          <w:p>
            <w:pPr>
              <w:jc w:val="right"/>
              <w:rPr>
                <w:rFonts w:ascii="Verdana" w:hAnsi="Verdana"/>
                <w:b/>
                <w:bCs/>
                <w:noProof/>
                <w:color w:val="000000"/>
                <w:sz w:val="18"/>
                <w:szCs w:val="20"/>
              </w:rPr>
            </w:pPr>
            <w:r>
              <w:rPr>
                <w:rFonts w:ascii="Verdana" w:hAnsi="Verdana"/>
                <w:b/>
                <w:noProof/>
                <w:color w:val="000000"/>
                <w:sz w:val="18"/>
              </w:rPr>
              <w:t>0,7</w:t>
            </w:r>
          </w:p>
        </w:tc>
        <w:tc>
          <w:tcPr>
            <w:tcW w:w="645"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1,0</w:t>
            </w:r>
          </w:p>
        </w:tc>
        <w:tc>
          <w:tcPr>
            <w:tcW w:w="646"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1,7</w:t>
            </w:r>
          </w:p>
        </w:tc>
        <w:tc>
          <w:tcPr>
            <w:tcW w:w="645"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22,5</w:t>
            </w:r>
          </w:p>
        </w:tc>
        <w:tc>
          <w:tcPr>
            <w:tcW w:w="645"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24,3</w:t>
            </w:r>
          </w:p>
        </w:tc>
        <w:tc>
          <w:tcPr>
            <w:tcW w:w="646"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46,8</w:t>
            </w:r>
          </w:p>
        </w:tc>
        <w:tc>
          <w:tcPr>
            <w:tcW w:w="665" w:type="pct"/>
            <w:tcBorders>
              <w:top w:val="single" w:sz="4" w:space="0" w:color="auto"/>
              <w:left w:val="nil"/>
              <w:bottom w:val="single" w:sz="4" w:space="0" w:color="auto"/>
              <w:right w:val="nil"/>
            </w:tcBorders>
            <w:shd w:val="clear" w:color="000000" w:fill="FFFFFF"/>
            <w:noWrap/>
            <w:vAlign w:val="bottom"/>
            <w:hideMark/>
          </w:tcPr>
          <w:p>
            <w:pPr>
              <w:jc w:val="right"/>
              <w:rPr>
                <w:rFonts w:ascii="Verdana" w:hAnsi="Verdana"/>
                <w:b/>
                <w:bCs/>
                <w:noProof/>
                <w:color w:val="000000"/>
                <w:sz w:val="18"/>
                <w:szCs w:val="20"/>
              </w:rPr>
            </w:pPr>
            <w:r>
              <w:rPr>
                <w:rFonts w:ascii="Verdana" w:hAnsi="Verdana"/>
                <w:b/>
                <w:noProof/>
                <w:color w:val="000000"/>
                <w:sz w:val="18"/>
              </w:rPr>
              <w:t>48,5</w:t>
            </w:r>
          </w:p>
        </w:tc>
      </w:tr>
    </w:tbl>
    <w:p>
      <w:pPr>
        <w:pStyle w:val="DGTextstand-alone"/>
      </w:pPr>
      <w:r>
        <w:t>Valtioiden väliset rahoituksenvakautusmekanismit (Euroopan rahoitusvakausväline (ERVV) ja Euroopan vakausmekanismi (EVM)) eivät kuulu EU:n perussopimuksen soveltamisalaan, joten niitä ole sisällytetty EU:n konsolidoituun tilinpäätökseen.</w:t>
      </w:r>
    </w:p>
    <w:p>
      <w:pPr>
        <w:pStyle w:val="HEADER2Part4"/>
      </w:pPr>
      <w:bookmarkStart w:id="262" w:name="_Toc491880240"/>
      <w:bookmarkStart w:id="263" w:name="_Toc11225937"/>
      <w:bookmarkStart w:id="264" w:name="_Toc11939481"/>
      <w:bookmarkStart w:id="265" w:name="_Toc17886371"/>
      <w:r>
        <w:t>TALOUSARVIOTAKAUKSET</w:t>
      </w:r>
      <w:bookmarkEnd w:id="262"/>
      <w:bookmarkEnd w:id="263"/>
      <w:bookmarkEnd w:id="264"/>
      <w:bookmarkEnd w:id="265"/>
    </w:p>
    <w:p>
      <w:pPr>
        <w:pStyle w:val="DGTextstand-alone"/>
      </w:pPr>
      <w:r>
        <w:t>EU on antanut EIP-ryhmälle takaukset EU:n ulkopuolella myönnetyille lainoille sekä ESIR-takauksella katetuille vieraan ja oman pääoman ehtoisille toimenpiteille. EU:n konsolidoidun tilinpäätöksen liitetiedoissa esitetään edellä mainittuja takauksia vastaavat ehdolliset velat 31. joulukuuta 2018 (ks. liitetieto </w:t>
      </w:r>
      <w:r>
        <w:rPr>
          <w:b/>
        </w:rPr>
        <w:t>4.1.1</w:t>
      </w:r>
      <w:r>
        <w:t>). Olemassa olevia velvoitteita koskevat määrät kirjataan tilinpäätöksessä varauksiin (ks. konsolidoidun tilinpäätöksen liitetieto </w:t>
      </w:r>
      <w:r>
        <w:rPr>
          <w:b/>
        </w:rPr>
        <w:t>2.10</w:t>
      </w:r>
      <w:r>
        <w:t>). Lieventääkseen EU:n talousarvioon kohdistuvaa riskiä, joka voisi aiheutua EIP-ryhmän vaatiessa vakuuteen perustuvaa maksua, EU on perustanut antamiaan vakuuksia varten erilliset takuurahastot, jotka ovat ulkosuhteisiin liittyvien hankkeiden takuurahasto ja ESIR-takuurahasto.</w:t>
      </w:r>
    </w:p>
    <w:p>
      <w:pPr>
        <w:pStyle w:val="DGTextstand-alone"/>
      </w:pPr>
      <w:r>
        <w:t xml:space="preserve">Ulkosuhteisiin liittyvien hankkeiden takuurahasto rahoitetaan EU:n talousarviosta siten, että se kattaa 9 prosenttia EIP:n ulkoisen lainanantovaltuuden piiriin kuuluvista, takauksen saaneista kolmansille maille myönnetyistä lainoista vuoden lopussa. Takuurahaston kokonaisvarat olivat 31. joulukuuta 2018 yhteensä 2,5 miljardia euroa. Summalla katetaan rahaston kokonaisvastuut, jotka muodostuvat 20,7 miljardin euron nostetuista lainoista. </w:t>
      </w:r>
    </w:p>
    <w:p>
      <w:pPr>
        <w:pStyle w:val="DGTextstand-alone"/>
      </w:pPr>
      <w:r>
        <w:t>ESIR-takuurahasto aloitti toimintansa vuonna 2016. Muutetun ESIR-asetuksen (asetus (EU) 2017/2396) mukaisesti ESIR-rahaston EU-takauksien enimmäismäärää korotettiin 26 miljardiin euroon (alkuperäisestä 16 miljardista eurosta) ja takuurahaston osuus EU:n koko takausvastuusta laski 35 prosenttiin (alkuperäisestä 50 prosentista). Tämän vuoksi ESIR-takuurahaston odotetaan nyt kasvavan kaikkiaan 9,1 miljardiin euroon. Vuonna 2018 ESIR-sopimusta muutettiin tarkistetun ESIR-asetuksen mukaisesti. ESIR-takuurahaston kokonaisvarat 31. joulukuuta 2018 olivat 5,5 miljardia euroa, ja ne kattavat 15,8 miljardin euron osuuden maksetuista määristä muodostuvasta kokonaisvastuusta.</w:t>
      </w:r>
    </w:p>
    <w:p>
      <w:pPr>
        <w:pStyle w:val="DGTextstand-alone"/>
      </w:pPr>
      <w:r>
        <w:t>EKKR-asetuksen (asetus (EU) 2017/1601) mukaisesti on perustettu uusi takuurahasto eli EKKR-takuurahasto. Ensimmäiset EU:n talousarvion rahoitusosuudet rahastoon suoritettiin vuonna 2018, mutta yhtään takaussopimusta ei ollut voimassa 31. joulukuuta 2018.</w:t>
      </w:r>
    </w:p>
    <w:p>
      <w:pPr>
        <w:pStyle w:val="HEADER2Part4"/>
      </w:pPr>
      <w:bookmarkStart w:id="266" w:name="_Toc11225938"/>
      <w:bookmarkStart w:id="267" w:name="_Toc11939482"/>
      <w:bookmarkStart w:id="268" w:name="_Toc17886372"/>
      <w:r>
        <w:t xml:space="preserve">UUSIEN OSALLISTUJIEN VARANTO (NER 300 </w:t>
      </w:r>
      <w:r>
        <w:noBreakHyphen/>
        <w:t>OHJELMA)</w:t>
      </w:r>
      <w:bookmarkEnd w:id="266"/>
      <w:bookmarkEnd w:id="267"/>
      <w:bookmarkEnd w:id="268"/>
    </w:p>
    <w:p>
      <w:pPr>
        <w:pStyle w:val="DGTextstand-alone"/>
      </w:pPr>
      <w:r>
        <w:t xml:space="preserve">NER 300 </w:t>
      </w:r>
      <w:r>
        <w:noBreakHyphen/>
        <w:t xml:space="preserve">rahaston varat saadaan rahaksi muunnetuista päästökauppajärjestelmän päästöoikeuksista. Se kuuluu jäsenvaltioille, jotka käyttävät varoja innovatiivisten vähähiilistä energiaa koskevien demonstrointihankkeiden rahoittamiseen. Komissio hallinnoi ohjelmaa jäsenvaltioiden puolesta, ja EIP vastaa NER 300 </w:t>
      </w:r>
      <w:r>
        <w:noBreakHyphen/>
        <w:t>rahaston omaisuudenhoidosta ja toimii teknisenä neuvonantajana komission kanssa tekemänsä yhteistyösopimuksen mukaisesti. Koska sen paremmin päästöoikeuksista saatavat tulot kuin rahoitettujen hankkeiden menot eivät kuulu EU:n talousarvioon, näitä määriä ei merkitä EU:n kirjanpitoon.</w:t>
      </w:r>
    </w:p>
    <w:p>
      <w:pPr>
        <w:pStyle w:val="DGTextstand-alone"/>
        <w:sectPr>
          <w:headerReference w:type="even" r:id="rId431"/>
          <w:headerReference w:type="default" r:id="rId432"/>
          <w:footerReference w:type="even" r:id="rId433"/>
          <w:footerReference w:type="default" r:id="rId434"/>
          <w:headerReference w:type="first" r:id="rId435"/>
          <w:footerReference w:type="first" r:id="rId436"/>
          <w:pgSz w:w="11907" w:h="16840"/>
          <w:pgMar w:top="1134" w:right="1134" w:bottom="1134" w:left="1134" w:header="709" w:footer="709" w:gutter="0"/>
          <w:cols w:space="708"/>
          <w:docGrid w:linePitch="360"/>
        </w:sectPr>
      </w:pPr>
      <w:r>
        <w:t xml:space="preserve"> </w:t>
      </w:r>
      <w:bookmarkEnd w:id="220"/>
    </w:p>
    <w:p>
      <w:pPr>
        <w:pStyle w:val="FinancialYear"/>
        <w:rPr>
          <w:noProof/>
        </w:rPr>
      </w:pPr>
      <w:bookmarkStart w:id="269" w:name="_DMBM_14821"/>
      <w:r>
        <w:rPr>
          <w:noProof/>
        </w:rPr>
        <w:t>EUROOPAN UNIONI</w:t>
      </w:r>
    </w:p>
    <w:p>
      <w:pPr>
        <w:pStyle w:val="FinancialYear"/>
        <w:rPr>
          <w:noProof/>
        </w:rPr>
      </w:pPr>
      <w:r>
        <w:rPr>
          <w:noProof/>
        </w:rPr>
        <w:t>VARAINHOITOVUOSI 2018</w:t>
      </w:r>
    </w:p>
    <w:p>
      <w:pPr>
        <w:pStyle w:val="FIRSTCHAPTERPAGE2"/>
      </w:pPr>
    </w:p>
    <w:p>
      <w:pPr>
        <w:pStyle w:val="FIRSTCHAPTERPAGE2"/>
      </w:pPr>
    </w:p>
    <w:p>
      <w:pPr>
        <w:pStyle w:val="FIRSTCHAPTERPAGE2"/>
      </w:pPr>
    </w:p>
    <w:p>
      <w:pPr>
        <w:pStyle w:val="FIRSTCHAPTERPAGE2"/>
      </w:pPr>
    </w:p>
    <w:p>
      <w:pPr>
        <w:pStyle w:val="FIRSTCHAPTERPAGE"/>
        <w:rPr>
          <w:noProof/>
        </w:rPr>
      </w:pPr>
      <w:bookmarkStart w:id="270" w:name="_Toc390968562"/>
      <w:bookmarkStart w:id="271" w:name="_Toc11938935"/>
      <w:bookmarkStart w:id="272" w:name="_Toc17883117"/>
      <w:r>
        <w:rPr>
          <w:noProof/>
        </w:rPr>
        <w:t>TALOUSARVION TOTEUTTAMISKERTOMUS JA LIITETIEDOT</w:t>
      </w:r>
      <w:bookmarkEnd w:id="270"/>
      <w:bookmarkEnd w:id="271"/>
      <w:bookmarkEnd w:id="272"/>
    </w:p>
    <w:p>
      <w:pPr>
        <w:pStyle w:val="FIRSTCHAPTERPAGE2"/>
      </w:pPr>
    </w:p>
    <w:p>
      <w:pPr>
        <w:pStyle w:val="FIRSTCHAPTERPAGE2"/>
      </w:pPr>
    </w:p>
    <w:p>
      <w:pPr>
        <w:pStyle w:val="FIRSTCHAPTERPAGE2"/>
      </w:pPr>
    </w:p>
    <w:p>
      <w:pPr>
        <w:pStyle w:val="FIRSTCHAPTERPAGE2"/>
      </w:pPr>
    </w:p>
    <w:p>
      <w:pPr>
        <w:pStyle w:val="FIRSTCHAPTERPAGE2"/>
      </w:pPr>
    </w:p>
    <w:p>
      <w:pPr>
        <w:pStyle w:val="TOPHEADERNOTE"/>
        <w:rPr>
          <w:noProof/>
        </w:rPr>
        <w:sectPr>
          <w:headerReference w:type="even" r:id="rId437"/>
          <w:headerReference w:type="default" r:id="rId438"/>
          <w:footerReference w:type="even" r:id="rId439"/>
          <w:footerReference w:type="default" r:id="rId440"/>
          <w:headerReference w:type="first" r:id="rId441"/>
          <w:footerReference w:type="first" r:id="rId442"/>
          <w:pgSz w:w="11907" w:h="16840" w:code="9"/>
          <w:pgMar w:top="1134" w:right="1134" w:bottom="1134" w:left="1134" w:header="709" w:footer="709" w:gutter="0"/>
          <w:cols w:space="708"/>
          <w:docGrid w:linePitch="360"/>
        </w:sectPr>
      </w:pPr>
      <w:r>
        <w:rPr>
          <w:noProof/>
        </w:rPr>
        <w:t>On huomattava, että osa taloudellisia tietoja sisältävien taulukoiden luvuista ei näytä täsmäävän, koska numerotiedot on pyöristetty miljooniin euroihin.</w:t>
      </w:r>
      <w:bookmarkEnd w:id="269"/>
    </w:p>
    <w:p>
      <w:pPr>
        <w:pStyle w:val="HEADERTABLE"/>
        <w:rPr>
          <w:noProof/>
        </w:rPr>
      </w:pPr>
      <w:bookmarkStart w:id="273" w:name="_DMBM_14809"/>
      <w:r>
        <w:rPr>
          <w:noProof/>
        </w:rPr>
        <w:t>SISÄLLYSLUETTELO</w:t>
      </w:r>
    </w:p>
    <w:p>
      <w:pPr>
        <w:pStyle w:val="HEADERTABLE"/>
        <w:rPr>
          <w:noProof/>
        </w:rPr>
      </w:pPr>
    </w:p>
    <w:p>
      <w:pPr>
        <w:pStyle w:val="TOC1"/>
        <w:tabs>
          <w:tab w:val="right" w:leader="dot" w:pos="9629"/>
        </w:tabs>
        <w:rPr>
          <w:rFonts w:asciiTheme="minorHAnsi" w:eastAsiaTheme="minorEastAsia" w:hAnsiTheme="minorHAnsi" w:cstheme="minorBidi"/>
          <w:noProof/>
          <w:color w:val="auto"/>
          <w:szCs w:val="22"/>
          <w:lang w:bidi="ar-SA"/>
        </w:rPr>
      </w:pPr>
      <w:r>
        <w:rPr>
          <w:caps/>
          <w:noProof/>
          <w:color w:val="016894"/>
          <w:sz w:val="20"/>
        </w:rPr>
        <w:fldChar w:fldCharType="begin"/>
      </w:r>
      <w:r>
        <w:rPr>
          <w:caps/>
          <w:noProof/>
          <w:color w:val="016894"/>
          <w:sz w:val="20"/>
        </w:rPr>
        <w:instrText xml:space="preserve"> TOC \o "1-3" \h \z \t "HEADER_TITLE_2;1;HEADER 1_Part BUDG;1;HEADER 2_Part BUDG;2" </w:instrText>
      </w:r>
      <w:r>
        <w:rPr>
          <w:caps/>
          <w:noProof/>
          <w:color w:val="016894"/>
          <w:sz w:val="20"/>
        </w:rPr>
        <w:fldChar w:fldCharType="separate"/>
      </w:r>
      <w:hyperlink w:anchor="_Toc17887560" w:history="1">
        <w:r>
          <w:rPr>
            <w:rStyle w:val="Hyperlink"/>
            <w:noProof/>
          </w:rPr>
          <w:t>EU:N TALOUSARVION TOTEUTUMA</w:t>
        </w:r>
        <w:r>
          <w:rPr>
            <w:noProof/>
            <w:webHidden/>
          </w:rPr>
          <w:tab/>
        </w:r>
        <w:r>
          <w:rPr>
            <w:noProof/>
            <w:webHidden/>
          </w:rPr>
          <w:fldChar w:fldCharType="begin"/>
        </w:r>
        <w:r>
          <w:rPr>
            <w:noProof/>
            <w:webHidden/>
          </w:rPr>
          <w:instrText xml:space="preserve"> PAGEREF _Toc17887560 \h </w:instrText>
        </w:r>
        <w:r>
          <w:rPr>
            <w:noProof/>
            <w:webHidden/>
          </w:rPr>
        </w:r>
        <w:r>
          <w:rPr>
            <w:noProof/>
            <w:webHidden/>
          </w:rPr>
          <w:fldChar w:fldCharType="separate"/>
        </w:r>
        <w:r>
          <w:rPr>
            <w:noProof/>
            <w:webHidden/>
          </w:rPr>
          <w:t>122</w:t>
        </w:r>
        <w:r>
          <w:rPr>
            <w:noProof/>
            <w:webHidden/>
          </w:rPr>
          <w:fldChar w:fldCharType="end"/>
        </w:r>
      </w:hyperlink>
    </w:p>
    <w:p>
      <w:pPr>
        <w:pStyle w:val="TOC1"/>
        <w:tabs>
          <w:tab w:val="right" w:leader="dot" w:pos="9629"/>
        </w:tabs>
        <w:rPr>
          <w:rFonts w:asciiTheme="minorHAnsi" w:eastAsiaTheme="minorEastAsia" w:hAnsiTheme="minorHAnsi" w:cstheme="minorBidi"/>
          <w:noProof/>
          <w:color w:val="auto"/>
          <w:szCs w:val="22"/>
          <w:lang w:bidi="ar-SA"/>
        </w:rPr>
      </w:pPr>
      <w:hyperlink w:anchor="_Toc17887561" w:history="1">
        <w:r>
          <w:rPr>
            <w:rStyle w:val="Hyperlink"/>
            <w:noProof/>
          </w:rPr>
          <w:t>BUDJETOITUJEN JA TOTEUTUNEIDEN MÄÄRIEN VERTAILUTAULUKOT</w:t>
        </w:r>
        <w:r>
          <w:rPr>
            <w:noProof/>
            <w:webHidden/>
          </w:rPr>
          <w:tab/>
        </w:r>
        <w:r>
          <w:rPr>
            <w:noProof/>
            <w:webHidden/>
          </w:rPr>
          <w:fldChar w:fldCharType="begin"/>
        </w:r>
        <w:r>
          <w:rPr>
            <w:noProof/>
            <w:webHidden/>
          </w:rPr>
          <w:instrText xml:space="preserve"> PAGEREF _Toc17887561 \h </w:instrText>
        </w:r>
        <w:r>
          <w:rPr>
            <w:noProof/>
            <w:webHidden/>
          </w:rPr>
        </w:r>
        <w:r>
          <w:rPr>
            <w:noProof/>
            <w:webHidden/>
          </w:rPr>
          <w:fldChar w:fldCharType="separate"/>
        </w:r>
        <w:r>
          <w:rPr>
            <w:noProof/>
            <w:webHidden/>
          </w:rPr>
          <w:t>123</w:t>
        </w:r>
        <w:r>
          <w:rPr>
            <w:noProof/>
            <w:webHidden/>
          </w:rPr>
          <w:fldChar w:fldCharType="end"/>
        </w:r>
      </w:hyperlink>
    </w:p>
    <w:p>
      <w:pPr>
        <w:pStyle w:val="TOC1"/>
        <w:tabs>
          <w:tab w:val="right" w:leader="dot" w:pos="9629"/>
        </w:tabs>
        <w:rPr>
          <w:rFonts w:asciiTheme="minorHAnsi" w:eastAsiaTheme="minorEastAsia" w:hAnsiTheme="minorHAnsi" w:cstheme="minorBidi"/>
          <w:noProof/>
          <w:color w:val="auto"/>
          <w:szCs w:val="22"/>
          <w:lang w:bidi="ar-SA"/>
        </w:rPr>
      </w:pPr>
      <w:hyperlink w:anchor="_Toc17887562" w:history="1">
        <w:r>
          <w:rPr>
            <w:rStyle w:val="Hyperlink"/>
            <w:noProof/>
          </w:rPr>
          <w:t>TALOUSARVION TOTEUTTAMISKERTOMUKSEN LIITETIEDOT</w:t>
        </w:r>
        <w:r>
          <w:rPr>
            <w:noProof/>
            <w:webHidden/>
          </w:rPr>
          <w:tab/>
        </w:r>
        <w:r>
          <w:rPr>
            <w:noProof/>
            <w:webHidden/>
          </w:rPr>
          <w:fldChar w:fldCharType="begin"/>
        </w:r>
        <w:r>
          <w:rPr>
            <w:noProof/>
            <w:webHidden/>
          </w:rPr>
          <w:instrText xml:space="preserve"> PAGEREF _Toc17887562 \h </w:instrText>
        </w:r>
        <w:r>
          <w:rPr>
            <w:noProof/>
            <w:webHidden/>
          </w:rPr>
        </w:r>
        <w:r>
          <w:rPr>
            <w:noProof/>
            <w:webHidden/>
          </w:rPr>
          <w:fldChar w:fldCharType="separate"/>
        </w:r>
        <w:r>
          <w:rPr>
            <w:noProof/>
            <w:webHidden/>
          </w:rPr>
          <w:t>125</w:t>
        </w:r>
        <w:r>
          <w:rPr>
            <w:noProof/>
            <w:webHidden/>
          </w:rPr>
          <w:fldChar w:fldCharType="end"/>
        </w:r>
      </w:hyperlink>
    </w:p>
    <w:p>
      <w:pPr>
        <w:pStyle w:val="TOC1"/>
        <w:tabs>
          <w:tab w:val="left" w:pos="660"/>
          <w:tab w:val="right" w:leader="dot" w:pos="9629"/>
        </w:tabs>
        <w:rPr>
          <w:rFonts w:asciiTheme="minorHAnsi" w:eastAsiaTheme="minorEastAsia" w:hAnsiTheme="minorHAnsi" w:cstheme="minorBidi"/>
          <w:noProof/>
          <w:color w:val="auto"/>
          <w:szCs w:val="22"/>
          <w:lang w:bidi="ar-SA"/>
        </w:rPr>
      </w:pPr>
      <w:hyperlink w:anchor="_Toc17887563" w:history="1">
        <w:r>
          <w:rPr>
            <w:rStyle w:val="Hyperlink"/>
            <w:noProof/>
            <w14:scene3d>
              <w14:camera w14:prst="orthographicFront"/>
              <w14:lightRig w14:rig="threePt" w14:dir="t">
                <w14:rot w14:lat="0" w14:lon="0" w14:rev="0"/>
              </w14:lightRig>
            </w14:scene3d>
            <w14:props3d w14:extrusionH="0" w14:contourW="0" w14:prstMaterial="warmMatte"/>
          </w:rPr>
          <w:t>1.</w:t>
        </w:r>
        <w:r>
          <w:rPr>
            <w:rFonts w:asciiTheme="minorHAnsi" w:eastAsiaTheme="minorEastAsia" w:hAnsiTheme="minorHAnsi" w:cstheme="minorBidi"/>
            <w:noProof/>
            <w:color w:val="auto"/>
            <w:szCs w:val="22"/>
            <w:lang w:bidi="ar-SA"/>
          </w:rPr>
          <w:tab/>
        </w:r>
        <w:r>
          <w:rPr>
            <w:rStyle w:val="Hyperlink"/>
            <w:noProof/>
          </w:rPr>
          <w:t>EU:N TALOUSARVIOKEHYS</w:t>
        </w:r>
        <w:r>
          <w:rPr>
            <w:noProof/>
            <w:webHidden/>
          </w:rPr>
          <w:tab/>
        </w:r>
        <w:r>
          <w:rPr>
            <w:noProof/>
            <w:webHidden/>
          </w:rPr>
          <w:fldChar w:fldCharType="begin"/>
        </w:r>
        <w:r>
          <w:rPr>
            <w:noProof/>
            <w:webHidden/>
          </w:rPr>
          <w:instrText xml:space="preserve"> PAGEREF _Toc17887563 \h </w:instrText>
        </w:r>
        <w:r>
          <w:rPr>
            <w:noProof/>
            <w:webHidden/>
          </w:rPr>
        </w:r>
        <w:r>
          <w:rPr>
            <w:noProof/>
            <w:webHidden/>
          </w:rPr>
          <w:fldChar w:fldCharType="separate"/>
        </w:r>
        <w:r>
          <w:rPr>
            <w:noProof/>
            <w:webHidden/>
          </w:rPr>
          <w:t>125</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887564" w:history="1">
        <w:r>
          <w:rPr>
            <w:rStyle w:val="Hyperlink"/>
            <w:noProof/>
          </w:rPr>
          <w:t>1.1.</w:t>
        </w:r>
        <w:r>
          <w:rPr>
            <w:rFonts w:asciiTheme="minorHAnsi" w:eastAsiaTheme="minorEastAsia" w:hAnsiTheme="minorHAnsi" w:cstheme="minorBidi"/>
            <w:noProof/>
            <w:color w:val="auto"/>
            <w:szCs w:val="22"/>
            <w:lang w:bidi="ar-SA"/>
          </w:rPr>
          <w:tab/>
        </w:r>
        <w:r>
          <w:rPr>
            <w:rStyle w:val="Hyperlink"/>
            <w:noProof/>
          </w:rPr>
          <w:t>MONIVUOTINEN RAHOITUSKEHYS 2014–2020</w:t>
        </w:r>
        <w:r>
          <w:rPr>
            <w:noProof/>
            <w:webHidden/>
          </w:rPr>
          <w:tab/>
        </w:r>
        <w:r>
          <w:rPr>
            <w:noProof/>
            <w:webHidden/>
          </w:rPr>
          <w:fldChar w:fldCharType="begin"/>
        </w:r>
        <w:r>
          <w:rPr>
            <w:noProof/>
            <w:webHidden/>
          </w:rPr>
          <w:instrText xml:space="preserve"> PAGEREF _Toc17887564 \h </w:instrText>
        </w:r>
        <w:r>
          <w:rPr>
            <w:noProof/>
            <w:webHidden/>
          </w:rPr>
        </w:r>
        <w:r>
          <w:rPr>
            <w:noProof/>
            <w:webHidden/>
          </w:rPr>
          <w:fldChar w:fldCharType="separate"/>
        </w:r>
        <w:r>
          <w:rPr>
            <w:noProof/>
            <w:webHidden/>
          </w:rPr>
          <w:t>125</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887565" w:history="1">
        <w:r>
          <w:rPr>
            <w:rStyle w:val="Hyperlink"/>
            <w:noProof/>
          </w:rPr>
          <w:t>1.2.</w:t>
        </w:r>
        <w:r>
          <w:rPr>
            <w:rFonts w:asciiTheme="minorHAnsi" w:eastAsiaTheme="minorEastAsia" w:hAnsiTheme="minorHAnsi" w:cstheme="minorBidi"/>
            <w:noProof/>
            <w:color w:val="auto"/>
            <w:szCs w:val="22"/>
            <w:lang w:bidi="ar-SA"/>
          </w:rPr>
          <w:tab/>
        </w:r>
        <w:r>
          <w:rPr>
            <w:rStyle w:val="Hyperlink"/>
            <w:noProof/>
          </w:rPr>
          <w:t>MONIVUOTISEN RAHOITUSKEHYKSEN YKSITYISKOHTAISET ALAOTSIKOT (OHJELMAT)</w:t>
        </w:r>
        <w:r>
          <w:rPr>
            <w:noProof/>
            <w:webHidden/>
          </w:rPr>
          <w:tab/>
        </w:r>
        <w:r>
          <w:rPr>
            <w:noProof/>
            <w:webHidden/>
          </w:rPr>
          <w:fldChar w:fldCharType="begin"/>
        </w:r>
        <w:r>
          <w:rPr>
            <w:noProof/>
            <w:webHidden/>
          </w:rPr>
          <w:instrText xml:space="preserve"> PAGEREF _Toc17887565 \h </w:instrText>
        </w:r>
        <w:r>
          <w:rPr>
            <w:noProof/>
            <w:webHidden/>
          </w:rPr>
        </w:r>
        <w:r>
          <w:rPr>
            <w:noProof/>
            <w:webHidden/>
          </w:rPr>
          <w:fldChar w:fldCharType="separate"/>
        </w:r>
        <w:r>
          <w:rPr>
            <w:noProof/>
            <w:webHidden/>
          </w:rPr>
          <w:t>126</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887566" w:history="1">
        <w:r>
          <w:rPr>
            <w:rStyle w:val="Hyperlink"/>
            <w:noProof/>
          </w:rPr>
          <w:t>1.3.</w:t>
        </w:r>
        <w:r>
          <w:rPr>
            <w:rFonts w:asciiTheme="minorHAnsi" w:eastAsiaTheme="minorEastAsia" w:hAnsiTheme="minorHAnsi" w:cstheme="minorBidi"/>
            <w:noProof/>
            <w:color w:val="auto"/>
            <w:szCs w:val="22"/>
            <w:lang w:bidi="ar-SA"/>
          </w:rPr>
          <w:tab/>
        </w:r>
        <w:r>
          <w:rPr>
            <w:rStyle w:val="Hyperlink"/>
            <w:noProof/>
          </w:rPr>
          <w:t>VUOTUINEN TALOUSARVIO</w:t>
        </w:r>
        <w:r>
          <w:rPr>
            <w:noProof/>
            <w:webHidden/>
          </w:rPr>
          <w:tab/>
        </w:r>
        <w:r>
          <w:rPr>
            <w:noProof/>
            <w:webHidden/>
          </w:rPr>
          <w:fldChar w:fldCharType="begin"/>
        </w:r>
        <w:r>
          <w:rPr>
            <w:noProof/>
            <w:webHidden/>
          </w:rPr>
          <w:instrText xml:space="preserve"> PAGEREF _Toc17887566 \h </w:instrText>
        </w:r>
        <w:r>
          <w:rPr>
            <w:noProof/>
            <w:webHidden/>
          </w:rPr>
        </w:r>
        <w:r>
          <w:rPr>
            <w:noProof/>
            <w:webHidden/>
          </w:rPr>
          <w:fldChar w:fldCharType="separate"/>
        </w:r>
        <w:r>
          <w:rPr>
            <w:noProof/>
            <w:webHidden/>
          </w:rPr>
          <w:t>127</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887567" w:history="1">
        <w:r>
          <w:rPr>
            <w:rStyle w:val="Hyperlink"/>
            <w:noProof/>
          </w:rPr>
          <w:t>1.4.</w:t>
        </w:r>
        <w:r>
          <w:rPr>
            <w:rFonts w:asciiTheme="minorHAnsi" w:eastAsiaTheme="minorEastAsia" w:hAnsiTheme="minorHAnsi" w:cstheme="minorBidi"/>
            <w:noProof/>
            <w:color w:val="auto"/>
            <w:szCs w:val="22"/>
            <w:lang w:bidi="ar-SA"/>
          </w:rPr>
          <w:tab/>
        </w:r>
        <w:r>
          <w:rPr>
            <w:rStyle w:val="Hyperlink"/>
            <w:noProof/>
          </w:rPr>
          <w:t>TULOT</w:t>
        </w:r>
        <w:r>
          <w:rPr>
            <w:noProof/>
            <w:webHidden/>
          </w:rPr>
          <w:tab/>
        </w:r>
        <w:r>
          <w:rPr>
            <w:noProof/>
            <w:webHidden/>
          </w:rPr>
          <w:fldChar w:fldCharType="begin"/>
        </w:r>
        <w:r>
          <w:rPr>
            <w:noProof/>
            <w:webHidden/>
          </w:rPr>
          <w:instrText xml:space="preserve"> PAGEREF _Toc17887567 \h </w:instrText>
        </w:r>
        <w:r>
          <w:rPr>
            <w:noProof/>
            <w:webHidden/>
          </w:rPr>
        </w:r>
        <w:r>
          <w:rPr>
            <w:noProof/>
            <w:webHidden/>
          </w:rPr>
          <w:fldChar w:fldCharType="separate"/>
        </w:r>
        <w:r>
          <w:rPr>
            <w:noProof/>
            <w:webHidden/>
          </w:rPr>
          <w:t>128</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887568" w:history="1">
        <w:r>
          <w:rPr>
            <w:rStyle w:val="Hyperlink"/>
            <w:noProof/>
          </w:rPr>
          <w:t>1.5.</w:t>
        </w:r>
        <w:r>
          <w:rPr>
            <w:rFonts w:asciiTheme="minorHAnsi" w:eastAsiaTheme="minorEastAsia" w:hAnsiTheme="minorHAnsi" w:cstheme="minorBidi"/>
            <w:noProof/>
            <w:color w:val="auto"/>
            <w:szCs w:val="22"/>
            <w:lang w:bidi="ar-SA"/>
          </w:rPr>
          <w:tab/>
        </w:r>
        <w:r>
          <w:rPr>
            <w:rStyle w:val="Hyperlink"/>
            <w:noProof/>
          </w:rPr>
          <w:t>TALOUSARVION TOTEUTUMAN LASKEMINEN</w:t>
        </w:r>
        <w:r>
          <w:rPr>
            <w:noProof/>
            <w:webHidden/>
          </w:rPr>
          <w:tab/>
        </w:r>
        <w:r>
          <w:rPr>
            <w:noProof/>
            <w:webHidden/>
          </w:rPr>
          <w:fldChar w:fldCharType="begin"/>
        </w:r>
        <w:r>
          <w:rPr>
            <w:noProof/>
            <w:webHidden/>
          </w:rPr>
          <w:instrText xml:space="preserve"> PAGEREF _Toc17887568 \h </w:instrText>
        </w:r>
        <w:r>
          <w:rPr>
            <w:noProof/>
            <w:webHidden/>
          </w:rPr>
        </w:r>
        <w:r>
          <w:rPr>
            <w:noProof/>
            <w:webHidden/>
          </w:rPr>
          <w:fldChar w:fldCharType="separate"/>
        </w:r>
        <w:r>
          <w:rPr>
            <w:noProof/>
            <w:webHidden/>
          </w:rPr>
          <w:t>129</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887569" w:history="1">
        <w:r>
          <w:rPr>
            <w:rStyle w:val="Hyperlink"/>
            <w:noProof/>
          </w:rPr>
          <w:t>1.6.</w:t>
        </w:r>
        <w:r>
          <w:rPr>
            <w:rFonts w:asciiTheme="minorHAnsi" w:eastAsiaTheme="minorEastAsia" w:hAnsiTheme="minorHAnsi" w:cstheme="minorBidi"/>
            <w:noProof/>
            <w:color w:val="auto"/>
            <w:szCs w:val="22"/>
            <w:lang w:bidi="ar-SA"/>
          </w:rPr>
          <w:tab/>
        </w:r>
        <w:r>
          <w:rPr>
            <w:rStyle w:val="Hyperlink"/>
            <w:noProof/>
          </w:rPr>
          <w:t>VARAINHOITOVUODEN TALOUDELLISEN TULOKSEN JA TALOUSARVION TOTEUTUMAN TÄSMÄYTYS</w:t>
        </w:r>
        <w:r>
          <w:rPr>
            <w:noProof/>
            <w:webHidden/>
          </w:rPr>
          <w:tab/>
        </w:r>
        <w:r>
          <w:rPr>
            <w:noProof/>
            <w:webHidden/>
          </w:rPr>
          <w:fldChar w:fldCharType="begin"/>
        </w:r>
        <w:r>
          <w:rPr>
            <w:noProof/>
            <w:webHidden/>
          </w:rPr>
          <w:instrText xml:space="preserve"> PAGEREF _Toc17887569 \h </w:instrText>
        </w:r>
        <w:r>
          <w:rPr>
            <w:noProof/>
            <w:webHidden/>
          </w:rPr>
        </w:r>
        <w:r>
          <w:rPr>
            <w:noProof/>
            <w:webHidden/>
          </w:rPr>
          <w:fldChar w:fldCharType="separate"/>
        </w:r>
        <w:r>
          <w:rPr>
            <w:noProof/>
            <w:webHidden/>
          </w:rPr>
          <w:t>130</w:t>
        </w:r>
        <w:r>
          <w:rPr>
            <w:noProof/>
            <w:webHidden/>
          </w:rPr>
          <w:fldChar w:fldCharType="end"/>
        </w:r>
      </w:hyperlink>
    </w:p>
    <w:p>
      <w:pPr>
        <w:pStyle w:val="TOC1"/>
        <w:tabs>
          <w:tab w:val="left" w:pos="660"/>
          <w:tab w:val="right" w:leader="dot" w:pos="9629"/>
        </w:tabs>
        <w:rPr>
          <w:rFonts w:asciiTheme="minorHAnsi" w:eastAsiaTheme="minorEastAsia" w:hAnsiTheme="minorHAnsi" w:cstheme="minorBidi"/>
          <w:noProof/>
          <w:color w:val="auto"/>
          <w:szCs w:val="22"/>
          <w:lang w:bidi="ar-SA"/>
        </w:rPr>
      </w:pPr>
      <w:hyperlink w:anchor="_Toc17887570" w:history="1">
        <w:r>
          <w:rPr>
            <w:rStyle w:val="Hyperlink"/>
            <w:noProof/>
            <w14:scene3d>
              <w14:camera w14:prst="orthographicFront"/>
              <w14:lightRig w14:rig="threePt" w14:dir="t">
                <w14:rot w14:lat="0" w14:lon="0" w14:rev="0"/>
              </w14:lightRig>
            </w14:scene3d>
            <w14:props3d w14:extrusionH="0" w14:contourW="0" w14:prstMaterial="warmMatte"/>
          </w:rPr>
          <w:t>2.</w:t>
        </w:r>
        <w:r>
          <w:rPr>
            <w:rFonts w:asciiTheme="minorHAnsi" w:eastAsiaTheme="minorEastAsia" w:hAnsiTheme="minorHAnsi" w:cstheme="minorBidi"/>
            <w:noProof/>
            <w:color w:val="auto"/>
            <w:szCs w:val="22"/>
            <w:lang w:bidi="ar-SA"/>
          </w:rPr>
          <w:tab/>
        </w:r>
        <w:r>
          <w:rPr>
            <w:rStyle w:val="Hyperlink"/>
            <w:noProof/>
          </w:rPr>
          <w:t>EU:N VUODEN 2018 TALOUSARVION TOTEUTTAMINEN – YHTEENVETO</w:t>
        </w:r>
        <w:r>
          <w:rPr>
            <w:noProof/>
            <w:webHidden/>
          </w:rPr>
          <w:tab/>
        </w:r>
        <w:r>
          <w:rPr>
            <w:noProof/>
            <w:webHidden/>
          </w:rPr>
          <w:fldChar w:fldCharType="begin"/>
        </w:r>
        <w:r>
          <w:rPr>
            <w:noProof/>
            <w:webHidden/>
          </w:rPr>
          <w:instrText xml:space="preserve"> PAGEREF _Toc17887570 \h </w:instrText>
        </w:r>
        <w:r>
          <w:rPr>
            <w:noProof/>
            <w:webHidden/>
          </w:rPr>
        </w:r>
        <w:r>
          <w:rPr>
            <w:noProof/>
            <w:webHidden/>
          </w:rPr>
          <w:fldChar w:fldCharType="separate"/>
        </w:r>
        <w:r>
          <w:rPr>
            <w:noProof/>
            <w:webHidden/>
          </w:rPr>
          <w:t>131</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887571" w:history="1">
        <w:r>
          <w:rPr>
            <w:rStyle w:val="Hyperlink"/>
            <w:noProof/>
          </w:rPr>
          <w:t>2.1.</w:t>
        </w:r>
        <w:r>
          <w:rPr>
            <w:rFonts w:asciiTheme="minorHAnsi" w:eastAsiaTheme="minorEastAsia" w:hAnsiTheme="minorHAnsi" w:cstheme="minorBidi"/>
            <w:noProof/>
            <w:color w:val="auto"/>
            <w:szCs w:val="22"/>
            <w:lang w:bidi="ar-SA"/>
          </w:rPr>
          <w:tab/>
        </w:r>
        <w:r>
          <w:rPr>
            <w:rStyle w:val="Hyperlink"/>
            <w:noProof/>
          </w:rPr>
          <w:t>TULOT</w:t>
        </w:r>
        <w:r>
          <w:rPr>
            <w:noProof/>
            <w:webHidden/>
          </w:rPr>
          <w:tab/>
        </w:r>
        <w:r>
          <w:rPr>
            <w:noProof/>
            <w:webHidden/>
          </w:rPr>
          <w:fldChar w:fldCharType="begin"/>
        </w:r>
        <w:r>
          <w:rPr>
            <w:noProof/>
            <w:webHidden/>
          </w:rPr>
          <w:instrText xml:space="preserve"> PAGEREF _Toc17887571 \h </w:instrText>
        </w:r>
        <w:r>
          <w:rPr>
            <w:noProof/>
            <w:webHidden/>
          </w:rPr>
        </w:r>
        <w:r>
          <w:rPr>
            <w:noProof/>
            <w:webHidden/>
          </w:rPr>
          <w:fldChar w:fldCharType="separate"/>
        </w:r>
        <w:r>
          <w:rPr>
            <w:noProof/>
            <w:webHidden/>
          </w:rPr>
          <w:t>131</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887572" w:history="1">
        <w:r>
          <w:rPr>
            <w:rStyle w:val="Hyperlink"/>
            <w:noProof/>
          </w:rPr>
          <w:t>2.2.</w:t>
        </w:r>
        <w:r>
          <w:rPr>
            <w:rFonts w:asciiTheme="minorHAnsi" w:eastAsiaTheme="minorEastAsia" w:hAnsiTheme="minorHAnsi" w:cstheme="minorBidi"/>
            <w:noProof/>
            <w:color w:val="auto"/>
            <w:szCs w:val="22"/>
            <w:lang w:bidi="ar-SA"/>
          </w:rPr>
          <w:tab/>
        </w:r>
        <w:r>
          <w:rPr>
            <w:rStyle w:val="Hyperlink"/>
            <w:noProof/>
          </w:rPr>
          <w:t>MENOT</w:t>
        </w:r>
        <w:r>
          <w:rPr>
            <w:noProof/>
            <w:webHidden/>
          </w:rPr>
          <w:tab/>
        </w:r>
        <w:r>
          <w:rPr>
            <w:noProof/>
            <w:webHidden/>
          </w:rPr>
          <w:fldChar w:fldCharType="begin"/>
        </w:r>
        <w:r>
          <w:rPr>
            <w:noProof/>
            <w:webHidden/>
          </w:rPr>
          <w:instrText xml:space="preserve"> PAGEREF _Toc17887572 \h </w:instrText>
        </w:r>
        <w:r>
          <w:rPr>
            <w:noProof/>
            <w:webHidden/>
          </w:rPr>
        </w:r>
        <w:r>
          <w:rPr>
            <w:noProof/>
            <w:webHidden/>
          </w:rPr>
          <w:fldChar w:fldCharType="separate"/>
        </w:r>
        <w:r>
          <w:rPr>
            <w:noProof/>
            <w:webHidden/>
          </w:rPr>
          <w:t>132</w:t>
        </w:r>
        <w:r>
          <w:rPr>
            <w:noProof/>
            <w:webHidden/>
          </w:rPr>
          <w:fldChar w:fldCharType="end"/>
        </w:r>
      </w:hyperlink>
    </w:p>
    <w:p>
      <w:pPr>
        <w:pStyle w:val="TOC1"/>
        <w:tabs>
          <w:tab w:val="left" w:pos="660"/>
          <w:tab w:val="right" w:leader="dot" w:pos="9629"/>
        </w:tabs>
        <w:rPr>
          <w:rFonts w:asciiTheme="minorHAnsi" w:eastAsiaTheme="minorEastAsia" w:hAnsiTheme="minorHAnsi" w:cstheme="minorBidi"/>
          <w:noProof/>
          <w:color w:val="auto"/>
          <w:szCs w:val="22"/>
          <w:lang w:bidi="ar-SA"/>
        </w:rPr>
      </w:pPr>
      <w:hyperlink w:anchor="_Toc17887573" w:history="1">
        <w:r>
          <w:rPr>
            <w:rStyle w:val="Hyperlink"/>
            <w:noProof/>
            <w14:scene3d>
              <w14:camera w14:prst="orthographicFront"/>
              <w14:lightRig w14:rig="threePt" w14:dir="t">
                <w14:rot w14:lat="0" w14:lon="0" w14:rev="0"/>
              </w14:lightRig>
            </w14:scene3d>
            <w14:props3d w14:extrusionH="0" w14:contourW="0" w14:prstMaterial="warmMatte"/>
          </w:rPr>
          <w:t>3.</w:t>
        </w:r>
        <w:r>
          <w:rPr>
            <w:rFonts w:asciiTheme="minorHAnsi" w:eastAsiaTheme="minorEastAsia" w:hAnsiTheme="minorHAnsi" w:cstheme="minorBidi"/>
            <w:noProof/>
            <w:color w:val="auto"/>
            <w:szCs w:val="22"/>
            <w:lang w:bidi="ar-SA"/>
          </w:rPr>
          <w:tab/>
        </w:r>
        <w:r>
          <w:rPr>
            <w:rStyle w:val="Hyperlink"/>
            <w:noProof/>
          </w:rPr>
          <w:t>EU:N TALOUSARVION TULOJEN TOTEUTUMINEN</w:t>
        </w:r>
        <w:r>
          <w:rPr>
            <w:noProof/>
            <w:webHidden/>
          </w:rPr>
          <w:tab/>
        </w:r>
        <w:r>
          <w:rPr>
            <w:noProof/>
            <w:webHidden/>
          </w:rPr>
          <w:fldChar w:fldCharType="begin"/>
        </w:r>
        <w:r>
          <w:rPr>
            <w:noProof/>
            <w:webHidden/>
          </w:rPr>
          <w:instrText xml:space="preserve"> PAGEREF _Toc17887573 \h </w:instrText>
        </w:r>
        <w:r>
          <w:rPr>
            <w:noProof/>
            <w:webHidden/>
          </w:rPr>
        </w:r>
        <w:r>
          <w:rPr>
            <w:noProof/>
            <w:webHidden/>
          </w:rPr>
          <w:fldChar w:fldCharType="separate"/>
        </w:r>
        <w:r>
          <w:rPr>
            <w:noProof/>
            <w:webHidden/>
          </w:rPr>
          <w:t>133</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887574" w:history="1">
        <w:r>
          <w:rPr>
            <w:rStyle w:val="Hyperlink"/>
            <w:noProof/>
          </w:rPr>
          <w:t>3.1.</w:t>
        </w:r>
        <w:r>
          <w:rPr>
            <w:rFonts w:asciiTheme="minorHAnsi" w:eastAsiaTheme="minorEastAsia" w:hAnsiTheme="minorHAnsi" w:cstheme="minorBidi"/>
            <w:noProof/>
            <w:color w:val="auto"/>
            <w:szCs w:val="22"/>
            <w:lang w:bidi="ar-SA"/>
          </w:rPr>
          <w:tab/>
        </w:r>
        <w:r>
          <w:rPr>
            <w:rStyle w:val="Hyperlink"/>
            <w:noProof/>
          </w:rPr>
          <w:t>YHTEENVETO TALOUSARVION TULOTOTEUTUMASTA</w:t>
        </w:r>
        <w:r>
          <w:rPr>
            <w:noProof/>
            <w:webHidden/>
          </w:rPr>
          <w:tab/>
        </w:r>
        <w:r>
          <w:rPr>
            <w:noProof/>
            <w:webHidden/>
          </w:rPr>
          <w:fldChar w:fldCharType="begin"/>
        </w:r>
        <w:r>
          <w:rPr>
            <w:noProof/>
            <w:webHidden/>
          </w:rPr>
          <w:instrText xml:space="preserve"> PAGEREF _Toc17887574 \h </w:instrText>
        </w:r>
        <w:r>
          <w:rPr>
            <w:noProof/>
            <w:webHidden/>
          </w:rPr>
        </w:r>
        <w:r>
          <w:rPr>
            <w:noProof/>
            <w:webHidden/>
          </w:rPr>
          <w:fldChar w:fldCharType="separate"/>
        </w:r>
        <w:r>
          <w:rPr>
            <w:noProof/>
            <w:webHidden/>
          </w:rPr>
          <w:t>133</w:t>
        </w:r>
        <w:r>
          <w:rPr>
            <w:noProof/>
            <w:webHidden/>
          </w:rPr>
          <w:fldChar w:fldCharType="end"/>
        </w:r>
      </w:hyperlink>
    </w:p>
    <w:p>
      <w:pPr>
        <w:pStyle w:val="TOC1"/>
        <w:tabs>
          <w:tab w:val="left" w:pos="660"/>
          <w:tab w:val="right" w:leader="dot" w:pos="9629"/>
        </w:tabs>
        <w:rPr>
          <w:rFonts w:asciiTheme="minorHAnsi" w:eastAsiaTheme="minorEastAsia" w:hAnsiTheme="minorHAnsi" w:cstheme="minorBidi"/>
          <w:noProof/>
          <w:color w:val="auto"/>
          <w:szCs w:val="22"/>
          <w:lang w:bidi="ar-SA"/>
        </w:rPr>
      </w:pPr>
      <w:hyperlink w:anchor="_Toc17887575" w:history="1">
        <w:r>
          <w:rPr>
            <w:rStyle w:val="Hyperlink"/>
            <w:noProof/>
            <w14:scene3d>
              <w14:camera w14:prst="orthographicFront"/>
              <w14:lightRig w14:rig="threePt" w14:dir="t">
                <w14:rot w14:lat="0" w14:lon="0" w14:rev="0"/>
              </w14:lightRig>
            </w14:scene3d>
            <w14:props3d w14:extrusionH="0" w14:contourW="0" w14:prstMaterial="warmMatte"/>
          </w:rPr>
          <w:t>4.</w:t>
        </w:r>
        <w:r>
          <w:rPr>
            <w:rFonts w:asciiTheme="minorHAnsi" w:eastAsiaTheme="minorEastAsia" w:hAnsiTheme="minorHAnsi" w:cstheme="minorBidi"/>
            <w:noProof/>
            <w:color w:val="auto"/>
            <w:szCs w:val="22"/>
            <w:lang w:bidi="ar-SA"/>
          </w:rPr>
          <w:tab/>
        </w:r>
        <w:r>
          <w:rPr>
            <w:rStyle w:val="Hyperlink"/>
            <w:noProof/>
          </w:rPr>
          <w:t>EU:N TALOUSARVION MENOJEN TOTEUTUMINEN</w:t>
        </w:r>
        <w:r>
          <w:rPr>
            <w:noProof/>
            <w:webHidden/>
          </w:rPr>
          <w:tab/>
        </w:r>
        <w:r>
          <w:rPr>
            <w:noProof/>
            <w:webHidden/>
          </w:rPr>
          <w:fldChar w:fldCharType="begin"/>
        </w:r>
        <w:r>
          <w:rPr>
            <w:noProof/>
            <w:webHidden/>
          </w:rPr>
          <w:instrText xml:space="preserve"> PAGEREF _Toc17887575 \h </w:instrText>
        </w:r>
        <w:r>
          <w:rPr>
            <w:noProof/>
            <w:webHidden/>
          </w:rPr>
        </w:r>
        <w:r>
          <w:rPr>
            <w:noProof/>
            <w:webHidden/>
          </w:rPr>
          <w:fldChar w:fldCharType="separate"/>
        </w:r>
        <w:r>
          <w:rPr>
            <w:noProof/>
            <w:webHidden/>
          </w:rPr>
          <w:t>134</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887576" w:history="1">
        <w:r>
          <w:rPr>
            <w:rStyle w:val="Hyperlink"/>
            <w:noProof/>
          </w:rPr>
          <w:t>4.1.</w:t>
        </w:r>
        <w:r>
          <w:rPr>
            <w:rFonts w:asciiTheme="minorHAnsi" w:eastAsiaTheme="minorEastAsia" w:hAnsiTheme="minorHAnsi" w:cstheme="minorBidi"/>
            <w:noProof/>
            <w:color w:val="auto"/>
            <w:szCs w:val="22"/>
            <w:lang w:bidi="ar-SA"/>
          </w:rPr>
          <w:tab/>
        </w:r>
        <w:r>
          <w:rPr>
            <w:rStyle w:val="Hyperlink"/>
            <w:noProof/>
          </w:rPr>
          <w:t>MONIVUOTINEN RAHOITUSKEHYS: MAKSUSITOUMUS- JA MAKSUMÄÄRÄRAHOJEN JAKAUTUMINEN JA MUUTOKSET</w:t>
        </w:r>
        <w:r>
          <w:rPr>
            <w:noProof/>
            <w:webHidden/>
          </w:rPr>
          <w:tab/>
        </w:r>
        <w:r>
          <w:rPr>
            <w:noProof/>
            <w:webHidden/>
          </w:rPr>
          <w:fldChar w:fldCharType="begin"/>
        </w:r>
        <w:r>
          <w:rPr>
            <w:noProof/>
            <w:webHidden/>
          </w:rPr>
          <w:instrText xml:space="preserve"> PAGEREF _Toc17887576 \h </w:instrText>
        </w:r>
        <w:r>
          <w:rPr>
            <w:noProof/>
            <w:webHidden/>
          </w:rPr>
        </w:r>
        <w:r>
          <w:rPr>
            <w:noProof/>
            <w:webHidden/>
          </w:rPr>
          <w:fldChar w:fldCharType="separate"/>
        </w:r>
        <w:r>
          <w:rPr>
            <w:noProof/>
            <w:webHidden/>
          </w:rPr>
          <w:t>134</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887577" w:history="1">
        <w:r>
          <w:rPr>
            <w:rStyle w:val="Hyperlink"/>
            <w:noProof/>
          </w:rPr>
          <w:t>4.2.</w:t>
        </w:r>
        <w:r>
          <w:rPr>
            <w:rFonts w:asciiTheme="minorHAnsi" w:eastAsiaTheme="minorEastAsia" w:hAnsiTheme="minorHAnsi" w:cstheme="minorBidi"/>
            <w:noProof/>
            <w:color w:val="auto"/>
            <w:szCs w:val="22"/>
            <w:lang w:bidi="ar-SA"/>
          </w:rPr>
          <w:tab/>
        </w:r>
        <w:r>
          <w:rPr>
            <w:rStyle w:val="Hyperlink"/>
            <w:noProof/>
          </w:rPr>
          <w:t>MAKSUSITOUMUSMÄÄRÄRAHOJEN TOTEUTUMINEN MONIVUOTISEN RAHOITUSKEHYKSEN OTSAKKEITTAIN</w:t>
        </w:r>
        <w:r>
          <w:rPr>
            <w:noProof/>
            <w:webHidden/>
          </w:rPr>
          <w:tab/>
        </w:r>
        <w:r>
          <w:rPr>
            <w:noProof/>
            <w:webHidden/>
          </w:rPr>
          <w:fldChar w:fldCharType="begin"/>
        </w:r>
        <w:r>
          <w:rPr>
            <w:noProof/>
            <w:webHidden/>
          </w:rPr>
          <w:instrText xml:space="preserve"> PAGEREF _Toc17887577 \h </w:instrText>
        </w:r>
        <w:r>
          <w:rPr>
            <w:noProof/>
            <w:webHidden/>
          </w:rPr>
        </w:r>
        <w:r>
          <w:rPr>
            <w:noProof/>
            <w:webHidden/>
          </w:rPr>
          <w:fldChar w:fldCharType="separate"/>
        </w:r>
        <w:r>
          <w:rPr>
            <w:noProof/>
            <w:webHidden/>
          </w:rPr>
          <w:t>135</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887578" w:history="1">
        <w:r>
          <w:rPr>
            <w:rStyle w:val="Hyperlink"/>
            <w:noProof/>
          </w:rPr>
          <w:t>4.3.</w:t>
        </w:r>
        <w:r>
          <w:rPr>
            <w:rFonts w:asciiTheme="minorHAnsi" w:eastAsiaTheme="minorEastAsia" w:hAnsiTheme="minorHAnsi" w:cstheme="minorBidi"/>
            <w:noProof/>
            <w:color w:val="auto"/>
            <w:szCs w:val="22"/>
            <w:lang w:bidi="ar-SA"/>
          </w:rPr>
          <w:tab/>
        </w:r>
        <w:r>
          <w:rPr>
            <w:rStyle w:val="Hyperlink"/>
            <w:noProof/>
          </w:rPr>
          <w:t>MAKSUMÄÄRÄRAHOJEN TOTEUTUMINEN MONIVUOTISEN RAHOITUSKEHYKSEN OTSAKKEITTAIN</w:t>
        </w:r>
        <w:r>
          <w:rPr>
            <w:noProof/>
            <w:webHidden/>
          </w:rPr>
          <w:tab/>
        </w:r>
        <w:r>
          <w:rPr>
            <w:noProof/>
            <w:webHidden/>
          </w:rPr>
          <w:fldChar w:fldCharType="begin"/>
        </w:r>
        <w:r>
          <w:rPr>
            <w:noProof/>
            <w:webHidden/>
          </w:rPr>
          <w:instrText xml:space="preserve"> PAGEREF _Toc17887578 \h </w:instrText>
        </w:r>
        <w:r>
          <w:rPr>
            <w:noProof/>
            <w:webHidden/>
          </w:rPr>
        </w:r>
        <w:r>
          <w:rPr>
            <w:noProof/>
            <w:webHidden/>
          </w:rPr>
          <w:fldChar w:fldCharType="separate"/>
        </w:r>
        <w:r>
          <w:rPr>
            <w:noProof/>
            <w:webHidden/>
          </w:rPr>
          <w:t>136</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887579" w:history="1">
        <w:r>
          <w:rPr>
            <w:rStyle w:val="Hyperlink"/>
            <w:noProof/>
          </w:rPr>
          <w:t>4.4.</w:t>
        </w:r>
        <w:r>
          <w:rPr>
            <w:rFonts w:asciiTheme="minorHAnsi" w:eastAsiaTheme="minorEastAsia" w:hAnsiTheme="minorHAnsi" w:cstheme="minorBidi"/>
            <w:noProof/>
            <w:color w:val="auto"/>
            <w:szCs w:val="22"/>
            <w:lang w:bidi="ar-SA"/>
          </w:rPr>
          <w:tab/>
        </w:r>
        <w:r>
          <w:rPr>
            <w:rStyle w:val="Hyperlink"/>
            <w:noProof/>
          </w:rPr>
          <w:t>MAKSATTAMATTA OLEVIEN SITOUMUSTEN MUUTOKSET MONIVUOTISEN RAHOITUSKEHYKSEN OTSAKKEITTAIN</w:t>
        </w:r>
        <w:r>
          <w:rPr>
            <w:noProof/>
            <w:webHidden/>
          </w:rPr>
          <w:tab/>
        </w:r>
        <w:r>
          <w:rPr>
            <w:noProof/>
            <w:webHidden/>
          </w:rPr>
          <w:fldChar w:fldCharType="begin"/>
        </w:r>
        <w:r>
          <w:rPr>
            <w:noProof/>
            <w:webHidden/>
          </w:rPr>
          <w:instrText xml:space="preserve"> PAGEREF _Toc17887579 \h </w:instrText>
        </w:r>
        <w:r>
          <w:rPr>
            <w:noProof/>
            <w:webHidden/>
          </w:rPr>
        </w:r>
        <w:r>
          <w:rPr>
            <w:noProof/>
            <w:webHidden/>
          </w:rPr>
          <w:fldChar w:fldCharType="separate"/>
        </w:r>
        <w:r>
          <w:rPr>
            <w:noProof/>
            <w:webHidden/>
          </w:rPr>
          <w:t>137</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887580" w:history="1">
        <w:r>
          <w:rPr>
            <w:rStyle w:val="Hyperlink"/>
            <w:noProof/>
          </w:rPr>
          <w:t>4.5.</w:t>
        </w:r>
        <w:r>
          <w:rPr>
            <w:rFonts w:asciiTheme="minorHAnsi" w:eastAsiaTheme="minorEastAsia" w:hAnsiTheme="minorHAnsi" w:cstheme="minorBidi"/>
            <w:noProof/>
            <w:color w:val="auto"/>
            <w:szCs w:val="22"/>
            <w:lang w:bidi="ar-SA"/>
          </w:rPr>
          <w:tab/>
        </w:r>
        <w:r>
          <w:rPr>
            <w:rStyle w:val="Hyperlink"/>
            <w:noProof/>
          </w:rPr>
          <w:t>MAKSATTAMATTA OLEVIEN SITOUMUSTEN JAKAUTUMINEN ALKUPERÄVUODEN MUKAAN MONIVUOTISEN RAHOITUSKEHYKSEN OTSAKKEITTAIN</w:t>
        </w:r>
        <w:r>
          <w:rPr>
            <w:noProof/>
            <w:webHidden/>
          </w:rPr>
          <w:tab/>
        </w:r>
        <w:r>
          <w:rPr>
            <w:noProof/>
            <w:webHidden/>
          </w:rPr>
          <w:fldChar w:fldCharType="begin"/>
        </w:r>
        <w:r>
          <w:rPr>
            <w:noProof/>
            <w:webHidden/>
          </w:rPr>
          <w:instrText xml:space="preserve"> PAGEREF _Toc17887580 \h </w:instrText>
        </w:r>
        <w:r>
          <w:rPr>
            <w:noProof/>
            <w:webHidden/>
          </w:rPr>
        </w:r>
        <w:r>
          <w:rPr>
            <w:noProof/>
            <w:webHidden/>
          </w:rPr>
          <w:fldChar w:fldCharType="separate"/>
        </w:r>
        <w:r>
          <w:rPr>
            <w:noProof/>
            <w:webHidden/>
          </w:rPr>
          <w:t>138</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887581" w:history="1">
        <w:r>
          <w:rPr>
            <w:rStyle w:val="Hyperlink"/>
            <w:noProof/>
          </w:rPr>
          <w:t>4.6.</w:t>
        </w:r>
        <w:r>
          <w:rPr>
            <w:rFonts w:asciiTheme="minorHAnsi" w:eastAsiaTheme="minorEastAsia" w:hAnsiTheme="minorHAnsi" w:cstheme="minorBidi"/>
            <w:noProof/>
            <w:color w:val="auto"/>
            <w:szCs w:val="22"/>
            <w:lang w:bidi="ar-SA"/>
          </w:rPr>
          <w:tab/>
        </w:r>
        <w:r>
          <w:rPr>
            <w:rStyle w:val="Hyperlink"/>
            <w:noProof/>
          </w:rPr>
          <w:t>YKSITYISKOHTAINEN MONIVUOTINEN RAHOITUSKEHYS: MAKSUSITOUMUS- JA MAKSUMÄÄRÄRAHOJEN JAKAUTUMINEN JA MUUTOKSET</w:t>
        </w:r>
        <w:r>
          <w:rPr>
            <w:noProof/>
            <w:webHidden/>
          </w:rPr>
          <w:tab/>
        </w:r>
        <w:r>
          <w:rPr>
            <w:noProof/>
            <w:webHidden/>
          </w:rPr>
          <w:fldChar w:fldCharType="begin"/>
        </w:r>
        <w:r>
          <w:rPr>
            <w:noProof/>
            <w:webHidden/>
          </w:rPr>
          <w:instrText xml:space="preserve"> PAGEREF _Toc17887581 \h </w:instrText>
        </w:r>
        <w:r>
          <w:rPr>
            <w:noProof/>
            <w:webHidden/>
          </w:rPr>
        </w:r>
        <w:r>
          <w:rPr>
            <w:noProof/>
            <w:webHidden/>
          </w:rPr>
          <w:fldChar w:fldCharType="separate"/>
        </w:r>
        <w:r>
          <w:rPr>
            <w:noProof/>
            <w:webHidden/>
          </w:rPr>
          <w:t>139</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887582" w:history="1">
        <w:r>
          <w:rPr>
            <w:rStyle w:val="Hyperlink"/>
            <w:noProof/>
          </w:rPr>
          <w:t>4.7.</w:t>
        </w:r>
        <w:r>
          <w:rPr>
            <w:rFonts w:asciiTheme="minorHAnsi" w:eastAsiaTheme="minorEastAsia" w:hAnsiTheme="minorHAnsi" w:cstheme="minorBidi"/>
            <w:noProof/>
            <w:color w:val="auto"/>
            <w:szCs w:val="22"/>
            <w:lang w:bidi="ar-SA"/>
          </w:rPr>
          <w:tab/>
        </w:r>
        <w:r>
          <w:rPr>
            <w:rStyle w:val="Hyperlink"/>
            <w:noProof/>
          </w:rPr>
          <w:t>YKSITYISKOHTAINEN MONIVUOTINEN RAHOITUSKEHYS: MAKSUSITOUMUSMÄÄRÄRAHOJEN TOTEUTUMINEN</w:t>
        </w:r>
        <w:r>
          <w:rPr>
            <w:noProof/>
            <w:webHidden/>
          </w:rPr>
          <w:tab/>
        </w:r>
        <w:r>
          <w:rPr>
            <w:noProof/>
            <w:webHidden/>
          </w:rPr>
          <w:fldChar w:fldCharType="begin"/>
        </w:r>
        <w:r>
          <w:rPr>
            <w:noProof/>
            <w:webHidden/>
          </w:rPr>
          <w:instrText xml:space="preserve"> PAGEREF _Toc17887582 \h </w:instrText>
        </w:r>
        <w:r>
          <w:rPr>
            <w:noProof/>
            <w:webHidden/>
          </w:rPr>
        </w:r>
        <w:r>
          <w:rPr>
            <w:noProof/>
            <w:webHidden/>
          </w:rPr>
          <w:fldChar w:fldCharType="separate"/>
        </w:r>
        <w:r>
          <w:rPr>
            <w:noProof/>
            <w:webHidden/>
          </w:rPr>
          <w:t>145</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887583" w:history="1">
        <w:r>
          <w:rPr>
            <w:rStyle w:val="Hyperlink"/>
            <w:noProof/>
          </w:rPr>
          <w:t>4.8.</w:t>
        </w:r>
        <w:r>
          <w:rPr>
            <w:rFonts w:asciiTheme="minorHAnsi" w:eastAsiaTheme="minorEastAsia" w:hAnsiTheme="minorHAnsi" w:cstheme="minorBidi"/>
            <w:noProof/>
            <w:color w:val="auto"/>
            <w:szCs w:val="22"/>
            <w:lang w:bidi="ar-SA"/>
          </w:rPr>
          <w:tab/>
        </w:r>
        <w:r>
          <w:rPr>
            <w:rStyle w:val="Hyperlink"/>
            <w:noProof/>
          </w:rPr>
          <w:t>YKSITYISKOHTAINEN MONIVUOTINEN RAHOITUSKEHYS: MONIVUOTISEN RAHOITUSKEHYKSEN OTSAKKEITTAIN</w:t>
        </w:r>
        <w:r>
          <w:rPr>
            <w:noProof/>
            <w:webHidden/>
          </w:rPr>
          <w:tab/>
        </w:r>
        <w:r>
          <w:rPr>
            <w:noProof/>
            <w:webHidden/>
          </w:rPr>
          <w:fldChar w:fldCharType="begin"/>
        </w:r>
        <w:r>
          <w:rPr>
            <w:noProof/>
            <w:webHidden/>
          </w:rPr>
          <w:instrText xml:space="preserve"> PAGEREF _Toc17887583 \h </w:instrText>
        </w:r>
        <w:r>
          <w:rPr>
            <w:noProof/>
            <w:webHidden/>
          </w:rPr>
        </w:r>
        <w:r>
          <w:rPr>
            <w:noProof/>
            <w:webHidden/>
          </w:rPr>
          <w:fldChar w:fldCharType="separate"/>
        </w:r>
        <w:r>
          <w:rPr>
            <w:noProof/>
            <w:webHidden/>
          </w:rPr>
          <w:t>151</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887584" w:history="1">
        <w:r>
          <w:rPr>
            <w:rStyle w:val="Hyperlink"/>
            <w:noProof/>
          </w:rPr>
          <w:t>4.9.</w:t>
        </w:r>
        <w:r>
          <w:rPr>
            <w:rFonts w:asciiTheme="minorHAnsi" w:eastAsiaTheme="minorEastAsia" w:hAnsiTheme="minorHAnsi" w:cstheme="minorBidi"/>
            <w:noProof/>
            <w:color w:val="auto"/>
            <w:szCs w:val="22"/>
            <w:lang w:bidi="ar-SA"/>
          </w:rPr>
          <w:tab/>
        </w:r>
        <w:r>
          <w:rPr>
            <w:rStyle w:val="Hyperlink"/>
            <w:noProof/>
          </w:rPr>
          <w:t>YKSITYISKOHTAINEN MONIVUOTINEN RAHOITUSKEHYS: MAKSATTAMATTA OLEVIEN SITOUMUSTEN MUUTOKSET</w:t>
        </w:r>
        <w:r>
          <w:rPr>
            <w:noProof/>
            <w:webHidden/>
          </w:rPr>
          <w:tab/>
        </w:r>
        <w:r>
          <w:rPr>
            <w:noProof/>
            <w:webHidden/>
          </w:rPr>
          <w:fldChar w:fldCharType="begin"/>
        </w:r>
        <w:r>
          <w:rPr>
            <w:noProof/>
            <w:webHidden/>
          </w:rPr>
          <w:instrText xml:space="preserve"> PAGEREF _Toc17887584 \h </w:instrText>
        </w:r>
        <w:r>
          <w:rPr>
            <w:noProof/>
            <w:webHidden/>
          </w:rPr>
        </w:r>
        <w:r>
          <w:rPr>
            <w:noProof/>
            <w:webHidden/>
          </w:rPr>
          <w:fldChar w:fldCharType="separate"/>
        </w:r>
        <w:r>
          <w:rPr>
            <w:noProof/>
            <w:webHidden/>
          </w:rPr>
          <w:t>158</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887585" w:history="1">
        <w:r>
          <w:rPr>
            <w:rStyle w:val="Hyperlink"/>
            <w:noProof/>
          </w:rPr>
          <w:t>4.10.</w:t>
        </w:r>
        <w:r>
          <w:rPr>
            <w:rFonts w:asciiTheme="minorHAnsi" w:eastAsiaTheme="minorEastAsia" w:hAnsiTheme="minorHAnsi" w:cstheme="minorBidi"/>
            <w:noProof/>
            <w:color w:val="auto"/>
            <w:szCs w:val="22"/>
            <w:lang w:bidi="ar-SA"/>
          </w:rPr>
          <w:tab/>
        </w:r>
        <w:r>
          <w:rPr>
            <w:rStyle w:val="Hyperlink"/>
            <w:noProof/>
          </w:rPr>
          <w:t>YKSITYISKOHTAINEN MONIVUOTINEN RAHOITUSKEHYS: MONIVUOTISEN RAHOITUSKEHYKSEN OTSAKKEITTAIN</w:t>
        </w:r>
        <w:r>
          <w:rPr>
            <w:noProof/>
            <w:webHidden/>
          </w:rPr>
          <w:tab/>
        </w:r>
        <w:r>
          <w:rPr>
            <w:noProof/>
            <w:webHidden/>
          </w:rPr>
          <w:fldChar w:fldCharType="begin"/>
        </w:r>
        <w:r>
          <w:rPr>
            <w:noProof/>
            <w:webHidden/>
          </w:rPr>
          <w:instrText xml:space="preserve"> PAGEREF _Toc17887585 \h </w:instrText>
        </w:r>
        <w:r>
          <w:rPr>
            <w:noProof/>
            <w:webHidden/>
          </w:rPr>
        </w:r>
        <w:r>
          <w:rPr>
            <w:noProof/>
            <w:webHidden/>
          </w:rPr>
          <w:fldChar w:fldCharType="separate"/>
        </w:r>
        <w:r>
          <w:rPr>
            <w:noProof/>
            <w:webHidden/>
          </w:rPr>
          <w:t>163</w:t>
        </w:r>
        <w:r>
          <w:rPr>
            <w:noProof/>
            <w:webHidden/>
          </w:rPr>
          <w:fldChar w:fldCharType="end"/>
        </w:r>
      </w:hyperlink>
    </w:p>
    <w:p>
      <w:pPr>
        <w:pStyle w:val="TOC1"/>
        <w:tabs>
          <w:tab w:val="left" w:pos="660"/>
          <w:tab w:val="right" w:leader="dot" w:pos="9629"/>
        </w:tabs>
        <w:rPr>
          <w:rFonts w:asciiTheme="minorHAnsi" w:eastAsiaTheme="minorEastAsia" w:hAnsiTheme="minorHAnsi" w:cstheme="minorBidi"/>
          <w:noProof/>
          <w:color w:val="auto"/>
          <w:szCs w:val="22"/>
          <w:lang w:bidi="ar-SA"/>
        </w:rPr>
      </w:pPr>
      <w:hyperlink w:anchor="_Toc17887586" w:history="1">
        <w:r>
          <w:rPr>
            <w:rStyle w:val="Hyperlink"/>
            <w:noProof/>
            <w14:scene3d>
              <w14:camera w14:prst="orthographicFront"/>
              <w14:lightRig w14:rig="threePt" w14:dir="t">
                <w14:rot w14:lat="0" w14:lon="0" w14:rev="0"/>
              </w14:lightRig>
            </w14:scene3d>
            <w14:props3d w14:extrusionH="0" w14:contourW="0" w14:prstMaterial="warmMatte"/>
          </w:rPr>
          <w:t>5.</w:t>
        </w:r>
        <w:r>
          <w:rPr>
            <w:rFonts w:asciiTheme="minorHAnsi" w:eastAsiaTheme="minorEastAsia" w:hAnsiTheme="minorHAnsi" w:cstheme="minorBidi"/>
            <w:noProof/>
            <w:color w:val="auto"/>
            <w:szCs w:val="22"/>
            <w:lang w:bidi="ar-SA"/>
          </w:rPr>
          <w:tab/>
        </w:r>
        <w:r>
          <w:rPr>
            <w:rStyle w:val="Hyperlink"/>
            <w:noProof/>
          </w:rPr>
          <w:t>TALOUSARVION TOTEUTTAMINEN TOIMIELIMITTÄIN</w:t>
        </w:r>
        <w:r>
          <w:rPr>
            <w:noProof/>
            <w:webHidden/>
          </w:rPr>
          <w:tab/>
        </w:r>
        <w:r>
          <w:rPr>
            <w:noProof/>
            <w:webHidden/>
          </w:rPr>
          <w:fldChar w:fldCharType="begin"/>
        </w:r>
        <w:r>
          <w:rPr>
            <w:noProof/>
            <w:webHidden/>
          </w:rPr>
          <w:instrText xml:space="preserve"> PAGEREF _Toc17887586 \h </w:instrText>
        </w:r>
        <w:r>
          <w:rPr>
            <w:noProof/>
            <w:webHidden/>
          </w:rPr>
        </w:r>
        <w:r>
          <w:rPr>
            <w:noProof/>
            <w:webHidden/>
          </w:rPr>
          <w:fldChar w:fldCharType="separate"/>
        </w:r>
        <w:r>
          <w:rPr>
            <w:noProof/>
            <w:webHidden/>
          </w:rPr>
          <w:t>166</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887587" w:history="1">
        <w:r>
          <w:rPr>
            <w:rStyle w:val="Hyperlink"/>
            <w:noProof/>
          </w:rPr>
          <w:t>5.1.</w:t>
        </w:r>
        <w:r>
          <w:rPr>
            <w:rFonts w:asciiTheme="minorHAnsi" w:eastAsiaTheme="minorEastAsia" w:hAnsiTheme="minorHAnsi" w:cstheme="minorBidi"/>
            <w:noProof/>
            <w:color w:val="auto"/>
            <w:szCs w:val="22"/>
            <w:lang w:bidi="ar-SA"/>
          </w:rPr>
          <w:tab/>
        </w:r>
        <w:r>
          <w:rPr>
            <w:rStyle w:val="Hyperlink"/>
            <w:noProof/>
          </w:rPr>
          <w:t>TALOUSARVION TULOJEN TOTEUTUMINEN</w:t>
        </w:r>
        <w:r>
          <w:rPr>
            <w:noProof/>
            <w:webHidden/>
          </w:rPr>
          <w:tab/>
        </w:r>
        <w:r>
          <w:rPr>
            <w:noProof/>
            <w:webHidden/>
          </w:rPr>
          <w:fldChar w:fldCharType="begin"/>
        </w:r>
        <w:r>
          <w:rPr>
            <w:noProof/>
            <w:webHidden/>
          </w:rPr>
          <w:instrText xml:space="preserve"> PAGEREF _Toc17887587 \h </w:instrText>
        </w:r>
        <w:r>
          <w:rPr>
            <w:noProof/>
            <w:webHidden/>
          </w:rPr>
        </w:r>
        <w:r>
          <w:rPr>
            <w:noProof/>
            <w:webHidden/>
          </w:rPr>
          <w:fldChar w:fldCharType="separate"/>
        </w:r>
        <w:r>
          <w:rPr>
            <w:noProof/>
            <w:webHidden/>
          </w:rPr>
          <w:t>166</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887588" w:history="1">
        <w:r>
          <w:rPr>
            <w:rStyle w:val="Hyperlink"/>
            <w:noProof/>
          </w:rPr>
          <w:t>5.2.</w:t>
        </w:r>
        <w:r>
          <w:rPr>
            <w:rFonts w:asciiTheme="minorHAnsi" w:eastAsiaTheme="minorEastAsia" w:hAnsiTheme="minorHAnsi" w:cstheme="minorBidi"/>
            <w:noProof/>
            <w:color w:val="auto"/>
            <w:szCs w:val="22"/>
            <w:lang w:bidi="ar-SA"/>
          </w:rPr>
          <w:tab/>
        </w:r>
        <w:r>
          <w:rPr>
            <w:rStyle w:val="Hyperlink"/>
            <w:noProof/>
          </w:rPr>
          <w:t>MAKSUSITOUMUSMÄÄRÄRAHOJEN TOTEUTUMINEN</w:t>
        </w:r>
        <w:r>
          <w:rPr>
            <w:noProof/>
            <w:webHidden/>
          </w:rPr>
          <w:tab/>
        </w:r>
        <w:r>
          <w:rPr>
            <w:noProof/>
            <w:webHidden/>
          </w:rPr>
          <w:fldChar w:fldCharType="begin"/>
        </w:r>
        <w:r>
          <w:rPr>
            <w:noProof/>
            <w:webHidden/>
          </w:rPr>
          <w:instrText xml:space="preserve"> PAGEREF _Toc17887588 \h </w:instrText>
        </w:r>
        <w:r>
          <w:rPr>
            <w:noProof/>
            <w:webHidden/>
          </w:rPr>
        </w:r>
        <w:r>
          <w:rPr>
            <w:noProof/>
            <w:webHidden/>
          </w:rPr>
          <w:fldChar w:fldCharType="separate"/>
        </w:r>
        <w:r>
          <w:rPr>
            <w:noProof/>
            <w:webHidden/>
          </w:rPr>
          <w:t>167</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887589" w:history="1">
        <w:r>
          <w:rPr>
            <w:rStyle w:val="Hyperlink"/>
            <w:noProof/>
          </w:rPr>
          <w:t>5.3.</w:t>
        </w:r>
        <w:r>
          <w:rPr>
            <w:rFonts w:asciiTheme="minorHAnsi" w:eastAsiaTheme="minorEastAsia" w:hAnsiTheme="minorHAnsi" w:cstheme="minorBidi"/>
            <w:noProof/>
            <w:color w:val="auto"/>
            <w:szCs w:val="22"/>
            <w:lang w:bidi="ar-SA"/>
          </w:rPr>
          <w:tab/>
        </w:r>
        <w:r>
          <w:rPr>
            <w:rStyle w:val="Hyperlink"/>
            <w:noProof/>
          </w:rPr>
          <w:t>MAKSUMÄÄRÄRAHOJEN TOTEUTUMINEN</w:t>
        </w:r>
        <w:r>
          <w:rPr>
            <w:noProof/>
            <w:webHidden/>
          </w:rPr>
          <w:tab/>
        </w:r>
        <w:r>
          <w:rPr>
            <w:noProof/>
            <w:webHidden/>
          </w:rPr>
          <w:fldChar w:fldCharType="begin"/>
        </w:r>
        <w:r>
          <w:rPr>
            <w:noProof/>
            <w:webHidden/>
          </w:rPr>
          <w:instrText xml:space="preserve"> PAGEREF _Toc17887589 \h </w:instrText>
        </w:r>
        <w:r>
          <w:rPr>
            <w:noProof/>
            <w:webHidden/>
          </w:rPr>
        </w:r>
        <w:r>
          <w:rPr>
            <w:noProof/>
            <w:webHidden/>
          </w:rPr>
          <w:fldChar w:fldCharType="separate"/>
        </w:r>
        <w:r>
          <w:rPr>
            <w:noProof/>
            <w:webHidden/>
          </w:rPr>
          <w:t>168</w:t>
        </w:r>
        <w:r>
          <w:rPr>
            <w:noProof/>
            <w:webHidden/>
          </w:rPr>
          <w:fldChar w:fldCharType="end"/>
        </w:r>
      </w:hyperlink>
    </w:p>
    <w:p>
      <w:pPr>
        <w:pStyle w:val="TOC1"/>
        <w:tabs>
          <w:tab w:val="left" w:pos="660"/>
          <w:tab w:val="right" w:leader="dot" w:pos="9629"/>
        </w:tabs>
        <w:rPr>
          <w:rFonts w:asciiTheme="minorHAnsi" w:eastAsiaTheme="minorEastAsia" w:hAnsiTheme="minorHAnsi" w:cstheme="minorBidi"/>
          <w:noProof/>
          <w:color w:val="auto"/>
          <w:szCs w:val="22"/>
          <w:lang w:bidi="ar-SA"/>
        </w:rPr>
      </w:pPr>
      <w:hyperlink w:anchor="_Toc17887590" w:history="1">
        <w:r>
          <w:rPr>
            <w:rStyle w:val="Hyperlink"/>
            <w:noProof/>
            <w14:scene3d>
              <w14:camera w14:prst="orthographicFront"/>
              <w14:lightRig w14:rig="threePt" w14:dir="t">
                <w14:rot w14:lat="0" w14:lon="0" w14:rev="0"/>
              </w14:lightRig>
            </w14:scene3d>
            <w14:props3d w14:extrusionH="0" w14:contourW="0" w14:prstMaterial="warmMatte"/>
          </w:rPr>
          <w:t>6.</w:t>
        </w:r>
        <w:r>
          <w:rPr>
            <w:rFonts w:asciiTheme="minorHAnsi" w:eastAsiaTheme="minorEastAsia" w:hAnsiTheme="minorHAnsi" w:cstheme="minorBidi"/>
            <w:noProof/>
            <w:color w:val="auto"/>
            <w:szCs w:val="22"/>
            <w:lang w:bidi="ar-SA"/>
          </w:rPr>
          <w:tab/>
        </w:r>
        <w:r>
          <w:rPr>
            <w:rStyle w:val="Hyperlink"/>
            <w:noProof/>
          </w:rPr>
          <w:t>ERILLISVIRASTOJEN TALOUSARVIOIDEN TOTEUTTAMINEN</w:t>
        </w:r>
        <w:r>
          <w:rPr>
            <w:noProof/>
            <w:webHidden/>
          </w:rPr>
          <w:tab/>
        </w:r>
        <w:r>
          <w:rPr>
            <w:noProof/>
            <w:webHidden/>
          </w:rPr>
          <w:fldChar w:fldCharType="begin"/>
        </w:r>
        <w:r>
          <w:rPr>
            <w:noProof/>
            <w:webHidden/>
          </w:rPr>
          <w:instrText xml:space="preserve"> PAGEREF _Toc17887590 \h </w:instrText>
        </w:r>
        <w:r>
          <w:rPr>
            <w:noProof/>
            <w:webHidden/>
          </w:rPr>
        </w:r>
        <w:r>
          <w:rPr>
            <w:noProof/>
            <w:webHidden/>
          </w:rPr>
          <w:fldChar w:fldCharType="separate"/>
        </w:r>
        <w:r>
          <w:rPr>
            <w:noProof/>
            <w:webHidden/>
          </w:rPr>
          <w:t>169</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887591" w:history="1">
        <w:r>
          <w:rPr>
            <w:rStyle w:val="Hyperlink"/>
            <w:noProof/>
          </w:rPr>
          <w:t>6.1.</w:t>
        </w:r>
        <w:r>
          <w:rPr>
            <w:rFonts w:asciiTheme="minorHAnsi" w:eastAsiaTheme="minorEastAsia" w:hAnsiTheme="minorHAnsi" w:cstheme="minorBidi"/>
            <w:noProof/>
            <w:color w:val="auto"/>
            <w:szCs w:val="22"/>
            <w:lang w:bidi="ar-SA"/>
          </w:rPr>
          <w:tab/>
        </w:r>
        <w:r>
          <w:rPr>
            <w:rStyle w:val="Hyperlink"/>
            <w:noProof/>
          </w:rPr>
          <w:t>TALOUSARVIOTULOT</w:t>
        </w:r>
        <w:r>
          <w:rPr>
            <w:noProof/>
            <w:webHidden/>
          </w:rPr>
          <w:tab/>
        </w:r>
        <w:r>
          <w:rPr>
            <w:noProof/>
            <w:webHidden/>
          </w:rPr>
          <w:fldChar w:fldCharType="begin"/>
        </w:r>
        <w:r>
          <w:rPr>
            <w:noProof/>
            <w:webHidden/>
          </w:rPr>
          <w:instrText xml:space="preserve"> PAGEREF _Toc17887591 \h </w:instrText>
        </w:r>
        <w:r>
          <w:rPr>
            <w:noProof/>
            <w:webHidden/>
          </w:rPr>
        </w:r>
        <w:r>
          <w:rPr>
            <w:noProof/>
            <w:webHidden/>
          </w:rPr>
          <w:fldChar w:fldCharType="separate"/>
        </w:r>
        <w:r>
          <w:rPr>
            <w:noProof/>
            <w:webHidden/>
          </w:rPr>
          <w:t>169</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887592" w:history="1">
        <w:r>
          <w:rPr>
            <w:rStyle w:val="Hyperlink"/>
            <w:noProof/>
          </w:rPr>
          <w:t>6.2.</w:t>
        </w:r>
        <w:r>
          <w:rPr>
            <w:rFonts w:asciiTheme="minorHAnsi" w:eastAsiaTheme="minorEastAsia" w:hAnsiTheme="minorHAnsi" w:cstheme="minorBidi"/>
            <w:noProof/>
            <w:color w:val="auto"/>
            <w:szCs w:val="22"/>
            <w:lang w:bidi="ar-SA"/>
          </w:rPr>
          <w:tab/>
        </w:r>
        <w:r>
          <w:rPr>
            <w:rStyle w:val="Hyperlink"/>
            <w:noProof/>
          </w:rPr>
          <w:t>MAKSUSITOUMUS- JA MAKSUMÄÄRÄRAHAT VIRASTOITTAIN</w:t>
        </w:r>
        <w:r>
          <w:rPr>
            <w:noProof/>
            <w:webHidden/>
          </w:rPr>
          <w:tab/>
        </w:r>
        <w:r>
          <w:rPr>
            <w:noProof/>
            <w:webHidden/>
          </w:rPr>
          <w:fldChar w:fldCharType="begin"/>
        </w:r>
        <w:r>
          <w:rPr>
            <w:noProof/>
            <w:webHidden/>
          </w:rPr>
          <w:instrText xml:space="preserve"> PAGEREF _Toc17887592 \h </w:instrText>
        </w:r>
        <w:r>
          <w:rPr>
            <w:noProof/>
            <w:webHidden/>
          </w:rPr>
        </w:r>
        <w:r>
          <w:rPr>
            <w:noProof/>
            <w:webHidden/>
          </w:rPr>
          <w:fldChar w:fldCharType="separate"/>
        </w:r>
        <w:r>
          <w:rPr>
            <w:noProof/>
            <w:webHidden/>
          </w:rPr>
          <w:t>171</w:t>
        </w:r>
        <w:r>
          <w:rPr>
            <w:noProof/>
            <w:webHidden/>
          </w:rPr>
          <w:fldChar w:fldCharType="end"/>
        </w:r>
      </w:hyperlink>
    </w:p>
    <w:p>
      <w:pPr>
        <w:pStyle w:val="Textstand-alone"/>
        <w:rPr>
          <w:rFonts w:asciiTheme="minorHAnsi" w:eastAsiaTheme="minorEastAsia" w:hAnsiTheme="minorHAnsi" w:cstheme="minorBidi"/>
          <w:szCs w:val="22"/>
        </w:rPr>
        <w:sectPr>
          <w:headerReference w:type="even" r:id="rId443"/>
          <w:headerReference w:type="default" r:id="rId444"/>
          <w:footerReference w:type="even" r:id="rId445"/>
          <w:footerReference w:type="default" r:id="rId446"/>
          <w:headerReference w:type="first" r:id="rId447"/>
          <w:footerReference w:type="first" r:id="rId448"/>
          <w:pgSz w:w="11907" w:h="16840"/>
          <w:pgMar w:top="1134" w:right="1134" w:bottom="1134" w:left="1134" w:header="709" w:footer="709" w:gutter="0"/>
          <w:cols w:space="708"/>
          <w:docGrid w:linePitch="360"/>
        </w:sectPr>
      </w:pPr>
      <w:r>
        <w:rPr>
          <w:caps/>
          <w:color w:val="016894"/>
          <w:sz w:val="20"/>
          <w:szCs w:val="24"/>
        </w:rPr>
        <w:fldChar w:fldCharType="end"/>
      </w:r>
      <w:bookmarkEnd w:id="273"/>
    </w:p>
    <w:p>
      <w:pPr>
        <w:pStyle w:val="HEADERTITLE2"/>
        <w:rPr>
          <w:rFonts w:eastAsia="Calibri"/>
        </w:rPr>
      </w:pPr>
      <w:bookmarkStart w:id="274" w:name="_Toc11939535"/>
      <w:bookmarkStart w:id="275" w:name="_Toc17887560"/>
      <w:bookmarkStart w:id="276" w:name="_DMBM_14872"/>
      <w:r>
        <w:t>EU:N TALOUSARVION TOTEUTUMA</w:t>
      </w:r>
      <w:bookmarkEnd w:id="274"/>
      <w:bookmarkEnd w:id="2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5"/>
        <w:gridCol w:w="585"/>
        <w:gridCol w:w="1189"/>
        <w:gridCol w:w="1190"/>
      </w:tblGrid>
      <w:tr>
        <w:trPr>
          <w:trHeight w:hRule="exact" w:val="284"/>
        </w:trPr>
        <w:tc>
          <w:tcPr>
            <w:tcW w:w="6581"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rPr>
                <w:rFonts w:ascii="Verdana" w:eastAsia="Verdana" w:hAnsi="Verdana" w:cs="Verdana"/>
                <w:noProof/>
                <w:color w:val="000000"/>
                <w:sz w:val="16"/>
              </w:rPr>
            </w:pPr>
            <w:bookmarkStart w:id="277" w:name="DOC_TBL00097_1_1"/>
            <w:bookmarkEnd w:id="277"/>
          </w:p>
        </w:tc>
        <w:tc>
          <w:tcPr>
            <w:tcW w:w="567"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rPr>
                <w:rFonts w:ascii="Verdana" w:eastAsia="Verdana" w:hAnsi="Verdana" w:cs="Verdana"/>
                <w:noProof/>
                <w:color w:val="000000"/>
                <w:sz w:val="16"/>
              </w:rPr>
            </w:pP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right"/>
              <w:rPr>
                <w:rFonts w:ascii="Verdana" w:eastAsia="Verdana" w:hAnsi="Verdana" w:cs="Verdana"/>
                <w:noProof/>
                <w:color w:val="000000"/>
                <w:sz w:val="16"/>
              </w:rPr>
            </w:pPr>
          </w:p>
        </w:tc>
        <w:tc>
          <w:tcPr>
            <w:tcW w:w="1153"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right"/>
              <w:rPr>
                <w:rFonts w:ascii="Verdana" w:eastAsia="Verdana" w:hAnsi="Verdana" w:cs="Verdana"/>
                <w:i/>
                <w:noProof/>
                <w:color w:val="000000"/>
                <w:sz w:val="16"/>
              </w:rPr>
            </w:pPr>
            <w:r>
              <w:rPr>
                <w:rFonts w:ascii="Verdana" w:hAnsi="Verdana"/>
                <w:i/>
                <w:noProof/>
                <w:color w:val="000000"/>
                <w:sz w:val="16"/>
              </w:rPr>
              <w:t>milj. euroa</w:t>
            </w:r>
          </w:p>
        </w:tc>
      </w:tr>
      <w:tr>
        <w:trPr>
          <w:trHeight w:hRule="exact" w:val="397"/>
        </w:trPr>
        <w:tc>
          <w:tcPr>
            <w:tcW w:w="6581" w:type="dxa"/>
            <w:tcBorders>
              <w:top w:val="nil"/>
              <w:left w:val="nil"/>
              <w:bottom w:val="nil"/>
              <w:right w:val="nil"/>
              <w:tl2br w:val="nil"/>
              <w:tr2bl w:val="nil"/>
            </w:tcBorders>
            <w:shd w:val="solid" w:color="016794" w:fill="FFFFFF"/>
            <w:tcMar>
              <w:left w:w="60" w:type="dxa"/>
              <w:right w:w="60" w:type="dxa"/>
            </w:tcMar>
            <w:vAlign w:val="center"/>
          </w:tcPr>
          <w:p>
            <w:pPr>
              <w:pStyle w:val="DMETW15799BIPBudgetresult"/>
              <w:jc w:val="center"/>
              <w:rPr>
                <w:rFonts w:ascii="Verdana" w:eastAsia="Verdana" w:hAnsi="Verdana" w:cs="Verdana"/>
                <w:noProof/>
                <w:color w:val="FFFFFF"/>
                <w:sz w:val="16"/>
              </w:rPr>
            </w:pPr>
          </w:p>
        </w:tc>
        <w:tc>
          <w:tcPr>
            <w:tcW w:w="567" w:type="dxa"/>
            <w:tcBorders>
              <w:top w:val="nil"/>
              <w:left w:val="nil"/>
              <w:bottom w:val="nil"/>
              <w:right w:val="nil"/>
              <w:tl2br w:val="nil"/>
              <w:tr2bl w:val="nil"/>
            </w:tcBorders>
            <w:shd w:val="solid" w:color="016794" w:fill="FFFFFF"/>
            <w:tcMar>
              <w:left w:w="60" w:type="dxa"/>
              <w:right w:w="60" w:type="dxa"/>
            </w:tcMar>
            <w:vAlign w:val="center"/>
          </w:tcPr>
          <w:p>
            <w:pPr>
              <w:pStyle w:val="DMETW15799BIPBudgetresult"/>
              <w:jc w:val="center"/>
              <w:rPr>
                <w:rFonts w:ascii="Verdana" w:eastAsia="Verdana" w:hAnsi="Verdana" w:cs="Verdana"/>
                <w:noProof/>
                <w:color w:val="FFFFFF"/>
                <w:sz w:val="16"/>
              </w:rPr>
            </w:pPr>
            <w:r>
              <w:rPr>
                <w:rFonts w:ascii="Verdana" w:hAnsi="Verdana"/>
                <w:noProof/>
                <w:color w:val="FFFFFF"/>
                <w:sz w:val="16"/>
              </w:rPr>
              <w:t>Liite</w:t>
            </w:r>
            <w:r>
              <w:rPr>
                <w:rFonts w:ascii="Verdana" w:hAnsi="Verdana"/>
                <w:noProof/>
                <w:color w:val="FFFFFF"/>
                <w:sz w:val="16"/>
              </w:rPr>
              <w:softHyphen/>
              <w:t>tieto</w:t>
            </w:r>
          </w:p>
        </w:tc>
        <w:tc>
          <w:tcPr>
            <w:tcW w:w="1152" w:type="dxa"/>
            <w:tcBorders>
              <w:top w:val="nil"/>
              <w:left w:val="nil"/>
              <w:bottom w:val="nil"/>
              <w:right w:val="nil"/>
              <w:tl2br w:val="nil"/>
              <w:tr2bl w:val="nil"/>
            </w:tcBorders>
            <w:shd w:val="solid" w:color="016794" w:fill="FFFFFF"/>
            <w:tcMar>
              <w:left w:w="60" w:type="dxa"/>
              <w:right w:w="60" w:type="dxa"/>
            </w:tcMar>
            <w:vAlign w:val="center"/>
          </w:tcPr>
          <w:p>
            <w:pPr>
              <w:pStyle w:val="DMETW15799BIPBudgetresult"/>
              <w:jc w:val="center"/>
              <w:rPr>
                <w:rFonts w:ascii="Verdana" w:eastAsia="Verdana" w:hAnsi="Verdana" w:cs="Verdana"/>
                <w:noProof/>
                <w:color w:val="FFFFFF"/>
                <w:sz w:val="16"/>
              </w:rPr>
            </w:pPr>
            <w:r>
              <w:rPr>
                <w:rFonts w:ascii="Verdana" w:hAnsi="Verdana"/>
                <w:noProof/>
                <w:color w:val="FFFFFF"/>
                <w:sz w:val="16"/>
              </w:rPr>
              <w:t>2018</w:t>
            </w:r>
          </w:p>
        </w:tc>
        <w:tc>
          <w:tcPr>
            <w:tcW w:w="1153" w:type="dxa"/>
            <w:tcBorders>
              <w:top w:val="nil"/>
              <w:left w:val="nil"/>
              <w:bottom w:val="nil"/>
              <w:right w:val="nil"/>
              <w:tl2br w:val="nil"/>
              <w:tr2bl w:val="nil"/>
            </w:tcBorders>
            <w:shd w:val="solid" w:color="016794" w:fill="FFFFFF"/>
            <w:tcMar>
              <w:left w:w="60" w:type="dxa"/>
              <w:right w:w="60" w:type="dxa"/>
            </w:tcMar>
            <w:vAlign w:val="center"/>
          </w:tcPr>
          <w:p>
            <w:pPr>
              <w:pStyle w:val="DMETW15799BIPBudgetresult"/>
              <w:jc w:val="center"/>
              <w:rPr>
                <w:rFonts w:ascii="Verdana" w:eastAsia="Verdana" w:hAnsi="Verdana" w:cs="Verdana"/>
                <w:noProof/>
                <w:color w:val="FFFFFF"/>
                <w:sz w:val="16"/>
              </w:rPr>
            </w:pPr>
            <w:r>
              <w:rPr>
                <w:rFonts w:ascii="Verdana" w:hAnsi="Verdana"/>
                <w:noProof/>
                <w:color w:val="FFFFFF"/>
                <w:sz w:val="16"/>
              </w:rPr>
              <w:t>2017</w:t>
            </w:r>
          </w:p>
        </w:tc>
      </w:tr>
      <w:tr>
        <w:trPr>
          <w:trHeight w:hRule="exact" w:val="284"/>
        </w:trPr>
        <w:tc>
          <w:tcPr>
            <w:tcW w:w="6581"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rPr>
                <w:rFonts w:ascii="Verdana" w:eastAsia="Verdana" w:hAnsi="Verdana" w:cs="Verdana"/>
                <w:noProof/>
                <w:color w:val="000000"/>
                <w:sz w:val="16"/>
              </w:rPr>
            </w:pPr>
            <w:r>
              <w:rPr>
                <w:rFonts w:ascii="Verdana" w:hAnsi="Verdana"/>
                <w:noProof/>
                <w:color w:val="000000"/>
                <w:sz w:val="16"/>
              </w:rPr>
              <w:t>Varainhoitovuoden tulot</w:t>
            </w:r>
          </w:p>
        </w:tc>
        <w:tc>
          <w:tcPr>
            <w:tcW w:w="567"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center"/>
              <w:rPr>
                <w:rFonts w:ascii="Verdana" w:eastAsia="Verdana" w:hAnsi="Verdana" w:cs="Verdana"/>
                <w:noProof/>
                <w:color w:val="000000"/>
                <w:sz w:val="16"/>
              </w:rPr>
            </w:pPr>
            <w:r>
              <w:rPr>
                <w:rFonts w:ascii="Verdana" w:hAnsi="Verdana"/>
                <w:noProof/>
                <w:color w:val="000000"/>
                <w:sz w:val="16"/>
              </w:rPr>
              <w:t>1.1</w:t>
            </w: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right"/>
              <w:rPr>
                <w:rFonts w:ascii="Verdana" w:eastAsia="Verdana" w:hAnsi="Verdana" w:cs="Verdana"/>
                <w:noProof/>
                <w:color w:val="000000"/>
                <w:sz w:val="16"/>
              </w:rPr>
            </w:pPr>
            <w:r>
              <w:rPr>
                <w:rFonts w:ascii="Verdana" w:hAnsi="Verdana"/>
                <w:noProof/>
                <w:color w:val="000000"/>
                <w:sz w:val="16"/>
              </w:rPr>
              <w:t>159 318</w:t>
            </w:r>
          </w:p>
        </w:tc>
        <w:tc>
          <w:tcPr>
            <w:tcW w:w="1153"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right"/>
              <w:rPr>
                <w:rFonts w:ascii="Verdana" w:eastAsia="Verdana" w:hAnsi="Verdana" w:cs="Verdana"/>
                <w:noProof/>
                <w:color w:val="000000"/>
                <w:sz w:val="16"/>
              </w:rPr>
            </w:pPr>
            <w:r>
              <w:rPr>
                <w:rFonts w:ascii="Verdana" w:hAnsi="Verdana"/>
                <w:noProof/>
                <w:color w:val="000000"/>
                <w:sz w:val="16"/>
              </w:rPr>
              <w:t>139 691</w:t>
            </w:r>
          </w:p>
        </w:tc>
      </w:tr>
      <w:tr>
        <w:trPr>
          <w:trHeight w:hRule="exact" w:val="284"/>
        </w:trPr>
        <w:tc>
          <w:tcPr>
            <w:tcW w:w="6581"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rPr>
                <w:rFonts w:ascii="Verdana" w:eastAsia="Verdana" w:hAnsi="Verdana" w:cs="Verdana"/>
                <w:noProof/>
                <w:color w:val="000000"/>
                <w:sz w:val="16"/>
              </w:rPr>
            </w:pPr>
            <w:r>
              <w:rPr>
                <w:rFonts w:ascii="Verdana" w:hAnsi="Verdana"/>
                <w:noProof/>
                <w:color w:val="000000"/>
                <w:sz w:val="16"/>
              </w:rPr>
              <w:t>Maksut varainhoitovuoden talousarviomäärärahoista</w:t>
            </w:r>
          </w:p>
        </w:tc>
        <w:tc>
          <w:tcPr>
            <w:tcW w:w="567"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center"/>
              <w:rPr>
                <w:rFonts w:ascii="Verdana" w:eastAsia="Verdana" w:hAnsi="Verdana" w:cs="Verdana"/>
                <w:noProof/>
                <w:color w:val="000000"/>
                <w:sz w:val="16"/>
              </w:rPr>
            </w:pPr>
            <w:r>
              <w:rPr>
                <w:rFonts w:ascii="Verdana" w:hAnsi="Verdana"/>
                <w:noProof/>
                <w:color w:val="000000"/>
                <w:sz w:val="16"/>
              </w:rPr>
              <w:t>1.2</w:t>
            </w: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right"/>
              <w:rPr>
                <w:rFonts w:ascii="Verdana" w:eastAsia="Verdana" w:hAnsi="Verdana" w:cs="Verdana"/>
                <w:noProof/>
                <w:color w:val="000000"/>
                <w:sz w:val="16"/>
              </w:rPr>
            </w:pPr>
            <w:r>
              <w:rPr>
                <w:rFonts w:ascii="Verdana" w:hAnsi="Verdana"/>
                <w:noProof/>
                <w:color w:val="000000"/>
                <w:sz w:val="16"/>
              </w:rPr>
              <w:t>(154 833)</w:t>
            </w:r>
          </w:p>
        </w:tc>
        <w:tc>
          <w:tcPr>
            <w:tcW w:w="1153"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right"/>
              <w:rPr>
                <w:rFonts w:ascii="Verdana" w:eastAsia="Verdana" w:hAnsi="Verdana" w:cs="Verdana"/>
                <w:noProof/>
                <w:color w:val="000000"/>
                <w:sz w:val="16"/>
              </w:rPr>
            </w:pPr>
            <w:r>
              <w:rPr>
                <w:rFonts w:ascii="Verdana" w:hAnsi="Verdana"/>
                <w:noProof/>
                <w:color w:val="000000"/>
                <w:sz w:val="16"/>
              </w:rPr>
              <w:t>(135 764)</w:t>
            </w:r>
          </w:p>
        </w:tc>
      </w:tr>
      <w:tr>
        <w:trPr>
          <w:trHeight w:hRule="exact" w:val="284"/>
        </w:trPr>
        <w:tc>
          <w:tcPr>
            <w:tcW w:w="6581"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rPr>
                <w:rFonts w:ascii="Verdana" w:eastAsia="Verdana" w:hAnsi="Verdana" w:cs="Verdana"/>
                <w:noProof/>
                <w:color w:val="000000"/>
                <w:sz w:val="16"/>
              </w:rPr>
            </w:pPr>
            <w:r>
              <w:rPr>
                <w:rFonts w:ascii="Verdana" w:hAnsi="Verdana"/>
                <w:noProof/>
                <w:color w:val="000000"/>
                <w:sz w:val="16"/>
              </w:rPr>
              <w:t>Varainhoitovuodelle n + 1 siirretyt maksumäärärahat</w:t>
            </w:r>
          </w:p>
        </w:tc>
        <w:tc>
          <w:tcPr>
            <w:tcW w:w="567"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center"/>
              <w:rPr>
                <w:rFonts w:ascii="Verdana" w:eastAsia="Verdana" w:hAnsi="Verdana" w:cs="Verdana"/>
                <w:noProof/>
                <w:color w:val="000000"/>
                <w:sz w:val="16"/>
              </w:rPr>
            </w:pPr>
            <w:r>
              <w:rPr>
                <w:rFonts w:ascii="Verdana" w:hAnsi="Verdana"/>
                <w:noProof/>
                <w:color w:val="000000"/>
                <w:sz w:val="16"/>
              </w:rPr>
              <w:t>1.3</w:t>
            </w: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right"/>
              <w:rPr>
                <w:rFonts w:ascii="Verdana" w:eastAsia="Verdana" w:hAnsi="Verdana" w:cs="Verdana"/>
                <w:noProof/>
                <w:color w:val="000000"/>
                <w:sz w:val="16"/>
              </w:rPr>
            </w:pPr>
            <w:r>
              <w:rPr>
                <w:rFonts w:ascii="Verdana" w:hAnsi="Verdana"/>
                <w:noProof/>
                <w:color w:val="000000"/>
                <w:sz w:val="16"/>
              </w:rPr>
              <w:t>(1 675)</w:t>
            </w:r>
          </w:p>
        </w:tc>
        <w:tc>
          <w:tcPr>
            <w:tcW w:w="1153"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right"/>
              <w:rPr>
                <w:rFonts w:ascii="Verdana" w:eastAsia="Verdana" w:hAnsi="Verdana" w:cs="Verdana"/>
                <w:noProof/>
                <w:color w:val="000000"/>
                <w:sz w:val="16"/>
              </w:rPr>
            </w:pPr>
            <w:r>
              <w:rPr>
                <w:rFonts w:ascii="Verdana" w:hAnsi="Verdana"/>
                <w:noProof/>
                <w:color w:val="000000"/>
                <w:sz w:val="16"/>
              </w:rPr>
              <w:t>(1 796)</w:t>
            </w:r>
          </w:p>
        </w:tc>
      </w:tr>
      <w:tr>
        <w:trPr>
          <w:trHeight w:hRule="exact" w:val="397"/>
        </w:trPr>
        <w:tc>
          <w:tcPr>
            <w:tcW w:w="6581"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rPr>
                <w:rFonts w:ascii="Verdana" w:eastAsia="Verdana" w:hAnsi="Verdana" w:cs="Verdana"/>
                <w:noProof/>
                <w:color w:val="000000"/>
                <w:sz w:val="16"/>
              </w:rPr>
            </w:pPr>
            <w:r>
              <w:rPr>
                <w:rFonts w:ascii="Verdana" w:hAnsi="Verdana"/>
                <w:noProof/>
                <w:color w:val="000000"/>
                <w:sz w:val="16"/>
              </w:rPr>
              <w:t xml:space="preserve">Varainhoitovuodelta n – 1 siirretyt käyttämättä jääneet </w:t>
            </w:r>
            <w:r>
              <w:rPr>
                <w:rFonts w:ascii="Verdana" w:hAnsi="Verdana"/>
                <w:noProof/>
                <w:color w:val="000000"/>
                <w:sz w:val="16"/>
              </w:rPr>
              <w:br/>
              <w:t>maksumäärärahat, jotka on peruutettu</w:t>
            </w:r>
          </w:p>
        </w:tc>
        <w:tc>
          <w:tcPr>
            <w:tcW w:w="567"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center"/>
              <w:rPr>
                <w:rFonts w:ascii="Verdana" w:eastAsia="Verdana" w:hAnsi="Verdana" w:cs="Verdana"/>
                <w:noProof/>
                <w:color w:val="000000"/>
                <w:sz w:val="16"/>
              </w:rPr>
            </w:pPr>
            <w:r>
              <w:rPr>
                <w:rFonts w:ascii="Verdana" w:hAnsi="Verdana"/>
                <w:noProof/>
                <w:color w:val="000000"/>
                <w:sz w:val="16"/>
              </w:rPr>
              <w:t>1.4</w:t>
            </w: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right"/>
              <w:rPr>
                <w:rFonts w:ascii="Verdana" w:eastAsia="Verdana" w:hAnsi="Verdana" w:cs="Verdana"/>
                <w:noProof/>
                <w:color w:val="000000"/>
                <w:sz w:val="16"/>
              </w:rPr>
            </w:pPr>
            <w:r>
              <w:rPr>
                <w:rFonts w:ascii="Verdana" w:hAnsi="Verdana"/>
                <w:noProof/>
                <w:color w:val="000000"/>
                <w:sz w:val="16"/>
              </w:rPr>
              <w:t xml:space="preserve"> 106</w:t>
            </w:r>
          </w:p>
        </w:tc>
        <w:tc>
          <w:tcPr>
            <w:tcW w:w="1153"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right"/>
              <w:rPr>
                <w:rFonts w:ascii="Verdana" w:eastAsia="Verdana" w:hAnsi="Verdana" w:cs="Verdana"/>
                <w:noProof/>
                <w:color w:val="000000"/>
                <w:sz w:val="16"/>
              </w:rPr>
            </w:pPr>
            <w:r>
              <w:rPr>
                <w:rFonts w:ascii="Verdana" w:hAnsi="Verdana"/>
                <w:noProof/>
                <w:color w:val="000000"/>
                <w:sz w:val="16"/>
              </w:rPr>
              <w:t xml:space="preserve"> 40</w:t>
            </w:r>
          </w:p>
        </w:tc>
      </w:tr>
      <w:tr>
        <w:trPr>
          <w:trHeight w:hRule="exact" w:val="284"/>
        </w:trPr>
        <w:tc>
          <w:tcPr>
            <w:tcW w:w="6581"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rPr>
                <w:rFonts w:ascii="Verdana" w:eastAsia="Verdana" w:hAnsi="Verdana" w:cs="Verdana"/>
                <w:noProof/>
                <w:color w:val="000000"/>
                <w:sz w:val="16"/>
              </w:rPr>
            </w:pPr>
            <w:r>
              <w:rPr>
                <w:rFonts w:ascii="Verdana" w:hAnsi="Verdana"/>
                <w:noProof/>
                <w:color w:val="000000"/>
                <w:sz w:val="16"/>
              </w:rPr>
              <w:t>Käyttötarkoitukseensa sidottujen tulojen muutokset</w:t>
            </w:r>
          </w:p>
        </w:tc>
        <w:tc>
          <w:tcPr>
            <w:tcW w:w="567"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center"/>
              <w:rPr>
                <w:rFonts w:ascii="Verdana" w:eastAsia="Verdana" w:hAnsi="Verdana" w:cs="Verdana"/>
                <w:noProof/>
                <w:color w:val="000000"/>
                <w:sz w:val="16"/>
              </w:rPr>
            </w:pPr>
            <w:r>
              <w:rPr>
                <w:rFonts w:ascii="Verdana" w:hAnsi="Verdana"/>
                <w:noProof/>
                <w:color w:val="000000"/>
                <w:sz w:val="16"/>
              </w:rPr>
              <w:t>1.5</w:t>
            </w: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right"/>
              <w:rPr>
                <w:rFonts w:ascii="Verdana" w:eastAsia="Verdana" w:hAnsi="Verdana" w:cs="Verdana"/>
                <w:noProof/>
                <w:color w:val="000000"/>
                <w:sz w:val="16"/>
              </w:rPr>
            </w:pPr>
            <w:r>
              <w:rPr>
                <w:rFonts w:ascii="Verdana" w:hAnsi="Verdana"/>
                <w:noProof/>
                <w:color w:val="000000"/>
                <w:sz w:val="16"/>
              </w:rPr>
              <w:t>(1 114)</w:t>
            </w:r>
          </w:p>
        </w:tc>
        <w:tc>
          <w:tcPr>
            <w:tcW w:w="1153"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right"/>
              <w:rPr>
                <w:rFonts w:ascii="Verdana" w:eastAsia="Verdana" w:hAnsi="Verdana" w:cs="Verdana"/>
                <w:noProof/>
                <w:color w:val="000000"/>
                <w:sz w:val="16"/>
              </w:rPr>
            </w:pPr>
            <w:r>
              <w:rPr>
                <w:rFonts w:ascii="Verdana" w:hAnsi="Verdana"/>
                <w:noProof/>
                <w:color w:val="000000"/>
                <w:sz w:val="16"/>
              </w:rPr>
              <w:t>(1 450)</w:t>
            </w:r>
          </w:p>
        </w:tc>
      </w:tr>
      <w:tr>
        <w:trPr>
          <w:trHeight w:hRule="exact" w:val="284"/>
        </w:trPr>
        <w:tc>
          <w:tcPr>
            <w:tcW w:w="6581"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rPr>
                <w:rFonts w:ascii="Verdana" w:eastAsia="Verdana" w:hAnsi="Verdana" w:cs="Verdana"/>
                <w:noProof/>
                <w:color w:val="000000"/>
                <w:sz w:val="16"/>
              </w:rPr>
            </w:pPr>
            <w:r>
              <w:rPr>
                <w:rFonts w:ascii="Verdana" w:hAnsi="Verdana"/>
                <w:noProof/>
                <w:color w:val="000000"/>
                <w:sz w:val="16"/>
              </w:rPr>
              <w:t>Valuuttakurssierot varainhoitovuonna</w:t>
            </w:r>
          </w:p>
        </w:tc>
        <w:tc>
          <w:tcPr>
            <w:tcW w:w="567"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center"/>
              <w:rPr>
                <w:rFonts w:ascii="Verdana" w:eastAsia="Verdana" w:hAnsi="Verdana" w:cs="Verdana"/>
                <w:noProof/>
                <w:color w:val="000000"/>
                <w:sz w:val="16"/>
              </w:rPr>
            </w:pPr>
            <w:r>
              <w:rPr>
                <w:rFonts w:ascii="Verdana" w:hAnsi="Verdana"/>
                <w:noProof/>
                <w:color w:val="000000"/>
                <w:sz w:val="16"/>
              </w:rPr>
              <w:t>1.6</w:t>
            </w: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right"/>
              <w:rPr>
                <w:rFonts w:ascii="Verdana" w:eastAsia="Verdana" w:hAnsi="Verdana" w:cs="Verdana"/>
                <w:noProof/>
                <w:color w:val="000000"/>
                <w:sz w:val="16"/>
              </w:rPr>
            </w:pPr>
            <w:r>
              <w:rPr>
                <w:rFonts w:ascii="Verdana" w:hAnsi="Verdana"/>
                <w:noProof/>
                <w:color w:val="000000"/>
                <w:sz w:val="16"/>
              </w:rPr>
              <w:t xml:space="preserve"> (1)</w:t>
            </w:r>
          </w:p>
        </w:tc>
        <w:tc>
          <w:tcPr>
            <w:tcW w:w="1153"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right"/>
              <w:rPr>
                <w:rFonts w:ascii="Verdana" w:eastAsia="Verdana" w:hAnsi="Verdana" w:cs="Verdana"/>
                <w:noProof/>
                <w:color w:val="000000"/>
                <w:sz w:val="16"/>
              </w:rPr>
            </w:pPr>
            <w:r>
              <w:rPr>
                <w:rFonts w:ascii="Verdana" w:hAnsi="Verdana"/>
                <w:noProof/>
                <w:color w:val="000000"/>
                <w:sz w:val="16"/>
              </w:rPr>
              <w:t xml:space="preserve"> (166)</w:t>
            </w:r>
          </w:p>
        </w:tc>
      </w:tr>
      <w:tr>
        <w:trPr>
          <w:trHeight w:hRule="exact" w:val="284"/>
        </w:trPr>
        <w:tc>
          <w:tcPr>
            <w:tcW w:w="6581" w:type="dxa"/>
            <w:tcBorders>
              <w:top w:val="nil"/>
              <w:left w:val="nil"/>
              <w:bottom w:val="nil"/>
              <w:right w:val="nil"/>
              <w:tl2br w:val="nil"/>
              <w:tr2bl w:val="nil"/>
            </w:tcBorders>
            <w:shd w:val="solid" w:color="CCE1EB" w:fill="FFFFFF"/>
            <w:tcMar>
              <w:left w:w="60" w:type="dxa"/>
              <w:right w:w="60" w:type="dxa"/>
            </w:tcMar>
            <w:vAlign w:val="center"/>
          </w:tcPr>
          <w:p>
            <w:pPr>
              <w:pStyle w:val="DMETW15799BIPBudgetresult"/>
              <w:rPr>
                <w:rFonts w:ascii="Verdana" w:eastAsia="Verdana" w:hAnsi="Verdana" w:cs="Verdana"/>
                <w:b/>
                <w:noProof/>
                <w:color w:val="000000"/>
                <w:sz w:val="16"/>
              </w:rPr>
            </w:pPr>
            <w:r>
              <w:rPr>
                <w:rFonts w:ascii="Verdana" w:hAnsi="Verdana"/>
                <w:b/>
                <w:noProof/>
                <w:color w:val="000000"/>
                <w:sz w:val="16"/>
              </w:rPr>
              <w:t>Talousarvion toteutuma</w:t>
            </w:r>
          </w:p>
        </w:tc>
        <w:tc>
          <w:tcPr>
            <w:tcW w:w="567" w:type="dxa"/>
            <w:tcBorders>
              <w:top w:val="nil"/>
              <w:left w:val="nil"/>
              <w:bottom w:val="nil"/>
              <w:right w:val="nil"/>
              <w:tl2br w:val="nil"/>
              <w:tr2bl w:val="nil"/>
            </w:tcBorders>
            <w:shd w:val="solid" w:color="CCE1EB" w:fill="FFFFFF"/>
            <w:tcMar>
              <w:left w:w="60" w:type="dxa"/>
              <w:right w:w="60" w:type="dxa"/>
            </w:tcMar>
            <w:vAlign w:val="center"/>
          </w:tcPr>
          <w:p>
            <w:pPr>
              <w:pStyle w:val="DMETW15799BIPBudgetresult"/>
              <w:jc w:val="right"/>
              <w:rPr>
                <w:rFonts w:ascii="Verdana" w:eastAsia="Verdana" w:hAnsi="Verdana" w:cs="Verdana"/>
                <w:b/>
                <w:noProof/>
                <w:color w:val="000000"/>
                <w:sz w:val="16"/>
              </w:rPr>
            </w:pPr>
          </w:p>
        </w:tc>
        <w:tc>
          <w:tcPr>
            <w:tcW w:w="1152" w:type="dxa"/>
            <w:tcBorders>
              <w:top w:val="nil"/>
              <w:left w:val="nil"/>
              <w:bottom w:val="nil"/>
              <w:right w:val="nil"/>
              <w:tl2br w:val="nil"/>
              <w:tr2bl w:val="nil"/>
            </w:tcBorders>
            <w:shd w:val="solid" w:color="CCE1EB" w:fill="FFFFFF"/>
            <w:tcMar>
              <w:left w:w="60" w:type="dxa"/>
              <w:right w:w="60" w:type="dxa"/>
            </w:tcMar>
            <w:vAlign w:val="center"/>
          </w:tcPr>
          <w:p>
            <w:pPr>
              <w:pStyle w:val="DMETW15799BIPBudgetresult"/>
              <w:jc w:val="right"/>
              <w:rPr>
                <w:rFonts w:ascii="Verdana" w:eastAsia="Verdana" w:hAnsi="Verdana" w:cs="Verdana"/>
                <w:b/>
                <w:noProof/>
                <w:color w:val="000000"/>
                <w:sz w:val="16"/>
              </w:rPr>
            </w:pPr>
            <w:r>
              <w:rPr>
                <w:rFonts w:ascii="Verdana" w:hAnsi="Verdana"/>
                <w:b/>
                <w:noProof/>
                <w:color w:val="000000"/>
                <w:sz w:val="16"/>
              </w:rPr>
              <w:t>1 802</w:t>
            </w:r>
          </w:p>
        </w:tc>
        <w:tc>
          <w:tcPr>
            <w:tcW w:w="1153" w:type="dxa"/>
            <w:tcBorders>
              <w:top w:val="nil"/>
              <w:left w:val="nil"/>
              <w:bottom w:val="nil"/>
              <w:right w:val="nil"/>
              <w:tl2br w:val="nil"/>
              <w:tr2bl w:val="nil"/>
            </w:tcBorders>
            <w:shd w:val="solid" w:color="CCE1EB" w:fill="FFFFFF"/>
            <w:tcMar>
              <w:left w:w="60" w:type="dxa"/>
              <w:right w:w="60" w:type="dxa"/>
            </w:tcMar>
            <w:vAlign w:val="center"/>
          </w:tcPr>
          <w:p>
            <w:pPr>
              <w:pStyle w:val="DMETW15799BIPBudgetresult"/>
              <w:jc w:val="right"/>
              <w:rPr>
                <w:rFonts w:ascii="Verdana" w:eastAsia="Verdana" w:hAnsi="Verdana" w:cs="Verdana"/>
                <w:b/>
                <w:noProof/>
                <w:color w:val="000000"/>
                <w:sz w:val="16"/>
              </w:rPr>
            </w:pPr>
            <w:r>
              <w:rPr>
                <w:rFonts w:ascii="Verdana" w:hAnsi="Verdana"/>
                <w:b/>
                <w:noProof/>
                <w:color w:val="000000"/>
                <w:sz w:val="16"/>
              </w:rPr>
              <w:t xml:space="preserve"> 555</w:t>
            </w:r>
          </w:p>
        </w:tc>
      </w:tr>
    </w:tbl>
    <w:p>
      <w:pPr>
        <w:pStyle w:val="DGTextstand-alone"/>
      </w:pPr>
    </w:p>
    <w:p>
      <w:pPr>
        <w:pStyle w:val="DGTextstand-alone"/>
      </w:pPr>
      <w:r>
        <w:t>Talousarvion toteutuma palautetaan jäsenvaltioille vähentämällä se vuoden 2019 maksuosuuksista. Toteutuma lasketaan Euroopan unionin omien varojen järjestelmää koskevista täytäntöönpanotoimenpiteistä annetun neuvoston asetuksen (EU, Euratom) N:o 608/2014 1 artiklan 1 kohdan mukaisesti. Lisätietoja asiasta esitetään kohdassa ”Talousarvion toteutuman laskeminen”.</w:t>
      </w:r>
    </w:p>
    <w:p>
      <w:pPr>
        <w:pStyle w:val="DGTextstand-alone"/>
        <w:numPr>
          <w:ilvl w:val="1"/>
          <w:numId w:val="45"/>
        </w:numPr>
      </w:pPr>
      <w:r>
        <w:t>Varainhoitovuoden tulot: ks. taulukko 3.1 ”Yhteenveto talousarvion tulototeutumasta”, sarake 8 ”Tuotot yhteensä”.</w:t>
      </w:r>
    </w:p>
    <w:p>
      <w:pPr>
        <w:pStyle w:val="DGTextstand-alone"/>
        <w:numPr>
          <w:ilvl w:val="1"/>
          <w:numId w:val="45"/>
        </w:numPr>
      </w:pPr>
      <w:r>
        <w:t>Maksut varainhoitovuoden talousarviomäärärahoista: ks. taulukko 4.3 ”Maksumäärärahojen toteutuminen monivuotisen rahoituskehyksen otsakkeittain”, sarake 2 ”Lopullisista hyväksytyistä määrärahoista” ja sarake 4 ”Käyttötarkoitukseen sidotuista tuloista”.</w:t>
      </w:r>
    </w:p>
    <w:p>
      <w:pPr>
        <w:pStyle w:val="DGTextstand-alone"/>
        <w:numPr>
          <w:ilvl w:val="1"/>
          <w:numId w:val="45"/>
        </w:numPr>
      </w:pPr>
      <w:r>
        <w:t>Varainhoitovuodelle n + 1 siirretyt maksumäärärahat: ks. taulukko 4.3 ”Maksumäärärahojen toteutuminen monivuotisen rahoituskehyksen otsakkeittain”, sarake 7 ”Automaattisesti siirtyneet” ja sarake 8 ”Päätöksellä siirretyt”.</w:t>
      </w:r>
    </w:p>
    <w:p>
      <w:pPr>
        <w:pStyle w:val="DGTextstand-alone"/>
        <w:numPr>
          <w:ilvl w:val="1"/>
          <w:numId w:val="45"/>
        </w:numPr>
      </w:pPr>
      <w:r>
        <w:t>Varainhoitovuodelta n – 1 siirretyt käyttämättä jääneet maksumäärärahat, jotka on peruutettu: kohdassa otetaan huomioon maksumäärärahojen (automaattisesti siirtyneet ja päätöksellä siirretyt) määrä edellisen vuoden lopussa ja kuluvan vuoden "edelliseltä varainhoitovuodelta siirretyistä määrärahoista suoritetut maksut", kuten taulukon 4.3 ”Maksumäärärahojen toteutuminen monivuotisen rahoituskehyksen otsakkeittain” sarakkeessa 3.</w:t>
      </w:r>
    </w:p>
    <w:p>
      <w:pPr>
        <w:pStyle w:val="DGTextstand-alone"/>
        <w:numPr>
          <w:ilvl w:val="1"/>
          <w:numId w:val="45"/>
        </w:numPr>
      </w:pPr>
      <w:r>
        <w:t>Käyttötarkoitukseensa sidottujen tulojen muutokset vuoden lopussa: vähennetään käyttötarkoitukseensa sidottujen tulojen määrästä edellisen vuoden lopussa (plus) käyttötarkoitukseensa sidottujen tulojen määrä kuluvan vuoden lopussa (kuten taulukon 4.3 ”Maksumäärärahojen toteutuminen monivuotisen rahoituskehyksen otsakkeittain” sarakkeessa 9 – miinus). Erotuksen avulla saadaan selville käyttötarkoitukseensa sidottujen tulojen nettomuutos kuluvana varainhoitovuonna.</w:t>
      </w:r>
    </w:p>
    <w:p>
      <w:pPr>
        <w:pStyle w:val="DGTextstand-alone"/>
        <w:numPr>
          <w:ilvl w:val="1"/>
          <w:numId w:val="45"/>
        </w:numPr>
      </w:pPr>
      <w:r>
        <w:t>Valuuttakurssierot sisältävät realisoituneet ja realisoitumattomat valuuttakurssierot.</w:t>
      </w:r>
    </w:p>
    <w:p>
      <w:pPr>
        <w:pStyle w:val="DGTextstand-alone"/>
      </w:pPr>
    </w:p>
    <w:p>
      <w:pPr>
        <w:pStyle w:val="DGTextstand-alone"/>
      </w:pPr>
      <w:r>
        <w:br w:type="page"/>
      </w:r>
    </w:p>
    <w:p>
      <w:pPr>
        <w:pStyle w:val="HEADERTITLE2"/>
        <w:rPr>
          <w:rFonts w:eastAsia="Calibri"/>
        </w:rPr>
      </w:pPr>
      <w:bookmarkStart w:id="278" w:name="_Toc11939536"/>
      <w:bookmarkStart w:id="279" w:name="_Toc17887561"/>
      <w:r>
        <w:t>BUDJETOITUJEN JA TOTEUTUNEIDEN MÄÄRIEN VERTAILUTAULUKOT</w:t>
      </w:r>
      <w:bookmarkEnd w:id="278"/>
      <w:bookmarkEnd w:id="279"/>
    </w:p>
    <w:p>
      <w:pPr>
        <w:pStyle w:val="HEADERTITLE"/>
        <w:rPr>
          <w:rFonts w:eastAsia="Calibri"/>
        </w:rPr>
      </w:pPr>
      <w:r>
        <w:t>Talousarvion tulot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
        <w:gridCol w:w="4637"/>
        <w:gridCol w:w="213"/>
        <w:gridCol w:w="1162"/>
        <w:gridCol w:w="1168"/>
        <w:gridCol w:w="1168"/>
        <w:gridCol w:w="1168"/>
      </w:tblGrid>
      <w:tr>
        <w:trPr>
          <w:trHeight w:val="284"/>
        </w:trPr>
        <w:tc>
          <w:tcPr>
            <w:tcW w:w="2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bookmarkStart w:id="280" w:name="DOC_TBL00098_1_1"/>
            <w:bookmarkEnd w:id="280"/>
          </w:p>
        </w:tc>
        <w:tc>
          <w:tcPr>
            <w:tcW w:w="4850" w:type="dxa"/>
            <w:gridSpan w:val="2"/>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p>
        </w:tc>
        <w:tc>
          <w:tcPr>
            <w:tcW w:w="116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milj. euroa</w:t>
            </w:r>
          </w:p>
        </w:tc>
      </w:tr>
      <w:tr>
        <w:trPr>
          <w:trHeight w:val="284"/>
        </w:trPr>
        <w:tc>
          <w:tcPr>
            <w:tcW w:w="243" w:type="dxa"/>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Revenue"/>
              <w:jc w:val="center"/>
              <w:rPr>
                <w:rFonts w:ascii="Verdana" w:eastAsia="Verdana" w:hAnsi="Verdana" w:cs="Verdana"/>
                <w:noProof/>
                <w:color w:val="FFFFFF"/>
                <w:sz w:val="16"/>
              </w:rPr>
            </w:pPr>
          </w:p>
        </w:tc>
        <w:tc>
          <w:tcPr>
            <w:tcW w:w="4637" w:type="dxa"/>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Revenue"/>
              <w:jc w:val="center"/>
              <w:rPr>
                <w:rFonts w:ascii="Verdana" w:eastAsia="Verdana" w:hAnsi="Verdana" w:cs="Verdana"/>
                <w:noProof/>
                <w:color w:val="FFFFFF"/>
                <w:sz w:val="16"/>
              </w:rPr>
            </w:pPr>
          </w:p>
        </w:tc>
        <w:tc>
          <w:tcPr>
            <w:tcW w:w="1375"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Revenue"/>
              <w:jc w:val="right"/>
              <w:rPr>
                <w:rFonts w:ascii="Verdana" w:eastAsia="Verdana" w:hAnsi="Verdana" w:cs="Verdana"/>
                <w:noProof/>
                <w:color w:val="FFFFFF"/>
                <w:sz w:val="16"/>
              </w:rPr>
            </w:pPr>
            <w:r>
              <w:rPr>
                <w:rFonts w:ascii="Verdana" w:hAnsi="Verdana"/>
                <w:noProof/>
                <w:color w:val="FFFFFF"/>
                <w:sz w:val="16"/>
              </w:rPr>
              <w:t>Alkuperäinen hyväksytty talousarvio</w:t>
            </w:r>
          </w:p>
        </w:tc>
        <w:tc>
          <w:tcPr>
            <w:tcW w:w="1168" w:type="dxa"/>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Revenue"/>
              <w:jc w:val="right"/>
              <w:rPr>
                <w:rFonts w:ascii="Verdana" w:eastAsia="Verdana" w:hAnsi="Verdana" w:cs="Verdana"/>
                <w:noProof/>
                <w:color w:val="FFFFFF"/>
                <w:sz w:val="16"/>
              </w:rPr>
            </w:pPr>
            <w:r>
              <w:rPr>
                <w:rFonts w:ascii="Verdana" w:hAnsi="Verdana"/>
                <w:noProof/>
                <w:color w:val="FFFFFF"/>
                <w:sz w:val="16"/>
              </w:rPr>
              <w:t>Lopullinen hyväksytty talousarvio</w:t>
            </w:r>
          </w:p>
        </w:tc>
        <w:tc>
          <w:tcPr>
            <w:tcW w:w="1168" w:type="dxa"/>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Revenue"/>
              <w:jc w:val="right"/>
              <w:rPr>
                <w:rFonts w:ascii="Verdana" w:eastAsia="Verdana" w:hAnsi="Verdana" w:cs="Verdana"/>
                <w:noProof/>
                <w:color w:val="FFFFFF"/>
                <w:sz w:val="16"/>
              </w:rPr>
            </w:pPr>
            <w:r>
              <w:rPr>
                <w:rFonts w:ascii="Verdana" w:hAnsi="Verdana"/>
                <w:noProof/>
                <w:color w:val="FFFFFF"/>
                <w:sz w:val="16"/>
              </w:rPr>
              <w:t>Vahvistetut saamiset</w:t>
            </w:r>
          </w:p>
        </w:tc>
        <w:tc>
          <w:tcPr>
            <w:tcW w:w="1168" w:type="dxa"/>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Revenue"/>
              <w:jc w:val="right"/>
              <w:rPr>
                <w:rFonts w:ascii="Verdana" w:eastAsia="Verdana" w:hAnsi="Verdana" w:cs="Verdana"/>
                <w:noProof/>
                <w:color w:val="FFFFFF"/>
                <w:sz w:val="16"/>
              </w:rPr>
            </w:pPr>
            <w:r>
              <w:rPr>
                <w:rFonts w:ascii="Verdana" w:hAnsi="Verdana"/>
                <w:noProof/>
                <w:color w:val="FFFFFF"/>
                <w:sz w:val="16"/>
              </w:rPr>
              <w:t>Tulot</w:t>
            </w:r>
          </w:p>
        </w:tc>
      </w:tr>
      <w:tr>
        <w:trPr>
          <w:trHeight w:val="284"/>
        </w:trPr>
        <w:tc>
          <w:tcPr>
            <w:tcW w:w="2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r>
              <w:rPr>
                <w:rFonts w:ascii="Verdana" w:hAnsi="Verdana"/>
                <w:noProof/>
                <w:color w:val="000000"/>
                <w:sz w:val="16"/>
              </w:rPr>
              <w:t>1</w:t>
            </w:r>
          </w:p>
        </w:tc>
        <w:tc>
          <w:tcPr>
            <w:tcW w:w="463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r>
              <w:rPr>
                <w:rFonts w:ascii="Verdana" w:hAnsi="Verdana"/>
                <w:noProof/>
                <w:color w:val="000000"/>
                <w:sz w:val="16"/>
              </w:rPr>
              <w:t>Omat varat</w:t>
            </w:r>
          </w:p>
        </w:tc>
        <w:tc>
          <w:tcPr>
            <w:tcW w:w="1375" w:type="dxa"/>
            <w:gridSpan w:val="2"/>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142 832</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142 364</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142 373</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142 330</w:t>
            </w:r>
          </w:p>
        </w:tc>
      </w:tr>
      <w:tr>
        <w:trPr>
          <w:trHeight w:val="284"/>
        </w:trPr>
        <w:tc>
          <w:tcPr>
            <w:tcW w:w="2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p>
        </w:tc>
        <w:tc>
          <w:tcPr>
            <w:tcW w:w="463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i/>
                <w:noProof/>
                <w:color w:val="000000"/>
                <w:sz w:val="16"/>
              </w:rPr>
            </w:pPr>
            <w:r>
              <w:rPr>
                <w:rFonts w:ascii="Verdana" w:hAnsi="Verdana"/>
                <w:i/>
                <w:noProof/>
                <w:color w:val="000000"/>
                <w:sz w:val="16"/>
              </w:rPr>
              <w:t>11 – Sokerimaksut</w:t>
            </w:r>
          </w:p>
        </w:tc>
        <w:tc>
          <w:tcPr>
            <w:tcW w:w="1375" w:type="dxa"/>
            <w:gridSpan w:val="2"/>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 xml:space="preserve"> (93)</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 xml:space="preserve"> (85)</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 xml:space="preserve"> (85)</w:t>
            </w:r>
          </w:p>
        </w:tc>
      </w:tr>
      <w:tr>
        <w:trPr>
          <w:trHeight w:val="284"/>
        </w:trPr>
        <w:tc>
          <w:tcPr>
            <w:tcW w:w="2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p>
        </w:tc>
        <w:tc>
          <w:tcPr>
            <w:tcW w:w="463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i/>
                <w:noProof/>
                <w:color w:val="000000"/>
                <w:sz w:val="16"/>
              </w:rPr>
            </w:pPr>
            <w:r>
              <w:rPr>
                <w:rFonts w:ascii="Verdana" w:hAnsi="Verdana"/>
                <w:i/>
                <w:noProof/>
                <w:color w:val="000000"/>
                <w:sz w:val="16"/>
              </w:rPr>
              <w:t>12 – Tullimaksut</w:t>
            </w:r>
          </w:p>
        </w:tc>
        <w:tc>
          <w:tcPr>
            <w:tcW w:w="1375" w:type="dxa"/>
            <w:gridSpan w:val="2"/>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22 844</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20 165</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20 360</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20 317</w:t>
            </w:r>
          </w:p>
        </w:tc>
      </w:tr>
      <w:tr>
        <w:trPr>
          <w:trHeight w:val="284"/>
        </w:trPr>
        <w:tc>
          <w:tcPr>
            <w:tcW w:w="2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p>
        </w:tc>
        <w:tc>
          <w:tcPr>
            <w:tcW w:w="463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i/>
                <w:noProof/>
                <w:color w:val="000000"/>
                <w:sz w:val="16"/>
              </w:rPr>
            </w:pPr>
            <w:r>
              <w:rPr>
                <w:rFonts w:ascii="Verdana" w:hAnsi="Verdana"/>
                <w:i/>
                <w:noProof/>
                <w:color w:val="000000"/>
                <w:sz w:val="16"/>
              </w:rPr>
              <w:t>13 – Arvonlisävero</w:t>
            </w:r>
          </w:p>
        </w:tc>
        <w:tc>
          <w:tcPr>
            <w:tcW w:w="1375" w:type="dxa"/>
            <w:gridSpan w:val="2"/>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17 250</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17 149</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17 133</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17 133</w:t>
            </w:r>
          </w:p>
        </w:tc>
      </w:tr>
      <w:tr>
        <w:trPr>
          <w:trHeight w:val="284"/>
        </w:trPr>
        <w:tc>
          <w:tcPr>
            <w:tcW w:w="2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p>
        </w:tc>
        <w:tc>
          <w:tcPr>
            <w:tcW w:w="463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i/>
                <w:noProof/>
                <w:color w:val="000000"/>
                <w:sz w:val="16"/>
              </w:rPr>
            </w:pPr>
            <w:r>
              <w:rPr>
                <w:rFonts w:ascii="Verdana" w:hAnsi="Verdana"/>
                <w:i/>
                <w:noProof/>
                <w:color w:val="000000"/>
                <w:sz w:val="16"/>
              </w:rPr>
              <w:t>14 – BKTL-varat</w:t>
            </w:r>
          </w:p>
        </w:tc>
        <w:tc>
          <w:tcPr>
            <w:tcW w:w="1375" w:type="dxa"/>
            <w:gridSpan w:val="2"/>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102 739</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105 143</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104 979</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104 979</w:t>
            </w:r>
          </w:p>
        </w:tc>
      </w:tr>
      <w:tr>
        <w:trPr>
          <w:trHeight w:val="284"/>
        </w:trPr>
        <w:tc>
          <w:tcPr>
            <w:tcW w:w="2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p>
        </w:tc>
        <w:tc>
          <w:tcPr>
            <w:tcW w:w="463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i/>
                <w:noProof/>
                <w:color w:val="000000"/>
                <w:sz w:val="16"/>
              </w:rPr>
            </w:pPr>
            <w:r>
              <w:rPr>
                <w:rFonts w:ascii="Verdana" w:hAnsi="Verdana"/>
                <w:i/>
                <w:noProof/>
                <w:color w:val="000000"/>
                <w:sz w:val="16"/>
              </w:rPr>
              <w:t>15 – Budjettiaseman epätasapainon korjausjärjestely</w:t>
            </w:r>
          </w:p>
        </w:tc>
        <w:tc>
          <w:tcPr>
            <w:tcW w:w="1375" w:type="dxa"/>
            <w:gridSpan w:val="2"/>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 xml:space="preserve"> (19)</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 xml:space="preserve"> (19)</w:t>
            </w:r>
          </w:p>
        </w:tc>
      </w:tr>
      <w:tr>
        <w:trPr>
          <w:trHeight w:val="284"/>
        </w:trPr>
        <w:tc>
          <w:tcPr>
            <w:tcW w:w="2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p>
        </w:tc>
        <w:tc>
          <w:tcPr>
            <w:tcW w:w="463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i/>
                <w:noProof/>
                <w:color w:val="000000"/>
                <w:sz w:val="16"/>
              </w:rPr>
            </w:pPr>
            <w:r>
              <w:rPr>
                <w:rFonts w:ascii="Verdana" w:hAnsi="Verdana"/>
                <w:i/>
                <w:noProof/>
                <w:color w:val="000000"/>
                <w:sz w:val="16"/>
              </w:rPr>
              <w:t>16 – Alankomaiden ja Ruotsin BKTL-maksuosuuden vähennys</w:t>
            </w:r>
          </w:p>
        </w:tc>
        <w:tc>
          <w:tcPr>
            <w:tcW w:w="1375" w:type="dxa"/>
            <w:gridSpan w:val="2"/>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 xml:space="preserve"> 6</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 xml:space="preserve"> 6</w:t>
            </w:r>
          </w:p>
        </w:tc>
      </w:tr>
      <w:tr>
        <w:trPr>
          <w:trHeight w:val="284"/>
        </w:trPr>
        <w:tc>
          <w:tcPr>
            <w:tcW w:w="2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r>
              <w:rPr>
                <w:rFonts w:ascii="Verdana" w:hAnsi="Verdana"/>
                <w:noProof/>
                <w:color w:val="000000"/>
                <w:sz w:val="16"/>
              </w:rPr>
              <w:t>3</w:t>
            </w:r>
          </w:p>
        </w:tc>
        <w:tc>
          <w:tcPr>
            <w:tcW w:w="463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r>
              <w:rPr>
                <w:rFonts w:ascii="Verdana" w:hAnsi="Verdana"/>
                <w:noProof/>
                <w:color w:val="000000"/>
                <w:sz w:val="16"/>
              </w:rPr>
              <w:t>Käytettävissä olevat ylijäämät</w:t>
            </w:r>
          </w:p>
        </w:tc>
        <w:tc>
          <w:tcPr>
            <w:tcW w:w="1375" w:type="dxa"/>
            <w:gridSpan w:val="2"/>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556</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581</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581</w:t>
            </w:r>
          </w:p>
        </w:tc>
      </w:tr>
      <w:tr>
        <w:trPr>
          <w:trHeight w:val="505"/>
        </w:trPr>
        <w:tc>
          <w:tcPr>
            <w:tcW w:w="2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r>
              <w:rPr>
                <w:rFonts w:ascii="Verdana" w:hAnsi="Verdana"/>
                <w:noProof/>
                <w:color w:val="000000"/>
                <w:sz w:val="16"/>
              </w:rPr>
              <w:t>4</w:t>
            </w:r>
          </w:p>
        </w:tc>
        <w:tc>
          <w:tcPr>
            <w:tcW w:w="463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r>
              <w:rPr>
                <w:rFonts w:ascii="Verdana" w:hAnsi="Verdana"/>
                <w:noProof/>
                <w:color w:val="000000"/>
                <w:sz w:val="16"/>
              </w:rPr>
              <w:t>Unionin toimielinten ja elinten palveluksessa olevasta henkilöstöstä kertyvät tulot</w:t>
            </w:r>
          </w:p>
        </w:tc>
        <w:tc>
          <w:tcPr>
            <w:tcW w:w="1375" w:type="dxa"/>
            <w:gridSpan w:val="2"/>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1 547</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1 547</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1 552</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1 542</w:t>
            </w:r>
          </w:p>
        </w:tc>
      </w:tr>
      <w:tr>
        <w:trPr>
          <w:trHeight w:val="555"/>
        </w:trPr>
        <w:tc>
          <w:tcPr>
            <w:tcW w:w="2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r>
              <w:rPr>
                <w:rFonts w:ascii="Verdana" w:hAnsi="Verdana"/>
                <w:noProof/>
                <w:color w:val="000000"/>
                <w:sz w:val="16"/>
              </w:rPr>
              <w:t>5</w:t>
            </w:r>
          </w:p>
        </w:tc>
        <w:tc>
          <w:tcPr>
            <w:tcW w:w="463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r>
              <w:rPr>
                <w:rFonts w:ascii="Verdana" w:hAnsi="Verdana"/>
                <w:noProof/>
                <w:color w:val="000000"/>
                <w:sz w:val="16"/>
              </w:rPr>
              <w:t>Toimielinten hallinnollisesta toiminnasta kertyvät tulot</w:t>
            </w:r>
          </w:p>
        </w:tc>
        <w:tc>
          <w:tcPr>
            <w:tcW w:w="1375" w:type="dxa"/>
            <w:gridSpan w:val="2"/>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45</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45</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583</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563</w:t>
            </w:r>
          </w:p>
        </w:tc>
      </w:tr>
      <w:tr>
        <w:trPr>
          <w:trHeight w:val="284"/>
        </w:trPr>
        <w:tc>
          <w:tcPr>
            <w:tcW w:w="2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r>
              <w:rPr>
                <w:rFonts w:ascii="Verdana" w:hAnsi="Verdana"/>
                <w:noProof/>
                <w:color w:val="000000"/>
                <w:sz w:val="16"/>
              </w:rPr>
              <w:t>6</w:t>
            </w:r>
          </w:p>
        </w:tc>
        <w:tc>
          <w:tcPr>
            <w:tcW w:w="463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r>
              <w:rPr>
                <w:rFonts w:ascii="Verdana" w:hAnsi="Verdana"/>
                <w:noProof/>
                <w:color w:val="000000"/>
                <w:sz w:val="16"/>
              </w:rPr>
              <w:t>Unionin ohjelmiin ja sopimuksiin liittyvät rahoitusosuudet ja palautukset</w:t>
            </w:r>
          </w:p>
        </w:tc>
        <w:tc>
          <w:tcPr>
            <w:tcW w:w="1375" w:type="dxa"/>
            <w:gridSpan w:val="2"/>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110</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110</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13 346</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12 777</w:t>
            </w:r>
          </w:p>
        </w:tc>
      </w:tr>
      <w:tr>
        <w:trPr>
          <w:trHeight w:val="284"/>
        </w:trPr>
        <w:tc>
          <w:tcPr>
            <w:tcW w:w="2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r>
              <w:rPr>
                <w:rFonts w:ascii="Verdana" w:hAnsi="Verdana"/>
                <w:noProof/>
                <w:color w:val="000000"/>
                <w:sz w:val="16"/>
              </w:rPr>
              <w:t>7</w:t>
            </w:r>
          </w:p>
        </w:tc>
        <w:tc>
          <w:tcPr>
            <w:tcW w:w="463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r>
              <w:rPr>
                <w:rFonts w:ascii="Verdana" w:hAnsi="Verdana"/>
                <w:noProof/>
                <w:color w:val="000000"/>
                <w:sz w:val="16"/>
              </w:rPr>
              <w:t>Viivästyskorot ja sakot</w:t>
            </w:r>
          </w:p>
        </w:tc>
        <w:tc>
          <w:tcPr>
            <w:tcW w:w="1375" w:type="dxa"/>
            <w:gridSpan w:val="2"/>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115</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115</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14 592</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1 473</w:t>
            </w:r>
          </w:p>
        </w:tc>
      </w:tr>
      <w:tr>
        <w:trPr>
          <w:trHeight w:val="284"/>
        </w:trPr>
        <w:tc>
          <w:tcPr>
            <w:tcW w:w="2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r>
              <w:rPr>
                <w:rFonts w:ascii="Verdana" w:hAnsi="Verdana"/>
                <w:noProof/>
                <w:color w:val="000000"/>
                <w:sz w:val="16"/>
              </w:rPr>
              <w:t>8</w:t>
            </w:r>
          </w:p>
        </w:tc>
        <w:tc>
          <w:tcPr>
            <w:tcW w:w="463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r>
              <w:rPr>
                <w:rFonts w:ascii="Verdana" w:hAnsi="Verdana"/>
                <w:noProof/>
                <w:color w:val="000000"/>
                <w:sz w:val="16"/>
              </w:rPr>
              <w:t>Otto- ja antolainaus</w:t>
            </w:r>
          </w:p>
        </w:tc>
        <w:tc>
          <w:tcPr>
            <w:tcW w:w="1375" w:type="dxa"/>
            <w:gridSpan w:val="2"/>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6</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6</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39</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39</w:t>
            </w:r>
          </w:p>
        </w:tc>
      </w:tr>
      <w:tr>
        <w:trPr>
          <w:trHeight w:val="284"/>
        </w:trPr>
        <w:tc>
          <w:tcPr>
            <w:tcW w:w="2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r>
              <w:rPr>
                <w:rFonts w:ascii="Verdana" w:hAnsi="Verdana"/>
                <w:noProof/>
                <w:color w:val="000000"/>
                <w:sz w:val="16"/>
              </w:rPr>
              <w:t>9</w:t>
            </w:r>
          </w:p>
        </w:tc>
        <w:tc>
          <w:tcPr>
            <w:tcW w:w="463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r>
              <w:rPr>
                <w:rFonts w:ascii="Verdana" w:hAnsi="Verdana"/>
                <w:noProof/>
                <w:color w:val="000000"/>
                <w:sz w:val="16"/>
              </w:rPr>
              <w:t>Sekalaiset tulot</w:t>
            </w:r>
          </w:p>
        </w:tc>
        <w:tc>
          <w:tcPr>
            <w:tcW w:w="1375" w:type="dxa"/>
            <w:gridSpan w:val="2"/>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25</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25</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24</w:t>
            </w:r>
          </w:p>
        </w:tc>
        <w:tc>
          <w:tcPr>
            <w:tcW w:w="11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13</w:t>
            </w:r>
          </w:p>
        </w:tc>
      </w:tr>
      <w:tr>
        <w:trPr>
          <w:trHeight w:val="284"/>
        </w:trPr>
        <w:tc>
          <w:tcPr>
            <w:tcW w:w="243" w:type="dxa"/>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Revenue"/>
              <w:rPr>
                <w:rFonts w:ascii="Verdana" w:eastAsia="Verdana" w:hAnsi="Verdana" w:cs="Verdana"/>
                <w:b/>
                <w:noProof/>
                <w:color w:val="000000"/>
                <w:sz w:val="16"/>
              </w:rPr>
            </w:pPr>
          </w:p>
        </w:tc>
        <w:tc>
          <w:tcPr>
            <w:tcW w:w="4637" w:type="dxa"/>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Revenue"/>
              <w:rPr>
                <w:rFonts w:ascii="Verdana" w:eastAsia="Verdana" w:hAnsi="Verdana" w:cs="Verdana"/>
                <w:b/>
                <w:noProof/>
                <w:color w:val="000000"/>
                <w:sz w:val="16"/>
              </w:rPr>
            </w:pPr>
            <w:r>
              <w:rPr>
                <w:rFonts w:ascii="Verdana" w:hAnsi="Verdana"/>
                <w:b/>
                <w:noProof/>
                <w:color w:val="000000"/>
                <w:sz w:val="16"/>
              </w:rPr>
              <w:t>Yhteensä</w:t>
            </w:r>
          </w:p>
        </w:tc>
        <w:tc>
          <w:tcPr>
            <w:tcW w:w="1375" w:type="dxa"/>
            <w:gridSpan w:val="2"/>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Revenue"/>
              <w:jc w:val="right"/>
              <w:rPr>
                <w:rFonts w:ascii="Verdana" w:eastAsia="Verdana" w:hAnsi="Verdana" w:cs="Verdana"/>
                <w:b/>
                <w:noProof/>
                <w:color w:val="000000"/>
                <w:sz w:val="16"/>
              </w:rPr>
            </w:pPr>
            <w:r>
              <w:rPr>
                <w:rFonts w:ascii="Verdana" w:hAnsi="Verdana"/>
                <w:b/>
                <w:noProof/>
                <w:color w:val="000000"/>
                <w:sz w:val="16"/>
              </w:rPr>
              <w:t>144 681</w:t>
            </w:r>
          </w:p>
        </w:tc>
        <w:tc>
          <w:tcPr>
            <w:tcW w:w="1168" w:type="dxa"/>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Revenue"/>
              <w:jc w:val="right"/>
              <w:rPr>
                <w:rFonts w:ascii="Verdana" w:eastAsia="Verdana" w:hAnsi="Verdana" w:cs="Verdana"/>
                <w:b/>
                <w:noProof/>
                <w:color w:val="000000"/>
                <w:sz w:val="16"/>
              </w:rPr>
            </w:pPr>
            <w:r>
              <w:rPr>
                <w:rFonts w:ascii="Verdana" w:hAnsi="Verdana"/>
                <w:b/>
                <w:noProof/>
                <w:color w:val="000000"/>
                <w:sz w:val="16"/>
              </w:rPr>
              <w:t>144 768</w:t>
            </w:r>
          </w:p>
        </w:tc>
        <w:tc>
          <w:tcPr>
            <w:tcW w:w="1168" w:type="dxa"/>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Revenue"/>
              <w:jc w:val="right"/>
              <w:rPr>
                <w:rFonts w:ascii="Verdana" w:eastAsia="Verdana" w:hAnsi="Verdana" w:cs="Verdana"/>
                <w:b/>
                <w:noProof/>
                <w:color w:val="000000"/>
                <w:sz w:val="16"/>
              </w:rPr>
            </w:pPr>
            <w:r>
              <w:rPr>
                <w:rFonts w:ascii="Verdana" w:hAnsi="Verdana"/>
                <w:b/>
                <w:noProof/>
                <w:color w:val="000000"/>
                <w:sz w:val="16"/>
              </w:rPr>
              <w:t>173 090</w:t>
            </w:r>
          </w:p>
        </w:tc>
        <w:tc>
          <w:tcPr>
            <w:tcW w:w="1168" w:type="dxa"/>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Revenue"/>
              <w:jc w:val="right"/>
              <w:rPr>
                <w:rFonts w:ascii="Verdana" w:eastAsia="Verdana" w:hAnsi="Verdana" w:cs="Verdana"/>
                <w:b/>
                <w:noProof/>
                <w:color w:val="000000"/>
                <w:sz w:val="16"/>
              </w:rPr>
            </w:pPr>
            <w:r>
              <w:rPr>
                <w:rFonts w:ascii="Verdana" w:hAnsi="Verdana"/>
                <w:b/>
                <w:noProof/>
                <w:color w:val="000000"/>
                <w:sz w:val="16"/>
              </w:rPr>
              <w:t>159 318</w:t>
            </w:r>
          </w:p>
        </w:tc>
      </w:tr>
    </w:tbl>
    <w:p>
      <w:pPr>
        <w:pStyle w:val="Textstand-alone"/>
      </w:pPr>
    </w:p>
    <w:p>
      <w:pPr>
        <w:pStyle w:val="HEADERTITLE"/>
      </w:pPr>
      <w:r>
        <w:t>Talousarviomenot: sitoumukset monivuotisen rahoituskehyksen otsakkeittain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
        <w:gridCol w:w="4495"/>
        <w:gridCol w:w="1177"/>
        <w:gridCol w:w="1233"/>
        <w:gridCol w:w="1255"/>
        <w:gridCol w:w="1356"/>
      </w:tblGrid>
      <w:tr>
        <w:trPr>
          <w:trHeight w:val="284"/>
        </w:trPr>
        <w:tc>
          <w:tcPr>
            <w:tcW w:w="2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bookmarkStart w:id="281" w:name="DOC_TBL00099_1_1"/>
            <w:bookmarkEnd w:id="281"/>
          </w:p>
        </w:tc>
        <w:tc>
          <w:tcPr>
            <w:tcW w:w="449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p>
        </w:tc>
        <w:tc>
          <w:tcPr>
            <w:tcW w:w="117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p>
        </w:tc>
        <w:tc>
          <w:tcPr>
            <w:tcW w:w="123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p>
        </w:tc>
        <w:tc>
          <w:tcPr>
            <w:tcW w:w="125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p>
        </w:tc>
        <w:tc>
          <w:tcPr>
            <w:tcW w:w="135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i/>
                <w:noProof/>
                <w:color w:val="000000"/>
                <w:sz w:val="16"/>
              </w:rPr>
            </w:pPr>
            <w:r>
              <w:rPr>
                <w:rFonts w:ascii="Verdana" w:hAnsi="Verdana"/>
                <w:i/>
                <w:noProof/>
                <w:color w:val="000000"/>
                <w:sz w:val="16"/>
              </w:rPr>
              <w:t>milj. euroa</w:t>
            </w:r>
          </w:p>
        </w:tc>
      </w:tr>
      <w:tr>
        <w:trPr>
          <w:trHeight w:val="284"/>
        </w:trPr>
        <w:tc>
          <w:tcPr>
            <w:tcW w:w="243" w:type="dxa"/>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Commitments"/>
              <w:jc w:val="center"/>
              <w:rPr>
                <w:rFonts w:ascii="Verdana" w:eastAsia="Verdana" w:hAnsi="Verdana" w:cs="Verdana"/>
                <w:noProof/>
                <w:color w:val="FFFFFF"/>
                <w:sz w:val="16"/>
              </w:rPr>
            </w:pPr>
          </w:p>
        </w:tc>
        <w:tc>
          <w:tcPr>
            <w:tcW w:w="4495" w:type="dxa"/>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Commitments"/>
              <w:rPr>
                <w:rFonts w:ascii="Verdana" w:eastAsia="Verdana" w:hAnsi="Verdana" w:cs="Verdana"/>
                <w:noProof/>
                <w:color w:val="FFFFFF"/>
                <w:sz w:val="16"/>
              </w:rPr>
            </w:pPr>
            <w:r>
              <w:rPr>
                <w:rFonts w:ascii="Verdana" w:hAnsi="Verdana"/>
                <w:noProof/>
                <w:color w:val="FFFFFF"/>
                <w:sz w:val="16"/>
              </w:rPr>
              <w:t>Rahoituskehyksen otsake</w:t>
            </w:r>
          </w:p>
        </w:tc>
        <w:tc>
          <w:tcPr>
            <w:tcW w:w="1177" w:type="dxa"/>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Commitments"/>
              <w:jc w:val="right"/>
              <w:rPr>
                <w:rFonts w:ascii="Verdana" w:eastAsia="Verdana" w:hAnsi="Verdana" w:cs="Verdana"/>
                <w:noProof/>
                <w:color w:val="FFFFFF"/>
                <w:sz w:val="16"/>
              </w:rPr>
            </w:pPr>
            <w:r>
              <w:rPr>
                <w:rFonts w:ascii="Verdana" w:hAnsi="Verdana"/>
                <w:noProof/>
                <w:color w:val="FFFFFF"/>
                <w:sz w:val="16"/>
              </w:rPr>
              <w:t>Alkuperäinen hyväksytty talousarvio</w:t>
            </w:r>
          </w:p>
        </w:tc>
        <w:tc>
          <w:tcPr>
            <w:tcW w:w="1233" w:type="dxa"/>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Commitments"/>
              <w:jc w:val="right"/>
              <w:rPr>
                <w:rFonts w:ascii="Verdana" w:eastAsia="Verdana" w:hAnsi="Verdana" w:cs="Verdana"/>
                <w:noProof/>
                <w:color w:val="FFFFFF"/>
                <w:sz w:val="16"/>
              </w:rPr>
            </w:pPr>
            <w:r>
              <w:rPr>
                <w:rFonts w:ascii="Verdana" w:hAnsi="Verdana"/>
                <w:noProof/>
                <w:color w:val="FFFFFF"/>
                <w:sz w:val="16"/>
              </w:rPr>
              <w:t>Lopullinen hyväksytty talousarvio</w:t>
            </w:r>
          </w:p>
        </w:tc>
        <w:tc>
          <w:tcPr>
            <w:tcW w:w="1255" w:type="dxa"/>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Commitments"/>
              <w:jc w:val="right"/>
              <w:rPr>
                <w:rFonts w:ascii="Verdana" w:eastAsia="Verdana" w:hAnsi="Verdana" w:cs="Verdana"/>
                <w:noProof/>
                <w:color w:val="FFFFFF"/>
                <w:sz w:val="16"/>
              </w:rPr>
            </w:pPr>
            <w:r>
              <w:rPr>
                <w:rFonts w:ascii="Verdana" w:hAnsi="Verdana"/>
                <w:noProof/>
                <w:color w:val="FFFFFF"/>
                <w:sz w:val="16"/>
              </w:rPr>
              <w:t>Käytettävissä</w:t>
            </w:r>
          </w:p>
          <w:p>
            <w:pPr>
              <w:pStyle w:val="DMETW15799BIPStatementofcomparisonCommitments"/>
              <w:jc w:val="right"/>
              <w:rPr>
                <w:rFonts w:ascii="Verdana" w:eastAsia="Verdana" w:hAnsi="Verdana" w:cs="Verdana"/>
                <w:noProof/>
                <w:color w:val="FFFFFF"/>
                <w:sz w:val="16"/>
              </w:rPr>
            </w:pPr>
            <w:r>
              <w:rPr>
                <w:rFonts w:ascii="Verdana" w:hAnsi="Verdana"/>
                <w:noProof/>
                <w:color w:val="FFFFFF"/>
                <w:sz w:val="16"/>
              </w:rPr>
              <w:t>olevat määrärahat</w:t>
            </w:r>
          </w:p>
          <w:p>
            <w:pPr>
              <w:pStyle w:val="DMETW15799BIPStatementofcomparisonCommitments"/>
              <w:jc w:val="right"/>
              <w:rPr>
                <w:rFonts w:ascii="Verdana" w:eastAsia="Verdana" w:hAnsi="Verdana" w:cs="Verdana"/>
                <w:noProof/>
                <w:color w:val="FFFFFF"/>
                <w:sz w:val="16"/>
              </w:rPr>
            </w:pPr>
            <w:r>
              <w:rPr>
                <w:rFonts w:ascii="Verdana" w:hAnsi="Verdana"/>
                <w:noProof/>
                <w:color w:val="FFFFFF"/>
                <w:sz w:val="16"/>
              </w:rPr>
              <w:t>yhteensä</w:t>
            </w:r>
          </w:p>
        </w:tc>
        <w:tc>
          <w:tcPr>
            <w:tcW w:w="1356" w:type="dxa"/>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Commitments"/>
              <w:jc w:val="right"/>
              <w:rPr>
                <w:rFonts w:ascii="Verdana" w:eastAsia="Verdana" w:hAnsi="Verdana" w:cs="Verdana"/>
                <w:noProof/>
                <w:color w:val="FFFFFF"/>
                <w:sz w:val="16"/>
              </w:rPr>
            </w:pPr>
            <w:r>
              <w:rPr>
                <w:rFonts w:ascii="Verdana" w:hAnsi="Verdana"/>
                <w:noProof/>
                <w:color w:val="FFFFFF"/>
                <w:sz w:val="16"/>
              </w:rPr>
              <w:t>Tehdyt sitoumukset</w:t>
            </w:r>
          </w:p>
        </w:tc>
      </w:tr>
      <w:tr>
        <w:trPr>
          <w:trHeight w:val="284"/>
        </w:trPr>
        <w:tc>
          <w:tcPr>
            <w:tcW w:w="2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r>
              <w:rPr>
                <w:rFonts w:ascii="Verdana" w:hAnsi="Verdana"/>
                <w:noProof/>
                <w:color w:val="000000"/>
                <w:sz w:val="16"/>
              </w:rPr>
              <w:t>1</w:t>
            </w:r>
          </w:p>
        </w:tc>
        <w:tc>
          <w:tcPr>
            <w:tcW w:w="449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r>
              <w:rPr>
                <w:rFonts w:ascii="Verdana" w:hAnsi="Verdana"/>
                <w:noProof/>
                <w:color w:val="000000"/>
                <w:sz w:val="16"/>
              </w:rPr>
              <w:t>Älykäs ja osallistava kasvu</w:t>
            </w:r>
          </w:p>
        </w:tc>
        <w:tc>
          <w:tcPr>
            <w:tcW w:w="117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77 534</w:t>
            </w:r>
          </w:p>
        </w:tc>
        <w:tc>
          <w:tcPr>
            <w:tcW w:w="123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77 532</w:t>
            </w:r>
          </w:p>
        </w:tc>
        <w:tc>
          <w:tcPr>
            <w:tcW w:w="125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89 649</w:t>
            </w:r>
          </w:p>
        </w:tc>
        <w:tc>
          <w:tcPr>
            <w:tcW w:w="135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87 357</w:t>
            </w:r>
          </w:p>
        </w:tc>
      </w:tr>
      <w:tr>
        <w:trPr>
          <w:trHeight w:val="284"/>
        </w:trPr>
        <w:tc>
          <w:tcPr>
            <w:tcW w:w="2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i/>
                <w:noProof/>
                <w:color w:val="000000"/>
                <w:sz w:val="16"/>
              </w:rPr>
            </w:pPr>
          </w:p>
        </w:tc>
        <w:tc>
          <w:tcPr>
            <w:tcW w:w="449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i/>
                <w:noProof/>
                <w:color w:val="000000"/>
                <w:sz w:val="16"/>
              </w:rPr>
            </w:pPr>
            <w:r>
              <w:rPr>
                <w:rFonts w:ascii="Verdana" w:hAnsi="Verdana"/>
                <w:i/>
                <w:noProof/>
                <w:color w:val="000000"/>
                <w:sz w:val="16"/>
              </w:rPr>
              <w:t>1a: Kasvua ja työllisyyttä edistävä kilpailukyky</w:t>
            </w:r>
          </w:p>
        </w:tc>
        <w:tc>
          <w:tcPr>
            <w:tcW w:w="117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i/>
                <w:noProof/>
                <w:color w:val="000000"/>
                <w:sz w:val="16"/>
              </w:rPr>
            </w:pPr>
            <w:r>
              <w:rPr>
                <w:rFonts w:ascii="Verdana" w:hAnsi="Verdana"/>
                <w:i/>
                <w:noProof/>
                <w:color w:val="000000"/>
                <w:sz w:val="16"/>
              </w:rPr>
              <w:t>22 001</w:t>
            </w:r>
          </w:p>
        </w:tc>
        <w:tc>
          <w:tcPr>
            <w:tcW w:w="123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i/>
                <w:noProof/>
                <w:color w:val="000000"/>
                <w:sz w:val="16"/>
              </w:rPr>
            </w:pPr>
            <w:r>
              <w:rPr>
                <w:rFonts w:ascii="Verdana" w:hAnsi="Verdana"/>
                <w:i/>
                <w:noProof/>
                <w:color w:val="000000"/>
                <w:sz w:val="16"/>
              </w:rPr>
              <w:t>22 000</w:t>
            </w:r>
          </w:p>
        </w:tc>
        <w:tc>
          <w:tcPr>
            <w:tcW w:w="125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i/>
                <w:noProof/>
                <w:color w:val="000000"/>
                <w:sz w:val="16"/>
              </w:rPr>
            </w:pPr>
            <w:r>
              <w:rPr>
                <w:rFonts w:ascii="Verdana" w:hAnsi="Verdana"/>
                <w:i/>
                <w:noProof/>
                <w:color w:val="000000"/>
                <w:sz w:val="16"/>
              </w:rPr>
              <w:t>25 864</w:t>
            </w:r>
          </w:p>
        </w:tc>
        <w:tc>
          <w:tcPr>
            <w:tcW w:w="135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i/>
                <w:noProof/>
                <w:color w:val="000000"/>
                <w:sz w:val="16"/>
              </w:rPr>
            </w:pPr>
            <w:r>
              <w:rPr>
                <w:rFonts w:ascii="Verdana" w:hAnsi="Verdana"/>
                <w:i/>
                <w:noProof/>
                <w:color w:val="000000"/>
                <w:sz w:val="16"/>
              </w:rPr>
              <w:t>23 773</w:t>
            </w:r>
          </w:p>
        </w:tc>
      </w:tr>
      <w:tr>
        <w:trPr>
          <w:trHeight w:val="284"/>
        </w:trPr>
        <w:tc>
          <w:tcPr>
            <w:tcW w:w="2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i/>
                <w:noProof/>
                <w:color w:val="000000"/>
                <w:sz w:val="16"/>
              </w:rPr>
            </w:pPr>
          </w:p>
        </w:tc>
        <w:tc>
          <w:tcPr>
            <w:tcW w:w="449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i/>
                <w:noProof/>
                <w:color w:val="000000"/>
                <w:sz w:val="16"/>
              </w:rPr>
            </w:pPr>
            <w:r>
              <w:rPr>
                <w:rFonts w:ascii="Verdana" w:hAnsi="Verdana"/>
                <w:i/>
                <w:noProof/>
                <w:color w:val="000000"/>
                <w:sz w:val="16"/>
              </w:rPr>
              <w:t>1b: Taloudellinen, sosiaalinen ja alueellinen koheesio</w:t>
            </w:r>
          </w:p>
        </w:tc>
        <w:tc>
          <w:tcPr>
            <w:tcW w:w="117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i/>
                <w:noProof/>
                <w:color w:val="000000"/>
                <w:sz w:val="16"/>
              </w:rPr>
            </w:pPr>
            <w:r>
              <w:rPr>
                <w:rFonts w:ascii="Verdana" w:hAnsi="Verdana"/>
                <w:i/>
                <w:noProof/>
                <w:color w:val="000000"/>
                <w:sz w:val="16"/>
              </w:rPr>
              <w:t>55 532</w:t>
            </w:r>
          </w:p>
        </w:tc>
        <w:tc>
          <w:tcPr>
            <w:tcW w:w="123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i/>
                <w:noProof/>
                <w:color w:val="000000"/>
                <w:sz w:val="16"/>
              </w:rPr>
            </w:pPr>
            <w:r>
              <w:rPr>
                <w:rFonts w:ascii="Verdana" w:hAnsi="Verdana"/>
                <w:i/>
                <w:noProof/>
                <w:color w:val="000000"/>
                <w:sz w:val="16"/>
              </w:rPr>
              <w:t>55 532</w:t>
            </w:r>
          </w:p>
        </w:tc>
        <w:tc>
          <w:tcPr>
            <w:tcW w:w="125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i/>
                <w:noProof/>
                <w:color w:val="000000"/>
                <w:sz w:val="16"/>
              </w:rPr>
            </w:pPr>
            <w:r>
              <w:rPr>
                <w:rFonts w:ascii="Verdana" w:hAnsi="Verdana"/>
                <w:i/>
                <w:noProof/>
                <w:color w:val="000000"/>
                <w:sz w:val="16"/>
              </w:rPr>
              <w:t>63 785</w:t>
            </w:r>
          </w:p>
        </w:tc>
        <w:tc>
          <w:tcPr>
            <w:tcW w:w="135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i/>
                <w:noProof/>
                <w:color w:val="000000"/>
                <w:sz w:val="16"/>
              </w:rPr>
            </w:pPr>
            <w:r>
              <w:rPr>
                <w:rFonts w:ascii="Verdana" w:hAnsi="Verdana"/>
                <w:i/>
                <w:noProof/>
                <w:color w:val="000000"/>
                <w:sz w:val="16"/>
              </w:rPr>
              <w:t>63 585</w:t>
            </w:r>
          </w:p>
        </w:tc>
      </w:tr>
      <w:tr>
        <w:trPr>
          <w:trHeight w:val="284"/>
        </w:trPr>
        <w:tc>
          <w:tcPr>
            <w:tcW w:w="2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r>
              <w:rPr>
                <w:rFonts w:ascii="Verdana" w:hAnsi="Verdana"/>
                <w:noProof/>
                <w:color w:val="000000"/>
                <w:sz w:val="16"/>
              </w:rPr>
              <w:t>2</w:t>
            </w:r>
          </w:p>
        </w:tc>
        <w:tc>
          <w:tcPr>
            <w:tcW w:w="449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r>
              <w:rPr>
                <w:rFonts w:ascii="Verdana" w:hAnsi="Verdana"/>
                <w:noProof/>
                <w:color w:val="000000"/>
                <w:sz w:val="16"/>
              </w:rPr>
              <w:t>Kestävä kasvu: luonnonvarat</w:t>
            </w:r>
          </w:p>
        </w:tc>
        <w:tc>
          <w:tcPr>
            <w:tcW w:w="117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59 285</w:t>
            </w:r>
          </w:p>
        </w:tc>
        <w:tc>
          <w:tcPr>
            <w:tcW w:w="123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59 239</w:t>
            </w:r>
          </w:p>
        </w:tc>
        <w:tc>
          <w:tcPr>
            <w:tcW w:w="125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62 419</w:t>
            </w:r>
          </w:p>
        </w:tc>
        <w:tc>
          <w:tcPr>
            <w:tcW w:w="135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60 560</w:t>
            </w:r>
          </w:p>
        </w:tc>
      </w:tr>
      <w:tr>
        <w:trPr>
          <w:trHeight w:val="284"/>
        </w:trPr>
        <w:tc>
          <w:tcPr>
            <w:tcW w:w="2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i/>
                <w:noProof/>
                <w:color w:val="000000"/>
                <w:sz w:val="16"/>
              </w:rPr>
            </w:pPr>
          </w:p>
        </w:tc>
        <w:tc>
          <w:tcPr>
            <w:tcW w:w="449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i/>
                <w:noProof/>
                <w:color w:val="000000"/>
                <w:sz w:val="16"/>
              </w:rPr>
            </w:pPr>
            <w:r>
              <w:rPr>
                <w:rFonts w:ascii="Verdana" w:hAnsi="Verdana"/>
                <w:i/>
                <w:noProof/>
                <w:color w:val="000000"/>
                <w:sz w:val="16"/>
              </w:rPr>
              <w:t>josta: markkinoihin liittyvät menot ja suorat tuet</w:t>
            </w:r>
          </w:p>
        </w:tc>
        <w:tc>
          <w:tcPr>
            <w:tcW w:w="117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i/>
                <w:noProof/>
                <w:color w:val="000000"/>
                <w:sz w:val="16"/>
              </w:rPr>
            </w:pPr>
            <w:r>
              <w:rPr>
                <w:rFonts w:ascii="Verdana" w:hAnsi="Verdana"/>
                <w:i/>
                <w:noProof/>
                <w:color w:val="000000"/>
                <w:sz w:val="16"/>
              </w:rPr>
              <w:t>43 235</w:t>
            </w:r>
          </w:p>
        </w:tc>
        <w:tc>
          <w:tcPr>
            <w:tcW w:w="123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i/>
                <w:noProof/>
                <w:color w:val="000000"/>
                <w:sz w:val="16"/>
              </w:rPr>
            </w:pPr>
            <w:r>
              <w:rPr>
                <w:rFonts w:ascii="Verdana" w:hAnsi="Verdana"/>
                <w:i/>
                <w:noProof/>
                <w:color w:val="000000"/>
                <w:sz w:val="16"/>
              </w:rPr>
              <w:t>43 233</w:t>
            </w:r>
          </w:p>
        </w:tc>
        <w:tc>
          <w:tcPr>
            <w:tcW w:w="125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i/>
                <w:noProof/>
                <w:color w:val="000000"/>
                <w:sz w:val="16"/>
              </w:rPr>
            </w:pPr>
            <w:r>
              <w:rPr>
                <w:rFonts w:ascii="Verdana" w:hAnsi="Verdana"/>
                <w:i/>
                <w:noProof/>
                <w:color w:val="000000"/>
                <w:sz w:val="16"/>
              </w:rPr>
              <w:t>45 284</w:t>
            </w:r>
          </w:p>
        </w:tc>
        <w:tc>
          <w:tcPr>
            <w:tcW w:w="135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i/>
                <w:noProof/>
                <w:color w:val="000000"/>
                <w:sz w:val="16"/>
              </w:rPr>
            </w:pPr>
            <w:r>
              <w:rPr>
                <w:rFonts w:ascii="Verdana" w:hAnsi="Verdana"/>
                <w:i/>
                <w:noProof/>
                <w:color w:val="000000"/>
                <w:sz w:val="16"/>
              </w:rPr>
              <w:t>44 364</w:t>
            </w:r>
          </w:p>
        </w:tc>
      </w:tr>
      <w:tr>
        <w:trPr>
          <w:trHeight w:val="284"/>
        </w:trPr>
        <w:tc>
          <w:tcPr>
            <w:tcW w:w="2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r>
              <w:rPr>
                <w:rFonts w:ascii="Verdana" w:hAnsi="Verdana"/>
                <w:noProof/>
                <w:color w:val="000000"/>
                <w:sz w:val="16"/>
              </w:rPr>
              <w:t>3</w:t>
            </w:r>
          </w:p>
        </w:tc>
        <w:tc>
          <w:tcPr>
            <w:tcW w:w="449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r>
              <w:rPr>
                <w:rFonts w:ascii="Verdana" w:hAnsi="Verdana"/>
                <w:noProof/>
                <w:color w:val="000000"/>
                <w:sz w:val="16"/>
              </w:rPr>
              <w:t>Turvallisuus ja kansalaisuus</w:t>
            </w:r>
          </w:p>
        </w:tc>
        <w:tc>
          <w:tcPr>
            <w:tcW w:w="117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3 493</w:t>
            </w:r>
          </w:p>
        </w:tc>
        <w:tc>
          <w:tcPr>
            <w:tcW w:w="123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3 492</w:t>
            </w:r>
          </w:p>
        </w:tc>
        <w:tc>
          <w:tcPr>
            <w:tcW w:w="125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4 015</w:t>
            </w:r>
          </w:p>
        </w:tc>
        <w:tc>
          <w:tcPr>
            <w:tcW w:w="135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3 855</w:t>
            </w:r>
          </w:p>
        </w:tc>
      </w:tr>
      <w:tr>
        <w:trPr>
          <w:trHeight w:val="284"/>
        </w:trPr>
        <w:tc>
          <w:tcPr>
            <w:tcW w:w="2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r>
              <w:rPr>
                <w:rFonts w:ascii="Verdana" w:hAnsi="Verdana"/>
                <w:noProof/>
                <w:color w:val="000000"/>
                <w:sz w:val="16"/>
              </w:rPr>
              <w:t>4</w:t>
            </w:r>
          </w:p>
        </w:tc>
        <w:tc>
          <w:tcPr>
            <w:tcW w:w="449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r>
              <w:rPr>
                <w:rFonts w:ascii="Verdana" w:hAnsi="Verdana"/>
                <w:noProof/>
                <w:color w:val="000000"/>
                <w:sz w:val="16"/>
              </w:rPr>
              <w:t>Globaali Eurooppa</w:t>
            </w:r>
          </w:p>
        </w:tc>
        <w:tc>
          <w:tcPr>
            <w:tcW w:w="117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9 569</w:t>
            </w:r>
          </w:p>
        </w:tc>
        <w:tc>
          <w:tcPr>
            <w:tcW w:w="123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10 379</w:t>
            </w:r>
          </w:p>
        </w:tc>
        <w:tc>
          <w:tcPr>
            <w:tcW w:w="125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11 448</w:t>
            </w:r>
          </w:p>
        </w:tc>
        <w:tc>
          <w:tcPr>
            <w:tcW w:w="135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11 062</w:t>
            </w:r>
          </w:p>
        </w:tc>
      </w:tr>
      <w:tr>
        <w:trPr>
          <w:trHeight w:val="284"/>
        </w:trPr>
        <w:tc>
          <w:tcPr>
            <w:tcW w:w="2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r>
              <w:rPr>
                <w:rFonts w:ascii="Verdana" w:hAnsi="Verdana"/>
                <w:noProof/>
                <w:color w:val="000000"/>
                <w:sz w:val="16"/>
              </w:rPr>
              <w:t>5</w:t>
            </w:r>
          </w:p>
        </w:tc>
        <w:tc>
          <w:tcPr>
            <w:tcW w:w="449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r>
              <w:rPr>
                <w:rFonts w:ascii="Verdana" w:hAnsi="Verdana"/>
                <w:noProof/>
                <w:color w:val="000000"/>
                <w:sz w:val="16"/>
              </w:rPr>
              <w:t>Hallinto</w:t>
            </w:r>
          </w:p>
        </w:tc>
        <w:tc>
          <w:tcPr>
            <w:tcW w:w="117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9 666</w:t>
            </w:r>
          </w:p>
        </w:tc>
        <w:tc>
          <w:tcPr>
            <w:tcW w:w="123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9 666</w:t>
            </w:r>
          </w:p>
        </w:tc>
        <w:tc>
          <w:tcPr>
            <w:tcW w:w="125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10 508</w:t>
            </w:r>
          </w:p>
        </w:tc>
        <w:tc>
          <w:tcPr>
            <w:tcW w:w="135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10 124</w:t>
            </w:r>
          </w:p>
        </w:tc>
      </w:tr>
      <w:tr>
        <w:trPr>
          <w:trHeight w:val="284"/>
        </w:trPr>
        <w:tc>
          <w:tcPr>
            <w:tcW w:w="2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i/>
                <w:noProof/>
                <w:color w:val="000000"/>
                <w:sz w:val="16"/>
              </w:rPr>
            </w:pPr>
          </w:p>
        </w:tc>
        <w:tc>
          <w:tcPr>
            <w:tcW w:w="449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i/>
                <w:noProof/>
                <w:color w:val="000000"/>
                <w:sz w:val="16"/>
              </w:rPr>
            </w:pPr>
            <w:r>
              <w:rPr>
                <w:rFonts w:ascii="Verdana" w:hAnsi="Verdana"/>
                <w:i/>
                <w:noProof/>
                <w:color w:val="000000"/>
                <w:sz w:val="16"/>
              </w:rPr>
              <w:t>josta: toimielinten hallintomenot</w:t>
            </w:r>
          </w:p>
        </w:tc>
        <w:tc>
          <w:tcPr>
            <w:tcW w:w="117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i/>
                <w:noProof/>
                <w:color w:val="000000"/>
                <w:sz w:val="16"/>
              </w:rPr>
            </w:pPr>
            <w:r>
              <w:rPr>
                <w:rFonts w:ascii="Verdana" w:hAnsi="Verdana"/>
                <w:i/>
                <w:noProof/>
                <w:color w:val="000000"/>
                <w:sz w:val="16"/>
              </w:rPr>
              <w:t>4 015</w:t>
            </w:r>
          </w:p>
        </w:tc>
        <w:tc>
          <w:tcPr>
            <w:tcW w:w="123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i/>
                <w:noProof/>
                <w:color w:val="000000"/>
                <w:sz w:val="16"/>
              </w:rPr>
            </w:pPr>
            <w:r>
              <w:rPr>
                <w:rFonts w:ascii="Verdana" w:hAnsi="Verdana"/>
                <w:i/>
                <w:noProof/>
                <w:color w:val="000000"/>
                <w:sz w:val="16"/>
              </w:rPr>
              <w:t>4 015</w:t>
            </w:r>
          </w:p>
        </w:tc>
        <w:tc>
          <w:tcPr>
            <w:tcW w:w="125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i/>
                <w:noProof/>
                <w:color w:val="000000"/>
                <w:sz w:val="16"/>
              </w:rPr>
            </w:pPr>
            <w:r>
              <w:rPr>
                <w:rFonts w:ascii="Verdana" w:hAnsi="Verdana"/>
                <w:i/>
                <w:noProof/>
                <w:color w:val="000000"/>
                <w:sz w:val="16"/>
              </w:rPr>
              <w:t>4 465</w:t>
            </w:r>
          </w:p>
        </w:tc>
        <w:tc>
          <w:tcPr>
            <w:tcW w:w="135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i/>
                <w:noProof/>
                <w:color w:val="000000"/>
                <w:sz w:val="16"/>
              </w:rPr>
            </w:pPr>
            <w:r>
              <w:rPr>
                <w:rFonts w:ascii="Verdana" w:hAnsi="Verdana"/>
                <w:i/>
                <w:noProof/>
                <w:color w:val="000000"/>
                <w:sz w:val="16"/>
              </w:rPr>
              <w:t>4 280</w:t>
            </w:r>
          </w:p>
        </w:tc>
      </w:tr>
      <w:tr>
        <w:trPr>
          <w:trHeight w:val="284"/>
        </w:trPr>
        <w:tc>
          <w:tcPr>
            <w:tcW w:w="2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r>
              <w:rPr>
                <w:rFonts w:ascii="Verdana" w:hAnsi="Verdana"/>
                <w:noProof/>
                <w:color w:val="000000"/>
                <w:sz w:val="16"/>
              </w:rPr>
              <w:t>6</w:t>
            </w:r>
          </w:p>
        </w:tc>
        <w:tc>
          <w:tcPr>
            <w:tcW w:w="449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r>
              <w:rPr>
                <w:rFonts w:ascii="Verdana" w:hAnsi="Verdana"/>
                <w:noProof/>
                <w:color w:val="000000"/>
                <w:sz w:val="16"/>
              </w:rPr>
              <w:t>Korvaukset</w:t>
            </w:r>
          </w:p>
        </w:tc>
        <w:tc>
          <w:tcPr>
            <w:tcW w:w="117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123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125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135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2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r>
              <w:rPr>
                <w:rFonts w:ascii="Verdana" w:hAnsi="Verdana"/>
                <w:noProof/>
                <w:color w:val="000000"/>
                <w:sz w:val="16"/>
              </w:rPr>
              <w:t>8</w:t>
            </w:r>
          </w:p>
        </w:tc>
        <w:tc>
          <w:tcPr>
            <w:tcW w:w="449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r>
              <w:rPr>
                <w:rFonts w:ascii="Verdana" w:hAnsi="Verdana"/>
                <w:noProof/>
                <w:color w:val="000000"/>
                <w:sz w:val="16"/>
              </w:rPr>
              <w:t xml:space="preserve">Negatiivinen varaus ja edeltävältä varainhoitovuodelta siirretty alijäämä </w:t>
            </w:r>
          </w:p>
        </w:tc>
        <w:tc>
          <w:tcPr>
            <w:tcW w:w="117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123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125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135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2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r>
              <w:rPr>
                <w:rFonts w:ascii="Verdana" w:hAnsi="Verdana"/>
                <w:noProof/>
                <w:color w:val="000000"/>
                <w:sz w:val="16"/>
              </w:rPr>
              <w:t>9</w:t>
            </w:r>
          </w:p>
        </w:tc>
        <w:tc>
          <w:tcPr>
            <w:tcW w:w="449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r>
              <w:rPr>
                <w:rFonts w:ascii="Verdana" w:hAnsi="Verdana"/>
                <w:noProof/>
                <w:color w:val="000000"/>
                <w:sz w:val="16"/>
              </w:rPr>
              <w:t>Erityisrahoitusvälineet</w:t>
            </w:r>
          </w:p>
        </w:tc>
        <w:tc>
          <w:tcPr>
            <w:tcW w:w="117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 xml:space="preserve"> 567</w:t>
            </w:r>
          </w:p>
        </w:tc>
        <w:tc>
          <w:tcPr>
            <w:tcW w:w="123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 xml:space="preserve"> 388</w:t>
            </w:r>
          </w:p>
        </w:tc>
        <w:tc>
          <w:tcPr>
            <w:tcW w:w="125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 xml:space="preserve"> 429</w:t>
            </w:r>
          </w:p>
        </w:tc>
        <w:tc>
          <w:tcPr>
            <w:tcW w:w="135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 xml:space="preserve"> 180</w:t>
            </w:r>
          </w:p>
        </w:tc>
      </w:tr>
      <w:tr>
        <w:trPr>
          <w:trHeight w:val="284"/>
        </w:trPr>
        <w:tc>
          <w:tcPr>
            <w:tcW w:w="243" w:type="dxa"/>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Commitments"/>
              <w:rPr>
                <w:rFonts w:ascii="Verdana" w:eastAsia="Verdana" w:hAnsi="Verdana" w:cs="Verdana"/>
                <w:b/>
                <w:noProof/>
                <w:color w:val="000000"/>
                <w:sz w:val="16"/>
              </w:rPr>
            </w:pPr>
          </w:p>
        </w:tc>
        <w:tc>
          <w:tcPr>
            <w:tcW w:w="4495" w:type="dxa"/>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Commitments"/>
              <w:rPr>
                <w:rFonts w:ascii="Verdana" w:eastAsia="Verdana" w:hAnsi="Verdana" w:cs="Verdana"/>
                <w:b/>
                <w:noProof/>
                <w:color w:val="000000"/>
                <w:sz w:val="16"/>
              </w:rPr>
            </w:pPr>
            <w:r>
              <w:rPr>
                <w:rFonts w:ascii="Verdana" w:hAnsi="Verdana"/>
                <w:b/>
                <w:noProof/>
                <w:color w:val="000000"/>
                <w:sz w:val="16"/>
              </w:rPr>
              <w:t>Yhteensä</w:t>
            </w:r>
          </w:p>
        </w:tc>
        <w:tc>
          <w:tcPr>
            <w:tcW w:w="1177" w:type="dxa"/>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Commitments"/>
              <w:jc w:val="right"/>
              <w:rPr>
                <w:rFonts w:ascii="Verdana" w:eastAsia="Verdana" w:hAnsi="Verdana" w:cs="Verdana"/>
                <w:b/>
                <w:noProof/>
                <w:color w:val="000000"/>
                <w:sz w:val="16"/>
              </w:rPr>
            </w:pPr>
            <w:r>
              <w:rPr>
                <w:rFonts w:ascii="Verdana" w:hAnsi="Verdana"/>
                <w:b/>
                <w:noProof/>
                <w:color w:val="000000"/>
                <w:sz w:val="16"/>
              </w:rPr>
              <w:t>160 114</w:t>
            </w:r>
          </w:p>
        </w:tc>
        <w:tc>
          <w:tcPr>
            <w:tcW w:w="1233" w:type="dxa"/>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Commitments"/>
              <w:jc w:val="right"/>
              <w:rPr>
                <w:rFonts w:ascii="Verdana" w:eastAsia="Verdana" w:hAnsi="Verdana" w:cs="Verdana"/>
                <w:b/>
                <w:noProof/>
                <w:color w:val="000000"/>
                <w:sz w:val="16"/>
              </w:rPr>
            </w:pPr>
            <w:r>
              <w:rPr>
                <w:rFonts w:ascii="Verdana" w:hAnsi="Verdana"/>
                <w:b/>
                <w:noProof/>
                <w:color w:val="000000"/>
                <w:sz w:val="16"/>
              </w:rPr>
              <w:t>160 696</w:t>
            </w:r>
          </w:p>
        </w:tc>
        <w:tc>
          <w:tcPr>
            <w:tcW w:w="1255" w:type="dxa"/>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Commitments"/>
              <w:jc w:val="right"/>
              <w:rPr>
                <w:rFonts w:ascii="Verdana" w:eastAsia="Verdana" w:hAnsi="Verdana" w:cs="Verdana"/>
                <w:b/>
                <w:noProof/>
                <w:color w:val="000000"/>
                <w:sz w:val="16"/>
              </w:rPr>
            </w:pPr>
            <w:r>
              <w:rPr>
                <w:rFonts w:ascii="Verdana" w:hAnsi="Verdana"/>
                <w:b/>
                <w:noProof/>
                <w:color w:val="000000"/>
                <w:sz w:val="16"/>
              </w:rPr>
              <w:t>178 468</w:t>
            </w:r>
          </w:p>
        </w:tc>
        <w:tc>
          <w:tcPr>
            <w:tcW w:w="1356" w:type="dxa"/>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Commitments"/>
              <w:jc w:val="right"/>
              <w:rPr>
                <w:rFonts w:ascii="Verdana" w:eastAsia="Verdana" w:hAnsi="Verdana" w:cs="Verdana"/>
                <w:b/>
                <w:noProof/>
                <w:color w:val="000000"/>
                <w:sz w:val="16"/>
              </w:rPr>
            </w:pPr>
            <w:r>
              <w:rPr>
                <w:rFonts w:ascii="Verdana" w:hAnsi="Verdana"/>
                <w:b/>
                <w:noProof/>
                <w:color w:val="000000"/>
                <w:sz w:val="16"/>
              </w:rPr>
              <w:t>173 139</w:t>
            </w:r>
          </w:p>
        </w:tc>
      </w:tr>
    </w:tbl>
    <w:p>
      <w:pPr>
        <w:pStyle w:val="Textstand-alone"/>
      </w:pPr>
    </w:p>
    <w:p>
      <w:pPr>
        <w:pStyle w:val="HEADERTITLE"/>
      </w:pPr>
      <w:r>
        <w:t>Talousarviomenot: maksut monivuotisen rahoituskehyksen otsakkeittain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
        <w:gridCol w:w="4444"/>
        <w:gridCol w:w="1268"/>
        <w:gridCol w:w="1192"/>
        <w:gridCol w:w="1343"/>
        <w:gridCol w:w="1268"/>
      </w:tblGrid>
      <w:tr>
        <w:trPr>
          <w:trHeight w:val="284"/>
        </w:trPr>
        <w:tc>
          <w:tcPr>
            <w:tcW w:w="244"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bookmarkStart w:id="282" w:name="DOC_TBL00100_1_1"/>
            <w:bookmarkEnd w:id="282"/>
          </w:p>
        </w:tc>
        <w:tc>
          <w:tcPr>
            <w:tcW w:w="4444"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p>
        </w:tc>
        <w:tc>
          <w:tcPr>
            <w:tcW w:w="119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p>
        </w:tc>
        <w:tc>
          <w:tcPr>
            <w:tcW w:w="13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i/>
                <w:noProof/>
                <w:color w:val="000000"/>
                <w:sz w:val="16"/>
              </w:rPr>
            </w:pPr>
            <w:r>
              <w:rPr>
                <w:rFonts w:ascii="Verdana" w:hAnsi="Verdana"/>
                <w:i/>
                <w:noProof/>
                <w:color w:val="000000"/>
                <w:sz w:val="16"/>
              </w:rPr>
              <w:t>milj. euroa</w:t>
            </w:r>
          </w:p>
        </w:tc>
      </w:tr>
      <w:tr>
        <w:trPr>
          <w:trHeight w:val="284"/>
        </w:trPr>
        <w:tc>
          <w:tcPr>
            <w:tcW w:w="244" w:type="dxa"/>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Payments"/>
              <w:jc w:val="center"/>
              <w:rPr>
                <w:rFonts w:ascii="Verdana" w:eastAsia="Verdana" w:hAnsi="Verdana" w:cs="Verdana"/>
                <w:noProof/>
                <w:color w:val="FFFFFF"/>
                <w:sz w:val="16"/>
              </w:rPr>
            </w:pPr>
          </w:p>
        </w:tc>
        <w:tc>
          <w:tcPr>
            <w:tcW w:w="4444" w:type="dxa"/>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Payments"/>
              <w:rPr>
                <w:rFonts w:ascii="Verdana" w:eastAsia="Verdana" w:hAnsi="Verdana" w:cs="Verdana"/>
                <w:noProof/>
                <w:color w:val="FFFFFF"/>
                <w:sz w:val="16"/>
              </w:rPr>
            </w:pPr>
            <w:r>
              <w:rPr>
                <w:rFonts w:ascii="Verdana" w:hAnsi="Verdana"/>
                <w:noProof/>
                <w:color w:val="FFFFFF"/>
                <w:sz w:val="16"/>
              </w:rPr>
              <w:t>Rahoituskehyksen otsake</w:t>
            </w:r>
          </w:p>
        </w:tc>
        <w:tc>
          <w:tcPr>
            <w:tcW w:w="1268" w:type="dxa"/>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Payments"/>
              <w:jc w:val="right"/>
              <w:rPr>
                <w:rFonts w:ascii="Verdana" w:eastAsia="Verdana" w:hAnsi="Verdana" w:cs="Verdana"/>
                <w:noProof/>
                <w:color w:val="FFFFFF"/>
                <w:sz w:val="16"/>
              </w:rPr>
            </w:pPr>
            <w:r>
              <w:rPr>
                <w:rFonts w:ascii="Verdana" w:hAnsi="Verdana"/>
                <w:noProof/>
                <w:color w:val="FFFFFF"/>
                <w:sz w:val="16"/>
              </w:rPr>
              <w:t>Alkuperäinen hyväksytty talousarvio</w:t>
            </w:r>
          </w:p>
        </w:tc>
        <w:tc>
          <w:tcPr>
            <w:tcW w:w="1192" w:type="dxa"/>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Payments"/>
              <w:jc w:val="right"/>
              <w:rPr>
                <w:rFonts w:ascii="Verdana" w:eastAsia="Verdana" w:hAnsi="Verdana" w:cs="Verdana"/>
                <w:noProof/>
                <w:color w:val="FFFFFF"/>
                <w:sz w:val="16"/>
              </w:rPr>
            </w:pPr>
            <w:r>
              <w:rPr>
                <w:rFonts w:ascii="Verdana" w:hAnsi="Verdana"/>
                <w:noProof/>
                <w:color w:val="FFFFFF"/>
                <w:sz w:val="16"/>
              </w:rPr>
              <w:t>Lopullinen hyväksytty talousarvio</w:t>
            </w:r>
          </w:p>
        </w:tc>
        <w:tc>
          <w:tcPr>
            <w:tcW w:w="1343" w:type="dxa"/>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Payments"/>
              <w:jc w:val="right"/>
              <w:rPr>
                <w:rFonts w:ascii="Verdana" w:eastAsia="Verdana" w:hAnsi="Verdana" w:cs="Verdana"/>
                <w:noProof/>
                <w:color w:val="FFFFFF"/>
                <w:sz w:val="16"/>
              </w:rPr>
            </w:pPr>
            <w:r>
              <w:rPr>
                <w:rFonts w:ascii="Verdana" w:hAnsi="Verdana"/>
                <w:noProof/>
                <w:color w:val="FFFFFF"/>
                <w:sz w:val="16"/>
              </w:rPr>
              <w:t>Käytettävissä</w:t>
            </w:r>
          </w:p>
          <w:p>
            <w:pPr>
              <w:pStyle w:val="DMETW15799BIPStatementofcomparisonPayments"/>
              <w:jc w:val="right"/>
              <w:rPr>
                <w:rFonts w:ascii="Verdana" w:eastAsia="Verdana" w:hAnsi="Verdana" w:cs="Verdana"/>
                <w:noProof/>
                <w:color w:val="FFFFFF"/>
                <w:sz w:val="16"/>
              </w:rPr>
            </w:pPr>
            <w:r>
              <w:rPr>
                <w:rFonts w:ascii="Verdana" w:hAnsi="Verdana"/>
                <w:noProof/>
                <w:color w:val="FFFFFF"/>
                <w:sz w:val="16"/>
              </w:rPr>
              <w:t>olevat määrärahat</w:t>
            </w:r>
          </w:p>
          <w:p>
            <w:pPr>
              <w:pStyle w:val="DMETW15799BIPStatementofcomparisonPayments"/>
              <w:jc w:val="right"/>
              <w:rPr>
                <w:rFonts w:ascii="Verdana" w:eastAsia="Verdana" w:hAnsi="Verdana" w:cs="Verdana"/>
                <w:noProof/>
                <w:color w:val="FFFFFF"/>
                <w:sz w:val="16"/>
              </w:rPr>
            </w:pPr>
            <w:r>
              <w:rPr>
                <w:rFonts w:ascii="Verdana" w:hAnsi="Verdana"/>
                <w:noProof/>
                <w:color w:val="FFFFFF"/>
                <w:sz w:val="16"/>
              </w:rPr>
              <w:t>yhteensä</w:t>
            </w:r>
          </w:p>
        </w:tc>
        <w:tc>
          <w:tcPr>
            <w:tcW w:w="1268" w:type="dxa"/>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Payments"/>
              <w:jc w:val="right"/>
              <w:rPr>
                <w:rFonts w:ascii="Verdana" w:eastAsia="Verdana" w:hAnsi="Verdana" w:cs="Verdana"/>
                <w:noProof/>
                <w:color w:val="FFFFFF"/>
                <w:sz w:val="16"/>
              </w:rPr>
            </w:pPr>
            <w:r>
              <w:rPr>
                <w:rFonts w:ascii="Verdana" w:hAnsi="Verdana"/>
                <w:noProof/>
                <w:color w:val="FFFFFF"/>
                <w:sz w:val="16"/>
              </w:rPr>
              <w:t>Suoritetut maksut</w:t>
            </w:r>
          </w:p>
        </w:tc>
      </w:tr>
      <w:tr>
        <w:trPr>
          <w:trHeight w:val="284"/>
        </w:trPr>
        <w:tc>
          <w:tcPr>
            <w:tcW w:w="244"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r>
              <w:rPr>
                <w:rFonts w:ascii="Verdana" w:hAnsi="Verdana"/>
                <w:noProof/>
                <w:color w:val="000000"/>
                <w:sz w:val="16"/>
              </w:rPr>
              <w:t>1</w:t>
            </w:r>
          </w:p>
        </w:tc>
        <w:tc>
          <w:tcPr>
            <w:tcW w:w="4444"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r>
              <w:rPr>
                <w:rFonts w:ascii="Verdana" w:hAnsi="Verdana"/>
                <w:noProof/>
                <w:color w:val="000000"/>
                <w:sz w:val="16"/>
              </w:rPr>
              <w:t>Älykäs ja osallistava kasvu</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66 624</w:t>
            </w:r>
          </w:p>
        </w:tc>
        <w:tc>
          <w:tcPr>
            <w:tcW w:w="119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66 733</w:t>
            </w:r>
          </w:p>
        </w:tc>
        <w:tc>
          <w:tcPr>
            <w:tcW w:w="13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80 917</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75 876</w:t>
            </w:r>
          </w:p>
        </w:tc>
      </w:tr>
      <w:tr>
        <w:trPr>
          <w:trHeight w:val="284"/>
        </w:trPr>
        <w:tc>
          <w:tcPr>
            <w:tcW w:w="244"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i/>
                <w:noProof/>
                <w:color w:val="000000"/>
                <w:sz w:val="16"/>
              </w:rPr>
            </w:pPr>
          </w:p>
        </w:tc>
        <w:tc>
          <w:tcPr>
            <w:tcW w:w="4444"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i/>
                <w:noProof/>
                <w:color w:val="000000"/>
                <w:sz w:val="16"/>
              </w:rPr>
            </w:pPr>
            <w:r>
              <w:rPr>
                <w:rFonts w:ascii="Verdana" w:hAnsi="Verdana"/>
                <w:i/>
                <w:noProof/>
                <w:color w:val="000000"/>
                <w:sz w:val="16"/>
              </w:rPr>
              <w:t>1a: Kasvua ja työllisyyttä edistävä kilpailukyky</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i/>
                <w:noProof/>
                <w:color w:val="000000"/>
                <w:sz w:val="16"/>
              </w:rPr>
            </w:pPr>
            <w:r>
              <w:rPr>
                <w:rFonts w:ascii="Verdana" w:hAnsi="Verdana"/>
                <w:i/>
                <w:noProof/>
                <w:color w:val="000000"/>
                <w:sz w:val="16"/>
              </w:rPr>
              <w:t>20 097</w:t>
            </w:r>
          </w:p>
        </w:tc>
        <w:tc>
          <w:tcPr>
            <w:tcW w:w="119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i/>
                <w:noProof/>
                <w:color w:val="000000"/>
                <w:sz w:val="16"/>
              </w:rPr>
            </w:pPr>
            <w:r>
              <w:rPr>
                <w:rFonts w:ascii="Verdana" w:hAnsi="Verdana"/>
                <w:i/>
                <w:noProof/>
                <w:color w:val="000000"/>
                <w:sz w:val="16"/>
              </w:rPr>
              <w:t>20 155</w:t>
            </w:r>
          </w:p>
        </w:tc>
        <w:tc>
          <w:tcPr>
            <w:tcW w:w="13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i/>
                <w:noProof/>
                <w:color w:val="000000"/>
                <w:sz w:val="16"/>
              </w:rPr>
            </w:pPr>
            <w:r>
              <w:rPr>
                <w:rFonts w:ascii="Verdana" w:hAnsi="Verdana"/>
                <w:i/>
                <w:noProof/>
                <w:color w:val="000000"/>
                <w:sz w:val="16"/>
              </w:rPr>
              <w:t>25 073</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i/>
                <w:noProof/>
                <w:color w:val="000000"/>
                <w:sz w:val="16"/>
              </w:rPr>
            </w:pPr>
            <w:r>
              <w:rPr>
                <w:rFonts w:ascii="Verdana" w:hAnsi="Verdana"/>
                <w:i/>
                <w:noProof/>
                <w:color w:val="000000"/>
                <w:sz w:val="16"/>
              </w:rPr>
              <w:t>21 408</w:t>
            </w:r>
          </w:p>
        </w:tc>
      </w:tr>
      <w:tr>
        <w:trPr>
          <w:trHeight w:val="284"/>
        </w:trPr>
        <w:tc>
          <w:tcPr>
            <w:tcW w:w="244"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i/>
                <w:noProof/>
                <w:color w:val="000000"/>
                <w:sz w:val="16"/>
              </w:rPr>
            </w:pPr>
          </w:p>
        </w:tc>
        <w:tc>
          <w:tcPr>
            <w:tcW w:w="4444"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i/>
                <w:noProof/>
                <w:color w:val="000000"/>
                <w:sz w:val="16"/>
              </w:rPr>
            </w:pPr>
            <w:r>
              <w:rPr>
                <w:rFonts w:ascii="Verdana" w:hAnsi="Verdana"/>
                <w:i/>
                <w:noProof/>
                <w:color w:val="000000"/>
                <w:sz w:val="16"/>
              </w:rPr>
              <w:t>1b: Taloudellinen, sosiaalinen ja alueellinen koheesio</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i/>
                <w:noProof/>
                <w:color w:val="000000"/>
                <w:sz w:val="16"/>
              </w:rPr>
            </w:pPr>
            <w:r>
              <w:rPr>
                <w:rFonts w:ascii="Verdana" w:hAnsi="Verdana"/>
                <w:i/>
                <w:noProof/>
                <w:color w:val="000000"/>
                <w:sz w:val="16"/>
              </w:rPr>
              <w:t>46 527</w:t>
            </w:r>
          </w:p>
        </w:tc>
        <w:tc>
          <w:tcPr>
            <w:tcW w:w="119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i/>
                <w:noProof/>
                <w:color w:val="000000"/>
                <w:sz w:val="16"/>
              </w:rPr>
            </w:pPr>
            <w:r>
              <w:rPr>
                <w:rFonts w:ascii="Verdana" w:hAnsi="Verdana"/>
                <w:i/>
                <w:noProof/>
                <w:color w:val="000000"/>
                <w:sz w:val="16"/>
              </w:rPr>
              <w:t>46 578</w:t>
            </w:r>
          </w:p>
        </w:tc>
        <w:tc>
          <w:tcPr>
            <w:tcW w:w="13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i/>
                <w:noProof/>
                <w:color w:val="000000"/>
                <w:sz w:val="16"/>
              </w:rPr>
            </w:pPr>
            <w:r>
              <w:rPr>
                <w:rFonts w:ascii="Verdana" w:hAnsi="Verdana"/>
                <w:i/>
                <w:noProof/>
                <w:color w:val="000000"/>
                <w:sz w:val="16"/>
              </w:rPr>
              <w:t>55 844</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i/>
                <w:noProof/>
                <w:color w:val="000000"/>
                <w:sz w:val="16"/>
              </w:rPr>
            </w:pPr>
            <w:r>
              <w:rPr>
                <w:rFonts w:ascii="Verdana" w:hAnsi="Verdana"/>
                <w:i/>
                <w:noProof/>
                <w:color w:val="000000"/>
                <w:sz w:val="16"/>
              </w:rPr>
              <w:t>54 468</w:t>
            </w:r>
          </w:p>
        </w:tc>
      </w:tr>
      <w:tr>
        <w:trPr>
          <w:trHeight w:val="284"/>
        </w:trPr>
        <w:tc>
          <w:tcPr>
            <w:tcW w:w="244"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r>
              <w:rPr>
                <w:rFonts w:ascii="Verdana" w:hAnsi="Verdana"/>
                <w:noProof/>
                <w:color w:val="000000"/>
                <w:sz w:val="16"/>
              </w:rPr>
              <w:t>2</w:t>
            </w:r>
          </w:p>
        </w:tc>
        <w:tc>
          <w:tcPr>
            <w:tcW w:w="4444"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r>
              <w:rPr>
                <w:rFonts w:ascii="Verdana" w:hAnsi="Verdana"/>
                <w:noProof/>
                <w:color w:val="000000"/>
                <w:sz w:val="16"/>
              </w:rPr>
              <w:t>Kestävä kasvu: luonnonvarat</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56 084</w:t>
            </w:r>
          </w:p>
        </w:tc>
        <w:tc>
          <w:tcPr>
            <w:tcW w:w="119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56 241</w:t>
            </w:r>
          </w:p>
        </w:tc>
        <w:tc>
          <w:tcPr>
            <w:tcW w:w="13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59 648</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58 046</w:t>
            </w:r>
          </w:p>
        </w:tc>
      </w:tr>
      <w:tr>
        <w:trPr>
          <w:trHeight w:val="284"/>
        </w:trPr>
        <w:tc>
          <w:tcPr>
            <w:tcW w:w="244"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i/>
                <w:noProof/>
                <w:color w:val="000000"/>
                <w:sz w:val="16"/>
              </w:rPr>
            </w:pPr>
          </w:p>
        </w:tc>
        <w:tc>
          <w:tcPr>
            <w:tcW w:w="4444"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i/>
                <w:noProof/>
                <w:color w:val="000000"/>
                <w:sz w:val="16"/>
              </w:rPr>
            </w:pPr>
            <w:r>
              <w:rPr>
                <w:rFonts w:ascii="Verdana" w:hAnsi="Verdana"/>
                <w:i/>
                <w:noProof/>
                <w:color w:val="000000"/>
                <w:sz w:val="16"/>
              </w:rPr>
              <w:t>josta: markkinoihin liittyvät menot ja suorat tuet</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i/>
                <w:noProof/>
                <w:color w:val="000000"/>
                <w:sz w:val="16"/>
              </w:rPr>
            </w:pPr>
            <w:r>
              <w:rPr>
                <w:rFonts w:ascii="Verdana" w:hAnsi="Verdana"/>
                <w:i/>
                <w:noProof/>
                <w:color w:val="000000"/>
                <w:sz w:val="16"/>
              </w:rPr>
              <w:t>43 189</w:t>
            </w:r>
          </w:p>
        </w:tc>
        <w:tc>
          <w:tcPr>
            <w:tcW w:w="119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i/>
                <w:noProof/>
                <w:color w:val="000000"/>
                <w:sz w:val="16"/>
              </w:rPr>
            </w:pPr>
            <w:r>
              <w:rPr>
                <w:rFonts w:ascii="Verdana" w:hAnsi="Verdana"/>
                <w:i/>
                <w:noProof/>
                <w:color w:val="000000"/>
                <w:sz w:val="16"/>
              </w:rPr>
              <w:t>43 180</w:t>
            </w:r>
          </w:p>
        </w:tc>
        <w:tc>
          <w:tcPr>
            <w:tcW w:w="13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i/>
                <w:noProof/>
                <w:color w:val="000000"/>
                <w:sz w:val="16"/>
              </w:rPr>
            </w:pPr>
            <w:r>
              <w:rPr>
                <w:rFonts w:ascii="Verdana" w:hAnsi="Verdana"/>
                <w:i/>
                <w:noProof/>
                <w:color w:val="000000"/>
                <w:sz w:val="16"/>
              </w:rPr>
              <w:t>45 436</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i/>
                <w:noProof/>
                <w:color w:val="000000"/>
                <w:sz w:val="16"/>
              </w:rPr>
            </w:pPr>
            <w:r>
              <w:rPr>
                <w:rFonts w:ascii="Verdana" w:hAnsi="Verdana"/>
                <w:i/>
                <w:noProof/>
                <w:color w:val="000000"/>
                <w:sz w:val="16"/>
              </w:rPr>
              <w:t>44 310</w:t>
            </w:r>
          </w:p>
        </w:tc>
      </w:tr>
      <w:tr>
        <w:trPr>
          <w:trHeight w:val="284"/>
        </w:trPr>
        <w:tc>
          <w:tcPr>
            <w:tcW w:w="244"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r>
              <w:rPr>
                <w:rFonts w:ascii="Verdana" w:hAnsi="Verdana"/>
                <w:noProof/>
                <w:color w:val="000000"/>
                <w:sz w:val="16"/>
              </w:rPr>
              <w:t>3</w:t>
            </w:r>
          </w:p>
        </w:tc>
        <w:tc>
          <w:tcPr>
            <w:tcW w:w="4444"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r>
              <w:rPr>
                <w:rFonts w:ascii="Verdana" w:hAnsi="Verdana"/>
                <w:noProof/>
                <w:color w:val="000000"/>
                <w:sz w:val="16"/>
              </w:rPr>
              <w:t>Turvallisuus ja kansalaisuus</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2 981</w:t>
            </w:r>
          </w:p>
        </w:tc>
        <w:tc>
          <w:tcPr>
            <w:tcW w:w="119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3 013</w:t>
            </w:r>
          </w:p>
        </w:tc>
        <w:tc>
          <w:tcPr>
            <w:tcW w:w="13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3 305</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3 108</w:t>
            </w:r>
          </w:p>
        </w:tc>
      </w:tr>
      <w:tr>
        <w:trPr>
          <w:trHeight w:val="284"/>
        </w:trPr>
        <w:tc>
          <w:tcPr>
            <w:tcW w:w="244"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r>
              <w:rPr>
                <w:rFonts w:ascii="Verdana" w:hAnsi="Verdana"/>
                <w:noProof/>
                <w:color w:val="000000"/>
                <w:sz w:val="16"/>
              </w:rPr>
              <w:t>4</w:t>
            </w:r>
          </w:p>
        </w:tc>
        <w:tc>
          <w:tcPr>
            <w:tcW w:w="4444"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r>
              <w:rPr>
                <w:rFonts w:ascii="Verdana" w:hAnsi="Verdana"/>
                <w:noProof/>
                <w:color w:val="000000"/>
                <w:sz w:val="16"/>
              </w:rPr>
              <w:t>Globaali Eurooppa</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8 906</w:t>
            </w:r>
          </w:p>
        </w:tc>
        <w:tc>
          <w:tcPr>
            <w:tcW w:w="119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8 813</w:t>
            </w:r>
          </w:p>
        </w:tc>
        <w:tc>
          <w:tcPr>
            <w:tcW w:w="13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10 788</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9 519</w:t>
            </w:r>
          </w:p>
        </w:tc>
      </w:tr>
      <w:tr>
        <w:trPr>
          <w:trHeight w:val="284"/>
        </w:trPr>
        <w:tc>
          <w:tcPr>
            <w:tcW w:w="244"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r>
              <w:rPr>
                <w:rFonts w:ascii="Verdana" w:hAnsi="Verdana"/>
                <w:noProof/>
                <w:color w:val="000000"/>
                <w:sz w:val="16"/>
              </w:rPr>
              <w:t>5</w:t>
            </w:r>
          </w:p>
        </w:tc>
        <w:tc>
          <w:tcPr>
            <w:tcW w:w="4444"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r>
              <w:rPr>
                <w:rFonts w:ascii="Verdana" w:hAnsi="Verdana"/>
                <w:noProof/>
                <w:color w:val="000000"/>
                <w:sz w:val="16"/>
              </w:rPr>
              <w:t>Hallinto</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9 666</w:t>
            </w:r>
          </w:p>
        </w:tc>
        <w:tc>
          <w:tcPr>
            <w:tcW w:w="119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9 667</w:t>
            </w:r>
          </w:p>
        </w:tc>
        <w:tc>
          <w:tcPr>
            <w:tcW w:w="13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11 355</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9 944</w:t>
            </w:r>
          </w:p>
        </w:tc>
      </w:tr>
      <w:tr>
        <w:trPr>
          <w:trHeight w:val="284"/>
        </w:trPr>
        <w:tc>
          <w:tcPr>
            <w:tcW w:w="244"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i/>
                <w:noProof/>
                <w:color w:val="000000"/>
                <w:sz w:val="16"/>
              </w:rPr>
            </w:pPr>
          </w:p>
        </w:tc>
        <w:tc>
          <w:tcPr>
            <w:tcW w:w="4444"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i/>
                <w:noProof/>
                <w:color w:val="000000"/>
                <w:sz w:val="16"/>
              </w:rPr>
            </w:pPr>
            <w:r>
              <w:rPr>
                <w:rFonts w:ascii="Verdana" w:hAnsi="Verdana"/>
                <w:i/>
                <w:noProof/>
                <w:color w:val="000000"/>
                <w:sz w:val="16"/>
              </w:rPr>
              <w:t>josta: toimielinten hallintomenot</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i/>
                <w:noProof/>
                <w:color w:val="000000"/>
                <w:sz w:val="16"/>
              </w:rPr>
            </w:pPr>
            <w:r>
              <w:rPr>
                <w:rFonts w:ascii="Verdana" w:hAnsi="Verdana"/>
                <w:i/>
                <w:noProof/>
                <w:color w:val="000000"/>
                <w:sz w:val="16"/>
              </w:rPr>
              <w:t>4 015</w:t>
            </w:r>
          </w:p>
        </w:tc>
        <w:tc>
          <w:tcPr>
            <w:tcW w:w="119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i/>
                <w:noProof/>
                <w:color w:val="000000"/>
                <w:sz w:val="16"/>
              </w:rPr>
            </w:pPr>
            <w:r>
              <w:rPr>
                <w:rFonts w:ascii="Verdana" w:hAnsi="Verdana"/>
                <w:i/>
                <w:noProof/>
                <w:color w:val="000000"/>
                <w:sz w:val="16"/>
              </w:rPr>
              <w:t>4 015</w:t>
            </w:r>
          </w:p>
        </w:tc>
        <w:tc>
          <w:tcPr>
            <w:tcW w:w="13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i/>
                <w:noProof/>
                <w:color w:val="000000"/>
                <w:sz w:val="16"/>
              </w:rPr>
            </w:pPr>
            <w:r>
              <w:rPr>
                <w:rFonts w:ascii="Verdana" w:hAnsi="Verdana"/>
                <w:i/>
                <w:noProof/>
                <w:color w:val="000000"/>
                <w:sz w:val="16"/>
              </w:rPr>
              <w:t>4 963</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i/>
                <w:noProof/>
                <w:color w:val="000000"/>
                <w:sz w:val="16"/>
              </w:rPr>
            </w:pPr>
            <w:r>
              <w:rPr>
                <w:rFonts w:ascii="Verdana" w:hAnsi="Verdana"/>
                <w:i/>
                <w:noProof/>
                <w:color w:val="000000"/>
                <w:sz w:val="16"/>
              </w:rPr>
              <w:t>4 140</w:t>
            </w:r>
          </w:p>
        </w:tc>
      </w:tr>
      <w:tr>
        <w:trPr>
          <w:trHeight w:val="284"/>
        </w:trPr>
        <w:tc>
          <w:tcPr>
            <w:tcW w:w="244"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r>
              <w:rPr>
                <w:rFonts w:ascii="Verdana" w:hAnsi="Verdana"/>
                <w:noProof/>
                <w:color w:val="000000"/>
                <w:sz w:val="16"/>
              </w:rPr>
              <w:t>6</w:t>
            </w:r>
          </w:p>
        </w:tc>
        <w:tc>
          <w:tcPr>
            <w:tcW w:w="4444"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r>
              <w:rPr>
                <w:rFonts w:ascii="Verdana" w:hAnsi="Verdana"/>
                <w:noProof/>
                <w:color w:val="000000"/>
                <w:sz w:val="16"/>
              </w:rPr>
              <w:t>Korvaukset</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19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3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244"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r>
              <w:rPr>
                <w:rFonts w:ascii="Verdana" w:hAnsi="Verdana"/>
                <w:noProof/>
                <w:color w:val="000000"/>
                <w:sz w:val="16"/>
              </w:rPr>
              <w:t>8</w:t>
            </w:r>
          </w:p>
        </w:tc>
        <w:tc>
          <w:tcPr>
            <w:tcW w:w="4444"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r>
              <w:rPr>
                <w:rFonts w:ascii="Verdana" w:hAnsi="Verdana"/>
                <w:noProof/>
                <w:color w:val="000000"/>
                <w:sz w:val="16"/>
              </w:rPr>
              <w:t xml:space="preserve">Negatiivinen varaus ja edeltävältä varainhoitovuodelta siirretty alijäämä </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19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3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244"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r>
              <w:rPr>
                <w:rFonts w:ascii="Verdana" w:hAnsi="Verdana"/>
                <w:noProof/>
                <w:color w:val="000000"/>
                <w:sz w:val="16"/>
              </w:rPr>
              <w:t>9</w:t>
            </w:r>
          </w:p>
        </w:tc>
        <w:tc>
          <w:tcPr>
            <w:tcW w:w="4444"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r>
              <w:rPr>
                <w:rFonts w:ascii="Verdana" w:hAnsi="Verdana"/>
                <w:noProof/>
                <w:color w:val="000000"/>
                <w:sz w:val="16"/>
              </w:rPr>
              <w:t>Erityisrahoitusvälineet</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 xml:space="preserve"> 420</w:t>
            </w:r>
          </w:p>
        </w:tc>
        <w:tc>
          <w:tcPr>
            <w:tcW w:w="119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 xml:space="preserve"> 302</w:t>
            </w:r>
          </w:p>
        </w:tc>
        <w:tc>
          <w:tcPr>
            <w:tcW w:w="134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 xml:space="preserve"> 340</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 xml:space="preserve"> 180</w:t>
            </w:r>
          </w:p>
        </w:tc>
      </w:tr>
      <w:tr>
        <w:trPr>
          <w:trHeight w:val="284"/>
        </w:trPr>
        <w:tc>
          <w:tcPr>
            <w:tcW w:w="244" w:type="dxa"/>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Payments"/>
              <w:rPr>
                <w:rFonts w:ascii="Verdana" w:eastAsia="Verdana" w:hAnsi="Verdana" w:cs="Verdana"/>
                <w:b/>
                <w:noProof/>
                <w:color w:val="000000"/>
                <w:sz w:val="16"/>
              </w:rPr>
            </w:pPr>
          </w:p>
        </w:tc>
        <w:tc>
          <w:tcPr>
            <w:tcW w:w="4444" w:type="dxa"/>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Payments"/>
              <w:rPr>
                <w:rFonts w:ascii="Verdana" w:eastAsia="Verdana" w:hAnsi="Verdana" w:cs="Verdana"/>
                <w:b/>
                <w:noProof/>
                <w:color w:val="000000"/>
                <w:sz w:val="16"/>
              </w:rPr>
            </w:pPr>
            <w:r>
              <w:rPr>
                <w:rFonts w:ascii="Verdana" w:hAnsi="Verdana"/>
                <w:b/>
                <w:noProof/>
                <w:color w:val="000000"/>
                <w:sz w:val="16"/>
              </w:rPr>
              <w:t>Yhteensä</w:t>
            </w:r>
          </w:p>
        </w:tc>
        <w:tc>
          <w:tcPr>
            <w:tcW w:w="1268" w:type="dxa"/>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Payments"/>
              <w:jc w:val="right"/>
              <w:rPr>
                <w:rFonts w:ascii="Verdana" w:eastAsia="Verdana" w:hAnsi="Verdana" w:cs="Verdana"/>
                <w:b/>
                <w:noProof/>
                <w:color w:val="000000"/>
                <w:sz w:val="16"/>
              </w:rPr>
            </w:pPr>
            <w:r>
              <w:rPr>
                <w:rFonts w:ascii="Verdana" w:hAnsi="Verdana"/>
                <w:b/>
                <w:noProof/>
                <w:color w:val="000000"/>
                <w:sz w:val="16"/>
              </w:rPr>
              <w:t>144 681</w:t>
            </w:r>
          </w:p>
        </w:tc>
        <w:tc>
          <w:tcPr>
            <w:tcW w:w="1192" w:type="dxa"/>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Payments"/>
              <w:jc w:val="right"/>
              <w:rPr>
                <w:rFonts w:ascii="Verdana" w:eastAsia="Verdana" w:hAnsi="Verdana" w:cs="Verdana"/>
                <w:b/>
                <w:noProof/>
                <w:color w:val="000000"/>
                <w:sz w:val="16"/>
              </w:rPr>
            </w:pPr>
            <w:r>
              <w:rPr>
                <w:rFonts w:ascii="Verdana" w:hAnsi="Verdana"/>
                <w:b/>
                <w:noProof/>
                <w:color w:val="000000"/>
                <w:sz w:val="16"/>
              </w:rPr>
              <w:t>144 768</w:t>
            </w:r>
          </w:p>
        </w:tc>
        <w:tc>
          <w:tcPr>
            <w:tcW w:w="1343" w:type="dxa"/>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Payments"/>
              <w:jc w:val="right"/>
              <w:rPr>
                <w:rFonts w:ascii="Verdana" w:eastAsia="Verdana" w:hAnsi="Verdana" w:cs="Verdana"/>
                <w:b/>
                <w:noProof/>
                <w:color w:val="000000"/>
                <w:sz w:val="16"/>
              </w:rPr>
            </w:pPr>
            <w:r>
              <w:rPr>
                <w:rFonts w:ascii="Verdana" w:hAnsi="Verdana"/>
                <w:b/>
                <w:noProof/>
                <w:color w:val="000000"/>
                <w:sz w:val="16"/>
              </w:rPr>
              <w:t>166 353</w:t>
            </w:r>
          </w:p>
        </w:tc>
        <w:tc>
          <w:tcPr>
            <w:tcW w:w="1268" w:type="dxa"/>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Payments"/>
              <w:jc w:val="right"/>
              <w:rPr>
                <w:rFonts w:ascii="Verdana" w:eastAsia="Verdana" w:hAnsi="Verdana" w:cs="Verdana"/>
                <w:b/>
                <w:noProof/>
                <w:color w:val="000000"/>
                <w:sz w:val="16"/>
              </w:rPr>
            </w:pPr>
            <w:r>
              <w:rPr>
                <w:rFonts w:ascii="Verdana" w:hAnsi="Verdana"/>
                <w:b/>
                <w:noProof/>
                <w:color w:val="000000"/>
                <w:sz w:val="16"/>
              </w:rPr>
              <w:t>156 673</w:t>
            </w:r>
          </w:p>
        </w:tc>
      </w:tr>
    </w:tbl>
    <w:p>
      <w:pPr>
        <w:pStyle w:val="Textstand-alone"/>
      </w:pPr>
    </w:p>
    <w:p>
      <w:pPr>
        <w:pStyle w:val="Textstand-alone"/>
        <w:sectPr>
          <w:headerReference w:type="even" r:id="rId449"/>
          <w:headerReference w:type="default" r:id="rId450"/>
          <w:footerReference w:type="even" r:id="rId451"/>
          <w:footerReference w:type="default" r:id="rId452"/>
          <w:headerReference w:type="first" r:id="rId453"/>
          <w:footerReference w:type="first" r:id="rId454"/>
          <w:pgSz w:w="11907" w:h="16840"/>
          <w:pgMar w:top="1134" w:right="1134" w:bottom="1134" w:left="1134" w:header="709" w:footer="709" w:gutter="0"/>
          <w:cols w:space="708"/>
          <w:docGrid w:linePitch="360"/>
        </w:sectPr>
      </w:pPr>
      <w:r>
        <w:t xml:space="preserve"> </w:t>
      </w:r>
      <w:bookmarkEnd w:id="276"/>
    </w:p>
    <w:p>
      <w:pPr>
        <w:pStyle w:val="HEADERTITLE2"/>
      </w:pPr>
      <w:bookmarkStart w:id="283" w:name="_Toc11939537"/>
      <w:bookmarkStart w:id="284" w:name="_Toc17887562"/>
      <w:bookmarkStart w:id="285" w:name="_DMBM_14810"/>
      <w:r>
        <w:t>TALOUSARVION TOTEUTTAMISKERTOMUKSEN LIITETIEDOT</w:t>
      </w:r>
      <w:bookmarkEnd w:id="283"/>
      <w:bookmarkEnd w:id="284"/>
      <w:r>
        <w:t xml:space="preserve"> </w:t>
      </w:r>
    </w:p>
    <w:p>
      <w:pPr>
        <w:pStyle w:val="HEADER1PartBUDG"/>
        <w:rPr>
          <w:noProof/>
        </w:rPr>
      </w:pPr>
      <w:r>
        <w:rPr>
          <w:noProof/>
        </w:rPr>
        <w:t xml:space="preserve"> </w:t>
      </w:r>
      <w:bookmarkStart w:id="286" w:name="_Toc11939538"/>
      <w:bookmarkStart w:id="287" w:name="_Toc17887563"/>
      <w:r>
        <w:rPr>
          <w:noProof/>
        </w:rPr>
        <w:t>EU:N TALOUSARVIOKEHYS</w:t>
      </w:r>
      <w:bookmarkEnd w:id="286"/>
      <w:bookmarkEnd w:id="287"/>
    </w:p>
    <w:p>
      <w:pPr>
        <w:pStyle w:val="DGTextstand-alone"/>
      </w:pPr>
      <w:r>
        <w:t>Talousarviokirjanpidossa ja tilinpäätöksen laadinnassa noudatetaan varainhoitoasetusta ja sen soveltamissääntöjä. Unionin yleisessä talousarviossa vahvistetaan vuosittain unionin tulot ja menot. Siinä noudatetaan monivuotisen rahoituskehyksen enimmäismääriä ja muita kyseiseen kehykseen sisältyviä säännöksiä sekä kyseisen kehyksen mukaisesti hyväksyttyjä monivuotisia ohjelmia koskevia säädöksiä.</w:t>
      </w:r>
    </w:p>
    <w:p>
      <w:pPr>
        <w:pStyle w:val="HEADER2PartBUDG"/>
        <w:rPr>
          <w:noProof/>
        </w:rPr>
      </w:pPr>
      <w:bookmarkStart w:id="288" w:name="_Toc11939539"/>
      <w:bookmarkStart w:id="289" w:name="_Toc17887564"/>
      <w:r>
        <w:rPr>
          <w:noProof/>
        </w:rPr>
        <w:t>MONIVUOTINEN RAHOITUSKEHYS 2014–2020</w:t>
      </w:r>
      <w:bookmarkEnd w:id="288"/>
      <w:bookmarkEnd w:id="289"/>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993"/>
        <w:gridCol w:w="992"/>
        <w:gridCol w:w="992"/>
        <w:gridCol w:w="992"/>
        <w:gridCol w:w="993"/>
        <w:gridCol w:w="992"/>
        <w:gridCol w:w="1134"/>
      </w:tblGrid>
      <w:t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90" w:name="DOC_TBL00101_1_1"/>
            <w:bookmarkEnd w:id="290"/>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2126"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milj. euroa</w:t>
            </w:r>
          </w:p>
        </w:tc>
      </w:tr>
      <w:tr>
        <w:trPr>
          <w:trHeight w:val="227"/>
        </w:trPr>
        <w:tc>
          <w:tcPr>
            <w:tcW w:w="1951"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2014</w:t>
            </w:r>
          </w:p>
        </w:tc>
        <w:tc>
          <w:tcPr>
            <w:tcW w:w="993"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2015</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2016</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2017</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2018</w:t>
            </w:r>
          </w:p>
        </w:tc>
        <w:tc>
          <w:tcPr>
            <w:tcW w:w="993"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2019</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2020</w:t>
            </w:r>
          </w:p>
        </w:tc>
        <w:tc>
          <w:tcPr>
            <w:tcW w:w="1134"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Yhteensä</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1. Älykäs ja osallistava kasvu</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52 756</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77 986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69 304</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73 512</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76 420</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79 924</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83 661</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513 563</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1a. Kasvua ja työllisyyttä edistävä kilpailukyky</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16 560</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17 666</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18 467</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19 925</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21 239</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23 082</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25 191</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142 130</w:t>
            </w:r>
          </w:p>
        </w:tc>
      </w:tr>
      <w:tr>
        <w:trPr>
          <w:trHeight w:val="227"/>
        </w:trPr>
        <w:tc>
          <w:tcPr>
            <w:tcW w:w="1951" w:type="dxa"/>
            <w:tcBorders>
              <w:top w:val="nil"/>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1b. Taloudellinen, sosiaalinen ja alueellinen koheesio</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36 196</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60 320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50 837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53 587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55 181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56 842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58 470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371 433</w:t>
            </w:r>
          </w:p>
        </w:tc>
      </w:tr>
      <w:tr>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2. Kestävä kasvu: luonnonvarat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49 857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64 692</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64 262</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60 191</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60 267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60 344</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60 421</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420 034</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josta: markkinoihin liittyvät menot ja suorat tuet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43 779</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44 190</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43 951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44 146</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44 163</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44 241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44 264</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308 734</w:t>
            </w:r>
          </w:p>
        </w:tc>
      </w:tr>
      <w:tr>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3. Turvallisuus ja kansalaisuus</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1 737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2 456</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2 546</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2 578</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2 656</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2 801</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2 951</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17 725</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4. Globaali Eurooppa</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8 335</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8 749</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9 143</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9 432</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9 825</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10 268</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10 510</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66 262</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5. Hallinto</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8 721</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9 076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9 483</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9 918</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10 346</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10 786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11 254</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69 584</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josta: toimielinten hallintomenot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7 056</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7 351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7 679</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8 007</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8 360</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8 700</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9 071</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56 224</w:t>
            </w:r>
          </w:p>
        </w:tc>
      </w:tr>
      <w:tr>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6. Korvaukset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8. Negatiivinen varaus</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9. Erityisrahoitusvälineet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1951" w:type="dxa"/>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eastAsia="Verdana" w:cs="Verdana"/>
              </w:rPr>
            </w:pPr>
            <w:r>
              <w:t>Maksusitoumus</w:t>
            </w:r>
            <w:r>
              <w:softHyphen/>
              <w:t>määrärahat</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121 435</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162 959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154 738</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155 631</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159 514</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164 123</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168 797</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1 087 197</w:t>
            </w:r>
          </w:p>
        </w:tc>
      </w:tr>
      <w:tr>
        <w:trPr>
          <w:trHeight w:val="227"/>
        </w:trPr>
        <w:tc>
          <w:tcPr>
            <w:tcW w:w="1951"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r>
      <w:tr>
        <w:trPr>
          <w:trHeight w:val="227"/>
        </w:trPr>
        <w:tc>
          <w:tcPr>
            <w:tcW w:w="1951" w:type="dxa"/>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eastAsia="Verdana" w:cs="Verdana"/>
              </w:rPr>
            </w:pPr>
            <w:r>
              <w:t>Maksumäärärahat yhteensä</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135 762</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140 719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130 694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142 906</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154 565</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159 235</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162 406</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1 026 287</w:t>
            </w:r>
          </w:p>
        </w:tc>
      </w:tr>
    </w:tbl>
    <w:p>
      <w:pPr>
        <w:pStyle w:val="DGTextstand-alone"/>
      </w:pPr>
    </w:p>
    <w:p>
      <w:pPr>
        <w:pStyle w:val="DGTextstand-alone"/>
      </w:pPr>
      <w:r>
        <w:t>Edellä olevassa taulukossa on esitetty monivuotisen rahoituskehyksen mukaiset enimmäismäärät käyvin hinnoin. Varainhoitovuosi 2018 oli vuodet 2014–2020 kattavan monivuotisen rahoituskehyksen viides vuosi. Maksusitoumusmäärärahojen yhteenlaskettu enimmäismäärä vuonna 2018 oli 159 514 miljoonaa euroa, eli 1,02 prosenttia suhteessa EU:n BKTL:oon. Vastaava maksumäärärahojen enimmäismäärä oli 154 565 miljoonaa euroa, eli 0,98 prosenttia suhteessa EU:n BKTL:oon.</w:t>
      </w:r>
    </w:p>
    <w:p>
      <w:pPr>
        <w:pStyle w:val="DGTextstand-alone"/>
        <w:rPr>
          <w:color w:val="1F497D"/>
        </w:rPr>
      </w:pPr>
      <w:r>
        <w:t>Monivuotista rahoituskehystä 2014–2020 varten on sovittu uudet joustavuussäännökset. Yksi uusista säännöksistä antaa mahdollisuuden siirtää maksumäärärahojen enimmäismäärään sisältyvä käyttämätön liikkumavara seuraaville vuosille. Siirto tapahtuu maksumäärärahojen kokonaisliikkumavaran kautta osana monivuotisen rahoituskehyksen seuraavaa vuotta koskevaa teknistä mukautusta. Vuonna 2016 käyttämättä jääneet määrärahat (13 991 miljoonaa euroa käypinä hintoina) ja vuonna 2017 käyttämättä jääneet määrärahat (16 414 miljoonaa euroa käypinä hintoina) siirrettiin tämän vuoksi varainhoitovuosille 2018–2020 ja varainhoitovuosien 2016–2020 enimmäismääriin tehtiin tämän edellyttämät mukautukset – ks. edellä mainittu monivuotisen rahoituskehyksen vuotta 2018 koskeva tekninen mukautus ja vuotta 2019 koskeva tekninen mukautus (COM(2018) 282, 23. toukokuuta 2018).</w:t>
      </w:r>
    </w:p>
    <w:p>
      <w:pPr>
        <w:pStyle w:val="DGTextstand-alone"/>
      </w:pPr>
      <w:r>
        <w:t xml:space="preserve">Komissio antoi 23. toukokuuta 2018 tiedonannon varainhoitovuotta 2019 koskevan rahoituskehyksen mukautuksesta BKTL:n muutosten mukaisesti (EKT 2010) (COM(2018) 282, 23. toukokuuta 2018). </w:t>
      </w:r>
    </w:p>
    <w:p>
      <w:pPr>
        <w:rPr>
          <w:rFonts w:ascii="Verdana" w:eastAsia="Calibri" w:hAnsi="Verdana"/>
          <w:noProof/>
          <w:sz w:val="18"/>
          <w:szCs w:val="18"/>
          <w:bdr w:val="nil"/>
        </w:rPr>
      </w:pPr>
      <w:r>
        <w:rPr>
          <w:noProof/>
        </w:rPr>
        <w:br w:type="page"/>
      </w:r>
    </w:p>
    <w:p>
      <w:pPr>
        <w:pStyle w:val="DGTextstand-alone"/>
      </w:pPr>
      <w:r>
        <w:t>Seuraavassa selitetään monivuotisen rahoituskehyksen eri otsakkeet:</w:t>
      </w:r>
    </w:p>
    <w:p>
      <w:pPr>
        <w:pStyle w:val="HEADER5"/>
        <w:rPr>
          <w:noProof/>
        </w:rPr>
      </w:pPr>
      <w:r>
        <w:rPr>
          <w:noProof/>
        </w:rPr>
        <w:t>Otsake 1 - Älykäs ja osallistava kasvu</w:t>
      </w:r>
    </w:p>
    <w:p>
      <w:pPr>
        <w:pStyle w:val="DGTextstand-alone"/>
      </w:pPr>
      <w:r>
        <w:t>Tämä otsake jakautuu kahteen toisiinsa yhteydessä olevaan komponenttiin:</w:t>
      </w:r>
    </w:p>
    <w:p>
      <w:pPr>
        <w:pStyle w:val="DGTextstand-alone"/>
      </w:pPr>
      <w:r>
        <w:t>1a</w:t>
      </w:r>
      <w:r>
        <w:tab/>
        <w:t xml:space="preserve">Kasvua ja työllisyyttä edistävä kilpailukyky: otsakkeeseen kuuluvat tutkimuksen ja innovoinnin, koulutuksen, Verkkojen Eurooppa </w:t>
      </w:r>
      <w:r>
        <w:noBreakHyphen/>
        <w:t>välineen, sosiaalipolitiikan, sisämarkkinoiden ja näihin osa-alueisiin liittyvien politiikkojen menot.</w:t>
      </w:r>
    </w:p>
    <w:p>
      <w:pPr>
        <w:pStyle w:val="DGTextstand-alone"/>
      </w:pPr>
      <w:r>
        <w:t>1b</w:t>
      </w:r>
      <w:r>
        <w:tab/>
        <w:t>Taloudellinen, sosiaalinen ja alueellinen yhteenkuuluvuus: otsakkeen määrärahoilla tuetaan vähiten kehittyneiden jäsenvaltioiden ja alueiden lähentymistä, EU:n kestävän kehityksen strategiaa muita heikommassa asemassa olevien alueiden ulkopuolella sekä alueiden välistä yhteistyötä.</w:t>
      </w:r>
    </w:p>
    <w:p>
      <w:pPr>
        <w:pStyle w:val="HEADER5"/>
        <w:rPr>
          <w:noProof/>
        </w:rPr>
      </w:pPr>
      <w:r>
        <w:rPr>
          <w:noProof/>
        </w:rPr>
        <w:t>Otsake 2 – Kestävä kasvu: luonnonvarat</w:t>
      </w:r>
    </w:p>
    <w:p>
      <w:pPr>
        <w:pStyle w:val="DGTextstand-alone"/>
      </w:pPr>
      <w:r>
        <w:t xml:space="preserve">Otsakkeeseen 2 sisältyvät yhteinen maatalous- ja kalastuspolitiikka ja ympäristötoimet, erityisesti Life + </w:t>
      </w:r>
      <w:r>
        <w:noBreakHyphen/>
        <w:t>ohjelma.</w:t>
      </w:r>
    </w:p>
    <w:p>
      <w:pPr>
        <w:pStyle w:val="HEADER5"/>
        <w:rPr>
          <w:noProof/>
        </w:rPr>
      </w:pPr>
      <w:r>
        <w:rPr>
          <w:noProof/>
        </w:rPr>
        <w:t>Otsake 3 – Turvallisuus ja kansalaisuus</w:t>
      </w:r>
    </w:p>
    <w:p>
      <w:pPr>
        <w:pStyle w:val="DGTextstand-alone"/>
      </w:pPr>
      <w:r>
        <w:t>Otsakkeella 3 (turvallisuus ja kansalaisuus) otetaan huomioon oikeus- ja sisäasioiden, rajojen turvaamisen, maahanmuutto- ja turvapaikkapolitiikan, kansanterveyden ja kuluttajansuojan, kulttuurin ja nuorison, tiedotuksen ja kansalaisten kanssa käytävän vuoropuhelun tärkeyden lisääntyminen sekä EU:n erityistehtävät näillä aloilla.</w:t>
      </w:r>
    </w:p>
    <w:p>
      <w:pPr>
        <w:pStyle w:val="HEADER5"/>
        <w:rPr>
          <w:noProof/>
        </w:rPr>
      </w:pPr>
      <w:r>
        <w:rPr>
          <w:noProof/>
        </w:rPr>
        <w:t>Otsake 4 – Globaali Eurooppa</w:t>
      </w:r>
    </w:p>
    <w:p>
      <w:pPr>
        <w:pStyle w:val="DGTextstand-alone"/>
      </w:pPr>
      <w:r>
        <w:t>Otsakkeeseen 4 kuuluvat kaikki ulkoiset toimet, mukaan lukien kehitysyhteistyö, humanitaarinen apu sekä liittymistä valmistelevat ja naapuruuspolitiikan välineet. EKR ei ole osa monivuotista rahoituskehystä, koska se on EU:n talousarvion ulkopuolella.</w:t>
      </w:r>
    </w:p>
    <w:p>
      <w:pPr>
        <w:pStyle w:val="HEADER5"/>
        <w:rPr>
          <w:noProof/>
        </w:rPr>
      </w:pPr>
      <w:r>
        <w:rPr>
          <w:noProof/>
        </w:rPr>
        <w:t>Otsake 5 – Hallinto</w:t>
      </w:r>
    </w:p>
    <w:p>
      <w:pPr>
        <w:pStyle w:val="DGTextstand-alone"/>
      </w:pPr>
      <w:r>
        <w:t>Tämä otsake kattaa kaikkien toimielinten, eläkejärjestelmien ja Eurooppa-koulujen hallintomenot. Hallintokustannukset muodostavat kaikki menot muilla toimielimillä kuin komissiolla.</w:t>
      </w:r>
    </w:p>
    <w:p>
      <w:pPr>
        <w:pStyle w:val="HEADER5"/>
        <w:rPr>
          <w:noProof/>
        </w:rPr>
      </w:pPr>
      <w:r>
        <w:rPr>
          <w:noProof/>
        </w:rPr>
        <w:t>Otsake 6 – Korvaukset</w:t>
      </w:r>
    </w:p>
    <w:p>
      <w:pPr>
        <w:pStyle w:val="DGTextstand-alone"/>
      </w:pPr>
      <w:r>
        <w:t>Uusia jäsenvaltioita ei poliittisen sopimuksen mukaisesti aseteta heti jäsenyyden alkuvaiheessa nettomaksajan asemaan. Tähän otsakkeeseen on tämän vuoksi otettu varoja korvauksia varten. Määrä on käytettävissä siirtoihin, joilla tasapainotetaan uusien jäsenvaltioiden unionin talousarvioon suorittamat maksut ja niiden unionin talousarviosta saama rahoitus.</w:t>
      </w:r>
    </w:p>
    <w:p>
      <w:pPr>
        <w:pStyle w:val="HEADER5"/>
        <w:rPr>
          <w:noProof/>
        </w:rPr>
      </w:pPr>
      <w:r>
        <w:rPr>
          <w:noProof/>
        </w:rPr>
        <w:t>Otsake 9 – Erityisrahoitusvälineet</w:t>
      </w:r>
    </w:p>
    <w:p>
      <w:pPr>
        <w:pStyle w:val="DGTextstand-alone"/>
      </w:pPr>
      <w:r>
        <w:t>EU voi joustomekanismien ansiosta ottaa käyttöön varoja, joita se tarvitsee voidakseen reagoida ennakoimattomiin tapahtumiin, kuten kriiseihin ja hätätilanteisiin. Joustomekanismien soveltamisala ja määrärahat ja niiden käyttämisessä noudatettavat yksityiskohtaiset säännöt vahvistetaan monivuotista rahoituskehystä koskevassa asetuksessa ja toimielinten välisessä sopimuksessa. Tämänhetkisessä tilanteessa, jossa menoja pyritään supistamaan, joustomekanismeilla varmistetaan lisäksi, että talousarviolla voidaan vastata painopisteiden muutoksiin ja näin varmistaa, että jokainen euro käytetään siellä, missä sitä eniten tarvitaan. Suurin osa joustomekanismeista on sen vuoksi pidetty monivuotisen rahoituskehyksen ulkopuolella, ja niiden mukainen rahoitus voidaan ottaa käyttöön, vaikka menojen enimmäismäärät ylittyisivät.</w:t>
      </w:r>
    </w:p>
    <w:p>
      <w:pPr>
        <w:pStyle w:val="HEADER2PartBUDG"/>
        <w:rPr>
          <w:noProof/>
        </w:rPr>
      </w:pPr>
      <w:bookmarkStart w:id="291" w:name="_Toc11939540"/>
      <w:bookmarkStart w:id="292" w:name="_Toc17887565"/>
      <w:r>
        <w:rPr>
          <w:noProof/>
        </w:rPr>
        <w:t>MONIVUOTISEN RAHOITUSKEHYKSEN YKSITYISKOHTAISET ALAOTSIKOT (OHJELMAT)</w:t>
      </w:r>
      <w:bookmarkEnd w:id="291"/>
      <w:bookmarkEnd w:id="292"/>
    </w:p>
    <w:p>
      <w:pPr>
        <w:pStyle w:val="DGTextstand-alone"/>
      </w:pPr>
      <w:r>
        <w:t>Monivuotisen rahoituskehyksen otsikot jaetaan edelleen yksityiskohtaisempiin alaotsikoihin, jotka vastaavat tärkeimpiä meno-ohjelmia (esim. Horisontti 2020 ja Erasmus+). Talousarvion toteutuksen oikeusperustat hyväksytään ohjelmatasolla. Ohjelmat ovat yleisesti käytössä oleva toteutusta ja tuloksia koskeva raportointirakenne. Ohjelmakohtaiset taulukot sisältyvät talousarvion toteuttamiskertomukseen (ks. taulukot </w:t>
      </w:r>
      <w:r>
        <w:rPr>
          <w:b/>
        </w:rPr>
        <w:t>4.6–4.10</w:t>
      </w:r>
      <w:r>
        <w:t xml:space="preserve"> jäljempänä).</w:t>
      </w:r>
    </w:p>
    <w:p>
      <w:pPr>
        <w:pStyle w:val="HEADER2PartBUDG"/>
        <w:rPr>
          <w:noProof/>
        </w:rPr>
      </w:pPr>
      <w:bookmarkStart w:id="293" w:name="_Toc11939541"/>
      <w:bookmarkStart w:id="294" w:name="_Toc17887566"/>
      <w:r>
        <w:rPr>
          <w:noProof/>
        </w:rPr>
        <w:t>VUOTUINEN TALOUSARVIO</w:t>
      </w:r>
      <w:bookmarkEnd w:id="293"/>
      <w:bookmarkEnd w:id="294"/>
    </w:p>
    <w:p>
      <w:pPr>
        <w:pStyle w:val="DGTextstand-alone"/>
      </w:pPr>
      <w:r>
        <w:t>Komissio laatii joka vuosi arvion kaikkien toimielinten tuloista ja menoista ja tekee budjettivallan käyttäjälle talousarvioesityksen. Neuvosto vahvistaa tämän talousarvioesityksen pohjalta kantansa, josta se käy tämän jälkeen neuvotteluja parlamentin kanssa. Kun neuvottelut on saatu päätöksen, parlamentin puhemies toteaa, että yhteinen teksti on lopullisesti hyväksytty, minkä jälkeen talousarvion toteuttaminen voidaan aloittaa. Asianomaisen vuoden aikana hyväksytään lisätalousarvioita. Talousarvion toteuttaminen on pääosin komission tehtävä.</w:t>
      </w:r>
    </w:p>
    <w:p>
      <w:pPr>
        <w:pStyle w:val="DGTextstand-alone"/>
      </w:pPr>
      <w:r>
        <w:t>Talousarvion rakenteessa komission talousarvioon sisältyy sekä hallinto- että toimintamäärärahoja. Muilla toimielimillä on vain hallintomäärärahoja. Talousarviossa on kahdenlaisia määrärahoja: jaksottamattomia määrärahoja ja jaksotettuja määrärahoja. Jaksottamattomilla määrärahoilla rahoitetaan yksivuotisia toimintoja (jotka ovat vuotuisperiaatteen mukaisia). Jaksotetut määrärahat on otettu käyttöön, jotta myös monivuotisten toimintojen rahoittamisessa voidaan noudattaa talousarvion vuotuisperiaatetta. Jaksotetut määrärahat jaetaan maksusitoumusmäärärahoihin ja maksumäärärahoihin:</w:t>
      </w:r>
    </w:p>
    <w:p>
      <w:pPr>
        <w:pStyle w:val="Textstand-aloneBulletpoint"/>
        <w:rPr>
          <w:noProof/>
        </w:rPr>
      </w:pPr>
      <w:r>
        <w:rPr>
          <w:noProof/>
          <w:color w:val="016794"/>
        </w:rPr>
        <w:t>maksusitoumusmäärärahoilla</w:t>
      </w:r>
      <w:r>
        <w:rPr>
          <w:noProof/>
        </w:rPr>
        <w:t xml:space="preserve"> katetaan kaikki monivuotisiin toimiin liittyvistä oikeudellisista sitoumuksista kuluvana varainhoitovuonna aiheutuvat kustannukset. Useamman kuin yhden varainhoitovuoden aikana toteutettavia toimia koskevat talousarviositoumukset voidaan kuitenkin jakaa usealle eri varainhoitovuodelle vuotuisiin eriin, jos perussäädöksessä niin säädetään;</w:t>
      </w:r>
    </w:p>
    <w:p>
      <w:pPr>
        <w:pStyle w:val="Textstand-aloneBulletpoint"/>
        <w:numPr>
          <w:ilvl w:val="0"/>
          <w:numId w:val="0"/>
        </w:numPr>
        <w:ind w:left="1080" w:hanging="360"/>
        <w:rPr>
          <w:noProof/>
        </w:rPr>
      </w:pPr>
    </w:p>
    <w:p>
      <w:pPr>
        <w:pStyle w:val="Textstand-aloneBulletpoint"/>
        <w:rPr>
          <w:noProof/>
        </w:rPr>
      </w:pPr>
      <w:r>
        <w:rPr>
          <w:noProof/>
          <w:color w:val="016794"/>
        </w:rPr>
        <w:t>maksumäärärahoilla</w:t>
      </w:r>
      <w:r>
        <w:rPr>
          <w:noProof/>
        </w:rPr>
        <w:t xml:space="preserve"> katetaan menot, jotka johtuvat asianomaisen varainhoitovuoden ja/tai aiempien varainhoitovuosien aikana tehtyjen maksusitoumusten täyttämisestä.</w:t>
      </w:r>
    </w:p>
    <w:p>
      <w:pPr>
        <w:pStyle w:val="DGTextstand-alone"/>
      </w:pPr>
      <w:r>
        <w:t>Tilinpäätöksessä rahoitus on jaettu kahteen pääluokkaan seuraavasti:</w:t>
      </w:r>
    </w:p>
    <w:p>
      <w:pPr>
        <w:numPr>
          <w:ilvl w:val="0"/>
          <w:numId w:val="46"/>
        </w:numPr>
        <w:spacing w:after="120"/>
        <w:ind w:left="357" w:hanging="73"/>
        <w:rPr>
          <w:rFonts w:ascii="Verdana" w:hAnsi="Verdana"/>
          <w:noProof/>
          <w:sz w:val="18"/>
          <w:szCs w:val="18"/>
        </w:rPr>
      </w:pPr>
      <w:r>
        <w:rPr>
          <w:rFonts w:ascii="Verdana" w:hAnsi="Verdana"/>
          <w:noProof/>
          <w:sz w:val="18"/>
        </w:rPr>
        <w:t>lopulliset hyväksytyt talousarviomäärärahat sekä</w:t>
      </w:r>
    </w:p>
    <w:p>
      <w:pPr>
        <w:numPr>
          <w:ilvl w:val="0"/>
          <w:numId w:val="46"/>
        </w:numPr>
        <w:ind w:left="357" w:hanging="73"/>
        <w:rPr>
          <w:rFonts w:ascii="Verdana" w:hAnsi="Verdana"/>
          <w:noProof/>
          <w:sz w:val="18"/>
          <w:szCs w:val="18"/>
        </w:rPr>
      </w:pPr>
      <w:r>
        <w:rPr>
          <w:rFonts w:ascii="Verdana" w:hAnsi="Verdana"/>
          <w:noProof/>
          <w:sz w:val="18"/>
        </w:rPr>
        <w:t>lisämäärärahat, jotka sisältävät seuraavat erät:</w:t>
      </w:r>
    </w:p>
    <w:p>
      <w:pPr>
        <w:pStyle w:val="Textstand-alone"/>
        <w:numPr>
          <w:ilvl w:val="0"/>
          <w:numId w:val="47"/>
        </w:numPr>
        <w:tabs>
          <w:tab w:val="clear" w:pos="0"/>
        </w:tabs>
        <w:spacing w:before="120" w:after="0"/>
        <w:ind w:left="1134" w:hanging="425"/>
      </w:pPr>
      <w:r>
        <w:t>edelliseltä varainhoitovuodelta siirretyt määrärahat (käyttämättä jääneet määrät voidaan varainhoitoasetuksen mukaan tietyissä tapauksissa siirtää edelliseltä varainhoitovuodelta kuluvalle varainhoitovuodelle); ja</w:t>
      </w:r>
    </w:p>
    <w:p>
      <w:pPr>
        <w:pStyle w:val="Textstand-alone"/>
        <w:numPr>
          <w:ilvl w:val="0"/>
          <w:numId w:val="47"/>
        </w:numPr>
        <w:tabs>
          <w:tab w:val="clear" w:pos="0"/>
        </w:tabs>
        <w:spacing w:before="0"/>
        <w:ind w:left="1134" w:hanging="425"/>
      </w:pPr>
      <w:r>
        <w:t>käyttötarkoitukseensa sidotut tulot, jotka ovat peräisin takaisin maksetuista määristä, kolmansien osapuolten/maiden EU:n ohjelmiin maksamista rahoitusosuuksista sekä kolmansille tehdyistä töistä; nämä tulot osoitetaan suoraan niitä vastaaviin menopuolen budjettikohtiin, ja ne muodostavat rahoituksen kolmannen pilarin.</w:t>
      </w:r>
    </w:p>
    <w:p>
      <w:pPr>
        <w:pStyle w:val="DGTextstand-alone"/>
      </w:pPr>
      <w:r>
        <w:t>Käytettävissä olevat määrärahat saadaan kaikista edellä mainituista rahoituslähteistä.</w:t>
      </w:r>
    </w:p>
    <w:p>
      <w:pPr>
        <w:pStyle w:val="Textstand-alone"/>
        <w:sectPr>
          <w:headerReference w:type="even" r:id="rId455"/>
          <w:headerReference w:type="default" r:id="rId456"/>
          <w:footerReference w:type="even" r:id="rId457"/>
          <w:footerReference w:type="default" r:id="rId458"/>
          <w:headerReference w:type="first" r:id="rId459"/>
          <w:footerReference w:type="first" r:id="rId460"/>
          <w:pgSz w:w="11907" w:h="16840" w:code="9"/>
          <w:pgMar w:top="1134" w:right="1134" w:bottom="1134" w:left="1134" w:header="709" w:footer="709" w:gutter="0"/>
          <w:cols w:space="708"/>
          <w:docGrid w:linePitch="360"/>
        </w:sectPr>
      </w:pPr>
      <w:r>
        <w:t xml:space="preserve"> </w:t>
      </w:r>
      <w:bookmarkEnd w:id="285"/>
    </w:p>
    <w:p>
      <w:pPr>
        <w:pStyle w:val="HEADER2PartBUDG"/>
        <w:rPr>
          <w:noProof/>
        </w:rPr>
      </w:pPr>
      <w:bookmarkStart w:id="295" w:name="_Toc406426450"/>
      <w:bookmarkStart w:id="296" w:name="_Toc11939542"/>
      <w:bookmarkStart w:id="297" w:name="_Toc17887567"/>
      <w:bookmarkStart w:id="298" w:name="_DMBM_14878"/>
      <w:r>
        <w:rPr>
          <w:noProof/>
        </w:rPr>
        <w:t>TULOT</w:t>
      </w:r>
      <w:bookmarkEnd w:id="295"/>
      <w:bookmarkEnd w:id="296"/>
      <w:bookmarkEnd w:id="297"/>
    </w:p>
    <w:p>
      <w:pPr>
        <w:pStyle w:val="HEADER3PartBUGD"/>
        <w:rPr>
          <w:noProof/>
        </w:rPr>
      </w:pPr>
      <w:r>
        <w:rPr>
          <w:noProof/>
        </w:rPr>
        <w:t>Omista varoista saatavat tulot</w:t>
      </w:r>
    </w:p>
    <w:p>
      <w:pPr>
        <w:pStyle w:val="DGTextstand-alone"/>
      </w:pPr>
      <w:r>
        <w:t xml:space="preserve">Suurin osa tuloista saadaan omista varoista, jotka muodostuvat seuraavista luokista: </w:t>
      </w:r>
    </w:p>
    <w:p>
      <w:pPr>
        <w:pStyle w:val="DGTextstand-alone"/>
        <w:ind w:left="709" w:hanging="709"/>
      </w:pPr>
      <w:r>
        <w:t>(1)</w:t>
      </w:r>
      <w:r>
        <w:tab/>
        <w:t>Perinteiset omat varat: perinteisten omien varojen osuus kaikista omista varoista on yleensä noin +/-14 prosenttia.</w:t>
      </w:r>
    </w:p>
    <w:p>
      <w:pPr>
        <w:pStyle w:val="DGTextstand-alone"/>
        <w:ind w:left="709" w:hanging="709"/>
      </w:pPr>
      <w:r>
        <w:t>(2)</w:t>
      </w:r>
      <w:r>
        <w:tab/>
        <w:t>Arvonlisäveroon (alv) perustuvat omat varat: alv-varojen osuus kaikista omista varoista on yleensä 12 prosenttia.</w:t>
      </w:r>
    </w:p>
    <w:p>
      <w:pPr>
        <w:pStyle w:val="DGTextstand-alone"/>
        <w:ind w:left="709" w:hanging="709"/>
      </w:pPr>
      <w:r>
        <w:t>(3)</w:t>
      </w:r>
      <w:r>
        <w:tab/>
        <w:t>Bruttokansantuloon (BKTL) perustuvat omat varat: BKTL-varojen osuus kaikista omista varoista on yleensä +/-74 prosenttia.</w:t>
      </w:r>
    </w:p>
    <w:p>
      <w:pPr>
        <w:pStyle w:val="DGTextstand-alone"/>
      </w:pPr>
      <w:r>
        <w:t xml:space="preserve">Omien varojen jakautumisessa noudatetaan EU:n omien varojen järjestelmästä 26. toukokuuta 2014 tehdyssä neuvoston päätöksessä 2014/335/EY, Euratom vahvistettuja sääntöjä. Tämä päätös tuli voimaan 1. lokakuuta 2016, ja sitä sovelletaan takautuvasti 1. tammikuuta 2014 lähtien. </w:t>
      </w:r>
    </w:p>
    <w:p>
      <w:pPr>
        <w:pStyle w:val="DGTextstand-alone"/>
      </w:pPr>
      <w:r>
        <w:t>Unionin käyttöön vuotuisten maksumäärärahojen kattamiseksi asetettujen omien varojen kokonaismäärä saa olla enintään 1,20 prosenttia kaikkien jäsenvaltioiden yhteenlasketusta BKTL:sta.</w:t>
      </w:r>
    </w:p>
    <w:p>
      <w:pPr>
        <w:pStyle w:val="HEADER3PartBUGD"/>
        <w:rPr>
          <w:noProof/>
        </w:rPr>
      </w:pPr>
      <w:r>
        <w:rPr>
          <w:noProof/>
        </w:rPr>
        <w:t>Perinteiset omat varat</w:t>
      </w:r>
    </w:p>
    <w:p>
      <w:pPr>
        <w:pStyle w:val="DGTextstand-alone"/>
      </w:pPr>
      <w:r>
        <w:t>Perinteiset omat varat muodostuvat tullimaksuista (jotka kannetaan kolmansista maista peräisin olevasta tuonnista) ja sokerimaksuista (jotka kannetaan sokerin tuottajilta sokerialan yhteisen markkinajärjestelyn rahoittamiseksi). Jäsenvaltiot kantavat nämä varat talouden toimijoilta EU:n puolesta ja pidättävät kyseisistä varoista kantokuluina 20 prosenttia. Kaikki todetut perinteiset omat varat on vietävä jompaankumpaan seuraavista toimivaltaisten viranomaisten ylläpitämistä kirjanpitojärjestelmistä.</w:t>
      </w:r>
    </w:p>
    <w:p>
      <w:pPr>
        <w:pStyle w:val="Textstand-aloneBulletpoint"/>
        <w:jc w:val="both"/>
        <w:rPr>
          <w:noProof/>
        </w:rPr>
      </w:pPr>
      <w:r>
        <w:rPr>
          <w:noProof/>
        </w:rPr>
        <w:t>Asetuksen (EU, Euratom) N:o 609/2014 6 artiklan 3 kohdassa tarkoitettuun tavanomaiseen kirjanpitoon viedään kaikki perityt määrät ja määrät, joille on asetettu vakuus.</w:t>
      </w:r>
    </w:p>
    <w:p>
      <w:pPr>
        <w:pStyle w:val="Textstand-aloneBulletpoint"/>
        <w:jc w:val="both"/>
        <w:rPr>
          <w:noProof/>
        </w:rPr>
      </w:pPr>
      <w:r>
        <w:rPr>
          <w:noProof/>
        </w:rPr>
        <w:t>Edellä mainitussa artiklassa tarkoitettuun erilliseen kirjanpitoon viedään kaikki sellaiset määrät, joita ei ole vielä peritty ja/tai joille ei ole asetettu vakuutta. Tähän kirjanpitoon voidaan viedä myös sellaiset vakuuksien kattamat määrät, joista on syntynyt erimielisyyttä.</w:t>
      </w:r>
    </w:p>
    <w:p>
      <w:pPr>
        <w:pStyle w:val="DGTextstand-alone"/>
      </w:pPr>
      <w:r>
        <w:t>Jäsenvaltion on tuloutettava perinteiset omat varat komission tilille kyseisen jäsenvaltion valtiovarainhallinnossa tai keskuspankissa viimeistään varojen perimiskuukautta seuraavan toisen kuukauden 19. päivää seuraavana ensimmäisenä arkipäivänä (tai perittävä, kun on kyse erilliskirjanpidosta).</w:t>
      </w:r>
    </w:p>
    <w:p>
      <w:pPr>
        <w:pStyle w:val="HEADER3PartBUGD"/>
        <w:rPr>
          <w:noProof/>
        </w:rPr>
      </w:pPr>
      <w:r>
        <w:rPr>
          <w:noProof/>
        </w:rPr>
        <w:t>Arvonlisävero (alv)</w:t>
      </w:r>
    </w:p>
    <w:p>
      <w:pPr>
        <w:pStyle w:val="DGTextstand-alone"/>
      </w:pPr>
      <w:r>
        <w:t>Arvonlisävero kannetaan osuutena jäsenvaltioiden alv-määräytymisperusteista, jotka on yhdenmukaistettu EU:n sääntöjä noudattaen tätä tarkoitusta varten. Alv-määräytymisperuste on kuitenkin jokaisella jäsenvaltiolla rajattu 50 prosenttiin sen BKTL:sta. Yhdenmukainen alv-kanta on 0,30 prosenttia lukuun ottamatta Saksaa, Alankomaita ja Ruotsia, joiden osalta verokanta on 0,15 prosenttia kaudella 2014–2020.</w:t>
      </w:r>
    </w:p>
    <w:p>
      <w:pPr>
        <w:pStyle w:val="HEADER3PartBUGD"/>
        <w:rPr>
          <w:noProof/>
        </w:rPr>
      </w:pPr>
      <w:r>
        <w:rPr>
          <w:noProof/>
        </w:rPr>
        <w:t>Bruttokansantulo (BKTL)</w:t>
      </w:r>
    </w:p>
    <w:p>
      <w:pPr>
        <w:pStyle w:val="DGTextstand-alone"/>
      </w:pPr>
      <w:r>
        <w:t>BKTL:oon perustuvilla omilla varoilla rahoitetaan se osuus talousarvion menoista, jota ei voida kattaa muista lähteistä saatavilla tuloilla. BKTL-varat saadaan soveltamalla kunkin jäsenvaltion BKTL:oon samaa kerrointa. BKTL määritetään unionin sääntöjä noudattaen.</w:t>
      </w:r>
    </w:p>
    <w:p>
      <w:pPr>
        <w:pStyle w:val="DGTextstand-alone"/>
      </w:pPr>
      <w:r>
        <w:t>Alv- ja BKTL-varat määritetään niiden määräytymisperusteita koskevien ennusteiden perusteella talousarvioesityksen laatimisen yhteydessä. Ennusteita tarkistetaan varainhoitovuoden aikana annettavassa lisätalousarviossa. Erotus, joka kuvaa, miten paljon määrä, joka jäsenvaltioiden on maksettava todellisten alv- ja BKTL-määräytymisperusteiden perusteella, poikkeaa määrästä, jonka ne ovat jo maksaneet (tarkistettujen) ennusteiden perusteella, voi olla joko negatiivinen tai positiivinen. Komissio tasaa erotuksen kyseistä varainhoitovuotta seuraavan toisen varainhoitovuoden kesäkuun ensimmäiseen työpäivään mennessä.</w:t>
      </w:r>
      <w:r>
        <w:rPr>
          <w:rFonts w:ascii="Book Antiqua" w:hAnsi="Book Antiqua"/>
          <w:sz w:val="16"/>
        </w:rPr>
        <w:t xml:space="preserve"> </w:t>
      </w:r>
      <w:r>
        <w:t>Todellisiin alv- ja BKTL-määräytymisperusteisiin voidaan vielä tehdä oikaisuja seuraavien neljän vuoden aikana, ellei perusteista ole esitetty varaumaa. Varaumia olisi pidettävä mahdollisina saamisina jäsenvaltioilta. Varaumien taloudellista vaikutusta ei kuitenkaan voida vielä tällöin tarkkaan arvioida, joten saamisten määrää ei voida vahvistaa. Kun tarkka määrä tunnetaan, alv- ja BKTL-varoista muodostuva saaminen peritään joko alv- ja BKTL-saldojen erotuksen tasaamisen yhteydessä tai erikseen.</w:t>
      </w:r>
    </w:p>
    <w:p>
      <w:pPr>
        <w:pStyle w:val="HEADER3PartBUGD"/>
        <w:rPr>
          <w:noProof/>
        </w:rPr>
      </w:pPr>
      <w:r>
        <w:rPr>
          <w:noProof/>
        </w:rPr>
        <w:t>Yhdistyneen kuningaskunnan hyväksi tehtävä korjaus</w:t>
      </w:r>
    </w:p>
    <w:p>
      <w:pPr>
        <w:pStyle w:val="DGTextstand-alone"/>
      </w:pPr>
      <w:r>
        <w:t>Yhdistyneen kuningaskunnan budjettiaseman epätasapainon korjausjärjestelystä (jonka mukaisesti kyseisen jäsenvaltion suoritettavaksi tulevia omien varojen maksuosuuksia vähennetään ja muiden jäsenvaltioiden vastaavia maksuosuuksia kasvatetaan) päätettiin Eurooppa-neuvoston kokouksessa Fontainebleaussa kesäkuussa 1984. Saksan, Itävallan, Ruotsin ja Alankomaiden osuuksia korjausjärjestelyn rahoittamisessa on vähennetty neljäsosaan niiden tavanomaisista rahoitusosuuksista.</w:t>
      </w:r>
    </w:p>
    <w:p>
      <w:pPr>
        <w:pStyle w:val="HEADER3PartBUGD"/>
        <w:rPr>
          <w:noProof/>
        </w:rPr>
      </w:pPr>
      <w:r>
        <w:rPr>
          <w:noProof/>
        </w:rPr>
        <w:t>Bruttovähennys</w:t>
      </w:r>
    </w:p>
    <w:p>
      <w:pPr>
        <w:pStyle w:val="DGTextstand-alone"/>
        <w:spacing w:after="0"/>
      </w:pPr>
      <w:r>
        <w:rPr>
          <w:color w:val="000000"/>
        </w:rPr>
        <w:t>Helmikuun 7.–8. päivänä 2013 kokoontunut Eurooppa-neuvosto päätti, että Tanska, Alankomaat ja Ruotsi saavat tehdä vuotuiseen BKTL-maksuosuuteensa bruttovähennyksen vuosina 2014–2020 ja Itävalta vain vuosina 2014–2016. Tanskan vuotuinen bruttovähennys on 130 miljoonaa euroa, Alankomaiden 695 miljoonaa euroa ja Ruotsin 185 miljoonaa euroa.</w:t>
      </w:r>
    </w:p>
    <w:p>
      <w:pPr>
        <w:pStyle w:val="HEADER2PartBUDG"/>
        <w:rPr>
          <w:noProof/>
        </w:rPr>
      </w:pPr>
      <w:bookmarkStart w:id="299" w:name="_Toc11939543"/>
      <w:bookmarkStart w:id="300" w:name="_Toc17887568"/>
      <w:r>
        <w:rPr>
          <w:noProof/>
        </w:rPr>
        <w:t>TALOUSARVION TOTEUTUMAN LASKEMINEN</w:t>
      </w:r>
      <w:bookmarkEnd w:id="299"/>
      <w:bookmarkEnd w:id="300"/>
    </w:p>
    <w:p>
      <w:pPr>
        <w:pStyle w:val="DGTextstand-alone"/>
      </w:pPr>
      <w:r>
        <w:t>Talousarvion toteutuma palautetaan jäsenvaltioille vähentämällä se seuraavan vuoden maksuosuuksista.</w:t>
      </w:r>
    </w:p>
    <w:p>
      <w:pPr>
        <w:pStyle w:val="DGTextstand-alone"/>
      </w:pPr>
      <w:r>
        <w:t>Omat varat viedään kirjanpitoon niiden määrien perusteella, jotka jäsenvaltioiden viranomaiset ovat varainhoitovuoden kuluessa maksaneet komission puolesta avaamilleen tileille. Tuloihin sisältyy myös edellisen varainhoitovuoden talousarvion toteutuma, jos se on ollut ylijäämäinen. Muut tulot viedään kirjanpitoon varainhoitovuoden aikana saatujen määrien perusteella.</w:t>
      </w:r>
    </w:p>
    <w:p>
      <w:pPr>
        <w:pStyle w:val="DGTextstand-alone"/>
      </w:pPr>
      <w:r>
        <w:t>Varainhoitovuoden talousarvion toteutumaa laskettaessa menoilla tarkoitetaan varainhoitovuoden määrärahoista suoritettuja maksuja. Näihin lisätään sellaiset kyseisen varainhoitovuoden määrärahat, jotka siirretään seuraavalle varainhoitovuodelle. Varainhoitovuoden määrärahoista suoritetuiksi maksuiksi katsotaan tilinpitäjän viimeistään 31. joulukuuta suorittamat maksut. Maataloustukirahaston osalta otetaan huomioon maksut, jotka jäsenvaltiot ovat suorittaneet vuoden n – 1 lokakuun 16. päivän ja vuoden n lokakuun 15. päivän välisenä aikana, jos tieto maksusitoumuksesta ja maksun hyväksymisestä on saapunut tilinpitäjälle viimeistään vuoden n + 1 tammikuun 31. päivänä. Maataloustukirahaston menoista voidaan myöhemmin tehdä sääntöjenmukaisuutta koskeva päätös jäsenvaltioissa tehtyjen tarkastusten jälkeen.</w:t>
      </w:r>
    </w:p>
    <w:p>
      <w:pPr>
        <w:pStyle w:val="DGTextstand-alone"/>
      </w:pPr>
      <w:r>
        <w:t>Talousarvion toteutuma muodostuu kahdesta osasta, jotka ovat Euroopan unionin talousarvion toteutuma ja Euroopan talousalueeseen (ETA) kuuluvien Efta-maiden rahoitusosuuden toteutuma. Euroopan unionin omien varojen järjestelmää koskevista täytäntöönpanotoimenpiteistä annetun asetuksen (EU, Euratom) N:o 608/2014 1 artiklan 1 kohdan mukaisesti toteutuma muodostuu seuraavien erien erotuksesta:</w:t>
      </w:r>
    </w:p>
    <w:p>
      <w:pPr>
        <w:pStyle w:val="Textstand-aloneBulletpoint"/>
        <w:spacing w:after="120"/>
        <w:jc w:val="both"/>
        <w:rPr>
          <w:noProof/>
        </w:rPr>
      </w:pPr>
      <w:r>
        <w:rPr>
          <w:noProof/>
        </w:rPr>
        <w:t>varainhoitovuoden aikana kertyneiden tulojen kokonaismäärä ja</w:t>
      </w:r>
    </w:p>
    <w:p>
      <w:pPr>
        <w:pStyle w:val="Textstand-aloneBulletpoint"/>
        <w:numPr>
          <w:ilvl w:val="0"/>
          <w:numId w:val="0"/>
        </w:numPr>
        <w:spacing w:after="120"/>
        <w:ind w:left="1080"/>
        <w:jc w:val="both"/>
        <w:rPr>
          <w:noProof/>
        </w:rPr>
      </w:pPr>
    </w:p>
    <w:p>
      <w:pPr>
        <w:pStyle w:val="Textstand-aloneBulletpoint"/>
        <w:jc w:val="both"/>
        <w:rPr>
          <w:noProof/>
        </w:rPr>
      </w:pPr>
      <w:r>
        <w:rPr>
          <w:noProof/>
        </w:rPr>
        <w:t>varainhoitovuoden määrärahoista suoritettujen maksujen kokonaismäärä, johon on lisätty kyseiseltä varainhoitovuodelta seuraavalle varainhoitovuodelle siirretyt määrärahat.</w:t>
      </w:r>
    </w:p>
    <w:p>
      <w:pPr>
        <w:pStyle w:val="DGTextstand-alone"/>
      </w:pPr>
      <w:r>
        <w:t>Tämän erotuksen määrään lisätään tai siitä vähennetään:</w:t>
      </w:r>
    </w:p>
    <w:p>
      <w:pPr>
        <w:pStyle w:val="Textstand-aloneBulletpoint"/>
        <w:jc w:val="both"/>
        <w:rPr>
          <w:noProof/>
        </w:rPr>
      </w:pPr>
      <w:r>
        <w:rPr>
          <w:noProof/>
        </w:rPr>
        <w:t xml:space="preserve">edellisiltä varainhoitovuosilta siirrettyjen maksumäärärahojen peruutukset (nettomäärä) ja sellaiset maksut, jotka euron kurssimuutosten vuoksi ylittävät edelliseltä varainhoitovuodelta siirretyt jaksottamattomat määrärahat, </w:t>
      </w:r>
    </w:p>
    <w:p>
      <w:pPr>
        <w:pStyle w:val="Textstand-aloneBulletpoint"/>
        <w:numPr>
          <w:ilvl w:val="0"/>
          <w:numId w:val="0"/>
        </w:numPr>
        <w:ind w:left="1080"/>
        <w:jc w:val="both"/>
        <w:rPr>
          <w:noProof/>
        </w:rPr>
      </w:pPr>
    </w:p>
    <w:p>
      <w:pPr>
        <w:pStyle w:val="Textstand-aloneBulletpoint"/>
        <w:jc w:val="both"/>
        <w:rPr>
          <w:noProof/>
        </w:rPr>
      </w:pPr>
      <w:r>
        <w:rPr>
          <w:noProof/>
        </w:rPr>
        <w:t>käyttötarkoitukseensa sidottujen tulojen muutos ja</w:t>
      </w:r>
    </w:p>
    <w:p>
      <w:pPr>
        <w:pStyle w:val="Textstand-aloneBulletpoint"/>
        <w:numPr>
          <w:ilvl w:val="0"/>
          <w:numId w:val="0"/>
        </w:numPr>
        <w:ind w:left="1080"/>
        <w:jc w:val="both"/>
        <w:rPr>
          <w:noProof/>
        </w:rPr>
      </w:pPr>
    </w:p>
    <w:p>
      <w:pPr>
        <w:pStyle w:val="Textstand-aloneBulletpoint"/>
        <w:jc w:val="both"/>
        <w:rPr>
          <w:noProof/>
        </w:rPr>
      </w:pPr>
      <w:r>
        <w:rPr>
          <w:noProof/>
        </w:rPr>
        <w:t>varainhoitovuoden aikana kirjattujen kurssivoittojen ja -tappioiden nettomäärä.</w:t>
      </w:r>
    </w:p>
    <w:p>
      <w:pPr>
        <w:pStyle w:val="DGTextstand-alone"/>
      </w:pPr>
      <w:r>
        <w:t>Edelliseltä varainhoitovuodelta siirretyt kolmansien osapuolten rahoitusosuuksiin ja kolmansille tehtyihin töihin liittyvät määrärahat, jotka eivät periaatteessa koskaan raukea, otetaan varainhoitovuoden lisämäärärahoihin. Tämän vuoksi määrät, jotka on vuoden n talousarvion toteuttamiskertomuksen mukaan siirretty edelliseltä varainhoitovuodelta, poikkeavat määristä, jotka vuoden n – 1 talousarvion toteuttamiskertomuksen mukaan siirretään seuraavalle varainhoitovuodelle. Ennakoiden palauttamisen jälkeen uudelleen käyttöön saatuja määrärahoja ei oteta huomioon varainhoitovuoden toteutumaa laskettaessa.</w:t>
      </w:r>
    </w:p>
    <w:p>
      <w:pPr>
        <w:pStyle w:val="DGTextstand-alone"/>
      </w:pPr>
      <w:r>
        <w:t>Varainhoitovuodelta toiselle siirretyt määrärahat sisältävät sekä ilman eri toimenpiteitä siirretyt määrärahat että päätöksellä siirretyt määrärahat. Varainhoitovuoden lopussa käyttämättä olevien edelliseltä varainhoitovuodelta siirrettyjen maksumäärärahojen peruutukset sisältävät peruutukset, jotka koskevat sekä ilman eri toimenpiteitä siirrettyjä että erillisellä päätöksellä siirrettyjä määrärahoja.</w:t>
      </w:r>
    </w:p>
    <w:p>
      <w:pPr>
        <w:pStyle w:val="HEADER2PartBUDG"/>
        <w:rPr>
          <w:noProof/>
        </w:rPr>
      </w:pPr>
      <w:bookmarkStart w:id="301" w:name="_Toc11939544"/>
      <w:bookmarkStart w:id="302" w:name="_Toc17887569"/>
      <w:bookmarkStart w:id="303" w:name="_DMBM_14875"/>
      <w:bookmarkEnd w:id="298"/>
      <w:r>
        <w:rPr>
          <w:noProof/>
        </w:rPr>
        <w:t>VARAINHOITOVUODEN TALOUDELLISEN TULOKSEN JA TALOUSARVION TOTEUTUMAN TÄSMÄYTYS</w:t>
      </w:r>
      <w:bookmarkEnd w:id="301"/>
      <w:bookmarkEnd w:id="302"/>
      <w:r>
        <w:rPr>
          <w:noProof/>
        </w:rP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1276"/>
        <w:gridCol w:w="1560"/>
      </w:tblGrid>
      <w:tr>
        <w:tc>
          <w:tcPr>
            <w:tcW w:w="6912"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304" w:name="DOC_TBL00102_1_1"/>
            <w:bookmarkEnd w:id="304"/>
          </w:p>
        </w:tc>
        <w:tc>
          <w:tcPr>
            <w:tcW w:w="1276"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rPr>
            </w:pPr>
          </w:p>
        </w:tc>
        <w:tc>
          <w:tcPr>
            <w:tcW w:w="1560"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milj. euroa</w:t>
            </w:r>
          </w:p>
        </w:tc>
      </w:tr>
      <w:tr>
        <w:tc>
          <w:tcPr>
            <w:tcW w:w="691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Times New Roman" w:cs="Verdana"/>
              </w:rPr>
            </w:pP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2018</w:t>
            </w:r>
          </w:p>
        </w:tc>
        <w:tc>
          <w:tcPr>
            <w:tcW w:w="1560"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2017</w:t>
            </w:r>
          </w:p>
        </w:tc>
      </w:tr>
      <w:tr>
        <w:tc>
          <w:tcPr>
            <w:tcW w:w="6912"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VARAINHOITOVUODEN TALOUDELLINEN TULOS</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13 918</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8 082</w:t>
            </w:r>
          </w:p>
        </w:tc>
      </w:tr>
      <w:tr>
        <w:tc>
          <w:tcPr>
            <w:tcW w:w="691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rPr>
            </w:pPr>
          </w:p>
        </w:tc>
        <w:tc>
          <w:tcPr>
            <w:tcW w:w="156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rPr>
            </w:pPr>
          </w:p>
        </w:tc>
      </w:tr>
      <w:tr>
        <w:tc>
          <w:tcPr>
            <w:tcW w:w="6912" w:type="dxa"/>
            <w:tcBorders>
              <w:top w:val="nil"/>
              <w:left w:val="nil"/>
              <w:bottom w:val="nil"/>
              <w:right w:val="nil"/>
            </w:tcBorders>
            <w:tcMar>
              <w:top w:w="0" w:type="dxa"/>
              <w:left w:w="108" w:type="dxa"/>
              <w:bottom w:w="0" w:type="dxa"/>
              <w:right w:w="108" w:type="dxa"/>
            </w:tcMar>
          </w:tcPr>
          <w:p>
            <w:pPr>
              <w:pStyle w:val="Text9pBoldLeft"/>
              <w:rPr>
                <w:rFonts w:eastAsia="Times New Roman" w:cs="Verdana"/>
              </w:rPr>
            </w:pPr>
            <w:r>
              <w:t>Tulot</w:t>
            </w:r>
          </w:p>
        </w:tc>
        <w:tc>
          <w:tcPr>
            <w:tcW w:w="1276"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p>
        </w:tc>
      </w:tr>
      <w:tr>
        <w:tc>
          <w:tcPr>
            <w:tcW w:w="691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Varainhoitovuoden aikana vahvistetut saamiset, joita ei ole vielä saatu</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(6 220)</w:t>
            </w:r>
          </w:p>
        </w:tc>
        <w:tc>
          <w:tcPr>
            <w:tcW w:w="156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(4 408)</w:t>
            </w:r>
          </w:p>
        </w:tc>
      </w:tr>
      <w:tr>
        <w:tc>
          <w:tcPr>
            <w:tcW w:w="691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Aiempina vuosina vahvistettujen saamisten perusteella saadut tulot</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9 331</w:t>
            </w:r>
          </w:p>
        </w:tc>
        <w:tc>
          <w:tcPr>
            <w:tcW w:w="156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10 739</w:t>
            </w:r>
          </w:p>
        </w:tc>
      </w:tr>
      <w:tr>
        <w:tc>
          <w:tcPr>
            <w:tcW w:w="691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Siirtosaamiset (netto)</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(4 015)</w:t>
            </w:r>
          </w:p>
        </w:tc>
        <w:tc>
          <w:tcPr>
            <w:tcW w:w="156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(257)</w:t>
            </w:r>
          </w:p>
        </w:tc>
      </w:tr>
      <w:tr>
        <w:tc>
          <w:tcPr>
            <w:tcW w:w="6912" w:type="dxa"/>
            <w:tcBorders>
              <w:top w:val="nil"/>
              <w:left w:val="nil"/>
              <w:bottom w:val="nil"/>
              <w:right w:val="nil"/>
            </w:tcBorders>
            <w:tcMar>
              <w:top w:w="0" w:type="dxa"/>
              <w:left w:w="108" w:type="dxa"/>
              <w:bottom w:w="0" w:type="dxa"/>
              <w:right w:w="108" w:type="dxa"/>
            </w:tcMar>
          </w:tcPr>
          <w:p>
            <w:pPr>
              <w:pStyle w:val="Text9pBoldLeft"/>
              <w:rPr>
                <w:rFonts w:eastAsia="Times New Roman" w:cs="Verdana"/>
              </w:rPr>
            </w:pPr>
            <w:r>
              <w:t>Menot</w:t>
            </w:r>
          </w:p>
        </w:tc>
        <w:tc>
          <w:tcPr>
            <w:tcW w:w="1276"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p>
        </w:tc>
      </w:tr>
      <w:tr>
        <w:tc>
          <w:tcPr>
            <w:tcW w:w="691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Siirtovelat (netto)</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4 511</w:t>
            </w:r>
          </w:p>
        </w:tc>
        <w:tc>
          <w:tcPr>
            <w:tcW w:w="156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3 725</w:t>
            </w:r>
          </w:p>
        </w:tc>
      </w:tr>
      <w:tr>
        <w:tc>
          <w:tcPr>
            <w:tcW w:w="691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Edellisen vuoden aikana syntyneet menot, jotka on maksettu kuluvan vuoden aikana</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(6 086)</w:t>
            </w:r>
          </w:p>
        </w:tc>
        <w:tc>
          <w:tcPr>
            <w:tcW w:w="156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(3 574)</w:t>
            </w:r>
          </w:p>
        </w:tc>
      </w:tr>
      <w:tr>
        <w:tc>
          <w:tcPr>
            <w:tcW w:w="691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Ennakkomaksujen nettovaikutus</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(8 634)</w:t>
            </w:r>
          </w:p>
        </w:tc>
        <w:tc>
          <w:tcPr>
            <w:tcW w:w="156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(12 059)</w:t>
            </w:r>
          </w:p>
        </w:tc>
      </w:tr>
      <w:tr>
        <w:tc>
          <w:tcPr>
            <w:tcW w:w="691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Seuraavalle varainhoitovuodelle siirretyt maksumäärärahat</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(2 941)</w:t>
            </w:r>
          </w:p>
        </w:tc>
        <w:tc>
          <w:tcPr>
            <w:tcW w:w="156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(3 373)</w:t>
            </w:r>
          </w:p>
        </w:tc>
      </w:tr>
      <w:tr>
        <w:tc>
          <w:tcPr>
            <w:tcW w:w="691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Edelliseltä varainhoitovuodelta siirretyistä määrärahoista suoritetut maksut ja käyttämättömien maksumäärärahojen peruutukset</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2 098</w:t>
            </w:r>
          </w:p>
        </w:tc>
        <w:tc>
          <w:tcPr>
            <w:tcW w:w="156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1 784</w:t>
            </w:r>
          </w:p>
        </w:tc>
      </w:tr>
      <w:tr>
        <w:tc>
          <w:tcPr>
            <w:tcW w:w="691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Varausten muutos</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3 567</w:t>
            </w:r>
          </w:p>
        </w:tc>
        <w:tc>
          <w:tcPr>
            <w:tcW w:w="156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6 752</w:t>
            </w:r>
          </w:p>
        </w:tc>
      </w:tr>
      <w:tr>
        <w:tc>
          <w:tcPr>
            <w:tcW w:w="691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Muut</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(4 175)</w:t>
            </w:r>
          </w:p>
        </w:tc>
        <w:tc>
          <w:tcPr>
            <w:tcW w:w="156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(6 676)</w:t>
            </w:r>
          </w:p>
        </w:tc>
      </w:tr>
      <w:tr>
        <w:tc>
          <w:tcPr>
            <w:tcW w:w="691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r>
      <w:tr>
        <w:tc>
          <w:tcPr>
            <w:tcW w:w="6912"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Erillisvirastojen ja EHTY:n taloudellinen tulos</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448</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(179)</w:t>
            </w:r>
          </w:p>
        </w:tc>
      </w:tr>
      <w:tr>
        <w:tc>
          <w:tcPr>
            <w:tcW w:w="691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rPr>
            </w:pPr>
          </w:p>
        </w:tc>
        <w:tc>
          <w:tcPr>
            <w:tcW w:w="156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rPr>
            </w:pPr>
          </w:p>
        </w:tc>
      </w:tr>
      <w:tr>
        <w:tc>
          <w:tcPr>
            <w:tcW w:w="6912"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VARAINHOITOVUODEN TALOUSARVION TOTEUTUMA</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1 802</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555</w:t>
            </w:r>
          </w:p>
        </w:tc>
      </w:tr>
    </w:tbl>
    <w:p>
      <w:pPr>
        <w:pStyle w:val="DGTextstand-alone"/>
      </w:pPr>
      <w:r>
        <w:t xml:space="preserve">Varainhoitovuoden taloudellinen tulos on varainhoitoasetuksen mukaisesti laskettu suoriteperusteisena. Talousarvion toteutuma sen sijaan perustuu mukautettuihin maksuperusteisen kirjanpidon sääntöihin. Koska taloudellinen tulos ja talousarvion toteutuma kuitenkin kattavat samat tapahtumat, ne on syytä täsmäyttää. </w:t>
      </w:r>
    </w:p>
    <w:p>
      <w:pPr>
        <w:pStyle w:val="HEADER5"/>
        <w:rPr>
          <w:noProof/>
        </w:rPr>
      </w:pPr>
      <w:r>
        <w:rPr>
          <w:noProof/>
        </w:rPr>
        <w:t>Täsmäytyserät – Tulot</w:t>
      </w:r>
    </w:p>
    <w:p>
      <w:pPr>
        <w:pStyle w:val="DGTextstand-alone"/>
        <w:rPr>
          <w:color w:val="000000"/>
        </w:rPr>
      </w:pPr>
      <w:r>
        <w:rPr>
          <w:color w:val="000000"/>
        </w:rPr>
        <w:t xml:space="preserve">Varainhoitovuoden talousarviotulot muodostuvat kyseisen vuoden aikana vahvistettujen saamisten perusteella saaduista tuloista sekä tuloista, jotka on saatu aiempina varainhoitovuosina vahvistettujen saamisten perusteella. Varainhoitovuoden aikana vahvistetut saamiset, joita vastaavia tuloja ei ole vielä saatu, vähennetään tämän vuoksi täsmäytystä tehtäessä taloudellisesta tuloksesta, koska ne eivät kuulu talousarviotuloihin. Sen sijaan aiempina vuosina vahvistettujen saamisten perusteella varainhoitovuoden aikana saadut tulot on täsmäytystä tehtäessä sisällytettävä varainhoitovuoden taloudelliseen tulokseen. </w:t>
      </w:r>
    </w:p>
    <w:p>
      <w:pPr>
        <w:pStyle w:val="DGTextstand-alone"/>
        <w:rPr>
          <w:color w:val="000000"/>
        </w:rPr>
      </w:pPr>
      <w:r>
        <w:rPr>
          <w:color w:val="000000"/>
        </w:rPr>
        <w:t xml:space="preserve">Siirtosaamisten määrä muodostuu pääasiassa maatalouteen, omiin varoihin, korkoihin ja osinkoihin liittyvistä siirtosaamisista. Laskelmassa otetaan huomioon ainoastaan nettovaikutus eli varainhoitovuoden siirtosaamisista vähennetään edellisen vuoden peruutetut siirtosaamiset. </w:t>
      </w:r>
    </w:p>
    <w:p>
      <w:pPr>
        <w:pStyle w:val="HEADER5"/>
        <w:rPr>
          <w:noProof/>
        </w:rPr>
      </w:pPr>
      <w:r>
        <w:rPr>
          <w:noProof/>
        </w:rPr>
        <w:t xml:space="preserve">Täsmäytyserät – Menot </w:t>
      </w:r>
    </w:p>
    <w:p>
      <w:pPr>
        <w:pStyle w:val="DGTextstand-alone"/>
        <w:rPr>
          <w:color w:val="000000"/>
        </w:rPr>
      </w:pPr>
      <w:r>
        <w:rPr>
          <w:color w:val="000000"/>
        </w:rPr>
        <w:t>Siirtovelkojen määrä muodostuu pääasiassa varainhoitovuosien erottamiseen liittyvistä eristä eli sellaisista EU:n varojen saajille aiheutuneista tukikelpoisista menoista, joita ei ole vielä ilmoitettu komissiolle. Laskelmassa otetaan huomioon ainoastaan nettovaikutus eli varainhoitovuoden siirtoveloista vähennetään edellisen vuoden peruutetut siirtovelat. Varainhoitovuoden aikana suoritetut maksut, jotka liittyvät aiempina vuosina kirjanpitoon merkittyihin laskuihin, kuuluvat varainhoitovuoden talousarviomenoihin ja ne on täsmäytettäessä sisällytettävä varainhoitovuoden taloudelliseen tulokseen.</w:t>
      </w:r>
    </w:p>
    <w:p>
      <w:pPr>
        <w:pStyle w:val="DGTextstand-alone"/>
        <w:rPr>
          <w:color w:val="000000"/>
        </w:rPr>
      </w:pPr>
      <w:r>
        <w:rPr>
          <w:color w:val="000000"/>
        </w:rPr>
        <w:t xml:space="preserve">Ennakkomaksujen nettovaikutus muodostuu seuraavasti: 1) varainhoitovuoden aikana suoritetut ennakkomaksut, jotka kirjataan kyseisen vuoden talousarviomenoiksi, ja 2) suoritettujen ennakkomaksujen kuittaaminen hyväksyttyjä tukikelpoisia menoja vastaan. Viimeksi mainitut ovat suoriteperusteisia menoja, mutta niitä ei merkitä talousarviokirjanpitoon, koska alkuperäinen ennakkomaksu kirjattiin talousarviomenoksi jo silloin kun maksu suoritettiin. </w:t>
      </w:r>
    </w:p>
    <w:p>
      <w:pPr>
        <w:pStyle w:val="DGTextstand-alone"/>
        <w:rPr>
          <w:color w:val="000000"/>
        </w:rPr>
      </w:pPr>
      <w:r>
        <w:rPr>
          <w:color w:val="000000"/>
        </w:rPr>
        <w:t>Varainhoitovuoden määrärahoista suoritettujen maksujen lisäksi myös sellaiset kyseisen varainhoitovuoden määrärahat, jotka siirretään seuraavalle vuodelle, on otettava huomioon laskettaessa talousarvion toteutumaa (asetuksen (EY, Euratom) N:o 608/2014 1 artiklan 1 kohdan mukaisesti). Tämä koskee myös talousarviomaksuja, jotka suoritetaan edellisiltä varainhoitovuosilta siirretyistä määrärahoista, ja käyttämättömien maksumäärärahojen peruutuksia.</w:t>
      </w:r>
    </w:p>
    <w:p>
      <w:pPr>
        <w:pStyle w:val="DGTextstand-alone"/>
        <w:rPr>
          <w:color w:val="000000"/>
        </w:rPr>
      </w:pPr>
      <w:r>
        <w:rPr>
          <w:color w:val="000000"/>
        </w:rPr>
        <w:t>Varausten muutos liittyy siirtyvistä eristä tilinpäätöksessä vuoden lopussa tehtyihin arvioihin (jotka koskevat pääasiassa työsuhde-etuuksia), jotka eivät vaikuta talousarviokirjanpitoon. Muihin täsmäytyseriin sisältyy muun muassa omaisuuseristä tehtäviä poistoja/ hankintamenojen jaksotuksia, omaisuuserien hankintoja, pääomaleasing-maksuja sekä rahoitusosuuksia, joita käsitellään eri tavalla talousarviokirjanpidossa ja suoriteperusteisessa kirjanpidossa.</w:t>
      </w:r>
    </w:p>
    <w:p>
      <w:pPr>
        <w:pStyle w:val="DGTextstand-alone"/>
      </w:pPr>
    </w:p>
    <w:p>
      <w:pPr>
        <w:pStyle w:val="HEADER1PartBUDG"/>
        <w:rPr>
          <w:noProof/>
        </w:rPr>
      </w:pPr>
      <w:bookmarkStart w:id="305" w:name="_Toc11939545"/>
      <w:bookmarkStart w:id="306" w:name="_Toc17887570"/>
      <w:bookmarkStart w:id="307" w:name="_DMBM_14871"/>
      <w:bookmarkEnd w:id="303"/>
      <w:r>
        <w:rPr>
          <w:noProof/>
        </w:rPr>
        <w:t>EU:N VUODEN 2018 TALOUSARVION TOTEUTTAMINEN – YHTEENVETO</w:t>
      </w:r>
      <w:bookmarkEnd w:id="305"/>
      <w:bookmarkEnd w:id="306"/>
    </w:p>
    <w:p>
      <w:pPr>
        <w:pStyle w:val="HEADER2PartBUDG"/>
        <w:rPr>
          <w:noProof/>
        </w:rPr>
      </w:pPr>
      <w:bookmarkStart w:id="308" w:name="_Toc11939546"/>
      <w:bookmarkStart w:id="309" w:name="_Toc17887571"/>
      <w:r>
        <w:rPr>
          <w:noProof/>
        </w:rPr>
        <w:t>TULOT</w:t>
      </w:r>
      <w:bookmarkEnd w:id="308"/>
      <w:bookmarkEnd w:id="309"/>
    </w:p>
    <w:p>
      <w:pPr>
        <w:pStyle w:val="DGTextstand-alone"/>
      </w:pPr>
      <w:r>
        <w:t>Hyväksytyssä alkuperäisessä talousarviossa, jonka Euroopan parlamentin puhemies allekirjoitti 30. marraskuuta 2017, oli yhteensä 144 681 miljoonaa euroa maksumäärärahoja. Omilla varoilla rahoitettavat maksumäärärahat olivat yhteensä 142 832 miljoonaa euroa. Alkuperäisen talousarvion meno- ja tuloarvioihin tehdään yleensä varainhoitovuoden aikana oikaisuja, jotka sisältyvät lisätalousarvioihin. BKTL:oon perustuviin omiin varoihin tehtävillä oikaisulla varmistetaan, että unionin talousarvion tulot ja menot ovat täsmälleen yhtä suuret. Tasapainoperiaatteen mukaan talousarvion tulojen ja menojen (maksumäärärahojen) on oltava tasapainossa.</w:t>
      </w:r>
    </w:p>
    <w:p>
      <w:pPr>
        <w:pStyle w:val="DGTextstand-alone"/>
      </w:pPr>
      <w:r>
        <w:t xml:space="preserve">Vuonna 2018 hyväksyttiin kuusi lisätalousarviota. Kun niiden vaikutus otetaan huomioon, vuonna 2018 hyväksytyt lopulliset tulot olivat yhteensä 144 767,9 miljoonaa euroa ja omista varoista rahoitettu kokonaismäärä oli (142 363,7 miljoonaa euroa). Tärkein tekijä, joka supisti jäsenvaltioiden maksuosuuksia vuonna 2018, oli edellisen varainhoitovuoden ylijäämä (555,5 miljoonaa euroa), jonka vaikutusta vähensi kuitenkin hieman maksumäärärahojen nettolisäys (86,9 miljoonaa euroa).  </w:t>
      </w:r>
    </w:p>
    <w:p>
      <w:pPr>
        <w:pStyle w:val="DGTextstand-alone"/>
      </w:pPr>
      <w:r>
        <w:t>Omien varojen osalta on huomattava, että perinteisiä omia varoja kannettiin lähes täsmälleen ennustettu määrä. Tämä johtuu pääasiassa siitä, että talousarvioon otettuja ennusteita muutettiin lisätalousarviolla nro 6/2018 (pääasiassa kevään 2018 ennusteiden perusteella).</w:t>
      </w:r>
    </w:p>
    <w:p>
      <w:pPr>
        <w:pStyle w:val="DGTextstand-alone"/>
      </w:pPr>
      <w:r>
        <w:t>Myös jäsenvaltioiden lopulliset alv- ja BKTL-maksut vastasivat hyvin lopullisia talousarvioennusteita. Ennusteiden ja todellisuudessa maksettujen määrien ero johtuu siitä, että talousarviota laadittaessa käytetyt euron kurssit poikkesivat kursseista, jotka olivat voimassa silloin kun rahaliittoon kuulumattomat jäsenvaltiot tosiasiassa suorittivat maksut.</w:t>
      </w:r>
    </w:p>
    <w:p>
      <w:pPr>
        <w:pStyle w:val="DGTextstand-alone"/>
      </w:pPr>
      <w:r>
        <w:t xml:space="preserve">Alv- ja BKTL-saldoihin sovelletaan sääntöjä, jotka annetaan omien varojen käyttöön asettamisesta annetun asetuksen (asetus (EU, Euratom) N:o 609/2014) 10 b artiklassa. Menettelyssä näistä määristä ei enää tehdä lisätalousarviota, vaan komissio kehottaa suoraan jäsenvaltioita maksamaan nettomäärät. Järjestelmän vuoksi mukautusten vaikutus talousarvioon oli lähellä nollaa. </w:t>
      </w:r>
    </w:p>
    <w:p>
      <w:pPr>
        <w:pStyle w:val="DGTextstand-alone"/>
      </w:pPr>
      <w:r>
        <w:t>Kohdassa ”EU:n ohjelmiin ja sopimuksiin liittyvät rahoitusosuudet ja palautukset” suurimmat määrät liittyvät rahoitusoikaisuista saatuihin tuloihin (ERI-rahastot, maataloustukirahasto ja maaseuturahasto), kolmansien maiden osallistumiseen tutkimusohjelmiin, maatalousrahastojen tilien tarkastamiseen ja hyväksymiseen sekä EU:n ohjelmia ja toimintoja koskeviin muihin rahoitusosuuksiin ja palautuksiin. Huomattava osa kokonaismäärästä muodostuu määrättyyn käyttötarkoitukseen osoitetuista tuloista, joihin yleensä liittyy lisämäärärahojen ottaminen menopuolelle. Vuonna 2018 näiden rahoitusosuuksien kokonaismäärä oli (12,8 miljardia euroa).</w:t>
      </w:r>
    </w:p>
    <w:p>
      <w:pPr>
        <w:pStyle w:val="DGTextstand-alone"/>
      </w:pPr>
      <w:r>
        <w:t>Suurin osa sakoista saatavista tuloista liittyy kilpailun alalla määrättyihin sakkoihin.</w:t>
      </w:r>
    </w:p>
    <w:p>
      <w:pPr>
        <w:pStyle w:val="HEADER2PartBUDG"/>
        <w:rPr>
          <w:noProof/>
        </w:rPr>
      </w:pPr>
      <w:bookmarkStart w:id="310" w:name="_Toc11939547"/>
      <w:bookmarkStart w:id="311" w:name="_Toc17887572"/>
      <w:r>
        <w:rPr>
          <w:noProof/>
        </w:rPr>
        <w:t>MENOT</w:t>
      </w:r>
      <w:bookmarkEnd w:id="310"/>
      <w:bookmarkEnd w:id="311"/>
      <w:r>
        <w:rPr>
          <w:noProof/>
        </w:rPr>
        <w:t xml:space="preserve"> </w:t>
      </w:r>
    </w:p>
    <w:p>
      <w:pPr>
        <w:pStyle w:val="DGTextstand-alone"/>
      </w:pPr>
      <w:r>
        <w:t>Vuoden 2018 talousarviossa pyrittiin löytämään oikeanlainen tasapaino käynnissä olevien ohjelmien toteutuksen ja uudempien haasteiden ratkaisemisen välillä. Sen vuoksi talousarvioesityksen pohjaksi otettiin aiempien vuosien sitoumukset, ja siinä hyödynnettiin käytettävissä olevaa joustovaraa, jotta voidaan vastata haasteisiin vuosien 2014–2020 monivuotisen rahoituskehyksen puitteissa. Vuodet 2014–2020 kattavaan monivuotiseen rahoituskehykseen on tehty välitarkistus. Tarkistuksen ansiosta EU:n talousarviolla pystytään jatkossa vastaamaan entistä paremmin haasteisiin ja tuleviin rahoitustarpeisiin.</w:t>
      </w:r>
    </w:p>
    <w:p>
      <w:pPr>
        <w:pStyle w:val="DGTextstand-alone"/>
      </w:pPr>
      <w:r>
        <w:t>Monivuotisessa rahoituskehyksessä ennakoidun vuotuisen kehityksen mukaisesti talousarvioesityksessä ehdotettiin 160,7 miljardin euron maksusitoumusmäärärahoja (1,4 prosenttia enemmän kuin vuoden 2017 talousarviossa) ja 144,7 miljardin euron maksumäärärahoja (8 prosenttia enemmän kuin vuonna 2017), jotka vastasivat 1,02 ja 0,92 prosenttia EU:n BKTL:sta. Maksumäärärahojen osalta monivuotisen rahoituskehyksen alussa havaittu epänormaali maksukasauma selvitettiin vuonna 2016, ja odotuksena oli, että monet ohjelmat pääsevät vauhtiin erityisesti taloudellisen, sosiaalisen ja alueellisen koheesion alalla (rahoituskehyksen otsake 1 b).</w:t>
      </w:r>
    </w:p>
    <w:p>
      <w:pPr>
        <w:pStyle w:val="DGTextstand-alone"/>
      </w:pPr>
      <w:r>
        <w:t xml:space="preserve">Vuonna 2018 komissio ei tehnyt merkittäviä mukautuksia lisätalousarvioilla. Ainoat mukautukset esitettiin lisätalousarviossa nro 6, jossa mukautettiin sekä maksumäärärahojen että maksusitoumusmäärärahojen määriä, jotta ne saatiin paremmin vastaamaan kokonaismäärärahasiirron yhteydessä tehtyä tarvearviointia.  </w:t>
      </w:r>
    </w:p>
    <w:p>
      <w:pPr>
        <w:pStyle w:val="DGTextstand-alone"/>
        <w:rPr>
          <w:rFonts w:eastAsia="Times New Roman"/>
          <w:color w:val="016794"/>
        </w:rPr>
      </w:pPr>
      <w:r>
        <w:rPr>
          <w:color w:val="016794"/>
        </w:rPr>
        <w:t>Käytettävissä olevien määrärahojen toteuttaminen vuonna 2018</w:t>
      </w:r>
    </w:p>
    <w:p>
      <w:pPr>
        <w:pStyle w:val="DGTextstand-alone"/>
      </w:pPr>
      <w:r>
        <w:t>Vuonna 2018 kaikkien määrärahojen (talousarvio, siirretyt määrärahat ja käyttötarkoituksiinsa sidotut tulot) toteutumisaste oli 97 prosenttia maksusitoumusten ja 94 prosenttia maksujen osalta. Kaikki määrärahat (99,9 prosenttia maksusitoumusmäärärahoista ja 98,5 prosenttia maksumäärärahoista) käytettiin vuonna 2018. Määrärahojen toteutusaste oli 99,8 prosenttia maksusitoumusmäärärahojen ja 99,7 prosenttia maksumäärärahojen osalta, kun oletetaan, että vuodelle 2019 siirretyt määrät käytetään kokonaisuudessaan.</w:t>
      </w:r>
    </w:p>
    <w:p>
      <w:pPr>
        <w:pStyle w:val="DGTextstand-alone"/>
      </w:pPr>
      <w:r>
        <w:t>Kaikissa otsakkeissa saavutettiin korkea toteutusaste. Erityisrahoitusvälineissä tavoitteena ei ole täysimittainen toteuttaminen, koska ne otetaan käyttöön vain kriiseissä tai odottamattomissa tilanteissa.</w:t>
      </w:r>
    </w:p>
    <w:p>
      <w:pPr>
        <w:pStyle w:val="DGTextstand-alone"/>
        <w:rPr>
          <w:rFonts w:eastAsia="Times New Roman"/>
          <w:color w:val="016794"/>
        </w:rPr>
      </w:pPr>
      <w:r>
        <w:rPr>
          <w:color w:val="016794"/>
        </w:rPr>
        <w:t>Maksattamatta olevat sitoumukset</w:t>
      </w:r>
    </w:p>
    <w:p>
      <w:pPr>
        <w:pStyle w:val="DGTextstand-alone"/>
      </w:pPr>
      <w:r>
        <w:t>Vuoden 2018 lopussa maksattamatta olevien sitoumusten määrä oli 281,2 miljardia euroa. Maksamatta olevat sitoumukset (13,5 miljardia euroa) kasvoivat odotettua vähemmän. Tämä johtui lisätalousarviolla nro 3 käyttöön otetuista ylimääräisistä maksusitoumusmäärärahoista (jotka liittyivät Turkin-pakolaisavun koordinointivälineen voimassaolon jatkamiseen) ja kaikentyyppisistä lähteistä (hyväksytyt määrärahat, vuodelta 2017 siirretyt määrärahat ja käyttötarkoitukseensa sidotut tulot) peräisin olevien maksumäärärahojen ja maksusitoumusmäärärahojen odotettua paremmasta toteutuksesta.</w:t>
      </w:r>
    </w:p>
    <w:p>
      <w:pPr>
        <w:pStyle w:val="DGTextstand-alone"/>
      </w:pPr>
      <w:r>
        <w:t>Talousarvioon tehtyjen muutosten yksityiskohtaisempi analyysi ja niiden taustat, perustelut ja vaikutukset esitetään komission vuodelta 2018 laatiman, talousarvio- ja varainhallintoa koskevan selvityksen osassa A, jossa tiedot esitetään talousarvion tasolla, ja osassa B, jossa käsitellään erikseen kutakin monivuotisen rahoituskehyksen otsaketta.</w:t>
      </w:r>
    </w:p>
    <w:p>
      <w:pPr>
        <w:pStyle w:val="DGTextstand-alone"/>
        <w:rPr>
          <w:rFonts w:eastAsia="Times New Roman"/>
          <w:color w:val="016794"/>
        </w:rPr>
      </w:pPr>
      <w:r>
        <w:rPr>
          <w:color w:val="016794"/>
        </w:rPr>
        <w:t xml:space="preserve">Talousarvion toteutuma </w:t>
      </w:r>
    </w:p>
    <w:p>
      <w:pPr>
        <w:pStyle w:val="DGTextstand-alone"/>
      </w:pPr>
      <w:r>
        <w:t>Vuoden 2017 talousarvion toteutuma oli ennennäkemättömän pieni (0,56 miljardia euroa). Siihen verrattuna vuoden 2018 talousarvion toteutuma on suurempi (1,8 miljardia euroa). Tämä johtuu ensisijaisesti tulopuolesta, jossa unionin sopimuksiin ja ohjelmiin liittyvät rahoitusosuudet ja palautukset olivat huomattavan suuria vuonna 2018 (12,8 miljardia euroa). Maksumäärärahat toteutettiin lähes kokonaisuudessaan (94 prosenttia), käyttämättä jääneet määrät (5 prosenttia) voitiin siirtää varainhoitovuodelle 2019, ja käyttämättä jäänyt määrä ei ole merkittävä.</w:t>
      </w:r>
    </w:p>
    <w:bookmarkEnd w:id="307"/>
    <w:p>
      <w:pPr>
        <w:pStyle w:val="DGTextstand-alone"/>
        <w:sectPr>
          <w:headerReference w:type="even" r:id="rId461"/>
          <w:headerReference w:type="default" r:id="rId462"/>
          <w:footerReference w:type="even" r:id="rId463"/>
          <w:footerReference w:type="default" r:id="rId464"/>
          <w:headerReference w:type="first" r:id="rId465"/>
          <w:footerReference w:type="first" r:id="rId466"/>
          <w:pgSz w:w="11907" w:h="16840" w:code="9"/>
          <w:pgMar w:top="1134" w:right="1134" w:bottom="1134" w:left="1134" w:header="709" w:footer="709" w:gutter="0"/>
          <w:cols w:space="708"/>
          <w:docGrid w:linePitch="360"/>
        </w:sectPr>
      </w:pPr>
    </w:p>
    <w:p>
      <w:pPr>
        <w:pStyle w:val="HEADER1PartBUDG"/>
        <w:rPr>
          <w:noProof/>
        </w:rPr>
      </w:pPr>
      <w:bookmarkStart w:id="312" w:name="_DMBM_14880"/>
      <w:r>
        <w:rPr>
          <w:noProof/>
        </w:rPr>
        <w:t xml:space="preserve"> </w:t>
      </w:r>
      <w:bookmarkStart w:id="313" w:name="_Toc11939548"/>
      <w:bookmarkStart w:id="314" w:name="_Toc17887573"/>
      <w:r>
        <w:rPr>
          <w:noProof/>
        </w:rPr>
        <w:t>EU:N TALOUSARVION TULOJEN TOTEUTUMINEN</w:t>
      </w:r>
      <w:bookmarkEnd w:id="313"/>
      <w:bookmarkEnd w:id="314"/>
      <w:r>
        <w:rPr>
          <w:noProof/>
        </w:rPr>
        <w:t xml:space="preserve"> </w:t>
      </w:r>
    </w:p>
    <w:p>
      <w:pPr>
        <w:pStyle w:val="HEADER2PartBUDG"/>
        <w:rPr>
          <w:noProof/>
        </w:rPr>
      </w:pPr>
      <w:bookmarkStart w:id="315" w:name="_Toc11939549"/>
      <w:bookmarkStart w:id="316" w:name="_Toc17887574"/>
      <w:r>
        <w:rPr>
          <w:noProof/>
        </w:rPr>
        <w:t>YHTEENVETO TALOUSARVION TULOTOTEUTUMASTA</w:t>
      </w:r>
      <w:bookmarkEnd w:id="315"/>
      <w:bookmarkEnd w:id="316"/>
      <w:r>
        <w:rPr>
          <w:noProo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
        <w:gridCol w:w="2835"/>
        <w:gridCol w:w="1417"/>
        <w:gridCol w:w="284"/>
        <w:gridCol w:w="850"/>
        <w:gridCol w:w="1134"/>
        <w:gridCol w:w="851"/>
        <w:gridCol w:w="142"/>
        <w:gridCol w:w="850"/>
        <w:gridCol w:w="1418"/>
        <w:gridCol w:w="141"/>
        <w:gridCol w:w="993"/>
        <w:gridCol w:w="141"/>
        <w:gridCol w:w="851"/>
        <w:gridCol w:w="1276"/>
        <w:gridCol w:w="1165"/>
      </w:tblGrid>
      <w:tr>
        <w:trPr>
          <w:trHeight w:val="340"/>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Arial" w:eastAsia="Arial" w:hAnsi="Arial" w:cs="Arial"/>
                <w:b/>
                <w:noProof/>
                <w:color w:val="000000"/>
                <w:sz w:val="18"/>
              </w:rPr>
            </w:pPr>
            <w:bookmarkStart w:id="317" w:name="DOC_TBL00103_1_1"/>
            <w:bookmarkEnd w:id="317"/>
          </w:p>
        </w:tc>
        <w:tc>
          <w:tcPr>
            <w:tcW w:w="2835"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Arial" w:eastAsia="Arial" w:hAnsi="Arial" w:cs="Arial"/>
                <w:b/>
                <w:noProof/>
                <w:color w:val="000000"/>
                <w:sz w:val="18"/>
              </w:rPr>
            </w:pPr>
          </w:p>
        </w:tc>
        <w:tc>
          <w:tcPr>
            <w:tcW w:w="1701"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Arial" w:eastAsia="Arial" w:hAnsi="Arial" w:cs="Arial"/>
                <w:b/>
                <w:noProof/>
                <w:color w:val="000000"/>
                <w:sz w:val="18"/>
              </w:rPr>
            </w:pP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Arial" w:eastAsia="Arial" w:hAnsi="Arial" w:cs="Arial"/>
                <w:b/>
                <w:noProof/>
                <w:color w:val="000000"/>
                <w:sz w:val="18"/>
              </w:rPr>
            </w:pP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Arial" w:eastAsia="Arial" w:hAnsi="Arial" w:cs="Arial"/>
                <w:b/>
                <w:noProof/>
                <w:color w:val="000000"/>
                <w:sz w:val="18"/>
              </w:rPr>
            </w:pPr>
          </w:p>
        </w:tc>
        <w:tc>
          <w:tcPr>
            <w:tcW w:w="993"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Arial" w:eastAsia="Arial" w:hAnsi="Arial" w:cs="Arial"/>
                <w:b/>
                <w:noProof/>
                <w:color w:val="000000"/>
                <w:sz w:val="18"/>
              </w:rPr>
            </w:pP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Arial" w:eastAsia="Arial" w:hAnsi="Arial" w:cs="Arial"/>
                <w:b/>
                <w:noProof/>
                <w:color w:val="000000"/>
                <w:sz w:val="18"/>
              </w:rPr>
            </w:pPr>
          </w:p>
        </w:tc>
        <w:tc>
          <w:tcPr>
            <w:tcW w:w="1559"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Arial" w:eastAsia="Arial" w:hAnsi="Arial" w:cs="Arial"/>
                <w:b/>
                <w:noProof/>
                <w:color w:val="000000"/>
                <w:sz w:val="18"/>
              </w:rPr>
            </w:pPr>
          </w:p>
        </w:tc>
        <w:tc>
          <w:tcPr>
            <w:tcW w:w="1134"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Arial" w:eastAsia="Arial" w:hAnsi="Arial" w:cs="Arial"/>
                <w:b/>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Arial" w:eastAsia="Arial" w:hAnsi="Arial" w:cs="Arial"/>
                <w:b/>
                <w:noProof/>
                <w:color w:val="000000"/>
                <w:sz w:val="18"/>
              </w:rPr>
            </w:pP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Arial" w:eastAsia="Arial" w:hAnsi="Arial" w:cs="Arial"/>
                <w:b/>
                <w:noProof/>
                <w:color w:val="000000"/>
                <w:sz w:val="18"/>
              </w:rPr>
            </w:pP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i/>
                <w:noProof/>
                <w:color w:val="000000"/>
                <w:sz w:val="16"/>
              </w:rPr>
            </w:pPr>
            <w:r>
              <w:rPr>
                <w:rFonts w:ascii="Verdana" w:hAnsi="Verdana"/>
                <w:i/>
                <w:noProof/>
                <w:color w:val="000000"/>
                <w:sz w:val="16"/>
              </w:rPr>
              <w:t>milj. euroa</w:t>
            </w:r>
          </w:p>
        </w:tc>
      </w:tr>
      <w:tr>
        <w:trPr>
          <w:trHeight w:val="477"/>
        </w:trPr>
        <w:tc>
          <w:tcPr>
            <w:tcW w:w="344" w:type="dxa"/>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p>
        </w:tc>
        <w:tc>
          <w:tcPr>
            <w:tcW w:w="2835" w:type="dxa"/>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p>
        </w:tc>
        <w:tc>
          <w:tcPr>
            <w:tcW w:w="2551" w:type="dxa"/>
            <w:gridSpan w:val="3"/>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center"/>
              <w:rPr>
                <w:rFonts w:ascii="Verdana" w:eastAsia="Verdana" w:hAnsi="Verdana" w:cs="Verdana"/>
                <w:b/>
                <w:noProof/>
                <w:color w:val="FFFFFF"/>
                <w:sz w:val="16"/>
              </w:rPr>
            </w:pPr>
            <w:r>
              <w:rPr>
                <w:rFonts w:ascii="Verdana" w:hAnsi="Verdana"/>
                <w:b/>
                <w:noProof/>
                <w:color w:val="FFFFFF"/>
                <w:sz w:val="16"/>
              </w:rPr>
              <w:t>Talousarvioon otetut tulot</w:t>
            </w:r>
          </w:p>
        </w:tc>
        <w:tc>
          <w:tcPr>
            <w:tcW w:w="2977" w:type="dxa"/>
            <w:gridSpan w:val="4"/>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center"/>
              <w:rPr>
                <w:rFonts w:ascii="Verdana" w:eastAsia="Verdana" w:hAnsi="Verdana" w:cs="Verdana"/>
                <w:b/>
                <w:noProof/>
                <w:color w:val="FFFFFF"/>
                <w:sz w:val="16"/>
              </w:rPr>
            </w:pPr>
            <w:r>
              <w:rPr>
                <w:rFonts w:ascii="Verdana" w:hAnsi="Verdana"/>
                <w:b/>
                <w:noProof/>
                <w:color w:val="FFFFFF"/>
                <w:sz w:val="16"/>
              </w:rPr>
              <w:t>Vahvistetut saamiset</w:t>
            </w:r>
          </w:p>
        </w:tc>
        <w:tc>
          <w:tcPr>
            <w:tcW w:w="3544" w:type="dxa"/>
            <w:gridSpan w:val="5"/>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center"/>
              <w:rPr>
                <w:rFonts w:ascii="Verdana" w:eastAsia="Verdana" w:hAnsi="Verdana" w:cs="Verdana"/>
                <w:b/>
                <w:noProof/>
                <w:color w:val="FFFFFF"/>
                <w:sz w:val="16"/>
              </w:rPr>
            </w:pPr>
            <w:r>
              <w:rPr>
                <w:rFonts w:ascii="Verdana" w:hAnsi="Verdana"/>
                <w:b/>
                <w:noProof/>
                <w:color w:val="FFFFFF"/>
                <w:sz w:val="16"/>
              </w:rPr>
              <w:t>Tulot</w:t>
            </w:r>
          </w:p>
        </w:tc>
        <w:tc>
          <w:tcPr>
            <w:tcW w:w="1276" w:type="dxa"/>
            <w:vMerge w:val="restart"/>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Tulot % budjetoiduista</w:t>
            </w:r>
          </w:p>
        </w:tc>
        <w:tc>
          <w:tcPr>
            <w:tcW w:w="1165" w:type="dxa"/>
            <w:vMerge w:val="restart"/>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right"/>
              <w:rPr>
                <w:rFonts w:ascii="Verdana" w:eastAsia="Verdana" w:hAnsi="Verdana" w:cs="Verdana"/>
                <w:noProof/>
                <w:color w:val="FFFFFF"/>
                <w:sz w:val="16"/>
              </w:rPr>
            </w:pPr>
            <w:r>
              <w:rPr>
                <w:rFonts w:ascii="Verdana" w:hAnsi="Verdana"/>
                <w:noProof/>
                <w:color w:val="FFFFFF"/>
                <w:sz w:val="16"/>
              </w:rPr>
              <w:t>Perimättä</w:t>
            </w:r>
          </w:p>
        </w:tc>
      </w:tr>
      <w:tr>
        <w:trPr>
          <w:trHeight w:val="340"/>
        </w:trPr>
        <w:tc>
          <w:tcPr>
            <w:tcW w:w="344" w:type="dxa"/>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p>
        </w:tc>
        <w:tc>
          <w:tcPr>
            <w:tcW w:w="2835" w:type="dxa"/>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rPr>
                <w:rFonts w:ascii="Verdana" w:eastAsia="Verdana" w:hAnsi="Verdana" w:cs="Verdana"/>
                <w:noProof/>
                <w:color w:val="FFFFFF"/>
                <w:sz w:val="16"/>
              </w:rPr>
            </w:pPr>
            <w:r>
              <w:rPr>
                <w:rFonts w:ascii="Verdana" w:hAnsi="Verdana"/>
                <w:noProof/>
                <w:color w:val="FFFFFF"/>
                <w:sz w:val="16"/>
              </w:rPr>
              <w:t>Osasto</w:t>
            </w:r>
          </w:p>
        </w:tc>
        <w:tc>
          <w:tcPr>
            <w:tcW w:w="1417" w:type="dxa"/>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right"/>
              <w:rPr>
                <w:rFonts w:ascii="Verdana" w:eastAsia="Verdana" w:hAnsi="Verdana" w:cs="Verdana"/>
                <w:noProof/>
                <w:color w:val="FFFFFF"/>
                <w:sz w:val="16"/>
              </w:rPr>
            </w:pPr>
            <w:r>
              <w:rPr>
                <w:rFonts w:ascii="Verdana" w:hAnsi="Verdana"/>
                <w:noProof/>
                <w:color w:val="FFFFFF"/>
                <w:sz w:val="16"/>
              </w:rPr>
              <w:t>Alkuperäinen hyväksytty talousarvio</w:t>
            </w:r>
          </w:p>
        </w:tc>
        <w:tc>
          <w:tcPr>
            <w:tcW w:w="1134" w:type="dxa"/>
            <w:gridSpan w:val="2"/>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right"/>
              <w:rPr>
                <w:rFonts w:ascii="Verdana" w:eastAsia="Verdana" w:hAnsi="Verdana" w:cs="Verdana"/>
                <w:noProof/>
                <w:color w:val="FFFFFF"/>
                <w:sz w:val="16"/>
              </w:rPr>
            </w:pPr>
            <w:r>
              <w:rPr>
                <w:rFonts w:ascii="Verdana" w:hAnsi="Verdana"/>
                <w:noProof/>
                <w:color w:val="FFFFFF"/>
                <w:sz w:val="16"/>
              </w:rPr>
              <w:t>Lopullinen hyväksytty talousarvio</w:t>
            </w:r>
          </w:p>
        </w:tc>
        <w:tc>
          <w:tcPr>
            <w:tcW w:w="1134" w:type="dxa"/>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right"/>
              <w:rPr>
                <w:rFonts w:ascii="Verdana" w:eastAsia="Verdana" w:hAnsi="Verdana" w:cs="Verdana"/>
                <w:noProof/>
                <w:color w:val="FFFFFF"/>
                <w:sz w:val="16"/>
              </w:rPr>
            </w:pPr>
            <w:r>
              <w:rPr>
                <w:rFonts w:ascii="Verdana" w:hAnsi="Verdana"/>
                <w:noProof/>
                <w:color w:val="FFFFFF"/>
                <w:sz w:val="16"/>
              </w:rPr>
              <w:t>Varainhoito</w:t>
            </w:r>
            <w:r>
              <w:rPr>
                <w:rFonts w:ascii="Verdana" w:hAnsi="Verdana"/>
                <w:noProof/>
                <w:color w:val="FFFFFF"/>
                <w:sz w:val="16"/>
              </w:rPr>
              <w:softHyphen/>
              <w:t>vuonna</w:t>
            </w:r>
          </w:p>
        </w:tc>
        <w:tc>
          <w:tcPr>
            <w:tcW w:w="851" w:type="dxa"/>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right"/>
              <w:rPr>
                <w:rFonts w:ascii="Verdana" w:eastAsia="Verdana" w:hAnsi="Verdana" w:cs="Verdana"/>
                <w:noProof/>
                <w:color w:val="FFFFFF"/>
                <w:sz w:val="16"/>
              </w:rPr>
            </w:pPr>
            <w:r>
              <w:rPr>
                <w:rFonts w:ascii="Verdana" w:hAnsi="Verdana"/>
                <w:noProof/>
                <w:color w:val="FFFFFF"/>
                <w:sz w:val="16"/>
              </w:rPr>
              <w:t>Siirretyt määrät</w:t>
            </w:r>
          </w:p>
        </w:tc>
        <w:tc>
          <w:tcPr>
            <w:tcW w:w="992" w:type="dxa"/>
            <w:gridSpan w:val="2"/>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right"/>
              <w:rPr>
                <w:rFonts w:ascii="Verdana" w:eastAsia="Verdana" w:hAnsi="Verdana" w:cs="Verdana"/>
                <w:noProof/>
                <w:color w:val="FFFFFF"/>
                <w:sz w:val="16"/>
              </w:rPr>
            </w:pPr>
            <w:r>
              <w:rPr>
                <w:rFonts w:ascii="Verdana" w:hAnsi="Verdana"/>
                <w:noProof/>
                <w:color w:val="FFFFFF"/>
                <w:sz w:val="16"/>
              </w:rPr>
              <w:t>Yhteensä</w:t>
            </w:r>
          </w:p>
        </w:tc>
        <w:tc>
          <w:tcPr>
            <w:tcW w:w="1418" w:type="dxa"/>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right"/>
              <w:rPr>
                <w:rFonts w:ascii="Verdana" w:eastAsia="Verdana" w:hAnsi="Verdana" w:cs="Verdana"/>
                <w:noProof/>
                <w:color w:val="FFFFFF"/>
                <w:sz w:val="16"/>
              </w:rPr>
            </w:pPr>
            <w:r>
              <w:rPr>
                <w:rFonts w:ascii="Verdana" w:hAnsi="Verdana"/>
                <w:noProof/>
                <w:color w:val="FFFFFF"/>
                <w:sz w:val="16"/>
              </w:rPr>
              <w:t>Varainhoito-</w:t>
            </w:r>
          </w:p>
          <w:p>
            <w:pPr>
              <w:pStyle w:val="DMETW14818BIPImplementationbudgetrevenue"/>
              <w:jc w:val="right"/>
              <w:rPr>
                <w:rFonts w:ascii="Verdana" w:eastAsia="Verdana" w:hAnsi="Verdana" w:cs="Verdana"/>
                <w:noProof/>
                <w:color w:val="FFFFFF"/>
                <w:sz w:val="16"/>
              </w:rPr>
            </w:pPr>
            <w:r>
              <w:rPr>
                <w:rFonts w:ascii="Verdana" w:hAnsi="Verdana"/>
                <w:noProof/>
                <w:color w:val="FFFFFF"/>
                <w:sz w:val="16"/>
              </w:rPr>
              <w:t>vuoden</w:t>
            </w:r>
          </w:p>
          <w:p>
            <w:pPr>
              <w:pStyle w:val="DMETW14818BIPImplementationbudgetrevenue"/>
              <w:jc w:val="right"/>
              <w:rPr>
                <w:rFonts w:ascii="Verdana" w:eastAsia="Verdana" w:hAnsi="Verdana" w:cs="Verdana"/>
                <w:noProof/>
                <w:color w:val="FFFFFF"/>
                <w:sz w:val="16"/>
              </w:rPr>
            </w:pPr>
            <w:r>
              <w:rPr>
                <w:rFonts w:ascii="Verdana" w:hAnsi="Verdana"/>
                <w:noProof/>
                <w:color w:val="FFFFFF"/>
                <w:sz w:val="16"/>
              </w:rPr>
              <w:t>saamisista</w:t>
            </w:r>
          </w:p>
        </w:tc>
        <w:tc>
          <w:tcPr>
            <w:tcW w:w="1134" w:type="dxa"/>
            <w:gridSpan w:val="2"/>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right"/>
              <w:rPr>
                <w:rFonts w:ascii="Verdana" w:eastAsia="Verdana" w:hAnsi="Verdana" w:cs="Verdana"/>
                <w:noProof/>
                <w:color w:val="FFFFFF"/>
                <w:sz w:val="16"/>
              </w:rPr>
            </w:pPr>
            <w:r>
              <w:rPr>
                <w:rFonts w:ascii="Verdana" w:hAnsi="Verdana"/>
                <w:noProof/>
                <w:color w:val="FFFFFF"/>
                <w:sz w:val="16"/>
              </w:rPr>
              <w:t>Siirretyistä</w:t>
            </w:r>
          </w:p>
          <w:p>
            <w:pPr>
              <w:pStyle w:val="DMETW14818BIPImplementationbudgetrevenue"/>
              <w:jc w:val="right"/>
              <w:rPr>
                <w:rFonts w:ascii="Verdana" w:eastAsia="Verdana" w:hAnsi="Verdana" w:cs="Verdana"/>
                <w:noProof/>
                <w:color w:val="FFFFFF"/>
                <w:sz w:val="16"/>
              </w:rPr>
            </w:pPr>
            <w:r>
              <w:rPr>
                <w:rFonts w:ascii="Verdana" w:hAnsi="Verdana"/>
                <w:noProof/>
                <w:color w:val="FFFFFF"/>
                <w:sz w:val="16"/>
              </w:rPr>
              <w:t>saamisista</w:t>
            </w:r>
          </w:p>
        </w:tc>
        <w:tc>
          <w:tcPr>
            <w:tcW w:w="992" w:type="dxa"/>
            <w:gridSpan w:val="2"/>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right"/>
              <w:rPr>
                <w:rFonts w:ascii="Verdana" w:eastAsia="Verdana" w:hAnsi="Verdana" w:cs="Verdana"/>
                <w:noProof/>
                <w:color w:val="FFFFFF"/>
                <w:sz w:val="16"/>
              </w:rPr>
            </w:pPr>
            <w:r>
              <w:rPr>
                <w:rFonts w:ascii="Verdana" w:hAnsi="Verdana"/>
                <w:noProof/>
                <w:color w:val="FFFFFF"/>
                <w:sz w:val="16"/>
              </w:rPr>
              <w:t>Yhteensä</w:t>
            </w:r>
          </w:p>
        </w:tc>
        <w:tc>
          <w:tcPr>
            <w:tcW w:w="1276" w:type="dxa"/>
            <w:vMerge/>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p>
        </w:tc>
        <w:tc>
          <w:tcPr>
            <w:tcW w:w="1165" w:type="dxa"/>
            <w:vMerge/>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p>
        </w:tc>
      </w:tr>
      <w:tr>
        <w:trPr>
          <w:trHeight w:val="340"/>
        </w:trPr>
        <w:tc>
          <w:tcPr>
            <w:tcW w:w="344" w:type="dxa"/>
            <w:tcBorders>
              <w:top w:val="nil"/>
              <w:left w:val="nil"/>
              <w:bottom w:val="nil"/>
              <w:right w:val="nil"/>
              <w:tl2br w:val="nil"/>
              <w:tr2bl w:val="nil"/>
            </w:tcBorders>
            <w:shd w:val="solid" w:color="3287AA"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p>
        </w:tc>
        <w:tc>
          <w:tcPr>
            <w:tcW w:w="2835" w:type="dxa"/>
            <w:tcBorders>
              <w:top w:val="nil"/>
              <w:left w:val="nil"/>
              <w:bottom w:val="nil"/>
              <w:right w:val="nil"/>
              <w:tl2br w:val="nil"/>
              <w:tr2bl w:val="nil"/>
            </w:tcBorders>
            <w:shd w:val="solid" w:color="3287AA"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p>
        </w:tc>
        <w:tc>
          <w:tcPr>
            <w:tcW w:w="1417" w:type="dxa"/>
            <w:tcBorders>
              <w:top w:val="nil"/>
              <w:left w:val="nil"/>
              <w:bottom w:val="nil"/>
              <w:right w:val="nil"/>
              <w:tl2br w:val="nil"/>
              <w:tr2bl w:val="nil"/>
            </w:tcBorders>
            <w:shd w:val="solid" w:color="3287AA"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1</w:t>
            </w:r>
          </w:p>
        </w:tc>
        <w:tc>
          <w:tcPr>
            <w:tcW w:w="1134" w:type="dxa"/>
            <w:gridSpan w:val="2"/>
            <w:tcBorders>
              <w:top w:val="nil"/>
              <w:left w:val="nil"/>
              <w:bottom w:val="nil"/>
              <w:right w:val="nil"/>
              <w:tl2br w:val="nil"/>
              <w:tr2bl w:val="nil"/>
            </w:tcBorders>
            <w:shd w:val="solid" w:color="3287AA"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2</w:t>
            </w:r>
          </w:p>
        </w:tc>
        <w:tc>
          <w:tcPr>
            <w:tcW w:w="1134" w:type="dxa"/>
            <w:tcBorders>
              <w:top w:val="nil"/>
              <w:left w:val="nil"/>
              <w:bottom w:val="nil"/>
              <w:right w:val="nil"/>
              <w:tl2br w:val="nil"/>
              <w:tr2bl w:val="nil"/>
            </w:tcBorders>
            <w:shd w:val="solid" w:color="3287AA"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3</w:t>
            </w:r>
          </w:p>
        </w:tc>
        <w:tc>
          <w:tcPr>
            <w:tcW w:w="851" w:type="dxa"/>
            <w:tcBorders>
              <w:top w:val="nil"/>
              <w:left w:val="nil"/>
              <w:bottom w:val="nil"/>
              <w:right w:val="nil"/>
              <w:tl2br w:val="nil"/>
              <w:tr2bl w:val="nil"/>
            </w:tcBorders>
            <w:shd w:val="solid" w:color="3287AA"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4</w:t>
            </w:r>
          </w:p>
        </w:tc>
        <w:tc>
          <w:tcPr>
            <w:tcW w:w="992" w:type="dxa"/>
            <w:gridSpan w:val="2"/>
            <w:tcBorders>
              <w:top w:val="nil"/>
              <w:left w:val="nil"/>
              <w:bottom w:val="nil"/>
              <w:right w:val="nil"/>
              <w:tl2br w:val="nil"/>
              <w:tr2bl w:val="nil"/>
            </w:tcBorders>
            <w:shd w:val="solid" w:color="3287AA"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5=3+4</w:t>
            </w:r>
          </w:p>
        </w:tc>
        <w:tc>
          <w:tcPr>
            <w:tcW w:w="1418" w:type="dxa"/>
            <w:tcBorders>
              <w:top w:val="nil"/>
              <w:left w:val="nil"/>
              <w:bottom w:val="nil"/>
              <w:right w:val="nil"/>
              <w:tl2br w:val="nil"/>
              <w:tr2bl w:val="nil"/>
            </w:tcBorders>
            <w:shd w:val="solid" w:color="3287AA"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6</w:t>
            </w:r>
          </w:p>
        </w:tc>
        <w:tc>
          <w:tcPr>
            <w:tcW w:w="1134" w:type="dxa"/>
            <w:gridSpan w:val="2"/>
            <w:tcBorders>
              <w:top w:val="nil"/>
              <w:left w:val="nil"/>
              <w:bottom w:val="nil"/>
              <w:right w:val="nil"/>
              <w:tl2br w:val="nil"/>
              <w:tr2bl w:val="nil"/>
            </w:tcBorders>
            <w:shd w:val="solid" w:color="3287AA"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7</w:t>
            </w:r>
          </w:p>
        </w:tc>
        <w:tc>
          <w:tcPr>
            <w:tcW w:w="992" w:type="dxa"/>
            <w:gridSpan w:val="2"/>
            <w:tcBorders>
              <w:top w:val="nil"/>
              <w:left w:val="nil"/>
              <w:bottom w:val="nil"/>
              <w:right w:val="nil"/>
              <w:tl2br w:val="nil"/>
              <w:tr2bl w:val="nil"/>
            </w:tcBorders>
            <w:shd w:val="solid" w:color="3287AA"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8=6+7</w:t>
            </w:r>
          </w:p>
        </w:tc>
        <w:tc>
          <w:tcPr>
            <w:tcW w:w="1276" w:type="dxa"/>
            <w:tcBorders>
              <w:top w:val="nil"/>
              <w:left w:val="nil"/>
              <w:bottom w:val="nil"/>
              <w:right w:val="nil"/>
              <w:tl2br w:val="nil"/>
              <w:tr2bl w:val="nil"/>
            </w:tcBorders>
            <w:shd w:val="solid" w:color="3287AA"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9=8/2</w:t>
            </w:r>
          </w:p>
        </w:tc>
        <w:tc>
          <w:tcPr>
            <w:tcW w:w="1165" w:type="dxa"/>
            <w:tcBorders>
              <w:top w:val="nil"/>
              <w:left w:val="nil"/>
              <w:bottom w:val="nil"/>
              <w:right w:val="nil"/>
              <w:tl2br w:val="nil"/>
              <w:tr2bl w:val="nil"/>
            </w:tcBorders>
            <w:shd w:val="solid" w:color="3287AA"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10=5-8</w:t>
            </w:r>
          </w:p>
        </w:tc>
      </w:tr>
      <w:tr>
        <w:trPr>
          <w:trHeight w:val="340"/>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Verdana" w:eastAsia="Verdana" w:hAnsi="Verdana" w:cs="Verdana"/>
                <w:noProof/>
                <w:color w:val="000000"/>
                <w:sz w:val="16"/>
              </w:rPr>
            </w:pPr>
            <w:r>
              <w:rPr>
                <w:rFonts w:ascii="Verdana" w:hAnsi="Verdana"/>
                <w:noProof/>
                <w:color w:val="000000"/>
                <w:sz w:val="16"/>
              </w:rPr>
              <w:t>1</w:t>
            </w:r>
          </w:p>
        </w:tc>
        <w:tc>
          <w:tcPr>
            <w:tcW w:w="2835"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Verdana" w:eastAsia="Verdana" w:hAnsi="Verdana" w:cs="Verdana"/>
                <w:noProof/>
                <w:color w:val="000000"/>
                <w:sz w:val="16"/>
              </w:rPr>
            </w:pPr>
            <w:r>
              <w:rPr>
                <w:rFonts w:ascii="Verdana" w:hAnsi="Verdana"/>
                <w:noProof/>
                <w:color w:val="000000"/>
                <w:sz w:val="16"/>
              </w:rPr>
              <w:t>Omat varat</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142 832</w:t>
            </w:r>
          </w:p>
        </w:tc>
        <w:tc>
          <w:tcPr>
            <w:tcW w:w="1134"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142 364</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142 334</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39</w:t>
            </w:r>
          </w:p>
        </w:tc>
        <w:tc>
          <w:tcPr>
            <w:tcW w:w="992"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142 373</w:t>
            </w:r>
          </w:p>
        </w:tc>
        <w:tc>
          <w:tcPr>
            <w:tcW w:w="1418"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142 329</w:t>
            </w:r>
          </w:p>
        </w:tc>
        <w:tc>
          <w:tcPr>
            <w:tcW w:w="1134"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0</w:t>
            </w:r>
          </w:p>
        </w:tc>
        <w:tc>
          <w:tcPr>
            <w:tcW w:w="992"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142 330</w:t>
            </w: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100 %</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44</w:t>
            </w:r>
          </w:p>
        </w:tc>
      </w:tr>
      <w:tr>
        <w:trPr>
          <w:trHeight w:val="340"/>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Verdana" w:eastAsia="Verdana" w:hAnsi="Verdana" w:cs="Verdana"/>
                <w:noProof/>
                <w:color w:val="000000"/>
                <w:sz w:val="16"/>
              </w:rPr>
            </w:pPr>
            <w:r>
              <w:rPr>
                <w:rFonts w:ascii="Verdana" w:hAnsi="Verdana"/>
                <w:noProof/>
                <w:color w:val="000000"/>
                <w:sz w:val="16"/>
              </w:rPr>
              <w:t>3</w:t>
            </w:r>
          </w:p>
        </w:tc>
        <w:tc>
          <w:tcPr>
            <w:tcW w:w="2835"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Verdana" w:eastAsia="Verdana" w:hAnsi="Verdana" w:cs="Verdana"/>
                <w:noProof/>
                <w:color w:val="000000"/>
                <w:sz w:val="16"/>
              </w:rPr>
            </w:pPr>
            <w:r>
              <w:rPr>
                <w:rFonts w:ascii="Verdana" w:hAnsi="Verdana"/>
                <w:noProof/>
                <w:color w:val="000000"/>
                <w:sz w:val="16"/>
              </w:rPr>
              <w:t>Käytettävissä olevat ylijäämät</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w:t>
            </w:r>
          </w:p>
        </w:tc>
        <w:tc>
          <w:tcPr>
            <w:tcW w:w="1134"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556</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581</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581</w:t>
            </w:r>
          </w:p>
        </w:tc>
        <w:tc>
          <w:tcPr>
            <w:tcW w:w="1418"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581</w:t>
            </w:r>
          </w:p>
        </w:tc>
        <w:tc>
          <w:tcPr>
            <w:tcW w:w="1134"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581</w:t>
            </w: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105 %</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w:t>
            </w:r>
          </w:p>
        </w:tc>
      </w:tr>
      <w:tr>
        <w:trPr>
          <w:trHeight w:val="479"/>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Verdana" w:eastAsia="Verdana" w:hAnsi="Verdana" w:cs="Verdana"/>
                <w:noProof/>
                <w:color w:val="000000"/>
                <w:sz w:val="16"/>
              </w:rPr>
            </w:pPr>
            <w:r>
              <w:rPr>
                <w:rFonts w:ascii="Verdana" w:hAnsi="Verdana"/>
                <w:noProof/>
                <w:color w:val="000000"/>
                <w:sz w:val="16"/>
              </w:rPr>
              <w:t>4</w:t>
            </w:r>
          </w:p>
        </w:tc>
        <w:tc>
          <w:tcPr>
            <w:tcW w:w="2835"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Verdana" w:eastAsia="Verdana" w:hAnsi="Verdana" w:cs="Verdana"/>
                <w:noProof/>
                <w:color w:val="000000"/>
                <w:sz w:val="16"/>
              </w:rPr>
            </w:pPr>
            <w:r>
              <w:rPr>
                <w:rFonts w:ascii="Verdana" w:hAnsi="Verdana"/>
                <w:noProof/>
                <w:color w:val="000000"/>
                <w:sz w:val="16"/>
              </w:rPr>
              <w:t>Unionin toimielinten ja elinten palveluksessa olevasta henkilöstöstä kertyvät tulot</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1 547</w:t>
            </w:r>
          </w:p>
        </w:tc>
        <w:tc>
          <w:tcPr>
            <w:tcW w:w="1134"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1 547</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1 541</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11</w:t>
            </w:r>
          </w:p>
        </w:tc>
        <w:tc>
          <w:tcPr>
            <w:tcW w:w="992"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1 552</w:t>
            </w:r>
          </w:p>
        </w:tc>
        <w:tc>
          <w:tcPr>
            <w:tcW w:w="1418"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1 531</w:t>
            </w:r>
          </w:p>
        </w:tc>
        <w:tc>
          <w:tcPr>
            <w:tcW w:w="1134"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11</w:t>
            </w:r>
          </w:p>
        </w:tc>
        <w:tc>
          <w:tcPr>
            <w:tcW w:w="992"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1 542</w:t>
            </w: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100 %</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10</w:t>
            </w:r>
          </w:p>
        </w:tc>
      </w:tr>
      <w:tr>
        <w:trPr>
          <w:trHeight w:val="557"/>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Verdana" w:eastAsia="Verdana" w:hAnsi="Verdana" w:cs="Verdana"/>
                <w:noProof/>
                <w:color w:val="000000"/>
                <w:sz w:val="16"/>
              </w:rPr>
            </w:pPr>
            <w:r>
              <w:rPr>
                <w:rFonts w:ascii="Verdana" w:hAnsi="Verdana"/>
                <w:noProof/>
                <w:color w:val="000000"/>
                <w:sz w:val="16"/>
              </w:rPr>
              <w:t>5</w:t>
            </w:r>
          </w:p>
        </w:tc>
        <w:tc>
          <w:tcPr>
            <w:tcW w:w="2835"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Verdana" w:eastAsia="Verdana" w:hAnsi="Verdana" w:cs="Verdana"/>
                <w:noProof/>
                <w:color w:val="000000"/>
                <w:sz w:val="16"/>
              </w:rPr>
            </w:pPr>
            <w:r>
              <w:rPr>
                <w:rFonts w:ascii="Verdana" w:hAnsi="Verdana"/>
                <w:noProof/>
                <w:color w:val="000000"/>
                <w:sz w:val="16"/>
              </w:rPr>
              <w:t>Toimielinten hallinnollisesta toiminnasta kertyvät tulot</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45</w:t>
            </w:r>
          </w:p>
        </w:tc>
        <w:tc>
          <w:tcPr>
            <w:tcW w:w="1134"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45</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559</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24</w:t>
            </w:r>
          </w:p>
        </w:tc>
        <w:tc>
          <w:tcPr>
            <w:tcW w:w="992"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583</w:t>
            </w:r>
          </w:p>
        </w:tc>
        <w:tc>
          <w:tcPr>
            <w:tcW w:w="1418"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545</w:t>
            </w:r>
          </w:p>
        </w:tc>
        <w:tc>
          <w:tcPr>
            <w:tcW w:w="1134"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18</w:t>
            </w:r>
          </w:p>
        </w:tc>
        <w:tc>
          <w:tcPr>
            <w:tcW w:w="992"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563</w:t>
            </w: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1 250%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20</w:t>
            </w:r>
          </w:p>
        </w:tc>
      </w:tr>
      <w:tr>
        <w:trPr>
          <w:trHeight w:val="340"/>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Verdana" w:eastAsia="Verdana" w:hAnsi="Verdana" w:cs="Verdana"/>
                <w:noProof/>
                <w:color w:val="000000"/>
                <w:sz w:val="16"/>
              </w:rPr>
            </w:pPr>
            <w:r>
              <w:rPr>
                <w:rFonts w:ascii="Verdana" w:hAnsi="Verdana"/>
                <w:noProof/>
                <w:color w:val="000000"/>
                <w:sz w:val="16"/>
              </w:rPr>
              <w:t>6</w:t>
            </w:r>
          </w:p>
        </w:tc>
        <w:tc>
          <w:tcPr>
            <w:tcW w:w="2835"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Verdana" w:eastAsia="Verdana" w:hAnsi="Verdana" w:cs="Verdana"/>
                <w:noProof/>
                <w:color w:val="000000"/>
                <w:sz w:val="16"/>
              </w:rPr>
            </w:pPr>
            <w:r>
              <w:rPr>
                <w:rFonts w:ascii="Verdana" w:hAnsi="Verdana"/>
                <w:noProof/>
                <w:color w:val="000000"/>
                <w:sz w:val="16"/>
              </w:rPr>
              <w:t>Unionin ohjelmiin ja sopimuksiin liittyvät rahoitusosuudet ja palautukset</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110</w:t>
            </w:r>
          </w:p>
        </w:tc>
        <w:tc>
          <w:tcPr>
            <w:tcW w:w="1134"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110</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13 021</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324</w:t>
            </w:r>
          </w:p>
        </w:tc>
        <w:tc>
          <w:tcPr>
            <w:tcW w:w="992"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13 346</w:t>
            </w:r>
          </w:p>
        </w:tc>
        <w:tc>
          <w:tcPr>
            <w:tcW w:w="1418"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12 619</w:t>
            </w:r>
          </w:p>
        </w:tc>
        <w:tc>
          <w:tcPr>
            <w:tcW w:w="1134"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157</w:t>
            </w:r>
          </w:p>
        </w:tc>
        <w:tc>
          <w:tcPr>
            <w:tcW w:w="992"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12 777</w:t>
            </w: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11 615 %</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569</w:t>
            </w:r>
          </w:p>
        </w:tc>
      </w:tr>
      <w:tr>
        <w:trPr>
          <w:trHeight w:val="340"/>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Verdana" w:eastAsia="Verdana" w:hAnsi="Verdana" w:cs="Verdana"/>
                <w:noProof/>
                <w:color w:val="000000"/>
                <w:sz w:val="16"/>
              </w:rPr>
            </w:pPr>
            <w:r>
              <w:rPr>
                <w:rFonts w:ascii="Verdana" w:hAnsi="Verdana"/>
                <w:noProof/>
                <w:color w:val="000000"/>
                <w:sz w:val="16"/>
              </w:rPr>
              <w:t>7</w:t>
            </w:r>
          </w:p>
        </w:tc>
        <w:tc>
          <w:tcPr>
            <w:tcW w:w="2835"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Verdana" w:eastAsia="Verdana" w:hAnsi="Verdana" w:cs="Verdana"/>
                <w:noProof/>
                <w:color w:val="000000"/>
                <w:sz w:val="16"/>
              </w:rPr>
            </w:pPr>
            <w:r>
              <w:rPr>
                <w:rFonts w:ascii="Verdana" w:hAnsi="Verdana"/>
                <w:noProof/>
                <w:color w:val="000000"/>
                <w:sz w:val="16"/>
              </w:rPr>
              <w:t>Viivästyskorot ja sakot</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115</w:t>
            </w:r>
          </w:p>
        </w:tc>
        <w:tc>
          <w:tcPr>
            <w:tcW w:w="1134"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115</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6 778</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7 814</w:t>
            </w:r>
          </w:p>
        </w:tc>
        <w:tc>
          <w:tcPr>
            <w:tcW w:w="992"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14 592</w:t>
            </w:r>
          </w:p>
        </w:tc>
        <w:tc>
          <w:tcPr>
            <w:tcW w:w="1418"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897</w:t>
            </w:r>
          </w:p>
        </w:tc>
        <w:tc>
          <w:tcPr>
            <w:tcW w:w="1134"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576</w:t>
            </w:r>
          </w:p>
        </w:tc>
        <w:tc>
          <w:tcPr>
            <w:tcW w:w="992"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1 473</w:t>
            </w: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1 281 %</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13 119</w:t>
            </w:r>
          </w:p>
        </w:tc>
      </w:tr>
      <w:tr>
        <w:trPr>
          <w:trHeight w:val="340"/>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Verdana" w:eastAsia="Verdana" w:hAnsi="Verdana" w:cs="Verdana"/>
                <w:noProof/>
                <w:color w:val="000000"/>
                <w:sz w:val="16"/>
              </w:rPr>
            </w:pPr>
            <w:r>
              <w:rPr>
                <w:rFonts w:ascii="Verdana" w:hAnsi="Verdana"/>
                <w:noProof/>
                <w:color w:val="000000"/>
                <w:sz w:val="16"/>
              </w:rPr>
              <w:t>8</w:t>
            </w:r>
          </w:p>
        </w:tc>
        <w:tc>
          <w:tcPr>
            <w:tcW w:w="2835"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Verdana" w:eastAsia="Verdana" w:hAnsi="Verdana" w:cs="Verdana"/>
                <w:noProof/>
                <w:color w:val="000000"/>
                <w:sz w:val="16"/>
              </w:rPr>
            </w:pPr>
            <w:r>
              <w:rPr>
                <w:rFonts w:ascii="Verdana" w:hAnsi="Verdana"/>
                <w:noProof/>
                <w:color w:val="000000"/>
                <w:sz w:val="16"/>
              </w:rPr>
              <w:t>Otto- ja antolainaus</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6</w:t>
            </w:r>
          </w:p>
        </w:tc>
        <w:tc>
          <w:tcPr>
            <w:tcW w:w="1134"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6</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24</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15</w:t>
            </w:r>
          </w:p>
        </w:tc>
        <w:tc>
          <w:tcPr>
            <w:tcW w:w="992"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39</w:t>
            </w:r>
          </w:p>
        </w:tc>
        <w:tc>
          <w:tcPr>
            <w:tcW w:w="1418"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24</w:t>
            </w:r>
          </w:p>
        </w:tc>
        <w:tc>
          <w:tcPr>
            <w:tcW w:w="1134"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15</w:t>
            </w:r>
          </w:p>
        </w:tc>
        <w:tc>
          <w:tcPr>
            <w:tcW w:w="992"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39</w:t>
            </w: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631 %</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Verdana" w:eastAsia="Verdana" w:hAnsi="Verdana" w:cs="Verdana"/>
                <w:noProof/>
                <w:color w:val="000000"/>
                <w:sz w:val="16"/>
              </w:rPr>
            </w:pPr>
            <w:r>
              <w:rPr>
                <w:rFonts w:ascii="Verdana" w:hAnsi="Verdana"/>
                <w:noProof/>
                <w:color w:val="000000"/>
                <w:sz w:val="16"/>
              </w:rPr>
              <w:t>9</w:t>
            </w:r>
          </w:p>
        </w:tc>
        <w:tc>
          <w:tcPr>
            <w:tcW w:w="2835"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Verdana" w:eastAsia="Verdana" w:hAnsi="Verdana" w:cs="Verdana"/>
                <w:noProof/>
                <w:color w:val="000000"/>
                <w:sz w:val="16"/>
              </w:rPr>
            </w:pPr>
            <w:r>
              <w:rPr>
                <w:rFonts w:ascii="Verdana" w:hAnsi="Verdana"/>
                <w:noProof/>
                <w:color w:val="000000"/>
                <w:sz w:val="16"/>
              </w:rPr>
              <w:t>Sekalaiset tulot</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25</w:t>
            </w:r>
          </w:p>
        </w:tc>
        <w:tc>
          <w:tcPr>
            <w:tcW w:w="1134"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25</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17</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6</w:t>
            </w:r>
          </w:p>
        </w:tc>
        <w:tc>
          <w:tcPr>
            <w:tcW w:w="992"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24</w:t>
            </w:r>
          </w:p>
        </w:tc>
        <w:tc>
          <w:tcPr>
            <w:tcW w:w="1418"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12</w:t>
            </w:r>
          </w:p>
        </w:tc>
        <w:tc>
          <w:tcPr>
            <w:tcW w:w="1134"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w:t>
            </w:r>
          </w:p>
        </w:tc>
        <w:tc>
          <w:tcPr>
            <w:tcW w:w="992"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13</w:t>
            </w: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53 %</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10</w:t>
            </w:r>
          </w:p>
        </w:tc>
      </w:tr>
      <w:tr>
        <w:trPr>
          <w:trHeight w:val="340"/>
        </w:trPr>
        <w:tc>
          <w:tcPr>
            <w:tcW w:w="344" w:type="dxa"/>
            <w:tcBorders>
              <w:top w:val="nil"/>
              <w:left w:val="nil"/>
              <w:bottom w:val="nil"/>
              <w:right w:val="nil"/>
              <w:tl2br w:val="nil"/>
              <w:tr2bl w:val="nil"/>
            </w:tcBorders>
            <w:shd w:val="solid" w:color="CCE1EA" w:fill="FFFFFF"/>
            <w:tcMar>
              <w:left w:w="60" w:type="dxa"/>
              <w:right w:w="60" w:type="dxa"/>
            </w:tcMar>
            <w:vAlign w:val="center"/>
          </w:tcPr>
          <w:p>
            <w:pPr>
              <w:pStyle w:val="DMETW14818BIPImplementationbudgetrevenue"/>
              <w:rPr>
                <w:rFonts w:ascii="Verdana" w:eastAsia="Verdana" w:hAnsi="Verdana" w:cs="Verdana"/>
                <w:b/>
                <w:noProof/>
                <w:color w:val="000000"/>
                <w:sz w:val="16"/>
              </w:rPr>
            </w:pPr>
          </w:p>
        </w:tc>
        <w:tc>
          <w:tcPr>
            <w:tcW w:w="2835" w:type="dxa"/>
            <w:tcBorders>
              <w:top w:val="nil"/>
              <w:left w:val="nil"/>
              <w:bottom w:val="nil"/>
              <w:right w:val="nil"/>
              <w:tl2br w:val="nil"/>
              <w:tr2bl w:val="nil"/>
            </w:tcBorders>
            <w:shd w:val="solid" w:color="CCE1EA" w:fill="FFFFFF"/>
            <w:tcMar>
              <w:left w:w="60" w:type="dxa"/>
              <w:right w:w="60" w:type="dxa"/>
            </w:tcMar>
            <w:vAlign w:val="center"/>
          </w:tcPr>
          <w:p>
            <w:pPr>
              <w:pStyle w:val="DMETW14818BIPImplementationbudgetrevenue"/>
              <w:rPr>
                <w:rFonts w:ascii="Verdana" w:eastAsia="Verdana" w:hAnsi="Verdana" w:cs="Verdana"/>
                <w:b/>
                <w:noProof/>
                <w:color w:val="000000"/>
                <w:sz w:val="16"/>
              </w:rPr>
            </w:pPr>
            <w:r>
              <w:rPr>
                <w:rFonts w:ascii="Verdana" w:hAnsi="Verdana"/>
                <w:b/>
                <w:noProof/>
                <w:color w:val="000000"/>
                <w:sz w:val="16"/>
              </w:rPr>
              <w:t>Yhteensä</w:t>
            </w:r>
          </w:p>
        </w:tc>
        <w:tc>
          <w:tcPr>
            <w:tcW w:w="1417" w:type="dxa"/>
            <w:tcBorders>
              <w:top w:val="nil"/>
              <w:left w:val="nil"/>
              <w:bottom w:val="nil"/>
              <w:right w:val="nil"/>
              <w:tl2br w:val="nil"/>
              <w:tr2bl w:val="nil"/>
            </w:tcBorders>
            <w:shd w:val="solid" w:color="CCE1EA" w:fill="FFFFFF"/>
            <w:tcMar>
              <w:left w:w="60" w:type="dxa"/>
              <w:right w:w="60" w:type="dxa"/>
            </w:tcMar>
            <w:vAlign w:val="center"/>
          </w:tcPr>
          <w:p>
            <w:pPr>
              <w:pStyle w:val="DMETW14818BIPImplementationbudgetrevenue"/>
              <w:jc w:val="right"/>
              <w:rPr>
                <w:rFonts w:ascii="Verdana" w:eastAsia="Verdana" w:hAnsi="Verdana" w:cs="Verdana"/>
                <w:b/>
                <w:noProof/>
                <w:color w:val="000000"/>
                <w:sz w:val="16"/>
              </w:rPr>
            </w:pPr>
            <w:r>
              <w:rPr>
                <w:rFonts w:ascii="Verdana" w:hAnsi="Verdana"/>
                <w:b/>
                <w:noProof/>
                <w:color w:val="000000"/>
                <w:sz w:val="16"/>
              </w:rPr>
              <w:t>144 681</w:t>
            </w:r>
          </w:p>
        </w:tc>
        <w:tc>
          <w:tcPr>
            <w:tcW w:w="1134" w:type="dxa"/>
            <w:gridSpan w:val="2"/>
            <w:tcBorders>
              <w:top w:val="nil"/>
              <w:left w:val="nil"/>
              <w:bottom w:val="nil"/>
              <w:right w:val="nil"/>
              <w:tl2br w:val="nil"/>
              <w:tr2bl w:val="nil"/>
            </w:tcBorders>
            <w:shd w:val="solid" w:color="CCE1EA" w:fill="FFFFFF"/>
            <w:tcMar>
              <w:left w:w="60" w:type="dxa"/>
              <w:right w:w="60" w:type="dxa"/>
            </w:tcMar>
            <w:vAlign w:val="center"/>
          </w:tcPr>
          <w:p>
            <w:pPr>
              <w:pStyle w:val="DMETW14818BIPImplementationbudgetrevenue"/>
              <w:jc w:val="right"/>
              <w:rPr>
                <w:rFonts w:ascii="Verdana" w:eastAsia="Verdana" w:hAnsi="Verdana" w:cs="Verdana"/>
                <w:b/>
                <w:noProof/>
                <w:color w:val="000000"/>
                <w:sz w:val="16"/>
              </w:rPr>
            </w:pPr>
            <w:r>
              <w:rPr>
                <w:rFonts w:ascii="Verdana" w:hAnsi="Verdana"/>
                <w:b/>
                <w:noProof/>
                <w:color w:val="000000"/>
                <w:sz w:val="16"/>
              </w:rPr>
              <w:t>144 768</w:t>
            </w:r>
          </w:p>
        </w:tc>
        <w:tc>
          <w:tcPr>
            <w:tcW w:w="1134" w:type="dxa"/>
            <w:tcBorders>
              <w:top w:val="nil"/>
              <w:left w:val="nil"/>
              <w:bottom w:val="nil"/>
              <w:right w:val="nil"/>
              <w:tl2br w:val="nil"/>
              <w:tr2bl w:val="nil"/>
            </w:tcBorders>
            <w:shd w:val="solid" w:color="CCE1EA" w:fill="FFFFFF"/>
            <w:tcMar>
              <w:left w:w="60" w:type="dxa"/>
              <w:right w:w="60" w:type="dxa"/>
            </w:tcMar>
            <w:vAlign w:val="center"/>
          </w:tcPr>
          <w:p>
            <w:pPr>
              <w:pStyle w:val="DMETW14818BIPImplementationbudgetrevenue"/>
              <w:jc w:val="right"/>
              <w:rPr>
                <w:rFonts w:ascii="Verdana" w:eastAsia="Verdana" w:hAnsi="Verdana" w:cs="Verdana"/>
                <w:b/>
                <w:noProof/>
                <w:color w:val="000000"/>
                <w:sz w:val="16"/>
              </w:rPr>
            </w:pPr>
            <w:r>
              <w:rPr>
                <w:rFonts w:ascii="Verdana" w:hAnsi="Verdana"/>
                <w:b/>
                <w:noProof/>
                <w:color w:val="000000"/>
                <w:sz w:val="16"/>
              </w:rPr>
              <w:t>164 856</w:t>
            </w:r>
          </w:p>
        </w:tc>
        <w:tc>
          <w:tcPr>
            <w:tcW w:w="851" w:type="dxa"/>
            <w:tcBorders>
              <w:top w:val="nil"/>
              <w:left w:val="nil"/>
              <w:bottom w:val="nil"/>
              <w:right w:val="nil"/>
              <w:tl2br w:val="nil"/>
              <w:tr2bl w:val="nil"/>
            </w:tcBorders>
            <w:shd w:val="solid" w:color="CCE1EA" w:fill="FFFFFF"/>
            <w:tcMar>
              <w:left w:w="60" w:type="dxa"/>
              <w:right w:w="60" w:type="dxa"/>
            </w:tcMar>
            <w:vAlign w:val="center"/>
          </w:tcPr>
          <w:p>
            <w:pPr>
              <w:pStyle w:val="DMETW14818BIPImplementationbudgetrevenue"/>
              <w:jc w:val="right"/>
              <w:rPr>
                <w:rFonts w:ascii="Verdana" w:eastAsia="Verdana" w:hAnsi="Verdana" w:cs="Verdana"/>
                <w:b/>
                <w:noProof/>
                <w:color w:val="000000"/>
                <w:sz w:val="16"/>
              </w:rPr>
            </w:pPr>
            <w:r>
              <w:rPr>
                <w:rFonts w:ascii="Verdana" w:hAnsi="Verdana"/>
                <w:b/>
                <w:noProof/>
                <w:color w:val="000000"/>
                <w:sz w:val="16"/>
              </w:rPr>
              <w:t>8 234</w:t>
            </w:r>
          </w:p>
        </w:tc>
        <w:tc>
          <w:tcPr>
            <w:tcW w:w="992" w:type="dxa"/>
            <w:gridSpan w:val="2"/>
            <w:tcBorders>
              <w:top w:val="nil"/>
              <w:left w:val="nil"/>
              <w:bottom w:val="nil"/>
              <w:right w:val="nil"/>
              <w:tl2br w:val="nil"/>
              <w:tr2bl w:val="nil"/>
            </w:tcBorders>
            <w:shd w:val="solid" w:color="CCE1EA" w:fill="FFFFFF"/>
            <w:tcMar>
              <w:left w:w="60" w:type="dxa"/>
              <w:right w:w="60" w:type="dxa"/>
            </w:tcMar>
            <w:vAlign w:val="center"/>
          </w:tcPr>
          <w:p>
            <w:pPr>
              <w:pStyle w:val="DMETW14818BIPImplementationbudgetrevenue"/>
              <w:jc w:val="right"/>
              <w:rPr>
                <w:rFonts w:ascii="Verdana" w:eastAsia="Verdana" w:hAnsi="Verdana" w:cs="Verdana"/>
                <w:b/>
                <w:noProof/>
                <w:color w:val="000000"/>
                <w:sz w:val="16"/>
              </w:rPr>
            </w:pPr>
            <w:r>
              <w:rPr>
                <w:rFonts w:ascii="Verdana" w:hAnsi="Verdana"/>
                <w:b/>
                <w:noProof/>
                <w:color w:val="000000"/>
                <w:sz w:val="16"/>
              </w:rPr>
              <w:t>173 090</w:t>
            </w:r>
          </w:p>
        </w:tc>
        <w:tc>
          <w:tcPr>
            <w:tcW w:w="1418" w:type="dxa"/>
            <w:tcBorders>
              <w:top w:val="nil"/>
              <w:left w:val="nil"/>
              <w:bottom w:val="nil"/>
              <w:right w:val="nil"/>
              <w:tl2br w:val="nil"/>
              <w:tr2bl w:val="nil"/>
            </w:tcBorders>
            <w:shd w:val="solid" w:color="CCE1EA" w:fill="FFFFFF"/>
            <w:tcMar>
              <w:left w:w="60" w:type="dxa"/>
              <w:right w:w="60" w:type="dxa"/>
            </w:tcMar>
            <w:vAlign w:val="center"/>
          </w:tcPr>
          <w:p>
            <w:pPr>
              <w:pStyle w:val="DMETW14818BIPImplementationbudgetrevenue"/>
              <w:jc w:val="right"/>
              <w:rPr>
                <w:rFonts w:ascii="Verdana" w:eastAsia="Verdana" w:hAnsi="Verdana" w:cs="Verdana"/>
                <w:b/>
                <w:noProof/>
                <w:color w:val="000000"/>
                <w:sz w:val="16"/>
              </w:rPr>
            </w:pPr>
            <w:r>
              <w:rPr>
                <w:rFonts w:ascii="Verdana" w:hAnsi="Verdana"/>
                <w:b/>
                <w:noProof/>
                <w:color w:val="000000"/>
                <w:sz w:val="16"/>
              </w:rPr>
              <w:t>158 539</w:t>
            </w:r>
          </w:p>
        </w:tc>
        <w:tc>
          <w:tcPr>
            <w:tcW w:w="1134" w:type="dxa"/>
            <w:gridSpan w:val="2"/>
            <w:tcBorders>
              <w:top w:val="nil"/>
              <w:left w:val="nil"/>
              <w:bottom w:val="nil"/>
              <w:right w:val="nil"/>
              <w:tl2br w:val="nil"/>
              <w:tr2bl w:val="nil"/>
            </w:tcBorders>
            <w:shd w:val="solid" w:color="CCE1EA" w:fill="FFFFFF"/>
            <w:tcMar>
              <w:left w:w="60" w:type="dxa"/>
              <w:right w:w="60" w:type="dxa"/>
            </w:tcMar>
            <w:vAlign w:val="center"/>
          </w:tcPr>
          <w:p>
            <w:pPr>
              <w:pStyle w:val="DMETW14818BIPImplementationbudgetrevenue"/>
              <w:jc w:val="right"/>
              <w:rPr>
                <w:rFonts w:ascii="Verdana" w:eastAsia="Verdana" w:hAnsi="Verdana" w:cs="Verdana"/>
                <w:b/>
                <w:noProof/>
                <w:color w:val="000000"/>
                <w:sz w:val="16"/>
              </w:rPr>
            </w:pPr>
            <w:r>
              <w:rPr>
                <w:rFonts w:ascii="Verdana" w:hAnsi="Verdana"/>
                <w:b/>
                <w:noProof/>
                <w:color w:val="000000"/>
                <w:sz w:val="16"/>
              </w:rPr>
              <w:t xml:space="preserve"> 779</w:t>
            </w:r>
          </w:p>
        </w:tc>
        <w:tc>
          <w:tcPr>
            <w:tcW w:w="992" w:type="dxa"/>
            <w:gridSpan w:val="2"/>
            <w:tcBorders>
              <w:top w:val="nil"/>
              <w:left w:val="nil"/>
              <w:bottom w:val="nil"/>
              <w:right w:val="nil"/>
              <w:tl2br w:val="nil"/>
              <w:tr2bl w:val="nil"/>
            </w:tcBorders>
            <w:shd w:val="solid" w:color="CCE1EA" w:fill="FFFFFF"/>
            <w:tcMar>
              <w:left w:w="60" w:type="dxa"/>
              <w:right w:w="60" w:type="dxa"/>
            </w:tcMar>
            <w:vAlign w:val="center"/>
          </w:tcPr>
          <w:p>
            <w:pPr>
              <w:pStyle w:val="DMETW14818BIPImplementationbudgetrevenue"/>
              <w:jc w:val="right"/>
              <w:rPr>
                <w:rFonts w:ascii="Verdana" w:eastAsia="Verdana" w:hAnsi="Verdana" w:cs="Verdana"/>
                <w:b/>
                <w:noProof/>
                <w:color w:val="000000"/>
                <w:sz w:val="16"/>
              </w:rPr>
            </w:pPr>
            <w:r>
              <w:rPr>
                <w:rFonts w:ascii="Verdana" w:hAnsi="Verdana"/>
                <w:b/>
                <w:noProof/>
                <w:color w:val="000000"/>
                <w:sz w:val="16"/>
              </w:rPr>
              <w:t>159 318</w:t>
            </w:r>
          </w:p>
        </w:tc>
        <w:tc>
          <w:tcPr>
            <w:tcW w:w="1276" w:type="dxa"/>
            <w:tcBorders>
              <w:top w:val="nil"/>
              <w:left w:val="nil"/>
              <w:bottom w:val="nil"/>
              <w:right w:val="nil"/>
              <w:tl2br w:val="nil"/>
              <w:tr2bl w:val="nil"/>
            </w:tcBorders>
            <w:shd w:val="solid" w:color="CCE1EA" w:fill="FFFFFF"/>
            <w:tcMar>
              <w:left w:w="60" w:type="dxa"/>
              <w:right w:w="60" w:type="dxa"/>
            </w:tcMar>
            <w:vAlign w:val="center"/>
          </w:tcPr>
          <w:p>
            <w:pPr>
              <w:pStyle w:val="DMETW14818BIPImplementationbudgetrevenue"/>
              <w:jc w:val="right"/>
              <w:rPr>
                <w:rFonts w:ascii="Verdana" w:eastAsia="Verdana" w:hAnsi="Verdana" w:cs="Verdana"/>
                <w:b/>
                <w:noProof/>
                <w:color w:val="000000"/>
                <w:sz w:val="16"/>
              </w:rPr>
            </w:pPr>
            <w:r>
              <w:rPr>
                <w:rFonts w:ascii="Verdana" w:hAnsi="Verdana"/>
                <w:b/>
                <w:noProof/>
                <w:color w:val="000000"/>
                <w:sz w:val="16"/>
              </w:rPr>
              <w:t>110 %</w:t>
            </w:r>
          </w:p>
        </w:tc>
        <w:tc>
          <w:tcPr>
            <w:tcW w:w="1165" w:type="dxa"/>
            <w:tcBorders>
              <w:top w:val="nil"/>
              <w:left w:val="nil"/>
              <w:bottom w:val="nil"/>
              <w:right w:val="nil"/>
              <w:tl2br w:val="nil"/>
              <w:tr2bl w:val="nil"/>
            </w:tcBorders>
            <w:shd w:val="solid" w:color="CCE1EA" w:fill="FFFFFF"/>
            <w:tcMar>
              <w:left w:w="60" w:type="dxa"/>
              <w:right w:w="60" w:type="dxa"/>
            </w:tcMar>
            <w:vAlign w:val="center"/>
          </w:tcPr>
          <w:p>
            <w:pPr>
              <w:pStyle w:val="DMETW14818BIPImplementationbudgetrevenue"/>
              <w:jc w:val="right"/>
              <w:rPr>
                <w:rFonts w:ascii="Verdana" w:eastAsia="Verdana" w:hAnsi="Verdana" w:cs="Verdana"/>
                <w:b/>
                <w:noProof/>
                <w:color w:val="000000"/>
                <w:sz w:val="16"/>
              </w:rPr>
            </w:pPr>
            <w:r>
              <w:rPr>
                <w:rFonts w:ascii="Verdana" w:hAnsi="Verdana"/>
                <w:b/>
                <w:noProof/>
                <w:color w:val="000000"/>
                <w:sz w:val="16"/>
              </w:rPr>
              <w:t>13 771</w:t>
            </w:r>
          </w:p>
        </w:tc>
      </w:tr>
    </w:tbl>
    <w:p>
      <w:pPr>
        <w:pStyle w:val="Textstand-alone"/>
      </w:pPr>
    </w:p>
    <w:p>
      <w:pPr>
        <w:pStyle w:val="Textstand-alone"/>
      </w:pPr>
    </w:p>
    <w:bookmarkEnd w:id="312"/>
    <w:p>
      <w:pPr>
        <w:pStyle w:val="Textstand-alone"/>
        <w:sectPr>
          <w:headerReference w:type="even" r:id="rId467"/>
          <w:headerReference w:type="default" r:id="rId468"/>
          <w:footerReference w:type="even" r:id="rId469"/>
          <w:footerReference w:type="default" r:id="rId470"/>
          <w:headerReference w:type="first" r:id="rId471"/>
          <w:footerReference w:type="first" r:id="rId472"/>
          <w:pgSz w:w="16840" w:h="11900" w:orient="landscape"/>
          <w:pgMar w:top="1134" w:right="1134" w:bottom="1134" w:left="1134" w:header="708" w:footer="708" w:gutter="0"/>
          <w:cols w:space="720"/>
        </w:sectPr>
      </w:pPr>
    </w:p>
    <w:p>
      <w:pPr>
        <w:pStyle w:val="HEADER1PartBUDG"/>
        <w:rPr>
          <w:noProof/>
        </w:rPr>
      </w:pPr>
      <w:bookmarkStart w:id="318" w:name="_DMBM_14874"/>
      <w:r>
        <w:rPr>
          <w:noProof/>
        </w:rPr>
        <w:t xml:space="preserve"> </w:t>
      </w:r>
      <w:bookmarkStart w:id="319" w:name="_Toc11939550"/>
      <w:bookmarkStart w:id="320" w:name="_Toc17887575"/>
      <w:r>
        <w:rPr>
          <w:noProof/>
        </w:rPr>
        <w:t>EU:N TALOUSARVION MENOJEN TOTEUTUMINEN</w:t>
      </w:r>
      <w:bookmarkEnd w:id="319"/>
      <w:bookmarkEnd w:id="320"/>
      <w:r>
        <w:rPr>
          <w:noProof/>
        </w:rPr>
        <w:t xml:space="preserve"> </w:t>
      </w:r>
    </w:p>
    <w:p>
      <w:pPr>
        <w:pStyle w:val="HEADER2PartBUDG"/>
        <w:rPr>
          <w:noProof/>
        </w:rPr>
      </w:pPr>
      <w:bookmarkStart w:id="321" w:name="_Toc11939551"/>
      <w:bookmarkStart w:id="322" w:name="_Toc17887576"/>
      <w:r>
        <w:rPr>
          <w:noProof/>
        </w:rPr>
        <w:t>MONIVUOTINEN RAHOITUSKEHYS: MAKSUSITOUMUS- JA MAKSUMÄÄRÄRAHOJEN JAKAUTUMINEN JA MUUTOKSET</w:t>
      </w:r>
      <w:bookmarkEnd w:id="321"/>
      <w:bookmarkEnd w:id="322"/>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
        <w:gridCol w:w="2802"/>
        <w:gridCol w:w="1091"/>
        <w:gridCol w:w="43"/>
        <w:gridCol w:w="939"/>
        <w:gridCol w:w="983"/>
        <w:gridCol w:w="63"/>
        <w:gridCol w:w="779"/>
        <w:gridCol w:w="982"/>
        <w:gridCol w:w="983"/>
        <w:gridCol w:w="982"/>
        <w:gridCol w:w="101"/>
        <w:gridCol w:w="872"/>
        <w:gridCol w:w="916"/>
        <w:gridCol w:w="55"/>
        <w:gridCol w:w="141"/>
        <w:gridCol w:w="582"/>
        <w:gridCol w:w="127"/>
        <w:gridCol w:w="716"/>
        <w:gridCol w:w="1153"/>
      </w:tblGrid>
      <w:tr>
        <w:trPr>
          <w:trHeight w:val="340"/>
        </w:trPr>
        <w:tc>
          <w:tcPr>
            <w:tcW w:w="235"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bookmarkStart w:id="323" w:name="DOC_TBL00104_1_1"/>
            <w:bookmarkEnd w:id="323"/>
          </w:p>
        </w:tc>
        <w:tc>
          <w:tcPr>
            <w:tcW w:w="2802"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p>
        </w:tc>
        <w:tc>
          <w:tcPr>
            <w:tcW w:w="1091"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p>
        </w:tc>
        <w:tc>
          <w:tcPr>
            <w:tcW w:w="983"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p>
        </w:tc>
        <w:tc>
          <w:tcPr>
            <w:tcW w:w="842"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p>
        </w:tc>
        <w:tc>
          <w:tcPr>
            <w:tcW w:w="982"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p>
        </w:tc>
        <w:tc>
          <w:tcPr>
            <w:tcW w:w="983"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p>
        </w:tc>
        <w:tc>
          <w:tcPr>
            <w:tcW w:w="982"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p>
        </w:tc>
        <w:tc>
          <w:tcPr>
            <w:tcW w:w="973"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p>
        </w:tc>
        <w:tc>
          <w:tcPr>
            <w:tcW w:w="916"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p>
        </w:tc>
        <w:tc>
          <w:tcPr>
            <w:tcW w:w="778" w:type="dxa"/>
            <w:gridSpan w:val="3"/>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p>
        </w:tc>
        <w:tc>
          <w:tcPr>
            <w:tcW w:w="843"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p>
        </w:tc>
        <w:tc>
          <w:tcPr>
            <w:tcW w:w="115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milj. euroa</w:t>
            </w:r>
          </w:p>
        </w:tc>
      </w:tr>
      <w:tr>
        <w:trPr>
          <w:trHeight w:val="340"/>
        </w:trPr>
        <w:tc>
          <w:tcPr>
            <w:tcW w:w="235"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p>
        </w:tc>
        <w:tc>
          <w:tcPr>
            <w:tcW w:w="280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p>
        </w:tc>
        <w:tc>
          <w:tcPr>
            <w:tcW w:w="5863" w:type="dxa"/>
            <w:gridSpan w:val="8"/>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b/>
                <w:noProof/>
                <w:color w:val="FFFFFF"/>
                <w:sz w:val="16"/>
              </w:rPr>
            </w:pPr>
            <w:r>
              <w:rPr>
                <w:rFonts w:ascii="Verdana" w:hAnsi="Verdana"/>
                <w:b/>
                <w:noProof/>
                <w:color w:val="FFFFFF"/>
                <w:sz w:val="16"/>
              </w:rPr>
              <w:t>Maksusitoumusmäärärahat</w:t>
            </w:r>
          </w:p>
        </w:tc>
        <w:tc>
          <w:tcPr>
            <w:tcW w:w="5645" w:type="dxa"/>
            <w:gridSpan w:val="10"/>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b/>
                <w:noProof/>
                <w:color w:val="FFFFFF"/>
                <w:sz w:val="16"/>
              </w:rPr>
            </w:pPr>
            <w:r>
              <w:rPr>
                <w:rFonts w:ascii="Verdana" w:hAnsi="Verdana"/>
                <w:b/>
                <w:noProof/>
                <w:color w:val="FFFFFF"/>
                <w:sz w:val="16"/>
              </w:rPr>
              <w:t>Maksumäärärahat</w:t>
            </w:r>
          </w:p>
        </w:tc>
      </w:tr>
      <w:tr>
        <w:trPr>
          <w:trHeight w:val="340"/>
        </w:trPr>
        <w:tc>
          <w:tcPr>
            <w:tcW w:w="235"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p>
        </w:tc>
        <w:tc>
          <w:tcPr>
            <w:tcW w:w="280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Rahoituskehyksen otsake</w:t>
            </w:r>
          </w:p>
        </w:tc>
        <w:tc>
          <w:tcPr>
            <w:tcW w:w="3119" w:type="dxa"/>
            <w:gridSpan w:val="5"/>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Talousarviomäärärahat</w:t>
            </w:r>
          </w:p>
        </w:tc>
        <w:tc>
          <w:tcPr>
            <w:tcW w:w="1761"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Lisämäärärahat</w:t>
            </w:r>
          </w:p>
        </w:tc>
        <w:tc>
          <w:tcPr>
            <w:tcW w:w="983" w:type="dxa"/>
            <w:vMerge w:val="restart"/>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right"/>
              <w:rPr>
                <w:rFonts w:ascii="Verdana" w:eastAsia="Times New Roman" w:hAnsi="Verdana" w:cs="Verdana"/>
                <w:b/>
                <w:noProof/>
                <w:color w:val="FFFFFF"/>
                <w:sz w:val="16"/>
              </w:rPr>
            </w:pPr>
            <w:r>
              <w:rPr>
                <w:rFonts w:ascii="Verdana" w:hAnsi="Verdana"/>
                <w:b/>
                <w:noProof/>
                <w:color w:val="FFFFFF"/>
                <w:sz w:val="16"/>
              </w:rPr>
              <w:t>Käytet</w:t>
            </w:r>
            <w:r>
              <w:rPr>
                <w:rFonts w:ascii="Verdana" w:hAnsi="Verdana"/>
                <w:b/>
                <w:noProof/>
                <w:color w:val="FFFFFF"/>
                <w:sz w:val="16"/>
              </w:rPr>
              <w:softHyphen/>
              <w:t>tävissä olevat määrä</w:t>
            </w:r>
            <w:r>
              <w:rPr>
                <w:rFonts w:ascii="Verdana" w:hAnsi="Verdana"/>
                <w:b/>
                <w:noProof/>
                <w:color w:val="FFFFFF"/>
                <w:sz w:val="16"/>
              </w:rPr>
              <w:softHyphen/>
              <w:t>rahat yhteensä</w:t>
            </w:r>
          </w:p>
        </w:tc>
        <w:tc>
          <w:tcPr>
            <w:tcW w:w="2926" w:type="dxa"/>
            <w:gridSpan w:val="5"/>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Talousarviomäärärahat</w:t>
            </w:r>
          </w:p>
        </w:tc>
        <w:tc>
          <w:tcPr>
            <w:tcW w:w="1566" w:type="dxa"/>
            <w:gridSpan w:val="4"/>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Lisämäärärahat</w:t>
            </w:r>
          </w:p>
        </w:tc>
        <w:tc>
          <w:tcPr>
            <w:tcW w:w="1153" w:type="dxa"/>
            <w:vMerge w:val="restart"/>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right"/>
              <w:rPr>
                <w:rFonts w:ascii="Verdana" w:eastAsia="Times New Roman" w:hAnsi="Verdana" w:cs="Verdana"/>
                <w:b/>
                <w:noProof/>
                <w:color w:val="FFFFFF"/>
                <w:sz w:val="16"/>
              </w:rPr>
            </w:pPr>
            <w:r>
              <w:rPr>
                <w:rFonts w:ascii="Verdana" w:hAnsi="Verdana"/>
                <w:b/>
                <w:noProof/>
                <w:color w:val="FFFFFF"/>
                <w:sz w:val="16"/>
              </w:rPr>
              <w:t>Käytettä</w:t>
            </w:r>
            <w:r>
              <w:rPr>
                <w:rFonts w:ascii="Verdana" w:hAnsi="Verdana"/>
                <w:b/>
                <w:noProof/>
                <w:color w:val="FFFFFF"/>
                <w:sz w:val="16"/>
              </w:rPr>
              <w:softHyphen/>
              <w:t>vissä olevat määrä</w:t>
            </w:r>
            <w:r>
              <w:rPr>
                <w:rFonts w:ascii="Verdana" w:hAnsi="Verdana"/>
                <w:b/>
                <w:noProof/>
                <w:color w:val="FFFFFF"/>
                <w:sz w:val="16"/>
              </w:rPr>
              <w:softHyphen/>
              <w:t>rahat yhteensä</w:t>
            </w:r>
          </w:p>
        </w:tc>
      </w:tr>
      <w:tr>
        <w:trPr>
          <w:trHeight w:val="850"/>
        </w:trPr>
        <w:tc>
          <w:tcPr>
            <w:tcW w:w="235"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FFFFFF"/>
                <w:sz w:val="16"/>
              </w:rPr>
            </w:pPr>
          </w:p>
        </w:tc>
        <w:tc>
          <w:tcPr>
            <w:tcW w:w="280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FFFFFF"/>
                <w:sz w:val="16"/>
              </w:rPr>
            </w:pPr>
          </w:p>
        </w:tc>
        <w:tc>
          <w:tcPr>
            <w:tcW w:w="1134"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FFFFFF"/>
                <w:sz w:val="16"/>
              </w:rPr>
            </w:pPr>
            <w:r>
              <w:rPr>
                <w:rFonts w:ascii="Verdana" w:hAnsi="Verdana"/>
                <w:noProof/>
                <w:color w:val="FFFFFF"/>
                <w:sz w:val="16"/>
              </w:rPr>
              <w:t>Alku-peräinen hyväksytty talousarvio</w:t>
            </w:r>
          </w:p>
        </w:tc>
        <w:tc>
          <w:tcPr>
            <w:tcW w:w="939"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right"/>
              <w:rPr>
                <w:rFonts w:ascii="Verdana" w:hAnsi="Verdana"/>
                <w:noProof/>
                <w:color w:val="FFFFFF"/>
                <w:sz w:val="16"/>
              </w:rPr>
            </w:pPr>
            <w:r>
              <w:rPr>
                <w:rFonts w:ascii="Verdana" w:hAnsi="Verdana"/>
                <w:noProof/>
                <w:color w:val="FFFFFF"/>
                <w:sz w:val="16"/>
              </w:rPr>
              <w:t>Lisä-</w:t>
            </w:r>
          </w:p>
          <w:p>
            <w:pPr>
              <w:pStyle w:val="DMETW14819BIPMFF1BreakdownCommPaym"/>
              <w:jc w:val="right"/>
              <w:rPr>
                <w:rFonts w:ascii="Verdana" w:eastAsia="Times New Roman" w:hAnsi="Verdana" w:cs="Verdana"/>
                <w:noProof/>
                <w:color w:val="FFFFFF"/>
                <w:sz w:val="16"/>
              </w:rPr>
            </w:pPr>
            <w:r>
              <w:rPr>
                <w:rFonts w:ascii="Verdana" w:hAnsi="Verdana"/>
                <w:noProof/>
                <w:color w:val="FFFFFF"/>
                <w:sz w:val="16"/>
              </w:rPr>
              <w:t>talous</w:t>
            </w:r>
            <w:r>
              <w:rPr>
                <w:rFonts w:ascii="Verdana" w:hAnsi="Verdana"/>
                <w:noProof/>
                <w:color w:val="FFFFFF"/>
                <w:sz w:val="16"/>
              </w:rPr>
              <w:softHyphen/>
              <w:t>arviot &amp; siirrot</w:t>
            </w:r>
          </w:p>
        </w:tc>
        <w:tc>
          <w:tcPr>
            <w:tcW w:w="1046"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FFFFFF"/>
                <w:sz w:val="16"/>
              </w:rPr>
            </w:pPr>
            <w:r>
              <w:rPr>
                <w:rFonts w:ascii="Verdana" w:hAnsi="Verdana"/>
                <w:noProof/>
                <w:color w:val="FFFFFF"/>
                <w:sz w:val="16"/>
              </w:rPr>
              <w:t>Lopullinen hyväksytty talousarvio</w:t>
            </w:r>
          </w:p>
        </w:tc>
        <w:tc>
          <w:tcPr>
            <w:tcW w:w="779"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FFFFFF"/>
                <w:sz w:val="16"/>
              </w:rPr>
            </w:pPr>
            <w:r>
              <w:rPr>
                <w:rFonts w:ascii="Verdana" w:hAnsi="Verdana"/>
                <w:noProof/>
                <w:color w:val="FFFFFF"/>
                <w:sz w:val="16"/>
              </w:rPr>
              <w:t>Siirrot</w:t>
            </w:r>
          </w:p>
        </w:tc>
        <w:tc>
          <w:tcPr>
            <w:tcW w:w="98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FFFFFF"/>
                <w:sz w:val="16"/>
              </w:rPr>
            </w:pPr>
            <w:r>
              <w:rPr>
                <w:rFonts w:ascii="Verdana" w:hAnsi="Verdana"/>
                <w:noProof/>
                <w:color w:val="FFFFFF"/>
                <w:sz w:val="16"/>
              </w:rPr>
              <w:t>Käyttö</w:t>
            </w:r>
            <w:r>
              <w:rPr>
                <w:rFonts w:ascii="Verdana" w:hAnsi="Verdana"/>
                <w:noProof/>
                <w:color w:val="FFFFFF"/>
                <w:sz w:val="16"/>
              </w:rPr>
              <w:softHyphen/>
              <w:t>tark. sidotut tulot</w:t>
            </w:r>
          </w:p>
        </w:tc>
        <w:tc>
          <w:tcPr>
            <w:tcW w:w="983" w:type="dxa"/>
            <w:vMerge/>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right"/>
              <w:rPr>
                <w:rFonts w:ascii="Verdana" w:eastAsia="Times New Roman" w:hAnsi="Verdana" w:cs="Verdana"/>
                <w:b/>
                <w:noProof/>
                <w:color w:val="FFFFFF"/>
                <w:sz w:val="16"/>
              </w:rPr>
            </w:pPr>
          </w:p>
        </w:tc>
        <w:tc>
          <w:tcPr>
            <w:tcW w:w="1083"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FFFFFF"/>
                <w:sz w:val="16"/>
              </w:rPr>
            </w:pPr>
            <w:r>
              <w:rPr>
                <w:rFonts w:ascii="Verdana" w:hAnsi="Verdana"/>
                <w:noProof/>
                <w:color w:val="FFFFFF"/>
                <w:sz w:val="16"/>
              </w:rPr>
              <w:t>Alku-peräinen hyväksytty talousarvio</w:t>
            </w:r>
          </w:p>
        </w:tc>
        <w:tc>
          <w:tcPr>
            <w:tcW w:w="87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FFFFFF"/>
                <w:sz w:val="16"/>
              </w:rPr>
            </w:pPr>
            <w:r>
              <w:rPr>
                <w:rFonts w:ascii="Verdana" w:hAnsi="Verdana"/>
                <w:noProof/>
                <w:color w:val="FFFFFF"/>
                <w:sz w:val="16"/>
              </w:rPr>
              <w:t>Lisä</w:t>
            </w:r>
            <w:r>
              <w:rPr>
                <w:rFonts w:ascii="Verdana" w:hAnsi="Verdana"/>
                <w:noProof/>
                <w:color w:val="FFFFFF"/>
                <w:sz w:val="16"/>
              </w:rPr>
              <w:softHyphen/>
              <w:t>talous</w:t>
            </w:r>
            <w:r>
              <w:rPr>
                <w:rFonts w:ascii="Verdana" w:hAnsi="Verdana"/>
                <w:noProof/>
                <w:color w:val="FFFFFF"/>
                <w:sz w:val="16"/>
              </w:rPr>
              <w:softHyphen/>
              <w:t>arviot &amp; siirrot</w:t>
            </w:r>
          </w:p>
        </w:tc>
        <w:tc>
          <w:tcPr>
            <w:tcW w:w="1112" w:type="dxa"/>
            <w:gridSpan w:val="3"/>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FFFFFF"/>
                <w:sz w:val="16"/>
              </w:rPr>
            </w:pPr>
            <w:r>
              <w:rPr>
                <w:rFonts w:ascii="Verdana" w:hAnsi="Verdana"/>
                <w:noProof/>
                <w:color w:val="FFFFFF"/>
                <w:sz w:val="16"/>
              </w:rPr>
              <w:t>Lopullinen hyväksytty talousarvio</w:t>
            </w:r>
          </w:p>
        </w:tc>
        <w:tc>
          <w:tcPr>
            <w:tcW w:w="709"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FFFFFF"/>
                <w:sz w:val="16"/>
              </w:rPr>
            </w:pPr>
            <w:r>
              <w:rPr>
                <w:rFonts w:ascii="Verdana" w:hAnsi="Verdana"/>
                <w:noProof/>
                <w:color w:val="FFFFFF"/>
                <w:sz w:val="16"/>
              </w:rPr>
              <w:t>Siirrot</w:t>
            </w:r>
          </w:p>
        </w:tc>
        <w:tc>
          <w:tcPr>
            <w:tcW w:w="716"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right"/>
              <w:rPr>
                <w:rFonts w:ascii="Verdana" w:hAnsi="Verdana"/>
                <w:noProof/>
                <w:color w:val="FFFFFF"/>
                <w:sz w:val="16"/>
              </w:rPr>
            </w:pPr>
            <w:r>
              <w:rPr>
                <w:rFonts w:ascii="Verdana" w:hAnsi="Verdana"/>
                <w:noProof/>
                <w:color w:val="FFFFFF"/>
                <w:sz w:val="16"/>
              </w:rPr>
              <w:t>Käyttö</w:t>
            </w:r>
            <w:r>
              <w:rPr>
                <w:rFonts w:ascii="Verdana" w:hAnsi="Verdana"/>
                <w:noProof/>
                <w:color w:val="FFFFFF"/>
                <w:sz w:val="16"/>
              </w:rPr>
              <w:softHyphen/>
            </w:r>
          </w:p>
          <w:p>
            <w:pPr>
              <w:pStyle w:val="DMETW14819BIPMFF1BreakdownCommPaym"/>
              <w:jc w:val="right"/>
              <w:rPr>
                <w:rFonts w:ascii="Verdana" w:eastAsia="Times New Roman" w:hAnsi="Verdana" w:cs="Verdana"/>
                <w:noProof/>
                <w:color w:val="FFFFFF"/>
                <w:sz w:val="16"/>
              </w:rPr>
            </w:pPr>
            <w:r>
              <w:rPr>
                <w:rFonts w:ascii="Verdana" w:hAnsi="Verdana"/>
                <w:noProof/>
                <w:color w:val="FFFFFF"/>
                <w:sz w:val="16"/>
              </w:rPr>
              <w:t>tark. sidotut tulot</w:t>
            </w:r>
          </w:p>
        </w:tc>
        <w:tc>
          <w:tcPr>
            <w:tcW w:w="1153" w:type="dxa"/>
            <w:vMerge/>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right"/>
              <w:rPr>
                <w:rFonts w:ascii="Verdana" w:eastAsia="Times New Roman" w:hAnsi="Verdana" w:cs="Verdana"/>
                <w:b/>
                <w:noProof/>
                <w:color w:val="FFFFFF"/>
                <w:sz w:val="16"/>
              </w:rPr>
            </w:pPr>
          </w:p>
        </w:tc>
      </w:tr>
      <w:tr>
        <w:trPr>
          <w:trHeight w:val="340"/>
        </w:trPr>
        <w:tc>
          <w:tcPr>
            <w:tcW w:w="235"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p>
        </w:tc>
        <w:tc>
          <w:tcPr>
            <w:tcW w:w="2802"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p>
        </w:tc>
        <w:tc>
          <w:tcPr>
            <w:tcW w:w="1134" w:type="dxa"/>
            <w:gridSpan w:val="2"/>
            <w:tcBorders>
              <w:top w:val="nil"/>
              <w:left w:val="nil"/>
              <w:bottom w:val="nil"/>
              <w:right w:val="nil"/>
            </w:tcBorders>
            <w:shd w:val="solid" w:color="3487A9"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1</w:t>
            </w:r>
          </w:p>
        </w:tc>
        <w:tc>
          <w:tcPr>
            <w:tcW w:w="939"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2</w:t>
            </w:r>
          </w:p>
        </w:tc>
        <w:tc>
          <w:tcPr>
            <w:tcW w:w="1046" w:type="dxa"/>
            <w:gridSpan w:val="2"/>
            <w:tcBorders>
              <w:top w:val="nil"/>
              <w:left w:val="nil"/>
              <w:bottom w:val="nil"/>
              <w:right w:val="nil"/>
            </w:tcBorders>
            <w:shd w:val="solid" w:color="3487A9"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3=1+2</w:t>
            </w:r>
          </w:p>
        </w:tc>
        <w:tc>
          <w:tcPr>
            <w:tcW w:w="779"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4</w:t>
            </w:r>
          </w:p>
        </w:tc>
        <w:tc>
          <w:tcPr>
            <w:tcW w:w="982"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5</w:t>
            </w:r>
          </w:p>
        </w:tc>
        <w:tc>
          <w:tcPr>
            <w:tcW w:w="983"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6=3+</w:t>
            </w:r>
          </w:p>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4+5</w:t>
            </w:r>
          </w:p>
        </w:tc>
        <w:tc>
          <w:tcPr>
            <w:tcW w:w="1083" w:type="dxa"/>
            <w:gridSpan w:val="2"/>
            <w:tcBorders>
              <w:top w:val="nil"/>
              <w:left w:val="nil"/>
              <w:bottom w:val="nil"/>
              <w:right w:val="nil"/>
            </w:tcBorders>
            <w:shd w:val="solid" w:color="3487A9"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7</w:t>
            </w:r>
          </w:p>
        </w:tc>
        <w:tc>
          <w:tcPr>
            <w:tcW w:w="872"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8</w:t>
            </w:r>
          </w:p>
        </w:tc>
        <w:tc>
          <w:tcPr>
            <w:tcW w:w="971" w:type="dxa"/>
            <w:gridSpan w:val="2"/>
            <w:tcBorders>
              <w:top w:val="nil"/>
              <w:left w:val="nil"/>
              <w:bottom w:val="nil"/>
              <w:right w:val="nil"/>
            </w:tcBorders>
            <w:shd w:val="solid" w:color="3487A9"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9=7+8</w:t>
            </w:r>
          </w:p>
        </w:tc>
        <w:tc>
          <w:tcPr>
            <w:tcW w:w="850" w:type="dxa"/>
            <w:gridSpan w:val="3"/>
            <w:tcBorders>
              <w:top w:val="nil"/>
              <w:left w:val="nil"/>
              <w:bottom w:val="nil"/>
              <w:right w:val="nil"/>
            </w:tcBorders>
            <w:shd w:val="solid" w:color="3487A9"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10</w:t>
            </w:r>
          </w:p>
        </w:tc>
        <w:tc>
          <w:tcPr>
            <w:tcW w:w="716"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11</w:t>
            </w:r>
          </w:p>
        </w:tc>
        <w:tc>
          <w:tcPr>
            <w:tcW w:w="1153"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12=9+</w:t>
            </w:r>
          </w:p>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10+11</w:t>
            </w:r>
          </w:p>
        </w:tc>
      </w:tr>
      <w:tr>
        <w:trPr>
          <w:trHeight w:val="340"/>
        </w:trPr>
        <w:tc>
          <w:tcPr>
            <w:tcW w:w="235"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r>
              <w:rPr>
                <w:rFonts w:ascii="Verdana" w:hAnsi="Verdana"/>
                <w:noProof/>
                <w:color w:val="000000"/>
                <w:sz w:val="16"/>
              </w:rPr>
              <w:t>1</w:t>
            </w:r>
          </w:p>
        </w:tc>
        <w:tc>
          <w:tcPr>
            <w:tcW w:w="2802"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r>
              <w:rPr>
                <w:rFonts w:ascii="Verdana" w:hAnsi="Verdana"/>
                <w:noProof/>
                <w:color w:val="000000"/>
                <w:sz w:val="16"/>
              </w:rPr>
              <w:t>Älykäs ja osallistava kasvu</w:t>
            </w:r>
          </w:p>
        </w:tc>
        <w:tc>
          <w:tcPr>
            <w:tcW w:w="1134"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77 534</w:t>
            </w:r>
          </w:p>
        </w:tc>
        <w:tc>
          <w:tcPr>
            <w:tcW w:w="939"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(2)</w:t>
            </w:r>
          </w:p>
        </w:tc>
        <w:tc>
          <w:tcPr>
            <w:tcW w:w="1046"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77 532</w:t>
            </w:r>
          </w:p>
        </w:tc>
        <w:tc>
          <w:tcPr>
            <w:tcW w:w="779"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123</w:t>
            </w:r>
          </w:p>
        </w:tc>
        <w:tc>
          <w:tcPr>
            <w:tcW w:w="98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11 994</w:t>
            </w:r>
          </w:p>
        </w:tc>
        <w:tc>
          <w:tcPr>
            <w:tcW w:w="98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89 649</w:t>
            </w:r>
          </w:p>
        </w:tc>
        <w:tc>
          <w:tcPr>
            <w:tcW w:w="1083"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66 624</w:t>
            </w:r>
          </w:p>
        </w:tc>
        <w:tc>
          <w:tcPr>
            <w:tcW w:w="87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108</w:t>
            </w:r>
          </w:p>
        </w:tc>
        <w:tc>
          <w:tcPr>
            <w:tcW w:w="971"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66 733</w:t>
            </w:r>
          </w:p>
        </w:tc>
        <w:tc>
          <w:tcPr>
            <w:tcW w:w="850" w:type="dxa"/>
            <w:gridSpan w:val="3"/>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120</w:t>
            </w:r>
          </w:p>
        </w:tc>
        <w:tc>
          <w:tcPr>
            <w:tcW w:w="716"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14 064</w:t>
            </w:r>
          </w:p>
        </w:tc>
        <w:tc>
          <w:tcPr>
            <w:tcW w:w="115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80 917</w:t>
            </w:r>
          </w:p>
        </w:tc>
      </w:tr>
      <w:tr>
        <w:trPr>
          <w:trHeight w:val="340"/>
        </w:trPr>
        <w:tc>
          <w:tcPr>
            <w:tcW w:w="235"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i/>
                <w:noProof/>
                <w:color w:val="000000"/>
                <w:sz w:val="16"/>
              </w:rPr>
            </w:pPr>
          </w:p>
        </w:tc>
        <w:tc>
          <w:tcPr>
            <w:tcW w:w="2802"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i/>
                <w:noProof/>
                <w:color w:val="000000"/>
                <w:sz w:val="16"/>
              </w:rPr>
            </w:pPr>
            <w:r>
              <w:rPr>
                <w:rFonts w:ascii="Verdana" w:hAnsi="Verdana"/>
                <w:i/>
                <w:noProof/>
                <w:color w:val="000000"/>
                <w:sz w:val="16"/>
              </w:rPr>
              <w:t>1a: Kasvua ja työllisyyttä edistävä kilpailukyky</w:t>
            </w:r>
          </w:p>
        </w:tc>
        <w:tc>
          <w:tcPr>
            <w:tcW w:w="1134"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22 001</w:t>
            </w:r>
          </w:p>
        </w:tc>
        <w:tc>
          <w:tcPr>
            <w:tcW w:w="939"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 xml:space="preserve"> (2)</w:t>
            </w:r>
          </w:p>
        </w:tc>
        <w:tc>
          <w:tcPr>
            <w:tcW w:w="1046"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22 000</w:t>
            </w:r>
          </w:p>
        </w:tc>
        <w:tc>
          <w:tcPr>
            <w:tcW w:w="779"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 xml:space="preserve"> 4</w:t>
            </w:r>
          </w:p>
        </w:tc>
        <w:tc>
          <w:tcPr>
            <w:tcW w:w="98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3 861</w:t>
            </w:r>
          </w:p>
        </w:tc>
        <w:tc>
          <w:tcPr>
            <w:tcW w:w="98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25 864</w:t>
            </w:r>
          </w:p>
        </w:tc>
        <w:tc>
          <w:tcPr>
            <w:tcW w:w="1083"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20 097</w:t>
            </w:r>
          </w:p>
        </w:tc>
        <w:tc>
          <w:tcPr>
            <w:tcW w:w="87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 xml:space="preserve"> 57</w:t>
            </w:r>
          </w:p>
        </w:tc>
        <w:tc>
          <w:tcPr>
            <w:tcW w:w="971"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20 155</w:t>
            </w:r>
          </w:p>
        </w:tc>
        <w:tc>
          <w:tcPr>
            <w:tcW w:w="850" w:type="dxa"/>
            <w:gridSpan w:val="3"/>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 xml:space="preserve"> 108</w:t>
            </w:r>
          </w:p>
        </w:tc>
        <w:tc>
          <w:tcPr>
            <w:tcW w:w="716"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4 811</w:t>
            </w:r>
          </w:p>
        </w:tc>
        <w:tc>
          <w:tcPr>
            <w:tcW w:w="115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25 073</w:t>
            </w:r>
          </w:p>
        </w:tc>
      </w:tr>
      <w:tr>
        <w:trPr>
          <w:trHeight w:val="543"/>
        </w:trPr>
        <w:tc>
          <w:tcPr>
            <w:tcW w:w="235"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i/>
                <w:noProof/>
                <w:color w:val="000000"/>
                <w:sz w:val="16"/>
              </w:rPr>
            </w:pPr>
          </w:p>
        </w:tc>
        <w:tc>
          <w:tcPr>
            <w:tcW w:w="2802"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i/>
                <w:noProof/>
                <w:color w:val="000000"/>
                <w:sz w:val="16"/>
              </w:rPr>
            </w:pPr>
            <w:r>
              <w:rPr>
                <w:rFonts w:ascii="Verdana" w:hAnsi="Verdana"/>
                <w:i/>
                <w:noProof/>
                <w:color w:val="000000"/>
                <w:sz w:val="16"/>
              </w:rPr>
              <w:t>1b: Taloudellinen, sosiaalinen ja alueellinen koheesio</w:t>
            </w:r>
          </w:p>
        </w:tc>
        <w:tc>
          <w:tcPr>
            <w:tcW w:w="1134"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55 532</w:t>
            </w:r>
          </w:p>
        </w:tc>
        <w:tc>
          <w:tcPr>
            <w:tcW w:w="939"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w:t>
            </w:r>
          </w:p>
        </w:tc>
        <w:tc>
          <w:tcPr>
            <w:tcW w:w="1046"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55 532</w:t>
            </w:r>
          </w:p>
        </w:tc>
        <w:tc>
          <w:tcPr>
            <w:tcW w:w="779"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 xml:space="preserve"> 119</w:t>
            </w:r>
          </w:p>
        </w:tc>
        <w:tc>
          <w:tcPr>
            <w:tcW w:w="98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8 133</w:t>
            </w:r>
          </w:p>
        </w:tc>
        <w:tc>
          <w:tcPr>
            <w:tcW w:w="98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63 785</w:t>
            </w:r>
          </w:p>
        </w:tc>
        <w:tc>
          <w:tcPr>
            <w:tcW w:w="1083"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46 527</w:t>
            </w:r>
          </w:p>
        </w:tc>
        <w:tc>
          <w:tcPr>
            <w:tcW w:w="87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 xml:space="preserve"> 51</w:t>
            </w:r>
          </w:p>
        </w:tc>
        <w:tc>
          <w:tcPr>
            <w:tcW w:w="971"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46 578</w:t>
            </w:r>
          </w:p>
        </w:tc>
        <w:tc>
          <w:tcPr>
            <w:tcW w:w="850" w:type="dxa"/>
            <w:gridSpan w:val="3"/>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 xml:space="preserve"> 13</w:t>
            </w:r>
          </w:p>
        </w:tc>
        <w:tc>
          <w:tcPr>
            <w:tcW w:w="716"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9 253</w:t>
            </w:r>
          </w:p>
        </w:tc>
        <w:tc>
          <w:tcPr>
            <w:tcW w:w="115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55 844</w:t>
            </w:r>
          </w:p>
        </w:tc>
      </w:tr>
      <w:tr>
        <w:trPr>
          <w:trHeight w:val="340"/>
        </w:trPr>
        <w:tc>
          <w:tcPr>
            <w:tcW w:w="235"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r>
              <w:rPr>
                <w:rFonts w:ascii="Verdana" w:hAnsi="Verdana"/>
                <w:noProof/>
                <w:color w:val="000000"/>
                <w:sz w:val="16"/>
              </w:rPr>
              <w:t>2</w:t>
            </w:r>
          </w:p>
        </w:tc>
        <w:tc>
          <w:tcPr>
            <w:tcW w:w="2802"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r>
              <w:rPr>
                <w:rFonts w:ascii="Verdana" w:hAnsi="Verdana"/>
                <w:noProof/>
                <w:color w:val="000000"/>
                <w:sz w:val="16"/>
              </w:rPr>
              <w:t>Kestävä kasvu: luonnonvarat</w:t>
            </w:r>
          </w:p>
        </w:tc>
        <w:tc>
          <w:tcPr>
            <w:tcW w:w="1134"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59 285</w:t>
            </w:r>
          </w:p>
        </w:tc>
        <w:tc>
          <w:tcPr>
            <w:tcW w:w="939"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(46)</w:t>
            </w:r>
          </w:p>
        </w:tc>
        <w:tc>
          <w:tcPr>
            <w:tcW w:w="1046"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59 239</w:t>
            </w:r>
          </w:p>
        </w:tc>
        <w:tc>
          <w:tcPr>
            <w:tcW w:w="779"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451</w:t>
            </w:r>
          </w:p>
        </w:tc>
        <w:tc>
          <w:tcPr>
            <w:tcW w:w="98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2 729</w:t>
            </w:r>
          </w:p>
        </w:tc>
        <w:tc>
          <w:tcPr>
            <w:tcW w:w="98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62 419</w:t>
            </w:r>
          </w:p>
        </w:tc>
        <w:tc>
          <w:tcPr>
            <w:tcW w:w="1083"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56 084</w:t>
            </w:r>
          </w:p>
        </w:tc>
        <w:tc>
          <w:tcPr>
            <w:tcW w:w="87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157</w:t>
            </w:r>
          </w:p>
        </w:tc>
        <w:tc>
          <w:tcPr>
            <w:tcW w:w="971"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56 241</w:t>
            </w:r>
          </w:p>
        </w:tc>
        <w:tc>
          <w:tcPr>
            <w:tcW w:w="850" w:type="dxa"/>
            <w:gridSpan w:val="3"/>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663</w:t>
            </w:r>
          </w:p>
        </w:tc>
        <w:tc>
          <w:tcPr>
            <w:tcW w:w="716"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2 744</w:t>
            </w:r>
          </w:p>
        </w:tc>
        <w:tc>
          <w:tcPr>
            <w:tcW w:w="115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59 648</w:t>
            </w:r>
          </w:p>
        </w:tc>
      </w:tr>
      <w:tr>
        <w:trPr>
          <w:trHeight w:val="340"/>
        </w:trPr>
        <w:tc>
          <w:tcPr>
            <w:tcW w:w="235"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i/>
                <w:noProof/>
                <w:color w:val="000000"/>
                <w:sz w:val="16"/>
              </w:rPr>
            </w:pPr>
          </w:p>
        </w:tc>
        <w:tc>
          <w:tcPr>
            <w:tcW w:w="2802"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i/>
                <w:noProof/>
                <w:color w:val="000000"/>
                <w:sz w:val="16"/>
              </w:rPr>
            </w:pPr>
            <w:r>
              <w:rPr>
                <w:rFonts w:ascii="Verdana" w:hAnsi="Verdana"/>
                <w:i/>
                <w:noProof/>
                <w:color w:val="000000"/>
                <w:sz w:val="16"/>
              </w:rPr>
              <w:t>josta: markkinoihin liittyvät menot ja suorat tuet</w:t>
            </w:r>
          </w:p>
        </w:tc>
        <w:tc>
          <w:tcPr>
            <w:tcW w:w="1134"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43 235</w:t>
            </w:r>
          </w:p>
        </w:tc>
        <w:tc>
          <w:tcPr>
            <w:tcW w:w="939"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 xml:space="preserve"> (1)</w:t>
            </w:r>
          </w:p>
        </w:tc>
        <w:tc>
          <w:tcPr>
            <w:tcW w:w="1046"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43 233</w:t>
            </w:r>
          </w:p>
        </w:tc>
        <w:tc>
          <w:tcPr>
            <w:tcW w:w="779"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 xml:space="preserve"> 451</w:t>
            </w:r>
          </w:p>
        </w:tc>
        <w:tc>
          <w:tcPr>
            <w:tcW w:w="98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1 601</w:t>
            </w:r>
          </w:p>
        </w:tc>
        <w:tc>
          <w:tcPr>
            <w:tcW w:w="98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45 284</w:t>
            </w:r>
          </w:p>
        </w:tc>
        <w:tc>
          <w:tcPr>
            <w:tcW w:w="1083"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43 189</w:t>
            </w:r>
          </w:p>
        </w:tc>
        <w:tc>
          <w:tcPr>
            <w:tcW w:w="87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 xml:space="preserve"> (9)</w:t>
            </w:r>
          </w:p>
        </w:tc>
        <w:tc>
          <w:tcPr>
            <w:tcW w:w="971"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43 180</w:t>
            </w:r>
          </w:p>
        </w:tc>
        <w:tc>
          <w:tcPr>
            <w:tcW w:w="850" w:type="dxa"/>
            <w:gridSpan w:val="3"/>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 xml:space="preserve"> 656</w:t>
            </w:r>
          </w:p>
        </w:tc>
        <w:tc>
          <w:tcPr>
            <w:tcW w:w="716"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1 601</w:t>
            </w:r>
          </w:p>
        </w:tc>
        <w:tc>
          <w:tcPr>
            <w:tcW w:w="115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45 436</w:t>
            </w:r>
          </w:p>
        </w:tc>
      </w:tr>
      <w:tr>
        <w:trPr>
          <w:trHeight w:val="340"/>
        </w:trPr>
        <w:tc>
          <w:tcPr>
            <w:tcW w:w="235"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r>
              <w:rPr>
                <w:rFonts w:ascii="Verdana" w:hAnsi="Verdana"/>
                <w:noProof/>
                <w:color w:val="000000"/>
                <w:sz w:val="16"/>
              </w:rPr>
              <w:t>3</w:t>
            </w:r>
          </w:p>
        </w:tc>
        <w:tc>
          <w:tcPr>
            <w:tcW w:w="2802"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r>
              <w:rPr>
                <w:rFonts w:ascii="Verdana" w:hAnsi="Verdana"/>
                <w:noProof/>
                <w:color w:val="000000"/>
                <w:sz w:val="16"/>
              </w:rPr>
              <w:t>Turvallisuus ja kansalaisuus</w:t>
            </w:r>
          </w:p>
        </w:tc>
        <w:tc>
          <w:tcPr>
            <w:tcW w:w="1134"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3 493</w:t>
            </w:r>
          </w:p>
        </w:tc>
        <w:tc>
          <w:tcPr>
            <w:tcW w:w="939"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46"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3 492</w:t>
            </w:r>
          </w:p>
        </w:tc>
        <w:tc>
          <w:tcPr>
            <w:tcW w:w="779"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247</w:t>
            </w:r>
          </w:p>
        </w:tc>
        <w:tc>
          <w:tcPr>
            <w:tcW w:w="98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276</w:t>
            </w:r>
          </w:p>
        </w:tc>
        <w:tc>
          <w:tcPr>
            <w:tcW w:w="98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4 015</w:t>
            </w:r>
          </w:p>
        </w:tc>
        <w:tc>
          <w:tcPr>
            <w:tcW w:w="1083"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2 981</w:t>
            </w:r>
          </w:p>
        </w:tc>
        <w:tc>
          <w:tcPr>
            <w:tcW w:w="87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32</w:t>
            </w:r>
          </w:p>
        </w:tc>
        <w:tc>
          <w:tcPr>
            <w:tcW w:w="971"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3 013</w:t>
            </w:r>
          </w:p>
        </w:tc>
        <w:tc>
          <w:tcPr>
            <w:tcW w:w="850" w:type="dxa"/>
            <w:gridSpan w:val="3"/>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16</w:t>
            </w:r>
          </w:p>
        </w:tc>
        <w:tc>
          <w:tcPr>
            <w:tcW w:w="716"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276</w:t>
            </w:r>
          </w:p>
        </w:tc>
        <w:tc>
          <w:tcPr>
            <w:tcW w:w="115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3 305</w:t>
            </w:r>
          </w:p>
        </w:tc>
      </w:tr>
      <w:tr>
        <w:trPr>
          <w:trHeight w:val="340"/>
        </w:trPr>
        <w:tc>
          <w:tcPr>
            <w:tcW w:w="235"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r>
              <w:rPr>
                <w:rFonts w:ascii="Verdana" w:hAnsi="Verdana"/>
                <w:noProof/>
                <w:color w:val="000000"/>
                <w:sz w:val="16"/>
              </w:rPr>
              <w:t>4</w:t>
            </w:r>
          </w:p>
        </w:tc>
        <w:tc>
          <w:tcPr>
            <w:tcW w:w="2802"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r>
              <w:rPr>
                <w:rFonts w:ascii="Verdana" w:hAnsi="Verdana"/>
                <w:noProof/>
                <w:color w:val="000000"/>
                <w:sz w:val="16"/>
              </w:rPr>
              <w:t>Globaali Eurooppa</w:t>
            </w:r>
          </w:p>
        </w:tc>
        <w:tc>
          <w:tcPr>
            <w:tcW w:w="1134"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9 569</w:t>
            </w:r>
          </w:p>
        </w:tc>
        <w:tc>
          <w:tcPr>
            <w:tcW w:w="939"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810</w:t>
            </w:r>
          </w:p>
        </w:tc>
        <w:tc>
          <w:tcPr>
            <w:tcW w:w="1046"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10 379</w:t>
            </w:r>
          </w:p>
        </w:tc>
        <w:tc>
          <w:tcPr>
            <w:tcW w:w="779"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64</w:t>
            </w:r>
          </w:p>
        </w:tc>
        <w:tc>
          <w:tcPr>
            <w:tcW w:w="98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1 005</w:t>
            </w:r>
          </w:p>
        </w:tc>
        <w:tc>
          <w:tcPr>
            <w:tcW w:w="98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11 448</w:t>
            </w:r>
          </w:p>
        </w:tc>
        <w:tc>
          <w:tcPr>
            <w:tcW w:w="1083"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8 906</w:t>
            </w:r>
          </w:p>
        </w:tc>
        <w:tc>
          <w:tcPr>
            <w:tcW w:w="87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(93)</w:t>
            </w:r>
          </w:p>
        </w:tc>
        <w:tc>
          <w:tcPr>
            <w:tcW w:w="971"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8 813</w:t>
            </w:r>
          </w:p>
        </w:tc>
        <w:tc>
          <w:tcPr>
            <w:tcW w:w="850" w:type="dxa"/>
            <w:gridSpan w:val="3"/>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315</w:t>
            </w:r>
          </w:p>
        </w:tc>
        <w:tc>
          <w:tcPr>
            <w:tcW w:w="716"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1 659</w:t>
            </w:r>
          </w:p>
        </w:tc>
        <w:tc>
          <w:tcPr>
            <w:tcW w:w="115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10 788</w:t>
            </w:r>
          </w:p>
        </w:tc>
      </w:tr>
      <w:tr>
        <w:trPr>
          <w:trHeight w:val="340"/>
        </w:trPr>
        <w:tc>
          <w:tcPr>
            <w:tcW w:w="235"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r>
              <w:rPr>
                <w:rFonts w:ascii="Verdana" w:hAnsi="Verdana"/>
                <w:noProof/>
                <w:color w:val="000000"/>
                <w:sz w:val="16"/>
              </w:rPr>
              <w:t>5</w:t>
            </w:r>
          </w:p>
        </w:tc>
        <w:tc>
          <w:tcPr>
            <w:tcW w:w="2802"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r>
              <w:rPr>
                <w:rFonts w:ascii="Verdana" w:hAnsi="Verdana"/>
                <w:noProof/>
                <w:color w:val="000000"/>
                <w:sz w:val="16"/>
              </w:rPr>
              <w:t>Hallinto</w:t>
            </w:r>
          </w:p>
        </w:tc>
        <w:tc>
          <w:tcPr>
            <w:tcW w:w="1134"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9 666</w:t>
            </w:r>
          </w:p>
        </w:tc>
        <w:tc>
          <w:tcPr>
            <w:tcW w:w="939"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1046"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9 666</w:t>
            </w:r>
          </w:p>
        </w:tc>
        <w:tc>
          <w:tcPr>
            <w:tcW w:w="779"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11</w:t>
            </w:r>
          </w:p>
        </w:tc>
        <w:tc>
          <w:tcPr>
            <w:tcW w:w="98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832</w:t>
            </w:r>
          </w:p>
        </w:tc>
        <w:tc>
          <w:tcPr>
            <w:tcW w:w="98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10 508</w:t>
            </w:r>
          </w:p>
        </w:tc>
        <w:tc>
          <w:tcPr>
            <w:tcW w:w="1083"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9 666</w:t>
            </w:r>
          </w:p>
        </w:tc>
        <w:tc>
          <w:tcPr>
            <w:tcW w:w="87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1"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9 667</w:t>
            </w:r>
          </w:p>
        </w:tc>
        <w:tc>
          <w:tcPr>
            <w:tcW w:w="850" w:type="dxa"/>
            <w:gridSpan w:val="3"/>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854</w:t>
            </w:r>
          </w:p>
        </w:tc>
        <w:tc>
          <w:tcPr>
            <w:tcW w:w="716"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834</w:t>
            </w:r>
          </w:p>
        </w:tc>
        <w:tc>
          <w:tcPr>
            <w:tcW w:w="115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11 355</w:t>
            </w:r>
          </w:p>
        </w:tc>
      </w:tr>
      <w:tr>
        <w:trPr>
          <w:trHeight w:val="340"/>
        </w:trPr>
        <w:tc>
          <w:tcPr>
            <w:tcW w:w="235"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i/>
                <w:noProof/>
                <w:color w:val="000000"/>
                <w:sz w:val="16"/>
              </w:rPr>
            </w:pPr>
          </w:p>
        </w:tc>
        <w:tc>
          <w:tcPr>
            <w:tcW w:w="2802"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i/>
                <w:noProof/>
                <w:color w:val="000000"/>
                <w:sz w:val="16"/>
              </w:rPr>
            </w:pPr>
            <w:r>
              <w:rPr>
                <w:rFonts w:ascii="Verdana" w:hAnsi="Verdana"/>
                <w:i/>
                <w:noProof/>
                <w:color w:val="000000"/>
                <w:sz w:val="16"/>
              </w:rPr>
              <w:t>josta: toimielinten hallintomenot</w:t>
            </w:r>
          </w:p>
        </w:tc>
        <w:tc>
          <w:tcPr>
            <w:tcW w:w="1134"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4 015</w:t>
            </w:r>
          </w:p>
        </w:tc>
        <w:tc>
          <w:tcPr>
            <w:tcW w:w="939"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w:t>
            </w:r>
          </w:p>
        </w:tc>
        <w:tc>
          <w:tcPr>
            <w:tcW w:w="1046"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4 015</w:t>
            </w:r>
          </w:p>
        </w:tc>
        <w:tc>
          <w:tcPr>
            <w:tcW w:w="779"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 xml:space="preserve"> 11</w:t>
            </w:r>
          </w:p>
        </w:tc>
        <w:tc>
          <w:tcPr>
            <w:tcW w:w="98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 xml:space="preserve"> 439</w:t>
            </w:r>
          </w:p>
        </w:tc>
        <w:tc>
          <w:tcPr>
            <w:tcW w:w="98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4 465</w:t>
            </w:r>
          </w:p>
        </w:tc>
        <w:tc>
          <w:tcPr>
            <w:tcW w:w="1083"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4 015</w:t>
            </w:r>
          </w:p>
        </w:tc>
        <w:tc>
          <w:tcPr>
            <w:tcW w:w="87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w:t>
            </w:r>
          </w:p>
        </w:tc>
        <w:tc>
          <w:tcPr>
            <w:tcW w:w="971"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4 015</w:t>
            </w:r>
          </w:p>
        </w:tc>
        <w:tc>
          <w:tcPr>
            <w:tcW w:w="850" w:type="dxa"/>
            <w:gridSpan w:val="3"/>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 xml:space="preserve"> 507</w:t>
            </w:r>
          </w:p>
        </w:tc>
        <w:tc>
          <w:tcPr>
            <w:tcW w:w="716"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 xml:space="preserve"> 441</w:t>
            </w:r>
          </w:p>
        </w:tc>
        <w:tc>
          <w:tcPr>
            <w:tcW w:w="115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4 963</w:t>
            </w:r>
          </w:p>
        </w:tc>
      </w:tr>
      <w:tr>
        <w:trPr>
          <w:trHeight w:val="340"/>
        </w:trPr>
        <w:tc>
          <w:tcPr>
            <w:tcW w:w="235"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r>
              <w:rPr>
                <w:rFonts w:ascii="Verdana" w:hAnsi="Verdana"/>
                <w:noProof/>
                <w:color w:val="000000"/>
                <w:sz w:val="16"/>
              </w:rPr>
              <w:t>6</w:t>
            </w:r>
          </w:p>
        </w:tc>
        <w:tc>
          <w:tcPr>
            <w:tcW w:w="2802"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r>
              <w:rPr>
                <w:rFonts w:ascii="Verdana" w:hAnsi="Verdana"/>
                <w:noProof/>
                <w:color w:val="000000"/>
                <w:sz w:val="16"/>
              </w:rPr>
              <w:t>Korvaukset</w:t>
            </w:r>
          </w:p>
        </w:tc>
        <w:tc>
          <w:tcPr>
            <w:tcW w:w="1134"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939"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1046"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779"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1083"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87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971"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3"/>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716"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115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5"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r>
              <w:rPr>
                <w:rFonts w:ascii="Verdana" w:hAnsi="Verdana"/>
                <w:noProof/>
                <w:color w:val="000000"/>
                <w:sz w:val="16"/>
              </w:rPr>
              <w:t>8</w:t>
            </w:r>
          </w:p>
        </w:tc>
        <w:tc>
          <w:tcPr>
            <w:tcW w:w="2802"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r>
              <w:rPr>
                <w:rFonts w:ascii="Verdana" w:hAnsi="Verdana"/>
                <w:noProof/>
                <w:color w:val="000000"/>
                <w:sz w:val="16"/>
              </w:rPr>
              <w:t xml:space="preserve">Negatiivinen varaus ja edeltävältä varainhoitovuodelta siirretty alijäämä </w:t>
            </w:r>
          </w:p>
        </w:tc>
        <w:tc>
          <w:tcPr>
            <w:tcW w:w="1134"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939"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1046"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779"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1083"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87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971"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3"/>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716"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115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5"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r>
              <w:rPr>
                <w:rFonts w:ascii="Verdana" w:hAnsi="Verdana"/>
                <w:noProof/>
                <w:color w:val="000000"/>
                <w:sz w:val="16"/>
              </w:rPr>
              <w:t>9</w:t>
            </w:r>
          </w:p>
        </w:tc>
        <w:tc>
          <w:tcPr>
            <w:tcW w:w="2802"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r>
              <w:rPr>
                <w:rFonts w:ascii="Verdana" w:hAnsi="Verdana"/>
                <w:noProof/>
                <w:color w:val="000000"/>
                <w:sz w:val="16"/>
              </w:rPr>
              <w:t>Erityisrahoitusvälineet</w:t>
            </w:r>
          </w:p>
        </w:tc>
        <w:tc>
          <w:tcPr>
            <w:tcW w:w="1134"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567</w:t>
            </w:r>
          </w:p>
        </w:tc>
        <w:tc>
          <w:tcPr>
            <w:tcW w:w="939"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(179)</w:t>
            </w:r>
          </w:p>
        </w:tc>
        <w:tc>
          <w:tcPr>
            <w:tcW w:w="1046"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388</w:t>
            </w:r>
          </w:p>
        </w:tc>
        <w:tc>
          <w:tcPr>
            <w:tcW w:w="779"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41</w:t>
            </w:r>
          </w:p>
        </w:tc>
        <w:tc>
          <w:tcPr>
            <w:tcW w:w="98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429</w:t>
            </w:r>
          </w:p>
        </w:tc>
        <w:tc>
          <w:tcPr>
            <w:tcW w:w="1083"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420</w:t>
            </w:r>
          </w:p>
        </w:tc>
        <w:tc>
          <w:tcPr>
            <w:tcW w:w="87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(118)</w:t>
            </w:r>
          </w:p>
        </w:tc>
        <w:tc>
          <w:tcPr>
            <w:tcW w:w="971" w:type="dxa"/>
            <w:gridSpan w:val="2"/>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302</w:t>
            </w:r>
          </w:p>
        </w:tc>
        <w:tc>
          <w:tcPr>
            <w:tcW w:w="850" w:type="dxa"/>
            <w:gridSpan w:val="3"/>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0</w:t>
            </w:r>
          </w:p>
        </w:tc>
        <w:tc>
          <w:tcPr>
            <w:tcW w:w="716"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38</w:t>
            </w:r>
          </w:p>
        </w:tc>
        <w:tc>
          <w:tcPr>
            <w:tcW w:w="115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340</w:t>
            </w:r>
          </w:p>
        </w:tc>
      </w:tr>
      <w:tr>
        <w:trPr>
          <w:trHeight w:val="340"/>
        </w:trPr>
        <w:tc>
          <w:tcPr>
            <w:tcW w:w="23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1BreakdownCommPaym"/>
              <w:rPr>
                <w:rFonts w:ascii="Verdana" w:eastAsia="Times New Roman" w:hAnsi="Verdana" w:cs="Verdana"/>
                <w:b/>
                <w:noProof/>
                <w:color w:val="000000"/>
                <w:sz w:val="16"/>
              </w:rPr>
            </w:pPr>
          </w:p>
        </w:tc>
        <w:tc>
          <w:tcPr>
            <w:tcW w:w="280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1BreakdownCommPaym"/>
              <w:rPr>
                <w:rFonts w:ascii="Verdana" w:eastAsia="Times New Roman" w:hAnsi="Verdana" w:cs="Verdana"/>
                <w:b/>
                <w:noProof/>
                <w:color w:val="000000"/>
                <w:sz w:val="16"/>
              </w:rPr>
            </w:pPr>
            <w:r>
              <w:rPr>
                <w:rFonts w:ascii="Verdana" w:hAnsi="Verdana"/>
                <w:b/>
                <w:noProof/>
                <w:color w:val="000000"/>
                <w:sz w:val="16"/>
              </w:rPr>
              <w:t>Yhteensä</w:t>
            </w:r>
          </w:p>
        </w:tc>
        <w:tc>
          <w:tcPr>
            <w:tcW w:w="1134"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MFF1BreakdownCommPaym"/>
              <w:jc w:val="right"/>
              <w:rPr>
                <w:rFonts w:ascii="Verdana" w:eastAsia="Times New Roman" w:hAnsi="Verdana" w:cs="Verdana"/>
                <w:b/>
                <w:noProof/>
                <w:color w:val="000000"/>
                <w:sz w:val="16"/>
              </w:rPr>
            </w:pPr>
            <w:r>
              <w:rPr>
                <w:rFonts w:ascii="Verdana" w:hAnsi="Verdana"/>
                <w:b/>
                <w:noProof/>
                <w:color w:val="000000"/>
                <w:sz w:val="16"/>
              </w:rPr>
              <w:t>160 114</w:t>
            </w:r>
          </w:p>
        </w:tc>
        <w:tc>
          <w:tcPr>
            <w:tcW w:w="93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1BreakdownCommPaym"/>
              <w:jc w:val="right"/>
              <w:rPr>
                <w:rFonts w:ascii="Verdana" w:eastAsia="Times New Roman" w:hAnsi="Verdana" w:cs="Verdana"/>
                <w:b/>
                <w:noProof/>
                <w:color w:val="000000"/>
                <w:sz w:val="16"/>
              </w:rPr>
            </w:pPr>
            <w:r>
              <w:rPr>
                <w:rFonts w:ascii="Verdana" w:hAnsi="Verdana"/>
                <w:b/>
                <w:noProof/>
                <w:color w:val="000000"/>
                <w:sz w:val="16"/>
              </w:rPr>
              <w:t xml:space="preserve"> 583</w:t>
            </w:r>
          </w:p>
        </w:tc>
        <w:tc>
          <w:tcPr>
            <w:tcW w:w="1046"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MFF1BreakdownCommPaym"/>
              <w:jc w:val="right"/>
              <w:rPr>
                <w:rFonts w:ascii="Verdana" w:eastAsia="Times New Roman" w:hAnsi="Verdana" w:cs="Verdana"/>
                <w:b/>
                <w:noProof/>
                <w:color w:val="000000"/>
                <w:sz w:val="16"/>
              </w:rPr>
            </w:pPr>
            <w:r>
              <w:rPr>
                <w:rFonts w:ascii="Verdana" w:hAnsi="Verdana"/>
                <w:b/>
                <w:noProof/>
                <w:color w:val="000000"/>
                <w:sz w:val="16"/>
              </w:rPr>
              <w:t>160 696</w:t>
            </w:r>
          </w:p>
        </w:tc>
        <w:tc>
          <w:tcPr>
            <w:tcW w:w="77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1BreakdownCommPaym"/>
              <w:jc w:val="right"/>
              <w:rPr>
                <w:rFonts w:ascii="Verdana" w:eastAsia="Times New Roman" w:hAnsi="Verdana" w:cs="Verdana"/>
                <w:b/>
                <w:noProof/>
                <w:color w:val="000000"/>
                <w:sz w:val="16"/>
              </w:rPr>
            </w:pPr>
            <w:r>
              <w:rPr>
                <w:rFonts w:ascii="Verdana" w:hAnsi="Verdana"/>
                <w:b/>
                <w:noProof/>
                <w:color w:val="000000"/>
                <w:sz w:val="16"/>
              </w:rPr>
              <w:t xml:space="preserve"> 895</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1BreakdownCommPaym"/>
              <w:jc w:val="right"/>
              <w:rPr>
                <w:rFonts w:ascii="Verdana" w:eastAsia="Times New Roman" w:hAnsi="Verdana" w:cs="Verdana"/>
                <w:b/>
                <w:noProof/>
                <w:color w:val="000000"/>
                <w:sz w:val="16"/>
              </w:rPr>
            </w:pPr>
            <w:r>
              <w:rPr>
                <w:rFonts w:ascii="Verdana" w:hAnsi="Verdana"/>
                <w:b/>
                <w:noProof/>
                <w:color w:val="000000"/>
                <w:sz w:val="16"/>
              </w:rPr>
              <w:t>16 876</w:t>
            </w:r>
          </w:p>
        </w:tc>
        <w:tc>
          <w:tcPr>
            <w:tcW w:w="98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1BreakdownCommPaym"/>
              <w:jc w:val="right"/>
              <w:rPr>
                <w:rFonts w:ascii="Verdana" w:eastAsia="Times New Roman" w:hAnsi="Verdana" w:cs="Verdana"/>
                <w:b/>
                <w:noProof/>
                <w:color w:val="000000"/>
                <w:sz w:val="16"/>
              </w:rPr>
            </w:pPr>
            <w:r>
              <w:rPr>
                <w:rFonts w:ascii="Verdana" w:hAnsi="Verdana"/>
                <w:b/>
                <w:noProof/>
                <w:color w:val="000000"/>
                <w:sz w:val="16"/>
              </w:rPr>
              <w:t>178 468</w:t>
            </w:r>
          </w:p>
        </w:tc>
        <w:tc>
          <w:tcPr>
            <w:tcW w:w="1083"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MFF1BreakdownCommPaym"/>
              <w:jc w:val="right"/>
              <w:rPr>
                <w:rFonts w:ascii="Verdana" w:eastAsia="Times New Roman" w:hAnsi="Verdana" w:cs="Verdana"/>
                <w:b/>
                <w:noProof/>
                <w:color w:val="000000"/>
                <w:sz w:val="16"/>
              </w:rPr>
            </w:pPr>
            <w:r>
              <w:rPr>
                <w:rFonts w:ascii="Verdana" w:hAnsi="Verdana"/>
                <w:b/>
                <w:noProof/>
                <w:color w:val="000000"/>
                <w:sz w:val="16"/>
              </w:rPr>
              <w:t>144 681</w:t>
            </w:r>
          </w:p>
        </w:tc>
        <w:tc>
          <w:tcPr>
            <w:tcW w:w="87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1BreakdownCommPaym"/>
              <w:jc w:val="right"/>
              <w:rPr>
                <w:rFonts w:ascii="Verdana" w:eastAsia="Times New Roman" w:hAnsi="Verdana" w:cs="Verdana"/>
                <w:b/>
                <w:noProof/>
                <w:color w:val="000000"/>
                <w:sz w:val="16"/>
              </w:rPr>
            </w:pPr>
            <w:r>
              <w:rPr>
                <w:rFonts w:ascii="Verdana" w:hAnsi="Verdana"/>
                <w:b/>
                <w:noProof/>
                <w:color w:val="000000"/>
                <w:sz w:val="16"/>
              </w:rPr>
              <w:t xml:space="preserve"> 87</w:t>
            </w:r>
          </w:p>
        </w:tc>
        <w:tc>
          <w:tcPr>
            <w:tcW w:w="971"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MFF1BreakdownCommPaym"/>
              <w:jc w:val="right"/>
              <w:rPr>
                <w:rFonts w:ascii="Verdana" w:eastAsia="Times New Roman" w:hAnsi="Verdana" w:cs="Verdana"/>
                <w:b/>
                <w:noProof/>
                <w:color w:val="000000"/>
                <w:sz w:val="16"/>
              </w:rPr>
            </w:pPr>
            <w:r>
              <w:rPr>
                <w:rFonts w:ascii="Verdana" w:hAnsi="Verdana"/>
                <w:b/>
                <w:noProof/>
                <w:color w:val="000000"/>
                <w:sz w:val="16"/>
              </w:rPr>
              <w:t>144 768</w:t>
            </w:r>
          </w:p>
        </w:tc>
        <w:tc>
          <w:tcPr>
            <w:tcW w:w="850" w:type="dxa"/>
            <w:gridSpan w:val="3"/>
            <w:tcBorders>
              <w:top w:val="nil"/>
              <w:left w:val="nil"/>
              <w:bottom w:val="nil"/>
              <w:right w:val="nil"/>
            </w:tcBorders>
            <w:shd w:val="solid" w:color="CCE1EA" w:fill="FFFFFF"/>
            <w:tcMar>
              <w:top w:w="0" w:type="dxa"/>
              <w:left w:w="60" w:type="dxa"/>
              <w:bottom w:w="0" w:type="dxa"/>
              <w:right w:w="60" w:type="dxa"/>
            </w:tcMar>
            <w:vAlign w:val="center"/>
          </w:tcPr>
          <w:p>
            <w:pPr>
              <w:pStyle w:val="DMETW14819BIPMFF1BreakdownCommPaym"/>
              <w:jc w:val="right"/>
              <w:rPr>
                <w:rFonts w:ascii="Verdana" w:eastAsia="Times New Roman" w:hAnsi="Verdana" w:cs="Verdana"/>
                <w:b/>
                <w:noProof/>
                <w:color w:val="000000"/>
                <w:sz w:val="16"/>
              </w:rPr>
            </w:pPr>
            <w:r>
              <w:rPr>
                <w:rFonts w:ascii="Verdana" w:hAnsi="Verdana"/>
                <w:b/>
                <w:noProof/>
                <w:color w:val="000000"/>
                <w:sz w:val="16"/>
              </w:rPr>
              <w:t>1 970</w:t>
            </w:r>
          </w:p>
        </w:tc>
        <w:tc>
          <w:tcPr>
            <w:tcW w:w="71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1BreakdownCommPaym"/>
              <w:jc w:val="right"/>
              <w:rPr>
                <w:rFonts w:ascii="Verdana" w:eastAsia="Times New Roman" w:hAnsi="Verdana" w:cs="Verdana"/>
                <w:b/>
                <w:noProof/>
                <w:color w:val="000000"/>
                <w:sz w:val="16"/>
              </w:rPr>
            </w:pPr>
            <w:r>
              <w:rPr>
                <w:rFonts w:ascii="Verdana" w:hAnsi="Verdana"/>
                <w:b/>
                <w:noProof/>
                <w:color w:val="000000"/>
                <w:sz w:val="16"/>
              </w:rPr>
              <w:t>19 616</w:t>
            </w:r>
          </w:p>
        </w:tc>
        <w:tc>
          <w:tcPr>
            <w:tcW w:w="115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1BreakdownCommPaym"/>
              <w:jc w:val="right"/>
              <w:rPr>
                <w:rFonts w:ascii="Verdana" w:eastAsia="Times New Roman" w:hAnsi="Verdana" w:cs="Verdana"/>
                <w:b/>
                <w:noProof/>
                <w:color w:val="000000"/>
                <w:sz w:val="16"/>
              </w:rPr>
            </w:pPr>
            <w:r>
              <w:rPr>
                <w:rFonts w:ascii="Verdana" w:hAnsi="Verdana"/>
                <w:b/>
                <w:noProof/>
                <w:color w:val="000000"/>
                <w:sz w:val="16"/>
              </w:rPr>
              <w:t>166 353</w:t>
            </w:r>
          </w:p>
        </w:tc>
      </w:tr>
    </w:tbl>
    <w:p>
      <w:pPr>
        <w:pStyle w:val="DGTextstand-alone"/>
        <w:rPr>
          <w:rFonts w:eastAsia="Verdana" w:cs="Verdana"/>
          <w:szCs w:val="14"/>
          <w:highlight w:val="yellow"/>
        </w:rPr>
      </w:pPr>
      <w:r>
        <w:br w:type="page"/>
      </w:r>
    </w:p>
    <w:p>
      <w:pPr>
        <w:pStyle w:val="DGTextstand-alone"/>
        <w:rPr>
          <w:rFonts w:eastAsia="Verdana" w:cs="Verdana"/>
          <w:szCs w:val="14"/>
          <w:highlight w:val="yellow"/>
        </w:rPr>
        <w:sectPr>
          <w:headerReference w:type="even" r:id="rId473"/>
          <w:headerReference w:type="default" r:id="rId474"/>
          <w:footerReference w:type="even" r:id="rId475"/>
          <w:footerReference w:type="default" r:id="rId476"/>
          <w:headerReference w:type="first" r:id="rId477"/>
          <w:footerReference w:type="first" r:id="rId478"/>
          <w:pgSz w:w="16840" w:h="11900" w:orient="landscape"/>
          <w:pgMar w:top="1134" w:right="1134" w:bottom="1134" w:left="1134" w:header="708" w:footer="708" w:gutter="0"/>
          <w:cols w:space="720"/>
          <w:docGrid w:linePitch="272"/>
        </w:sectPr>
      </w:pPr>
    </w:p>
    <w:p>
      <w:pPr>
        <w:pStyle w:val="HEADER2PartBUDG"/>
        <w:rPr>
          <w:noProof/>
        </w:rPr>
      </w:pPr>
      <w:bookmarkStart w:id="324" w:name="_Toc11939552"/>
      <w:bookmarkStart w:id="325" w:name="_Toc17887577"/>
      <w:r>
        <w:rPr>
          <w:noProof/>
        </w:rPr>
        <w:t>MAKSUSITOUMUSMÄÄRÄRAHOJEN TOTEUTUMINEN MONIVUOTISEN RAHOITUSKEHYKSEN OTSAKKEITTAIN</w:t>
      </w:r>
      <w:bookmarkEnd w:id="324"/>
      <w:bookmarkEnd w:id="325"/>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
        <w:gridCol w:w="2524"/>
        <w:gridCol w:w="1021"/>
        <w:gridCol w:w="963"/>
        <w:gridCol w:w="29"/>
        <w:gridCol w:w="846"/>
        <w:gridCol w:w="146"/>
        <w:gridCol w:w="729"/>
        <w:gridCol w:w="263"/>
        <w:gridCol w:w="612"/>
        <w:gridCol w:w="381"/>
        <w:gridCol w:w="708"/>
        <w:gridCol w:w="661"/>
        <w:gridCol w:w="875"/>
        <w:gridCol w:w="875"/>
        <w:gridCol w:w="875"/>
        <w:gridCol w:w="825"/>
        <w:gridCol w:w="142"/>
        <w:gridCol w:w="850"/>
        <w:gridCol w:w="877"/>
      </w:tblGrid>
      <w:tr>
        <w:trPr>
          <w:trHeight w:val="340"/>
        </w:trPr>
        <w:tc>
          <w:tcPr>
            <w:tcW w:w="343"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bookmarkStart w:id="326" w:name="DOC_TBL00105_1_1"/>
            <w:bookmarkEnd w:id="326"/>
          </w:p>
        </w:tc>
        <w:tc>
          <w:tcPr>
            <w:tcW w:w="2524"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p>
        </w:tc>
        <w:tc>
          <w:tcPr>
            <w:tcW w:w="1021"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p>
        </w:tc>
        <w:tc>
          <w:tcPr>
            <w:tcW w:w="963"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p>
        </w:tc>
        <w:tc>
          <w:tcPr>
            <w:tcW w:w="875"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p>
        </w:tc>
        <w:tc>
          <w:tcPr>
            <w:tcW w:w="875"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p>
        </w:tc>
        <w:tc>
          <w:tcPr>
            <w:tcW w:w="875"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p>
        </w:tc>
        <w:tc>
          <w:tcPr>
            <w:tcW w:w="1089"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p>
        </w:tc>
        <w:tc>
          <w:tcPr>
            <w:tcW w:w="661"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p>
        </w:tc>
        <w:tc>
          <w:tcPr>
            <w:tcW w:w="967"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p>
        </w:tc>
        <w:tc>
          <w:tcPr>
            <w:tcW w:w="850"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p>
        </w:tc>
        <w:tc>
          <w:tcPr>
            <w:tcW w:w="877"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milj. euroa</w:t>
            </w:r>
          </w:p>
        </w:tc>
      </w:tr>
      <w:tr>
        <w:trPr>
          <w:trHeight w:val="340"/>
        </w:trPr>
        <w:tc>
          <w:tcPr>
            <w:tcW w:w="343"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p>
        </w:tc>
        <w:tc>
          <w:tcPr>
            <w:tcW w:w="252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p>
        </w:tc>
        <w:tc>
          <w:tcPr>
            <w:tcW w:w="1021" w:type="dxa"/>
            <w:vMerge w:val="restart"/>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b/>
                <w:noProof/>
                <w:color w:val="FFFFFF"/>
                <w:sz w:val="16"/>
              </w:rPr>
            </w:pPr>
            <w:r>
              <w:rPr>
                <w:rFonts w:ascii="Verdana" w:hAnsi="Verdana"/>
                <w:b/>
                <w:noProof/>
                <w:color w:val="FFFFFF"/>
                <w:sz w:val="16"/>
              </w:rPr>
              <w:t>Käytet</w:t>
            </w:r>
            <w:r>
              <w:rPr>
                <w:rFonts w:ascii="Verdana" w:hAnsi="Verdana"/>
                <w:b/>
                <w:noProof/>
                <w:color w:val="FFFFFF"/>
                <w:sz w:val="16"/>
              </w:rPr>
              <w:softHyphen/>
              <w:t>tävissä</w:t>
            </w:r>
          </w:p>
          <w:p>
            <w:pPr>
              <w:pStyle w:val="DMETW14819BIPMFF2ImplementCommitments"/>
              <w:jc w:val="right"/>
              <w:rPr>
                <w:rFonts w:ascii="Verdana" w:eastAsia="Times New Roman" w:hAnsi="Verdana" w:cs="Verdana"/>
                <w:b/>
                <w:noProof/>
                <w:color w:val="FFFFFF"/>
                <w:sz w:val="16"/>
              </w:rPr>
            </w:pPr>
            <w:r>
              <w:rPr>
                <w:rFonts w:ascii="Verdana" w:hAnsi="Verdana"/>
                <w:b/>
                <w:noProof/>
                <w:color w:val="FFFFFF"/>
                <w:sz w:val="16"/>
              </w:rPr>
              <w:t>olevat määrä</w:t>
            </w:r>
            <w:r>
              <w:rPr>
                <w:rFonts w:ascii="Verdana" w:hAnsi="Verdana"/>
                <w:b/>
                <w:noProof/>
                <w:color w:val="FFFFFF"/>
                <w:sz w:val="16"/>
              </w:rPr>
              <w:softHyphen/>
              <w:t xml:space="preserve">rahat </w:t>
            </w:r>
          </w:p>
          <w:p>
            <w:pPr>
              <w:pStyle w:val="DMETW14819BIPMFF2ImplementCommitments"/>
              <w:jc w:val="right"/>
              <w:rPr>
                <w:rFonts w:ascii="Verdana" w:eastAsia="Times New Roman" w:hAnsi="Verdana" w:cs="Verdana"/>
                <w:b/>
                <w:noProof/>
                <w:color w:val="FFFFFF"/>
                <w:sz w:val="16"/>
              </w:rPr>
            </w:pPr>
            <w:r>
              <w:rPr>
                <w:rFonts w:ascii="Verdana" w:hAnsi="Verdana"/>
                <w:b/>
                <w:noProof/>
                <w:color w:val="FFFFFF"/>
                <w:sz w:val="16"/>
              </w:rPr>
              <w:t>yhteensä</w:t>
            </w:r>
          </w:p>
        </w:tc>
        <w:tc>
          <w:tcPr>
            <w:tcW w:w="4677" w:type="dxa"/>
            <w:gridSpan w:val="9"/>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b/>
                <w:noProof/>
                <w:color w:val="FFFFFF"/>
                <w:sz w:val="16"/>
              </w:rPr>
            </w:pPr>
            <w:r>
              <w:rPr>
                <w:rFonts w:ascii="Verdana" w:hAnsi="Verdana"/>
                <w:b/>
                <w:noProof/>
                <w:color w:val="FFFFFF"/>
                <w:sz w:val="16"/>
              </w:rPr>
              <w:t>Tehdyt sitoumukset</w:t>
            </w:r>
          </w:p>
        </w:tc>
        <w:tc>
          <w:tcPr>
            <w:tcW w:w="2411" w:type="dxa"/>
            <w:gridSpan w:val="3"/>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b/>
                <w:noProof/>
                <w:color w:val="FFFFFF"/>
                <w:sz w:val="16"/>
              </w:rPr>
            </w:pPr>
            <w:r>
              <w:rPr>
                <w:rFonts w:ascii="Verdana" w:hAnsi="Verdana"/>
                <w:b/>
                <w:noProof/>
                <w:color w:val="FFFFFF"/>
                <w:sz w:val="16"/>
              </w:rPr>
              <w:t>Vuodelle 2019 siirretyt määrärahat</w:t>
            </w:r>
          </w:p>
        </w:tc>
        <w:tc>
          <w:tcPr>
            <w:tcW w:w="3569" w:type="dxa"/>
            <w:gridSpan w:val="5"/>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b/>
                <w:noProof/>
                <w:color w:val="FFFFFF"/>
                <w:sz w:val="16"/>
              </w:rPr>
            </w:pPr>
            <w:r>
              <w:rPr>
                <w:rFonts w:ascii="Verdana" w:hAnsi="Verdana"/>
                <w:b/>
                <w:noProof/>
                <w:color w:val="FFFFFF"/>
                <w:sz w:val="16"/>
              </w:rPr>
              <w:t>Raukeavat määrärahat</w:t>
            </w:r>
          </w:p>
        </w:tc>
      </w:tr>
      <w:tr>
        <w:trPr>
          <w:trHeight w:val="715"/>
        </w:trPr>
        <w:tc>
          <w:tcPr>
            <w:tcW w:w="343"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p>
        </w:tc>
        <w:tc>
          <w:tcPr>
            <w:tcW w:w="252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Rahoituskehyksen otsake</w:t>
            </w:r>
          </w:p>
        </w:tc>
        <w:tc>
          <w:tcPr>
            <w:tcW w:w="1021" w:type="dxa"/>
            <w:vMerge/>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b/>
                <w:noProof/>
                <w:color w:val="FFFFFF"/>
                <w:sz w:val="16"/>
              </w:rPr>
            </w:pPr>
          </w:p>
        </w:tc>
        <w:tc>
          <w:tcPr>
            <w:tcW w:w="992"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FFFFFF"/>
                <w:sz w:val="16"/>
              </w:rPr>
            </w:pPr>
            <w:r>
              <w:rPr>
                <w:rFonts w:ascii="Verdana" w:hAnsi="Verdana"/>
                <w:noProof/>
                <w:color w:val="FFFFFF"/>
                <w:sz w:val="16"/>
              </w:rPr>
              <w:t>Lopulli</w:t>
            </w:r>
            <w:r>
              <w:rPr>
                <w:rFonts w:ascii="Verdana" w:hAnsi="Verdana"/>
                <w:noProof/>
                <w:color w:val="FFFFFF"/>
                <w:sz w:val="16"/>
              </w:rPr>
              <w:softHyphen/>
              <w:t>sista hyväksy</w:t>
            </w:r>
            <w:r>
              <w:rPr>
                <w:rFonts w:ascii="Verdana" w:hAnsi="Verdana"/>
                <w:noProof/>
                <w:color w:val="FFFFFF"/>
                <w:sz w:val="16"/>
              </w:rPr>
              <w:softHyphen/>
              <w:t>tyistä määrä</w:t>
            </w:r>
            <w:r>
              <w:rPr>
                <w:rFonts w:ascii="Verdana" w:hAnsi="Verdana"/>
                <w:noProof/>
                <w:color w:val="FFFFFF"/>
                <w:sz w:val="16"/>
              </w:rPr>
              <w:softHyphen/>
              <w:t>rahoista</w:t>
            </w:r>
          </w:p>
        </w:tc>
        <w:tc>
          <w:tcPr>
            <w:tcW w:w="992"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FFFFFF"/>
                <w:sz w:val="16"/>
              </w:rPr>
            </w:pPr>
            <w:r>
              <w:rPr>
                <w:rFonts w:ascii="Verdana" w:hAnsi="Verdana"/>
                <w:noProof/>
                <w:color w:val="FFFFFF"/>
                <w:sz w:val="16"/>
              </w:rPr>
              <w:t>Siirre</w:t>
            </w:r>
            <w:r>
              <w:rPr>
                <w:rFonts w:ascii="Verdana" w:hAnsi="Verdana"/>
                <w:noProof/>
                <w:color w:val="FFFFFF"/>
                <w:sz w:val="16"/>
              </w:rPr>
              <w:softHyphen/>
              <w:t>tyistä määrä</w:t>
            </w:r>
            <w:r>
              <w:rPr>
                <w:rFonts w:ascii="Verdana" w:hAnsi="Verdana"/>
                <w:noProof/>
                <w:color w:val="FFFFFF"/>
                <w:sz w:val="16"/>
              </w:rPr>
              <w:softHyphen/>
              <w:t>rahoista</w:t>
            </w:r>
          </w:p>
        </w:tc>
        <w:tc>
          <w:tcPr>
            <w:tcW w:w="992"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FFFFFF"/>
                <w:sz w:val="16"/>
              </w:rPr>
            </w:pPr>
            <w:r>
              <w:rPr>
                <w:rFonts w:ascii="Verdana" w:hAnsi="Verdana"/>
                <w:noProof/>
                <w:color w:val="FFFFFF"/>
                <w:sz w:val="16"/>
              </w:rPr>
              <w:t>Käyttö</w:t>
            </w:r>
            <w:r>
              <w:rPr>
                <w:rFonts w:ascii="Verdana" w:hAnsi="Verdana"/>
                <w:noProof/>
                <w:color w:val="FFFFFF"/>
                <w:sz w:val="16"/>
              </w:rPr>
              <w:softHyphen/>
              <w:t>tark. sidotuista tuloista</w:t>
            </w:r>
          </w:p>
        </w:tc>
        <w:tc>
          <w:tcPr>
            <w:tcW w:w="993"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FFFFFF"/>
                <w:sz w:val="16"/>
              </w:rPr>
            </w:pPr>
            <w:r>
              <w:rPr>
                <w:rFonts w:ascii="Verdana" w:hAnsi="Verdana"/>
                <w:noProof/>
                <w:color w:val="FFFFFF"/>
                <w:sz w:val="16"/>
              </w:rPr>
              <w:t>Yhteensä</w:t>
            </w:r>
          </w:p>
        </w:tc>
        <w:tc>
          <w:tcPr>
            <w:tcW w:w="708"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FFFFFF"/>
                <w:sz w:val="16"/>
              </w:rPr>
            </w:pPr>
            <w:r>
              <w:rPr>
                <w:rFonts w:ascii="Verdana" w:hAnsi="Verdana"/>
                <w:noProof/>
                <w:color w:val="FFFFFF"/>
                <w:sz w:val="16"/>
              </w:rPr>
              <w:t>%</w:t>
            </w:r>
          </w:p>
        </w:tc>
        <w:tc>
          <w:tcPr>
            <w:tcW w:w="661"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FFFFFF"/>
                <w:sz w:val="16"/>
              </w:rPr>
            </w:pPr>
            <w:r>
              <w:rPr>
                <w:rFonts w:ascii="Verdana" w:hAnsi="Verdana"/>
                <w:noProof/>
                <w:color w:val="FFFFFF"/>
                <w:sz w:val="16"/>
              </w:rPr>
              <w:t>Käyttö</w:t>
            </w:r>
            <w:r>
              <w:rPr>
                <w:rFonts w:ascii="Verdana" w:hAnsi="Verdana"/>
                <w:noProof/>
                <w:color w:val="FFFFFF"/>
                <w:sz w:val="16"/>
              </w:rPr>
              <w:softHyphen/>
              <w:t>tark. sidotut tulot</w:t>
            </w:r>
          </w:p>
        </w:tc>
        <w:tc>
          <w:tcPr>
            <w:tcW w:w="875"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FFFFFF"/>
                <w:sz w:val="16"/>
              </w:rPr>
            </w:pPr>
            <w:r>
              <w:rPr>
                <w:rFonts w:ascii="Verdana" w:hAnsi="Verdana"/>
                <w:noProof/>
                <w:color w:val="FFFFFF"/>
                <w:sz w:val="16"/>
              </w:rPr>
              <w:t>Päätök</w:t>
            </w:r>
            <w:r>
              <w:rPr>
                <w:rFonts w:ascii="Verdana" w:hAnsi="Verdana"/>
                <w:noProof/>
                <w:color w:val="FFFFFF"/>
                <w:sz w:val="16"/>
              </w:rPr>
              <w:softHyphen/>
              <w:t>sellä siirretyt</w:t>
            </w:r>
          </w:p>
        </w:tc>
        <w:tc>
          <w:tcPr>
            <w:tcW w:w="875"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FFFFFF"/>
                <w:sz w:val="16"/>
              </w:rPr>
            </w:pPr>
            <w:r>
              <w:rPr>
                <w:rFonts w:ascii="Verdana" w:hAnsi="Verdana"/>
                <w:noProof/>
                <w:color w:val="FFFFFF"/>
                <w:sz w:val="16"/>
              </w:rPr>
              <w:t>Yhteensä</w:t>
            </w:r>
          </w:p>
        </w:tc>
        <w:tc>
          <w:tcPr>
            <w:tcW w:w="875"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FFFFFF"/>
                <w:sz w:val="16"/>
              </w:rPr>
            </w:pPr>
            <w:r>
              <w:rPr>
                <w:rFonts w:ascii="Verdana" w:hAnsi="Verdana"/>
                <w:noProof/>
                <w:color w:val="FFFFFF"/>
                <w:sz w:val="16"/>
              </w:rPr>
              <w:t>Lopulli</w:t>
            </w:r>
            <w:r>
              <w:rPr>
                <w:rFonts w:ascii="Verdana" w:hAnsi="Verdana"/>
                <w:noProof/>
                <w:color w:val="FFFFFF"/>
                <w:sz w:val="16"/>
              </w:rPr>
              <w:softHyphen/>
              <w:t>sista hyväksy</w:t>
            </w:r>
            <w:r>
              <w:rPr>
                <w:rFonts w:ascii="Verdana" w:hAnsi="Verdana"/>
                <w:noProof/>
                <w:color w:val="FFFFFF"/>
                <w:sz w:val="16"/>
              </w:rPr>
              <w:softHyphen/>
              <w:t>tyistä määrä</w:t>
            </w:r>
            <w:r>
              <w:rPr>
                <w:rFonts w:ascii="Verdana" w:hAnsi="Verdana"/>
                <w:noProof/>
                <w:color w:val="FFFFFF"/>
                <w:sz w:val="16"/>
              </w:rPr>
              <w:softHyphen/>
              <w:t>rahoista</w:t>
            </w:r>
          </w:p>
        </w:tc>
        <w:tc>
          <w:tcPr>
            <w:tcW w:w="825"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FFFFFF"/>
                <w:sz w:val="16"/>
              </w:rPr>
            </w:pPr>
            <w:r>
              <w:rPr>
                <w:rFonts w:ascii="Verdana" w:hAnsi="Verdana"/>
                <w:noProof/>
                <w:color w:val="FFFFFF"/>
                <w:sz w:val="16"/>
              </w:rPr>
              <w:t>Siirre</w:t>
            </w:r>
            <w:r>
              <w:rPr>
                <w:rFonts w:ascii="Verdana" w:hAnsi="Verdana"/>
                <w:noProof/>
                <w:color w:val="FFFFFF"/>
                <w:sz w:val="16"/>
              </w:rPr>
              <w:softHyphen/>
              <w:t>tyistä määrä</w:t>
            </w:r>
            <w:r>
              <w:rPr>
                <w:rFonts w:ascii="Verdana" w:hAnsi="Verdana"/>
                <w:noProof/>
                <w:color w:val="FFFFFF"/>
                <w:sz w:val="16"/>
              </w:rPr>
              <w:softHyphen/>
              <w:t>rahoista</w:t>
            </w:r>
          </w:p>
        </w:tc>
        <w:tc>
          <w:tcPr>
            <w:tcW w:w="992"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FFFFFF"/>
                <w:sz w:val="16"/>
              </w:rPr>
            </w:pPr>
            <w:r>
              <w:rPr>
                <w:rFonts w:ascii="Verdana" w:hAnsi="Verdana"/>
                <w:noProof/>
                <w:color w:val="FFFFFF"/>
                <w:sz w:val="16"/>
              </w:rPr>
              <w:t>Käyttö</w:t>
            </w:r>
            <w:r>
              <w:rPr>
                <w:rFonts w:ascii="Verdana" w:hAnsi="Verdana"/>
                <w:noProof/>
                <w:color w:val="FFFFFF"/>
                <w:sz w:val="16"/>
              </w:rPr>
              <w:softHyphen/>
              <w:t>tark. sidotuista tuloista</w:t>
            </w:r>
          </w:p>
        </w:tc>
        <w:tc>
          <w:tcPr>
            <w:tcW w:w="877"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FFFFFF"/>
                <w:sz w:val="16"/>
              </w:rPr>
            </w:pPr>
            <w:r>
              <w:rPr>
                <w:rFonts w:ascii="Verdana" w:hAnsi="Verdana"/>
                <w:noProof/>
                <w:color w:val="FFFFFF"/>
                <w:sz w:val="16"/>
              </w:rPr>
              <w:t>Yhteensä</w:t>
            </w:r>
          </w:p>
        </w:tc>
      </w:tr>
      <w:tr>
        <w:trPr>
          <w:trHeight w:val="340"/>
        </w:trPr>
        <w:tc>
          <w:tcPr>
            <w:tcW w:w="343"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p>
        </w:tc>
        <w:tc>
          <w:tcPr>
            <w:tcW w:w="2524"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p>
        </w:tc>
        <w:tc>
          <w:tcPr>
            <w:tcW w:w="1021"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1</w:t>
            </w:r>
          </w:p>
        </w:tc>
        <w:tc>
          <w:tcPr>
            <w:tcW w:w="963"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2</w:t>
            </w:r>
          </w:p>
        </w:tc>
        <w:tc>
          <w:tcPr>
            <w:tcW w:w="1021" w:type="dxa"/>
            <w:gridSpan w:val="3"/>
            <w:tcBorders>
              <w:top w:val="nil"/>
              <w:left w:val="nil"/>
              <w:bottom w:val="nil"/>
              <w:right w:val="nil"/>
            </w:tcBorders>
            <w:shd w:val="solid" w:color="3487A9"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3</w:t>
            </w:r>
          </w:p>
        </w:tc>
        <w:tc>
          <w:tcPr>
            <w:tcW w:w="992" w:type="dxa"/>
            <w:gridSpan w:val="2"/>
            <w:tcBorders>
              <w:top w:val="nil"/>
              <w:left w:val="nil"/>
              <w:bottom w:val="nil"/>
              <w:right w:val="nil"/>
            </w:tcBorders>
            <w:shd w:val="solid" w:color="3487A9"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4</w:t>
            </w:r>
          </w:p>
        </w:tc>
        <w:tc>
          <w:tcPr>
            <w:tcW w:w="993" w:type="dxa"/>
            <w:gridSpan w:val="2"/>
            <w:tcBorders>
              <w:top w:val="nil"/>
              <w:left w:val="nil"/>
              <w:bottom w:val="nil"/>
              <w:right w:val="nil"/>
            </w:tcBorders>
            <w:shd w:val="solid" w:color="3487A9"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5=2+3</w:t>
            </w:r>
          </w:p>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+4</w:t>
            </w:r>
          </w:p>
        </w:tc>
        <w:tc>
          <w:tcPr>
            <w:tcW w:w="708"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6=5/1</w:t>
            </w:r>
          </w:p>
        </w:tc>
        <w:tc>
          <w:tcPr>
            <w:tcW w:w="661"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7</w:t>
            </w:r>
          </w:p>
        </w:tc>
        <w:tc>
          <w:tcPr>
            <w:tcW w:w="875"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8</w:t>
            </w:r>
          </w:p>
        </w:tc>
        <w:tc>
          <w:tcPr>
            <w:tcW w:w="875"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9=7+8</w:t>
            </w:r>
          </w:p>
        </w:tc>
        <w:tc>
          <w:tcPr>
            <w:tcW w:w="875"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10</w:t>
            </w:r>
          </w:p>
        </w:tc>
        <w:tc>
          <w:tcPr>
            <w:tcW w:w="825"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11</w:t>
            </w:r>
          </w:p>
        </w:tc>
        <w:tc>
          <w:tcPr>
            <w:tcW w:w="992" w:type="dxa"/>
            <w:gridSpan w:val="2"/>
            <w:tcBorders>
              <w:top w:val="nil"/>
              <w:left w:val="nil"/>
              <w:bottom w:val="nil"/>
              <w:right w:val="nil"/>
            </w:tcBorders>
            <w:shd w:val="solid" w:color="3487A9"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12</w:t>
            </w:r>
          </w:p>
        </w:tc>
        <w:tc>
          <w:tcPr>
            <w:tcW w:w="877"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13=10+</w:t>
            </w:r>
          </w:p>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11+12</w:t>
            </w:r>
          </w:p>
        </w:tc>
      </w:tr>
      <w:tr>
        <w:trPr>
          <w:trHeight w:val="340"/>
        </w:trPr>
        <w:tc>
          <w:tcPr>
            <w:tcW w:w="343"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r>
              <w:rPr>
                <w:rFonts w:ascii="Verdana" w:hAnsi="Verdana"/>
                <w:noProof/>
                <w:color w:val="000000"/>
                <w:sz w:val="16"/>
              </w:rPr>
              <w:t>1</w:t>
            </w:r>
          </w:p>
        </w:tc>
        <w:tc>
          <w:tcPr>
            <w:tcW w:w="2524"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r>
              <w:rPr>
                <w:rFonts w:ascii="Verdana" w:hAnsi="Verdana"/>
                <w:noProof/>
                <w:color w:val="000000"/>
                <w:sz w:val="16"/>
              </w:rPr>
              <w:t>Älykäs ja osallistava kasvu</w:t>
            </w:r>
          </w:p>
        </w:tc>
        <w:tc>
          <w:tcPr>
            <w:tcW w:w="102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89 649</w:t>
            </w:r>
          </w:p>
        </w:tc>
        <w:tc>
          <w:tcPr>
            <w:tcW w:w="963"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77 514</w:t>
            </w:r>
          </w:p>
        </w:tc>
        <w:tc>
          <w:tcPr>
            <w:tcW w:w="1021" w:type="dxa"/>
            <w:gridSpan w:val="3"/>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114</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9 729</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87 357</w:t>
            </w:r>
          </w:p>
        </w:tc>
        <w:tc>
          <w:tcPr>
            <w:tcW w:w="708"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66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2 265</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2 265</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18</w:t>
            </w:r>
          </w:p>
        </w:tc>
        <w:tc>
          <w:tcPr>
            <w:tcW w:w="82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77"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27</w:t>
            </w:r>
          </w:p>
        </w:tc>
      </w:tr>
      <w:tr>
        <w:trPr>
          <w:trHeight w:val="408"/>
        </w:trPr>
        <w:tc>
          <w:tcPr>
            <w:tcW w:w="343"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i/>
                <w:noProof/>
                <w:color w:val="000000"/>
                <w:sz w:val="16"/>
              </w:rPr>
            </w:pPr>
          </w:p>
        </w:tc>
        <w:tc>
          <w:tcPr>
            <w:tcW w:w="2524"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i/>
                <w:noProof/>
                <w:color w:val="000000"/>
                <w:sz w:val="16"/>
              </w:rPr>
            </w:pPr>
            <w:r>
              <w:rPr>
                <w:rFonts w:ascii="Verdana" w:hAnsi="Verdana"/>
                <w:i/>
                <w:noProof/>
                <w:color w:val="000000"/>
                <w:sz w:val="16"/>
              </w:rPr>
              <w:t>1a: Kasvua ja työllisyyttä edistävä kilpailukyky</w:t>
            </w:r>
          </w:p>
        </w:tc>
        <w:tc>
          <w:tcPr>
            <w:tcW w:w="102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25 864</w:t>
            </w:r>
          </w:p>
        </w:tc>
        <w:tc>
          <w:tcPr>
            <w:tcW w:w="963"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21 988</w:t>
            </w:r>
          </w:p>
        </w:tc>
        <w:tc>
          <w:tcPr>
            <w:tcW w:w="1021" w:type="dxa"/>
            <w:gridSpan w:val="3"/>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4</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1 780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23 773</w:t>
            </w:r>
          </w:p>
        </w:tc>
        <w:tc>
          <w:tcPr>
            <w:tcW w:w="708"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92 %</w:t>
            </w:r>
          </w:p>
        </w:tc>
        <w:tc>
          <w:tcPr>
            <w:tcW w:w="66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2 080</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0</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2 081</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11</w:t>
            </w:r>
          </w:p>
        </w:tc>
        <w:tc>
          <w:tcPr>
            <w:tcW w:w="82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0</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0</w:t>
            </w:r>
          </w:p>
        </w:tc>
        <w:tc>
          <w:tcPr>
            <w:tcW w:w="877"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11</w:t>
            </w:r>
          </w:p>
        </w:tc>
      </w:tr>
      <w:tr>
        <w:trPr>
          <w:trHeight w:val="557"/>
        </w:trPr>
        <w:tc>
          <w:tcPr>
            <w:tcW w:w="343"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i/>
                <w:noProof/>
                <w:color w:val="000000"/>
                <w:sz w:val="16"/>
              </w:rPr>
            </w:pPr>
          </w:p>
        </w:tc>
        <w:tc>
          <w:tcPr>
            <w:tcW w:w="2524"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i/>
                <w:noProof/>
                <w:color w:val="000000"/>
                <w:sz w:val="16"/>
              </w:rPr>
            </w:pPr>
            <w:r>
              <w:rPr>
                <w:rFonts w:ascii="Verdana" w:hAnsi="Verdana"/>
                <w:i/>
                <w:noProof/>
                <w:color w:val="000000"/>
                <w:sz w:val="16"/>
              </w:rPr>
              <w:t>1b: Taloudellinen, sosiaalinen ja alueellinen koheesio</w:t>
            </w:r>
          </w:p>
        </w:tc>
        <w:tc>
          <w:tcPr>
            <w:tcW w:w="102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63 785</w:t>
            </w:r>
          </w:p>
        </w:tc>
        <w:tc>
          <w:tcPr>
            <w:tcW w:w="963"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55 525</w:t>
            </w:r>
          </w:p>
        </w:tc>
        <w:tc>
          <w:tcPr>
            <w:tcW w:w="1021" w:type="dxa"/>
            <w:gridSpan w:val="3"/>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110</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7 949</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63 585</w:t>
            </w:r>
          </w:p>
        </w:tc>
        <w:tc>
          <w:tcPr>
            <w:tcW w:w="708"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100 %</w:t>
            </w:r>
          </w:p>
        </w:tc>
        <w:tc>
          <w:tcPr>
            <w:tcW w:w="66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184</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184</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7</w:t>
            </w:r>
          </w:p>
        </w:tc>
        <w:tc>
          <w:tcPr>
            <w:tcW w:w="82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9</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16</w:t>
            </w:r>
          </w:p>
        </w:tc>
      </w:tr>
      <w:tr>
        <w:trPr>
          <w:trHeight w:val="340"/>
        </w:trPr>
        <w:tc>
          <w:tcPr>
            <w:tcW w:w="343"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r>
              <w:rPr>
                <w:rFonts w:ascii="Verdana" w:hAnsi="Verdana"/>
                <w:noProof/>
                <w:color w:val="000000"/>
                <w:sz w:val="16"/>
              </w:rPr>
              <w:t>2</w:t>
            </w:r>
          </w:p>
        </w:tc>
        <w:tc>
          <w:tcPr>
            <w:tcW w:w="2524"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r>
              <w:rPr>
                <w:rFonts w:ascii="Verdana" w:hAnsi="Verdana"/>
                <w:noProof/>
                <w:color w:val="000000"/>
                <w:sz w:val="16"/>
              </w:rPr>
              <w:t>Kestävä kasvu: luonnonvarat</w:t>
            </w:r>
          </w:p>
        </w:tc>
        <w:tc>
          <w:tcPr>
            <w:tcW w:w="102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62 419</w:t>
            </w:r>
          </w:p>
        </w:tc>
        <w:tc>
          <w:tcPr>
            <w:tcW w:w="963"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58 774</w:t>
            </w:r>
          </w:p>
        </w:tc>
        <w:tc>
          <w:tcPr>
            <w:tcW w:w="1021" w:type="dxa"/>
            <w:gridSpan w:val="3"/>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442</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1 344</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60 560</w:t>
            </w:r>
          </w:p>
        </w:tc>
        <w:tc>
          <w:tcPr>
            <w:tcW w:w="708"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66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1 385</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460</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1 845</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2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15</w:t>
            </w:r>
          </w:p>
        </w:tc>
      </w:tr>
      <w:tr>
        <w:trPr>
          <w:trHeight w:val="340"/>
        </w:trPr>
        <w:tc>
          <w:tcPr>
            <w:tcW w:w="343"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i/>
                <w:noProof/>
                <w:color w:val="000000"/>
                <w:sz w:val="16"/>
              </w:rPr>
            </w:pPr>
          </w:p>
        </w:tc>
        <w:tc>
          <w:tcPr>
            <w:tcW w:w="2524"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i/>
                <w:noProof/>
                <w:color w:val="000000"/>
                <w:sz w:val="16"/>
              </w:rPr>
            </w:pPr>
            <w:r>
              <w:rPr>
                <w:rFonts w:ascii="Verdana" w:hAnsi="Verdana"/>
                <w:i/>
                <w:noProof/>
                <w:color w:val="000000"/>
                <w:sz w:val="16"/>
              </w:rPr>
              <w:t>josta: markkinoihin liittyvät menot ja suorat tuet</w:t>
            </w:r>
          </w:p>
        </w:tc>
        <w:tc>
          <w:tcPr>
            <w:tcW w:w="102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45 284</w:t>
            </w:r>
          </w:p>
        </w:tc>
        <w:tc>
          <w:tcPr>
            <w:tcW w:w="963"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42 771</w:t>
            </w:r>
          </w:p>
        </w:tc>
        <w:tc>
          <w:tcPr>
            <w:tcW w:w="1021" w:type="dxa"/>
            <w:gridSpan w:val="3"/>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442</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1 152</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44 364</w:t>
            </w:r>
          </w:p>
        </w:tc>
        <w:tc>
          <w:tcPr>
            <w:tcW w:w="708"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98 %</w:t>
            </w:r>
          </w:p>
        </w:tc>
        <w:tc>
          <w:tcPr>
            <w:tcW w:w="66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449</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460</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908</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3</w:t>
            </w:r>
          </w:p>
        </w:tc>
        <w:tc>
          <w:tcPr>
            <w:tcW w:w="82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9</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11</w:t>
            </w:r>
          </w:p>
        </w:tc>
      </w:tr>
      <w:tr>
        <w:trPr>
          <w:trHeight w:val="340"/>
        </w:trPr>
        <w:tc>
          <w:tcPr>
            <w:tcW w:w="343"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r>
              <w:rPr>
                <w:rFonts w:ascii="Verdana" w:hAnsi="Verdana"/>
                <w:noProof/>
                <w:color w:val="000000"/>
                <w:sz w:val="16"/>
              </w:rPr>
              <w:t>3</w:t>
            </w:r>
          </w:p>
        </w:tc>
        <w:tc>
          <w:tcPr>
            <w:tcW w:w="2524"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r>
              <w:rPr>
                <w:rFonts w:ascii="Verdana" w:hAnsi="Verdana"/>
                <w:noProof/>
                <w:color w:val="000000"/>
                <w:sz w:val="16"/>
              </w:rPr>
              <w:t>Turvallisuus ja kansalaisuus</w:t>
            </w:r>
          </w:p>
        </w:tc>
        <w:tc>
          <w:tcPr>
            <w:tcW w:w="102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4 015</w:t>
            </w:r>
          </w:p>
        </w:tc>
        <w:tc>
          <w:tcPr>
            <w:tcW w:w="963"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3 491</w:t>
            </w:r>
          </w:p>
        </w:tc>
        <w:tc>
          <w:tcPr>
            <w:tcW w:w="1021" w:type="dxa"/>
            <w:gridSpan w:val="3"/>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247</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118</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3 855</w:t>
            </w:r>
          </w:p>
        </w:tc>
        <w:tc>
          <w:tcPr>
            <w:tcW w:w="708"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96 %</w:t>
            </w:r>
          </w:p>
        </w:tc>
        <w:tc>
          <w:tcPr>
            <w:tcW w:w="66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158</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158</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2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77"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340"/>
        </w:trPr>
        <w:tc>
          <w:tcPr>
            <w:tcW w:w="343"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r>
              <w:rPr>
                <w:rFonts w:ascii="Verdana" w:hAnsi="Verdana"/>
                <w:noProof/>
                <w:color w:val="000000"/>
                <w:sz w:val="16"/>
              </w:rPr>
              <w:t>4</w:t>
            </w:r>
          </w:p>
        </w:tc>
        <w:tc>
          <w:tcPr>
            <w:tcW w:w="2524"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r>
              <w:rPr>
                <w:rFonts w:ascii="Verdana" w:hAnsi="Verdana"/>
                <w:noProof/>
                <w:color w:val="000000"/>
                <w:sz w:val="16"/>
              </w:rPr>
              <w:t>Globaali Eurooppa</w:t>
            </w:r>
          </w:p>
        </w:tc>
        <w:tc>
          <w:tcPr>
            <w:tcW w:w="102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11 448</w:t>
            </w:r>
          </w:p>
        </w:tc>
        <w:tc>
          <w:tcPr>
            <w:tcW w:w="963"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10 377</w:t>
            </w:r>
          </w:p>
        </w:tc>
        <w:tc>
          <w:tcPr>
            <w:tcW w:w="1021" w:type="dxa"/>
            <w:gridSpan w:val="3"/>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64</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621</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11 062</w:t>
            </w:r>
          </w:p>
        </w:tc>
        <w:tc>
          <w:tcPr>
            <w:tcW w:w="708"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66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383</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383</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2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77"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340"/>
        </w:trPr>
        <w:tc>
          <w:tcPr>
            <w:tcW w:w="343"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r>
              <w:rPr>
                <w:rFonts w:ascii="Verdana" w:hAnsi="Verdana"/>
                <w:noProof/>
                <w:color w:val="000000"/>
                <w:sz w:val="16"/>
              </w:rPr>
              <w:t>5</w:t>
            </w:r>
          </w:p>
        </w:tc>
        <w:tc>
          <w:tcPr>
            <w:tcW w:w="2524"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r>
              <w:rPr>
                <w:rFonts w:ascii="Verdana" w:hAnsi="Verdana"/>
                <w:noProof/>
                <w:color w:val="000000"/>
                <w:sz w:val="16"/>
              </w:rPr>
              <w:t>Hallinto</w:t>
            </w:r>
          </w:p>
        </w:tc>
        <w:tc>
          <w:tcPr>
            <w:tcW w:w="102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10 508</w:t>
            </w:r>
          </w:p>
        </w:tc>
        <w:tc>
          <w:tcPr>
            <w:tcW w:w="963"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9 545</w:t>
            </w:r>
          </w:p>
        </w:tc>
        <w:tc>
          <w:tcPr>
            <w:tcW w:w="1021" w:type="dxa"/>
            <w:gridSpan w:val="3"/>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7</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572</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10 124</w:t>
            </w:r>
          </w:p>
        </w:tc>
        <w:tc>
          <w:tcPr>
            <w:tcW w:w="708"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96 %</w:t>
            </w:r>
          </w:p>
        </w:tc>
        <w:tc>
          <w:tcPr>
            <w:tcW w:w="66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259</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260</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119</w:t>
            </w:r>
          </w:p>
        </w:tc>
        <w:tc>
          <w:tcPr>
            <w:tcW w:w="82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77"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124</w:t>
            </w:r>
          </w:p>
        </w:tc>
      </w:tr>
      <w:tr>
        <w:trPr>
          <w:trHeight w:val="340"/>
        </w:trPr>
        <w:tc>
          <w:tcPr>
            <w:tcW w:w="343"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i/>
                <w:noProof/>
                <w:color w:val="000000"/>
                <w:sz w:val="16"/>
              </w:rPr>
            </w:pPr>
          </w:p>
        </w:tc>
        <w:tc>
          <w:tcPr>
            <w:tcW w:w="2524"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i/>
                <w:noProof/>
                <w:color w:val="000000"/>
                <w:sz w:val="16"/>
              </w:rPr>
            </w:pPr>
            <w:r>
              <w:rPr>
                <w:rFonts w:ascii="Verdana" w:hAnsi="Verdana"/>
                <w:i/>
                <w:noProof/>
                <w:color w:val="000000"/>
                <w:sz w:val="16"/>
              </w:rPr>
              <w:t>josta: toimielinten hallintomenot</w:t>
            </w:r>
          </w:p>
        </w:tc>
        <w:tc>
          <w:tcPr>
            <w:tcW w:w="102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4 465</w:t>
            </w:r>
          </w:p>
        </w:tc>
        <w:tc>
          <w:tcPr>
            <w:tcW w:w="963"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3 939</w:t>
            </w:r>
          </w:p>
        </w:tc>
        <w:tc>
          <w:tcPr>
            <w:tcW w:w="1021" w:type="dxa"/>
            <w:gridSpan w:val="3"/>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7</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334</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4 280</w:t>
            </w:r>
          </w:p>
        </w:tc>
        <w:tc>
          <w:tcPr>
            <w:tcW w:w="708"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96 %</w:t>
            </w:r>
          </w:p>
        </w:tc>
        <w:tc>
          <w:tcPr>
            <w:tcW w:w="66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105</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0</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105</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76</w:t>
            </w:r>
          </w:p>
        </w:tc>
        <w:tc>
          <w:tcPr>
            <w:tcW w:w="82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5</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0</w:t>
            </w:r>
          </w:p>
        </w:tc>
        <w:tc>
          <w:tcPr>
            <w:tcW w:w="877"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81</w:t>
            </w:r>
          </w:p>
        </w:tc>
      </w:tr>
      <w:tr>
        <w:trPr>
          <w:trHeight w:val="340"/>
        </w:trPr>
        <w:tc>
          <w:tcPr>
            <w:tcW w:w="343"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r>
              <w:rPr>
                <w:rFonts w:ascii="Verdana" w:hAnsi="Verdana"/>
                <w:noProof/>
                <w:color w:val="000000"/>
                <w:sz w:val="16"/>
              </w:rPr>
              <w:t>6</w:t>
            </w:r>
          </w:p>
        </w:tc>
        <w:tc>
          <w:tcPr>
            <w:tcW w:w="2524"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r>
              <w:rPr>
                <w:rFonts w:ascii="Verdana" w:hAnsi="Verdana"/>
                <w:noProof/>
                <w:color w:val="000000"/>
                <w:sz w:val="16"/>
              </w:rPr>
              <w:t>Korvaukset</w:t>
            </w:r>
          </w:p>
        </w:tc>
        <w:tc>
          <w:tcPr>
            <w:tcW w:w="102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63"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021" w:type="dxa"/>
            <w:gridSpan w:val="3"/>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66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2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343"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r>
              <w:rPr>
                <w:rFonts w:ascii="Verdana" w:hAnsi="Verdana"/>
                <w:noProof/>
                <w:color w:val="000000"/>
                <w:sz w:val="16"/>
              </w:rPr>
              <w:t>8</w:t>
            </w:r>
          </w:p>
        </w:tc>
        <w:tc>
          <w:tcPr>
            <w:tcW w:w="2524"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r>
              <w:rPr>
                <w:rFonts w:ascii="Verdana" w:hAnsi="Verdana"/>
                <w:noProof/>
                <w:color w:val="000000"/>
                <w:sz w:val="16"/>
              </w:rPr>
              <w:t xml:space="preserve">Negatiivinen varaus ja edeltävältä varainhoitovuodelta siirretty alijäämä </w:t>
            </w:r>
          </w:p>
        </w:tc>
        <w:tc>
          <w:tcPr>
            <w:tcW w:w="102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63"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021" w:type="dxa"/>
            <w:gridSpan w:val="3"/>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66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2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343"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r>
              <w:rPr>
                <w:rFonts w:ascii="Verdana" w:hAnsi="Verdana"/>
                <w:noProof/>
                <w:color w:val="000000"/>
                <w:sz w:val="16"/>
              </w:rPr>
              <w:t>9</w:t>
            </w:r>
          </w:p>
        </w:tc>
        <w:tc>
          <w:tcPr>
            <w:tcW w:w="2524"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r>
              <w:rPr>
                <w:rFonts w:ascii="Verdana" w:hAnsi="Verdana"/>
                <w:noProof/>
                <w:color w:val="000000"/>
                <w:sz w:val="16"/>
              </w:rPr>
              <w:t>Erityisrahoitusvälineet</w:t>
            </w:r>
          </w:p>
        </w:tc>
        <w:tc>
          <w:tcPr>
            <w:tcW w:w="102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429</w:t>
            </w:r>
          </w:p>
        </w:tc>
        <w:tc>
          <w:tcPr>
            <w:tcW w:w="963"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180</w:t>
            </w:r>
          </w:p>
        </w:tc>
        <w:tc>
          <w:tcPr>
            <w:tcW w:w="1021" w:type="dxa"/>
            <w:gridSpan w:val="3"/>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180</w:t>
            </w:r>
          </w:p>
        </w:tc>
        <w:tc>
          <w:tcPr>
            <w:tcW w:w="708"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42 %</w:t>
            </w:r>
          </w:p>
        </w:tc>
        <w:tc>
          <w:tcPr>
            <w:tcW w:w="66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41</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64</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104</w:t>
            </w:r>
          </w:p>
        </w:tc>
        <w:tc>
          <w:tcPr>
            <w:tcW w:w="87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144</w:t>
            </w:r>
          </w:p>
        </w:tc>
        <w:tc>
          <w:tcPr>
            <w:tcW w:w="82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144</w:t>
            </w:r>
          </w:p>
        </w:tc>
      </w:tr>
      <w:tr>
        <w:trPr>
          <w:trHeight w:val="340"/>
        </w:trPr>
        <w:tc>
          <w:tcPr>
            <w:tcW w:w="34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2ImplementCommitments"/>
              <w:rPr>
                <w:rFonts w:ascii="Verdana" w:eastAsia="Times New Roman" w:hAnsi="Verdana" w:cs="Verdana"/>
                <w:b/>
                <w:noProof/>
                <w:color w:val="000000"/>
                <w:sz w:val="16"/>
              </w:rPr>
            </w:pPr>
          </w:p>
        </w:tc>
        <w:tc>
          <w:tcPr>
            <w:tcW w:w="252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2ImplementCommitments"/>
              <w:rPr>
                <w:rFonts w:ascii="Verdana" w:eastAsia="Times New Roman" w:hAnsi="Verdana" w:cs="Verdana"/>
                <w:b/>
                <w:noProof/>
                <w:color w:val="000000"/>
                <w:sz w:val="16"/>
              </w:rPr>
            </w:pPr>
            <w:r>
              <w:rPr>
                <w:rFonts w:ascii="Verdana" w:hAnsi="Verdana"/>
                <w:b/>
                <w:noProof/>
                <w:color w:val="000000"/>
                <w:sz w:val="16"/>
              </w:rPr>
              <w:t>Yhteensä</w:t>
            </w:r>
          </w:p>
        </w:tc>
        <w:tc>
          <w:tcPr>
            <w:tcW w:w="102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b/>
                <w:noProof/>
                <w:color w:val="000000"/>
                <w:sz w:val="16"/>
              </w:rPr>
            </w:pPr>
            <w:r>
              <w:rPr>
                <w:rFonts w:ascii="Verdana" w:hAnsi="Verdana"/>
                <w:b/>
                <w:noProof/>
                <w:color w:val="000000"/>
                <w:sz w:val="16"/>
              </w:rPr>
              <w:t>178 468</w:t>
            </w:r>
          </w:p>
        </w:tc>
        <w:tc>
          <w:tcPr>
            <w:tcW w:w="96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b/>
                <w:noProof/>
                <w:color w:val="000000"/>
                <w:sz w:val="16"/>
              </w:rPr>
            </w:pPr>
            <w:r>
              <w:rPr>
                <w:rFonts w:ascii="Verdana" w:hAnsi="Verdana"/>
                <w:b/>
                <w:noProof/>
                <w:color w:val="000000"/>
                <w:sz w:val="16"/>
              </w:rPr>
              <w:t>159 881</w:t>
            </w:r>
          </w:p>
        </w:tc>
        <w:tc>
          <w:tcPr>
            <w:tcW w:w="1021" w:type="dxa"/>
            <w:gridSpan w:val="3"/>
            <w:tcBorders>
              <w:top w:val="nil"/>
              <w:left w:val="nil"/>
              <w:bottom w:val="nil"/>
              <w:right w:val="nil"/>
            </w:tcBorders>
            <w:shd w:val="solid" w:color="CCE1EA"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b/>
                <w:noProof/>
                <w:color w:val="000000"/>
                <w:sz w:val="16"/>
              </w:rPr>
            </w:pPr>
            <w:r>
              <w:rPr>
                <w:rFonts w:ascii="Verdana" w:hAnsi="Verdana"/>
                <w:b/>
                <w:noProof/>
                <w:color w:val="000000"/>
                <w:sz w:val="16"/>
              </w:rPr>
              <w:t xml:space="preserve"> 873</w:t>
            </w:r>
          </w:p>
        </w:tc>
        <w:tc>
          <w:tcPr>
            <w:tcW w:w="992"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b/>
                <w:noProof/>
                <w:color w:val="000000"/>
                <w:sz w:val="16"/>
              </w:rPr>
            </w:pPr>
            <w:r>
              <w:rPr>
                <w:rFonts w:ascii="Verdana" w:hAnsi="Verdana"/>
                <w:b/>
                <w:noProof/>
                <w:color w:val="000000"/>
                <w:sz w:val="16"/>
              </w:rPr>
              <w:t>12 385</w:t>
            </w:r>
          </w:p>
        </w:tc>
        <w:tc>
          <w:tcPr>
            <w:tcW w:w="993"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b/>
                <w:noProof/>
                <w:color w:val="000000"/>
                <w:sz w:val="16"/>
              </w:rPr>
            </w:pPr>
            <w:r>
              <w:rPr>
                <w:rFonts w:ascii="Verdana" w:hAnsi="Verdana"/>
                <w:b/>
                <w:noProof/>
                <w:color w:val="000000"/>
                <w:sz w:val="16"/>
              </w:rPr>
              <w:t>173 139</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b/>
                <w:noProof/>
                <w:color w:val="000000"/>
                <w:sz w:val="16"/>
              </w:rPr>
            </w:pPr>
            <w:r>
              <w:rPr>
                <w:rFonts w:ascii="Verdana" w:hAnsi="Verdana"/>
                <w:b/>
                <w:noProof/>
                <w:color w:val="000000"/>
                <w:sz w:val="16"/>
              </w:rPr>
              <w:t>97 %</w:t>
            </w:r>
          </w:p>
        </w:tc>
        <w:tc>
          <w:tcPr>
            <w:tcW w:w="66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b/>
                <w:noProof/>
                <w:color w:val="000000"/>
                <w:sz w:val="16"/>
              </w:rPr>
            </w:pPr>
            <w:r>
              <w:rPr>
                <w:rFonts w:ascii="Verdana" w:hAnsi="Verdana"/>
                <w:b/>
                <w:noProof/>
                <w:color w:val="000000"/>
                <w:sz w:val="16"/>
              </w:rPr>
              <w:t>4 491</w:t>
            </w:r>
          </w:p>
        </w:tc>
        <w:tc>
          <w:tcPr>
            <w:tcW w:w="8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b/>
                <w:noProof/>
                <w:color w:val="000000"/>
                <w:sz w:val="16"/>
              </w:rPr>
            </w:pPr>
            <w:r>
              <w:rPr>
                <w:rFonts w:ascii="Verdana" w:hAnsi="Verdana"/>
                <w:b/>
                <w:noProof/>
                <w:color w:val="000000"/>
                <w:sz w:val="16"/>
              </w:rPr>
              <w:t xml:space="preserve"> 525</w:t>
            </w:r>
          </w:p>
        </w:tc>
        <w:tc>
          <w:tcPr>
            <w:tcW w:w="8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b/>
                <w:noProof/>
                <w:color w:val="000000"/>
                <w:sz w:val="16"/>
              </w:rPr>
            </w:pPr>
            <w:r>
              <w:rPr>
                <w:rFonts w:ascii="Verdana" w:hAnsi="Verdana"/>
                <w:b/>
                <w:noProof/>
                <w:color w:val="000000"/>
                <w:sz w:val="16"/>
              </w:rPr>
              <w:t>5 015</w:t>
            </w:r>
          </w:p>
        </w:tc>
        <w:tc>
          <w:tcPr>
            <w:tcW w:w="8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b/>
                <w:noProof/>
                <w:color w:val="000000"/>
                <w:sz w:val="16"/>
              </w:rPr>
            </w:pPr>
            <w:r>
              <w:rPr>
                <w:rFonts w:ascii="Verdana" w:hAnsi="Verdana"/>
                <w:b/>
                <w:noProof/>
                <w:color w:val="000000"/>
                <w:sz w:val="16"/>
              </w:rPr>
              <w:t xml:space="preserve"> 291</w:t>
            </w:r>
          </w:p>
        </w:tc>
        <w:tc>
          <w:tcPr>
            <w:tcW w:w="82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b/>
                <w:noProof/>
                <w:color w:val="000000"/>
                <w:sz w:val="16"/>
              </w:rPr>
            </w:pPr>
            <w:r>
              <w:rPr>
                <w:rFonts w:ascii="Verdana" w:hAnsi="Verdana"/>
                <w:b/>
                <w:noProof/>
                <w:color w:val="000000"/>
                <w:sz w:val="16"/>
              </w:rPr>
              <w:t xml:space="preserve"> 23</w:t>
            </w:r>
          </w:p>
        </w:tc>
        <w:tc>
          <w:tcPr>
            <w:tcW w:w="992"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b/>
                <w:noProof/>
                <w:color w:val="000000"/>
                <w:sz w:val="16"/>
              </w:rPr>
            </w:pPr>
            <w:r>
              <w:rPr>
                <w:rFonts w:ascii="Verdana" w:hAnsi="Verdana"/>
                <w:b/>
                <w:noProof/>
                <w:color w:val="000000"/>
                <w:sz w:val="16"/>
              </w:rPr>
              <w:t xml:space="preserve"> 0</w:t>
            </w:r>
          </w:p>
        </w:tc>
        <w:tc>
          <w:tcPr>
            <w:tcW w:w="87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b/>
                <w:noProof/>
                <w:color w:val="000000"/>
                <w:sz w:val="16"/>
              </w:rPr>
            </w:pPr>
            <w:r>
              <w:rPr>
                <w:rFonts w:ascii="Verdana" w:hAnsi="Verdana"/>
                <w:b/>
                <w:noProof/>
                <w:color w:val="000000"/>
                <w:sz w:val="16"/>
              </w:rPr>
              <w:t xml:space="preserve"> 314</w:t>
            </w:r>
          </w:p>
        </w:tc>
      </w:tr>
    </w:tbl>
    <w:p>
      <w:pPr>
        <w:pStyle w:val="Textstand-alone"/>
      </w:pPr>
    </w:p>
    <w:p>
      <w:pPr>
        <w:pStyle w:val="DGTextstand-alone"/>
        <w:sectPr>
          <w:headerReference w:type="even" r:id="rId479"/>
          <w:headerReference w:type="default" r:id="rId480"/>
          <w:footerReference w:type="even" r:id="rId481"/>
          <w:footerReference w:type="default" r:id="rId482"/>
          <w:headerReference w:type="first" r:id="rId483"/>
          <w:footerReference w:type="first" r:id="rId484"/>
          <w:type w:val="nextColumn"/>
          <w:pgSz w:w="16840" w:h="11900" w:orient="landscape"/>
          <w:pgMar w:top="1134" w:right="1134" w:bottom="1134" w:left="1134" w:header="720" w:footer="720" w:gutter="0"/>
          <w:cols w:space="720"/>
          <w:docGrid w:linePitch="272"/>
        </w:sectPr>
      </w:pPr>
    </w:p>
    <w:p>
      <w:pPr>
        <w:pStyle w:val="HEADER2PartBUDG"/>
        <w:rPr>
          <w:noProof/>
        </w:rPr>
      </w:pPr>
      <w:bookmarkStart w:id="327" w:name="_Toc11939553"/>
      <w:bookmarkStart w:id="328" w:name="_Toc17887578"/>
      <w:r>
        <w:rPr>
          <w:noProof/>
        </w:rPr>
        <w:t>MAKSUMÄÄRÄRAHOJEN TOTEUTUMINEN MONIVUOTISEN RAHOITUSKEHYKSEN OTSAKKEITTAIN</w:t>
      </w:r>
      <w:bookmarkEnd w:id="327"/>
      <w:bookmarkEnd w:id="328"/>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
        <w:gridCol w:w="2068"/>
        <w:gridCol w:w="982"/>
        <w:gridCol w:w="978"/>
        <w:gridCol w:w="849"/>
        <w:gridCol w:w="849"/>
        <w:gridCol w:w="54"/>
        <w:gridCol w:w="918"/>
        <w:gridCol w:w="725"/>
        <w:gridCol w:w="767"/>
        <w:gridCol w:w="82"/>
        <w:gridCol w:w="768"/>
        <w:gridCol w:w="81"/>
        <w:gridCol w:w="628"/>
        <w:gridCol w:w="221"/>
        <w:gridCol w:w="849"/>
        <w:gridCol w:w="849"/>
        <w:gridCol w:w="647"/>
        <w:gridCol w:w="127"/>
        <w:gridCol w:w="716"/>
        <w:gridCol w:w="276"/>
        <w:gridCol w:w="877"/>
      </w:tblGrid>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bookmarkStart w:id="329" w:name="DOC_TBL00106_1_1"/>
            <w:bookmarkEnd w:id="329"/>
          </w:p>
        </w:tc>
        <w:tc>
          <w:tcPr>
            <w:tcW w:w="2068"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p>
        </w:tc>
        <w:tc>
          <w:tcPr>
            <w:tcW w:w="982"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p>
        </w:tc>
        <w:tc>
          <w:tcPr>
            <w:tcW w:w="978"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p>
        </w:tc>
        <w:tc>
          <w:tcPr>
            <w:tcW w:w="849"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p>
        </w:tc>
        <w:tc>
          <w:tcPr>
            <w:tcW w:w="849"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p>
        </w:tc>
        <w:tc>
          <w:tcPr>
            <w:tcW w:w="972"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p>
        </w:tc>
        <w:tc>
          <w:tcPr>
            <w:tcW w:w="725"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p>
        </w:tc>
        <w:tc>
          <w:tcPr>
            <w:tcW w:w="849"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p>
        </w:tc>
        <w:tc>
          <w:tcPr>
            <w:tcW w:w="849"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p>
        </w:tc>
        <w:tc>
          <w:tcPr>
            <w:tcW w:w="849"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p>
        </w:tc>
        <w:tc>
          <w:tcPr>
            <w:tcW w:w="849"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p>
        </w:tc>
        <w:tc>
          <w:tcPr>
            <w:tcW w:w="849"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p>
        </w:tc>
        <w:tc>
          <w:tcPr>
            <w:tcW w:w="647"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p>
        </w:tc>
        <w:tc>
          <w:tcPr>
            <w:tcW w:w="843"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p>
        </w:tc>
        <w:tc>
          <w:tcPr>
            <w:tcW w:w="1153"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milj. euroa</w:t>
            </w:r>
          </w:p>
        </w:tc>
      </w:tr>
      <w:tr>
        <w:trPr>
          <w:trHeight w:val="340"/>
        </w:trPr>
        <w:tc>
          <w:tcPr>
            <w:tcW w:w="23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b/>
                <w:noProof/>
                <w:color w:val="FFFFFF"/>
                <w:sz w:val="16"/>
              </w:rPr>
            </w:pPr>
          </w:p>
        </w:tc>
        <w:tc>
          <w:tcPr>
            <w:tcW w:w="2068"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b/>
                <w:noProof/>
                <w:color w:val="FFFFFF"/>
                <w:sz w:val="16"/>
              </w:rPr>
            </w:pPr>
          </w:p>
        </w:tc>
        <w:tc>
          <w:tcPr>
            <w:tcW w:w="982" w:type="dxa"/>
            <w:vMerge w:val="restart"/>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right"/>
              <w:rPr>
                <w:rFonts w:ascii="Verdana" w:eastAsia="Times New Roman" w:hAnsi="Verdana" w:cs="Verdana"/>
                <w:b/>
                <w:noProof/>
                <w:color w:val="FFFFFF"/>
                <w:sz w:val="16"/>
              </w:rPr>
            </w:pPr>
            <w:r>
              <w:rPr>
                <w:rFonts w:ascii="Verdana" w:hAnsi="Verdana"/>
                <w:b/>
                <w:noProof/>
                <w:color w:val="FFFFFF"/>
                <w:sz w:val="16"/>
              </w:rPr>
              <w:t>Käytet</w:t>
            </w:r>
            <w:r>
              <w:rPr>
                <w:rFonts w:ascii="Verdana" w:hAnsi="Verdana"/>
                <w:b/>
                <w:noProof/>
                <w:color w:val="FFFFFF"/>
                <w:sz w:val="16"/>
              </w:rPr>
              <w:softHyphen/>
              <w:t>tävissä</w:t>
            </w:r>
          </w:p>
          <w:p>
            <w:pPr>
              <w:pStyle w:val="DMETW14819BIPMFF3ImplementPayments"/>
              <w:jc w:val="right"/>
              <w:rPr>
                <w:rFonts w:ascii="Verdana" w:eastAsia="Times New Roman" w:hAnsi="Verdana" w:cs="Verdana"/>
                <w:b/>
                <w:noProof/>
                <w:color w:val="FFFFFF"/>
                <w:sz w:val="16"/>
              </w:rPr>
            </w:pPr>
            <w:r>
              <w:rPr>
                <w:rFonts w:ascii="Verdana" w:hAnsi="Verdana"/>
                <w:b/>
                <w:noProof/>
                <w:color w:val="FFFFFF"/>
                <w:sz w:val="16"/>
              </w:rPr>
              <w:t>olevat määrä</w:t>
            </w:r>
            <w:r>
              <w:rPr>
                <w:rFonts w:ascii="Verdana" w:hAnsi="Verdana"/>
                <w:b/>
                <w:noProof/>
                <w:color w:val="FFFFFF"/>
                <w:sz w:val="16"/>
              </w:rPr>
              <w:softHyphen/>
              <w:t>rahat</w:t>
            </w:r>
          </w:p>
          <w:p>
            <w:pPr>
              <w:pStyle w:val="DMETW14819BIPMFF3ImplementPayments"/>
              <w:jc w:val="right"/>
              <w:rPr>
                <w:rFonts w:ascii="Verdana" w:eastAsia="Times New Roman" w:hAnsi="Verdana" w:cs="Verdana"/>
                <w:b/>
                <w:noProof/>
                <w:color w:val="FFFFFF"/>
                <w:sz w:val="16"/>
              </w:rPr>
            </w:pPr>
            <w:r>
              <w:rPr>
                <w:rFonts w:ascii="Verdana" w:hAnsi="Verdana"/>
                <w:b/>
                <w:noProof/>
                <w:color w:val="FFFFFF"/>
                <w:sz w:val="16"/>
              </w:rPr>
              <w:t>yhteensä</w:t>
            </w:r>
          </w:p>
        </w:tc>
        <w:tc>
          <w:tcPr>
            <w:tcW w:w="4373" w:type="dxa"/>
            <w:gridSpan w:val="6"/>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b/>
                <w:noProof/>
                <w:color w:val="FFFFFF"/>
                <w:sz w:val="16"/>
              </w:rPr>
            </w:pPr>
            <w:r>
              <w:rPr>
                <w:rFonts w:ascii="Verdana" w:hAnsi="Verdana"/>
                <w:b/>
                <w:noProof/>
                <w:color w:val="FFFFFF"/>
                <w:sz w:val="16"/>
              </w:rPr>
              <w:t>Suoritetut maksut</w:t>
            </w:r>
          </w:p>
        </w:tc>
        <w:tc>
          <w:tcPr>
            <w:tcW w:w="3396" w:type="dxa"/>
            <w:gridSpan w:val="7"/>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b/>
                <w:noProof/>
                <w:color w:val="FFFFFF"/>
                <w:sz w:val="16"/>
              </w:rPr>
            </w:pPr>
            <w:r>
              <w:rPr>
                <w:rFonts w:ascii="Verdana" w:hAnsi="Verdana"/>
                <w:b/>
                <w:noProof/>
                <w:color w:val="FFFFFF"/>
                <w:sz w:val="16"/>
              </w:rPr>
              <w:t>Vuodelle 2019 siirretyt määrärahat</w:t>
            </w:r>
          </w:p>
        </w:tc>
        <w:tc>
          <w:tcPr>
            <w:tcW w:w="3492" w:type="dxa"/>
            <w:gridSpan w:val="6"/>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b/>
                <w:noProof/>
                <w:color w:val="FFFFFF"/>
                <w:sz w:val="16"/>
              </w:rPr>
            </w:pPr>
            <w:r>
              <w:rPr>
                <w:rFonts w:ascii="Verdana" w:hAnsi="Verdana"/>
                <w:b/>
                <w:noProof/>
                <w:color w:val="FFFFFF"/>
                <w:sz w:val="16"/>
              </w:rPr>
              <w:t>Raukeavat määrärahat</w:t>
            </w:r>
          </w:p>
        </w:tc>
      </w:tr>
      <w:tr>
        <w:trPr>
          <w:trHeight w:val="340"/>
        </w:trPr>
        <w:tc>
          <w:tcPr>
            <w:tcW w:w="23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p>
        </w:tc>
        <w:tc>
          <w:tcPr>
            <w:tcW w:w="2068"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Rahoituskehyksen otsake</w:t>
            </w:r>
          </w:p>
        </w:tc>
        <w:tc>
          <w:tcPr>
            <w:tcW w:w="982" w:type="dxa"/>
            <w:vMerge/>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b/>
                <w:noProof/>
                <w:color w:val="FFFFFF"/>
                <w:sz w:val="16"/>
              </w:rPr>
            </w:pPr>
          </w:p>
        </w:tc>
        <w:tc>
          <w:tcPr>
            <w:tcW w:w="978"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FFFFFF"/>
                <w:sz w:val="16"/>
              </w:rPr>
            </w:pPr>
            <w:r>
              <w:rPr>
                <w:rFonts w:ascii="Verdana" w:hAnsi="Verdana"/>
                <w:noProof/>
                <w:color w:val="FFFFFF"/>
                <w:sz w:val="16"/>
              </w:rPr>
              <w:t>Lopulli</w:t>
            </w:r>
            <w:r>
              <w:rPr>
                <w:rFonts w:ascii="Verdana" w:hAnsi="Verdana"/>
                <w:noProof/>
                <w:color w:val="FFFFFF"/>
                <w:sz w:val="16"/>
              </w:rPr>
              <w:softHyphen/>
              <w:t>sista hyväksy</w:t>
            </w:r>
            <w:r>
              <w:rPr>
                <w:rFonts w:ascii="Verdana" w:hAnsi="Verdana"/>
                <w:noProof/>
                <w:color w:val="FFFFFF"/>
                <w:sz w:val="16"/>
              </w:rPr>
              <w:softHyphen/>
              <w:t>tyistä määrä</w:t>
            </w:r>
            <w:r>
              <w:rPr>
                <w:rFonts w:ascii="Verdana" w:hAnsi="Verdana"/>
                <w:noProof/>
                <w:color w:val="FFFFFF"/>
                <w:sz w:val="16"/>
              </w:rPr>
              <w:softHyphen/>
              <w:t>rahoista</w:t>
            </w:r>
          </w:p>
        </w:tc>
        <w:tc>
          <w:tcPr>
            <w:tcW w:w="849"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FFFFFF"/>
                <w:sz w:val="16"/>
              </w:rPr>
            </w:pPr>
            <w:r>
              <w:rPr>
                <w:rFonts w:ascii="Verdana" w:hAnsi="Verdana"/>
                <w:noProof/>
                <w:color w:val="FFFFFF"/>
                <w:sz w:val="16"/>
              </w:rPr>
              <w:t>Siirre</w:t>
            </w:r>
            <w:r>
              <w:rPr>
                <w:rFonts w:ascii="Verdana" w:hAnsi="Verdana"/>
                <w:noProof/>
                <w:color w:val="FFFFFF"/>
                <w:sz w:val="16"/>
              </w:rPr>
              <w:softHyphen/>
              <w:t>tyistä määrä</w:t>
            </w:r>
            <w:r>
              <w:rPr>
                <w:rFonts w:ascii="Verdana" w:hAnsi="Verdana"/>
                <w:noProof/>
                <w:color w:val="FFFFFF"/>
                <w:sz w:val="16"/>
              </w:rPr>
              <w:softHyphen/>
              <w:t>rahoista</w:t>
            </w:r>
          </w:p>
        </w:tc>
        <w:tc>
          <w:tcPr>
            <w:tcW w:w="903"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FFFFFF"/>
                <w:sz w:val="16"/>
              </w:rPr>
            </w:pPr>
            <w:r>
              <w:rPr>
                <w:rFonts w:ascii="Verdana" w:hAnsi="Verdana"/>
                <w:noProof/>
                <w:color w:val="FFFFFF"/>
                <w:sz w:val="16"/>
              </w:rPr>
              <w:t>Käyttö</w:t>
            </w:r>
            <w:r>
              <w:rPr>
                <w:rFonts w:ascii="Verdana" w:hAnsi="Verdana"/>
                <w:noProof/>
                <w:color w:val="FFFFFF"/>
                <w:sz w:val="16"/>
              </w:rPr>
              <w:softHyphen/>
              <w:t>tark. sidotuista tuloista</w:t>
            </w:r>
          </w:p>
        </w:tc>
        <w:tc>
          <w:tcPr>
            <w:tcW w:w="918"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FFFFFF"/>
                <w:sz w:val="16"/>
              </w:rPr>
            </w:pPr>
            <w:r>
              <w:rPr>
                <w:rFonts w:ascii="Verdana" w:hAnsi="Verdana"/>
                <w:noProof/>
                <w:color w:val="FFFFFF"/>
                <w:sz w:val="16"/>
              </w:rPr>
              <w:t>Yhteensä</w:t>
            </w:r>
          </w:p>
        </w:tc>
        <w:tc>
          <w:tcPr>
            <w:tcW w:w="725"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FFFFFF"/>
                <w:sz w:val="16"/>
              </w:rPr>
            </w:pPr>
            <w:r>
              <w:rPr>
                <w:rFonts w:ascii="Verdana" w:hAnsi="Verdana"/>
                <w:noProof/>
                <w:color w:val="FFFFFF"/>
                <w:sz w:val="16"/>
              </w:rPr>
              <w:t>%</w:t>
            </w:r>
          </w:p>
        </w:tc>
        <w:tc>
          <w:tcPr>
            <w:tcW w:w="767"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FFFFFF"/>
                <w:sz w:val="16"/>
              </w:rPr>
            </w:pPr>
            <w:r>
              <w:rPr>
                <w:rFonts w:ascii="Verdana" w:hAnsi="Verdana"/>
                <w:noProof/>
                <w:color w:val="FFFFFF"/>
                <w:sz w:val="16"/>
              </w:rPr>
              <w:t>Auto</w:t>
            </w:r>
            <w:r>
              <w:rPr>
                <w:rFonts w:ascii="Verdana" w:hAnsi="Verdana"/>
                <w:noProof/>
                <w:color w:val="FFFFFF"/>
                <w:sz w:val="16"/>
              </w:rPr>
              <w:softHyphen/>
              <w:t>maat</w:t>
            </w:r>
            <w:r>
              <w:rPr>
                <w:rFonts w:ascii="Verdana" w:hAnsi="Verdana"/>
                <w:noProof/>
                <w:color w:val="FFFFFF"/>
                <w:sz w:val="16"/>
              </w:rPr>
              <w:softHyphen/>
              <w:t>tisesti siirty</w:t>
            </w:r>
            <w:r>
              <w:rPr>
                <w:rFonts w:ascii="Verdana" w:hAnsi="Verdana"/>
                <w:noProof/>
                <w:color w:val="FFFFFF"/>
                <w:sz w:val="16"/>
              </w:rPr>
              <w:softHyphen/>
              <w:t>neet</w:t>
            </w:r>
          </w:p>
        </w:tc>
        <w:tc>
          <w:tcPr>
            <w:tcW w:w="850"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FFFFFF"/>
                <w:sz w:val="16"/>
              </w:rPr>
            </w:pPr>
            <w:r>
              <w:rPr>
                <w:rFonts w:ascii="Verdana" w:hAnsi="Verdana"/>
                <w:noProof/>
                <w:color w:val="FFFFFF"/>
                <w:sz w:val="16"/>
              </w:rPr>
              <w:t>Päätök</w:t>
            </w:r>
            <w:r>
              <w:rPr>
                <w:rFonts w:ascii="Verdana" w:hAnsi="Verdana"/>
                <w:noProof/>
                <w:color w:val="FFFFFF"/>
                <w:sz w:val="16"/>
              </w:rPr>
              <w:softHyphen/>
              <w:t>sellä siirretyt</w:t>
            </w:r>
          </w:p>
        </w:tc>
        <w:tc>
          <w:tcPr>
            <w:tcW w:w="709"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right"/>
              <w:rPr>
                <w:rFonts w:ascii="Verdana" w:hAnsi="Verdana"/>
                <w:noProof/>
                <w:color w:val="FFFFFF"/>
                <w:sz w:val="16"/>
              </w:rPr>
            </w:pPr>
            <w:r>
              <w:rPr>
                <w:rFonts w:ascii="Verdana" w:hAnsi="Verdana"/>
                <w:noProof/>
                <w:color w:val="FFFFFF"/>
                <w:sz w:val="16"/>
              </w:rPr>
              <w:t>Käyttö</w:t>
            </w:r>
            <w:r>
              <w:rPr>
                <w:rFonts w:ascii="Verdana" w:hAnsi="Verdana"/>
                <w:noProof/>
                <w:color w:val="FFFFFF"/>
                <w:sz w:val="16"/>
              </w:rPr>
              <w:softHyphen/>
            </w:r>
          </w:p>
          <w:p>
            <w:pPr>
              <w:pStyle w:val="DMETW14819BIPMFF3ImplementPayments"/>
              <w:jc w:val="right"/>
              <w:rPr>
                <w:rFonts w:ascii="Verdana" w:eastAsia="Times New Roman" w:hAnsi="Verdana" w:cs="Verdana"/>
                <w:noProof/>
                <w:color w:val="FFFFFF"/>
                <w:sz w:val="16"/>
              </w:rPr>
            </w:pPr>
            <w:r>
              <w:rPr>
                <w:rFonts w:ascii="Verdana" w:hAnsi="Verdana"/>
                <w:noProof/>
                <w:color w:val="FFFFFF"/>
                <w:sz w:val="16"/>
              </w:rPr>
              <w:t>tark. sidotut tulot</w:t>
            </w:r>
          </w:p>
        </w:tc>
        <w:tc>
          <w:tcPr>
            <w:tcW w:w="1070"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FFFFFF"/>
                <w:sz w:val="16"/>
              </w:rPr>
            </w:pPr>
            <w:r>
              <w:rPr>
                <w:rFonts w:ascii="Verdana" w:hAnsi="Verdana"/>
                <w:noProof/>
                <w:color w:val="FFFFFF"/>
                <w:sz w:val="16"/>
              </w:rPr>
              <w:t>Yhteensä</w:t>
            </w:r>
          </w:p>
        </w:tc>
        <w:tc>
          <w:tcPr>
            <w:tcW w:w="849"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FFFFFF"/>
                <w:sz w:val="16"/>
              </w:rPr>
            </w:pPr>
            <w:r>
              <w:rPr>
                <w:rFonts w:ascii="Verdana" w:hAnsi="Verdana"/>
                <w:noProof/>
                <w:color w:val="FFFFFF"/>
                <w:sz w:val="16"/>
              </w:rPr>
              <w:t>Lopulli</w:t>
            </w:r>
            <w:r>
              <w:rPr>
                <w:rFonts w:ascii="Verdana" w:hAnsi="Verdana"/>
                <w:noProof/>
                <w:color w:val="FFFFFF"/>
                <w:sz w:val="16"/>
              </w:rPr>
              <w:softHyphen/>
              <w:t>sista hyväk</w:t>
            </w:r>
            <w:r>
              <w:rPr>
                <w:rFonts w:ascii="Verdana" w:hAnsi="Verdana"/>
                <w:noProof/>
                <w:color w:val="FFFFFF"/>
                <w:sz w:val="16"/>
              </w:rPr>
              <w:softHyphen/>
              <w:t>sytyistä määrä</w:t>
            </w:r>
            <w:r>
              <w:rPr>
                <w:rFonts w:ascii="Verdana" w:hAnsi="Verdana"/>
                <w:noProof/>
                <w:color w:val="FFFFFF"/>
                <w:sz w:val="16"/>
              </w:rPr>
              <w:softHyphen/>
              <w:t>rahoista</w:t>
            </w:r>
          </w:p>
        </w:tc>
        <w:tc>
          <w:tcPr>
            <w:tcW w:w="774"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FFFFFF"/>
                <w:sz w:val="16"/>
              </w:rPr>
            </w:pPr>
            <w:r>
              <w:rPr>
                <w:rFonts w:ascii="Verdana" w:hAnsi="Verdana"/>
                <w:noProof/>
                <w:color w:val="FFFFFF"/>
                <w:sz w:val="16"/>
              </w:rPr>
              <w:t>Siirre</w:t>
            </w:r>
            <w:r>
              <w:rPr>
                <w:rFonts w:ascii="Verdana" w:hAnsi="Verdana"/>
                <w:noProof/>
                <w:color w:val="FFFFFF"/>
                <w:sz w:val="16"/>
              </w:rPr>
              <w:softHyphen/>
              <w:t>tyistä määrä</w:t>
            </w:r>
            <w:r>
              <w:rPr>
                <w:rFonts w:ascii="Verdana" w:hAnsi="Verdana"/>
                <w:noProof/>
                <w:color w:val="FFFFFF"/>
                <w:sz w:val="16"/>
              </w:rPr>
              <w:softHyphen/>
              <w:t>rahoista</w:t>
            </w:r>
          </w:p>
        </w:tc>
        <w:tc>
          <w:tcPr>
            <w:tcW w:w="992"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FFFFFF"/>
                <w:sz w:val="16"/>
              </w:rPr>
            </w:pPr>
            <w:r>
              <w:rPr>
                <w:rFonts w:ascii="Verdana" w:hAnsi="Verdana"/>
                <w:noProof/>
                <w:color w:val="FFFFFF"/>
                <w:sz w:val="16"/>
              </w:rPr>
              <w:t>Käyttö</w:t>
            </w:r>
            <w:r>
              <w:rPr>
                <w:rFonts w:ascii="Verdana" w:hAnsi="Verdana"/>
                <w:noProof/>
                <w:color w:val="FFFFFF"/>
                <w:sz w:val="16"/>
              </w:rPr>
              <w:softHyphen/>
              <w:t>tark. sidotuista tuloista</w:t>
            </w:r>
          </w:p>
        </w:tc>
        <w:tc>
          <w:tcPr>
            <w:tcW w:w="877"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FFFFFF"/>
                <w:sz w:val="16"/>
              </w:rPr>
            </w:pPr>
            <w:r>
              <w:rPr>
                <w:rFonts w:ascii="Verdana" w:hAnsi="Verdana"/>
                <w:noProof/>
                <w:color w:val="FFFFFF"/>
                <w:sz w:val="16"/>
              </w:rPr>
              <w:t>Yhteensä</w:t>
            </w:r>
          </w:p>
        </w:tc>
      </w:tr>
      <w:tr>
        <w:trPr>
          <w:trHeight w:val="340"/>
        </w:trPr>
        <w:tc>
          <w:tcPr>
            <w:tcW w:w="234"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p>
        </w:tc>
        <w:tc>
          <w:tcPr>
            <w:tcW w:w="2068"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p>
        </w:tc>
        <w:tc>
          <w:tcPr>
            <w:tcW w:w="982"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1</w:t>
            </w:r>
          </w:p>
        </w:tc>
        <w:tc>
          <w:tcPr>
            <w:tcW w:w="978"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2</w:t>
            </w:r>
          </w:p>
        </w:tc>
        <w:tc>
          <w:tcPr>
            <w:tcW w:w="849"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3</w:t>
            </w:r>
          </w:p>
        </w:tc>
        <w:tc>
          <w:tcPr>
            <w:tcW w:w="903" w:type="dxa"/>
            <w:gridSpan w:val="2"/>
            <w:tcBorders>
              <w:top w:val="nil"/>
              <w:left w:val="nil"/>
              <w:bottom w:val="nil"/>
              <w:right w:val="nil"/>
            </w:tcBorders>
            <w:shd w:val="solid" w:color="3487A9"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4</w:t>
            </w:r>
          </w:p>
        </w:tc>
        <w:tc>
          <w:tcPr>
            <w:tcW w:w="918"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5=2+</w:t>
            </w:r>
          </w:p>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3+4</w:t>
            </w:r>
          </w:p>
        </w:tc>
        <w:tc>
          <w:tcPr>
            <w:tcW w:w="725"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6=5/1</w:t>
            </w:r>
          </w:p>
        </w:tc>
        <w:tc>
          <w:tcPr>
            <w:tcW w:w="767"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7</w:t>
            </w:r>
          </w:p>
        </w:tc>
        <w:tc>
          <w:tcPr>
            <w:tcW w:w="850" w:type="dxa"/>
            <w:gridSpan w:val="2"/>
            <w:tcBorders>
              <w:top w:val="nil"/>
              <w:left w:val="nil"/>
              <w:bottom w:val="nil"/>
              <w:right w:val="nil"/>
            </w:tcBorders>
            <w:shd w:val="solid" w:color="3487A9"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8</w:t>
            </w:r>
          </w:p>
        </w:tc>
        <w:tc>
          <w:tcPr>
            <w:tcW w:w="709" w:type="dxa"/>
            <w:gridSpan w:val="2"/>
            <w:tcBorders>
              <w:top w:val="nil"/>
              <w:left w:val="nil"/>
              <w:bottom w:val="nil"/>
              <w:right w:val="nil"/>
            </w:tcBorders>
            <w:shd w:val="solid" w:color="3487A9"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9</w:t>
            </w:r>
          </w:p>
        </w:tc>
        <w:tc>
          <w:tcPr>
            <w:tcW w:w="1070" w:type="dxa"/>
            <w:gridSpan w:val="2"/>
            <w:tcBorders>
              <w:top w:val="nil"/>
              <w:left w:val="nil"/>
              <w:bottom w:val="nil"/>
              <w:right w:val="nil"/>
            </w:tcBorders>
            <w:shd w:val="solid" w:color="3487A9"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10=7+</w:t>
            </w:r>
          </w:p>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8+9</w:t>
            </w:r>
          </w:p>
        </w:tc>
        <w:tc>
          <w:tcPr>
            <w:tcW w:w="849"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11</w:t>
            </w:r>
          </w:p>
        </w:tc>
        <w:tc>
          <w:tcPr>
            <w:tcW w:w="774" w:type="dxa"/>
            <w:gridSpan w:val="2"/>
            <w:tcBorders>
              <w:top w:val="nil"/>
              <w:left w:val="nil"/>
              <w:bottom w:val="nil"/>
              <w:right w:val="nil"/>
            </w:tcBorders>
            <w:shd w:val="solid" w:color="3487A9"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12</w:t>
            </w:r>
          </w:p>
        </w:tc>
        <w:tc>
          <w:tcPr>
            <w:tcW w:w="716"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13</w:t>
            </w:r>
          </w:p>
        </w:tc>
        <w:tc>
          <w:tcPr>
            <w:tcW w:w="1153" w:type="dxa"/>
            <w:gridSpan w:val="2"/>
            <w:tcBorders>
              <w:top w:val="nil"/>
              <w:left w:val="nil"/>
              <w:bottom w:val="nil"/>
              <w:right w:val="nil"/>
            </w:tcBorders>
            <w:shd w:val="solid" w:color="3487A9"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14=11+</w:t>
            </w:r>
          </w:p>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12+13</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r>
              <w:rPr>
                <w:rFonts w:ascii="Verdana" w:hAnsi="Verdana"/>
                <w:noProof/>
                <w:color w:val="000000"/>
                <w:sz w:val="16"/>
              </w:rPr>
              <w:t>1</w:t>
            </w:r>
          </w:p>
        </w:tc>
        <w:tc>
          <w:tcPr>
            <w:tcW w:w="2068"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r>
              <w:rPr>
                <w:rFonts w:ascii="Verdana" w:hAnsi="Verdana"/>
                <w:noProof/>
                <w:color w:val="000000"/>
                <w:sz w:val="16"/>
              </w:rPr>
              <w:t>Älykäs ja osallistava kasvu</w:t>
            </w:r>
          </w:p>
        </w:tc>
        <w:tc>
          <w:tcPr>
            <w:tcW w:w="98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80 917</w:t>
            </w:r>
          </w:p>
        </w:tc>
        <w:tc>
          <w:tcPr>
            <w:tcW w:w="978"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66 540</w:t>
            </w:r>
          </w:p>
        </w:tc>
        <w:tc>
          <w:tcPr>
            <w:tcW w:w="84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107</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9 230</w:t>
            </w:r>
          </w:p>
        </w:tc>
        <w:tc>
          <w:tcPr>
            <w:tcW w:w="918"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75 876</w:t>
            </w:r>
          </w:p>
        </w:tc>
        <w:tc>
          <w:tcPr>
            <w:tcW w:w="725"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94 %</w:t>
            </w:r>
          </w:p>
        </w:tc>
        <w:tc>
          <w:tcPr>
            <w:tcW w:w="76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130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4 833</w:t>
            </w:r>
          </w:p>
        </w:tc>
        <w:tc>
          <w:tcPr>
            <w:tcW w:w="1070"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4 966</w:t>
            </w:r>
          </w:p>
        </w:tc>
        <w:tc>
          <w:tcPr>
            <w:tcW w:w="84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59</w:t>
            </w:r>
          </w:p>
        </w:tc>
        <w:tc>
          <w:tcPr>
            <w:tcW w:w="774"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14</w:t>
            </w:r>
          </w:p>
        </w:tc>
        <w:tc>
          <w:tcPr>
            <w:tcW w:w="716"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1153"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74</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i/>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i/>
                <w:noProof/>
                <w:color w:val="000000"/>
                <w:sz w:val="16"/>
              </w:rPr>
            </w:pPr>
            <w:r>
              <w:rPr>
                <w:rFonts w:ascii="Verdana" w:hAnsi="Verdana"/>
                <w:i/>
                <w:noProof/>
                <w:color w:val="000000"/>
                <w:sz w:val="16"/>
              </w:rPr>
              <w:t>1a: Kasvua ja työllisyyttä edistävä kilpailukyky</w:t>
            </w:r>
          </w:p>
        </w:tc>
        <w:tc>
          <w:tcPr>
            <w:tcW w:w="98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25 073</w:t>
            </w:r>
          </w:p>
        </w:tc>
        <w:tc>
          <w:tcPr>
            <w:tcW w:w="978"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19 993</w:t>
            </w:r>
          </w:p>
        </w:tc>
        <w:tc>
          <w:tcPr>
            <w:tcW w:w="84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97</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1 318</w:t>
            </w:r>
          </w:p>
        </w:tc>
        <w:tc>
          <w:tcPr>
            <w:tcW w:w="918"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21 408</w:t>
            </w:r>
          </w:p>
        </w:tc>
        <w:tc>
          <w:tcPr>
            <w:tcW w:w="725"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85 %</w:t>
            </w:r>
          </w:p>
        </w:tc>
        <w:tc>
          <w:tcPr>
            <w:tcW w:w="76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117</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3</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3 492</w:t>
            </w:r>
          </w:p>
        </w:tc>
        <w:tc>
          <w:tcPr>
            <w:tcW w:w="1070"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3 612</w:t>
            </w:r>
          </w:p>
        </w:tc>
        <w:tc>
          <w:tcPr>
            <w:tcW w:w="84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41</w:t>
            </w:r>
          </w:p>
        </w:tc>
        <w:tc>
          <w:tcPr>
            <w:tcW w:w="774"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11</w:t>
            </w:r>
          </w:p>
        </w:tc>
        <w:tc>
          <w:tcPr>
            <w:tcW w:w="716"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1</w:t>
            </w:r>
          </w:p>
        </w:tc>
        <w:tc>
          <w:tcPr>
            <w:tcW w:w="1153"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53</w:t>
            </w:r>
          </w:p>
        </w:tc>
      </w:tr>
      <w:tr>
        <w:trPr>
          <w:trHeight w:val="529"/>
        </w:trPr>
        <w:tc>
          <w:tcPr>
            <w:tcW w:w="234"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i/>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i/>
                <w:noProof/>
                <w:color w:val="000000"/>
                <w:sz w:val="16"/>
              </w:rPr>
            </w:pPr>
            <w:r>
              <w:rPr>
                <w:rFonts w:ascii="Verdana" w:hAnsi="Verdana"/>
                <w:i/>
                <w:noProof/>
                <w:color w:val="000000"/>
                <w:sz w:val="16"/>
              </w:rPr>
              <w:t>1b: Taloudellinen, sosiaalinen ja alueellinen koheesio</w:t>
            </w:r>
          </w:p>
        </w:tc>
        <w:tc>
          <w:tcPr>
            <w:tcW w:w="98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55 844</w:t>
            </w:r>
          </w:p>
        </w:tc>
        <w:tc>
          <w:tcPr>
            <w:tcW w:w="978"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46 547</w:t>
            </w:r>
          </w:p>
        </w:tc>
        <w:tc>
          <w:tcPr>
            <w:tcW w:w="84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10</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7 912</w:t>
            </w:r>
          </w:p>
        </w:tc>
        <w:tc>
          <w:tcPr>
            <w:tcW w:w="918"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54 468</w:t>
            </w:r>
          </w:p>
        </w:tc>
        <w:tc>
          <w:tcPr>
            <w:tcW w:w="725"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98 %</w:t>
            </w:r>
          </w:p>
        </w:tc>
        <w:tc>
          <w:tcPr>
            <w:tcW w:w="76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13</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1 341</w:t>
            </w:r>
          </w:p>
        </w:tc>
        <w:tc>
          <w:tcPr>
            <w:tcW w:w="1070"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1 354</w:t>
            </w:r>
          </w:p>
        </w:tc>
        <w:tc>
          <w:tcPr>
            <w:tcW w:w="84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18</w:t>
            </w:r>
          </w:p>
        </w:tc>
        <w:tc>
          <w:tcPr>
            <w:tcW w:w="774"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3</w:t>
            </w:r>
          </w:p>
        </w:tc>
        <w:tc>
          <w:tcPr>
            <w:tcW w:w="716"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w:t>
            </w:r>
          </w:p>
        </w:tc>
        <w:tc>
          <w:tcPr>
            <w:tcW w:w="1153"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21</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r>
              <w:rPr>
                <w:rFonts w:ascii="Verdana" w:hAnsi="Verdana"/>
                <w:noProof/>
                <w:color w:val="000000"/>
                <w:sz w:val="16"/>
              </w:rPr>
              <w:t>2</w:t>
            </w:r>
          </w:p>
        </w:tc>
        <w:tc>
          <w:tcPr>
            <w:tcW w:w="2068"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r>
              <w:rPr>
                <w:rFonts w:ascii="Verdana" w:hAnsi="Verdana"/>
                <w:noProof/>
                <w:color w:val="000000"/>
                <w:sz w:val="16"/>
              </w:rPr>
              <w:t>Kestävä kasvu: luonnonvarat</w:t>
            </w:r>
          </w:p>
        </w:tc>
        <w:tc>
          <w:tcPr>
            <w:tcW w:w="98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59 648</w:t>
            </w:r>
          </w:p>
        </w:tc>
        <w:tc>
          <w:tcPr>
            <w:tcW w:w="978"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55 576</w:t>
            </w:r>
          </w:p>
        </w:tc>
        <w:tc>
          <w:tcPr>
            <w:tcW w:w="84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643</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1 827</w:t>
            </w:r>
          </w:p>
        </w:tc>
        <w:tc>
          <w:tcPr>
            <w:tcW w:w="918"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58 046</w:t>
            </w:r>
          </w:p>
        </w:tc>
        <w:tc>
          <w:tcPr>
            <w:tcW w:w="725"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76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193</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460</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918</w:t>
            </w:r>
          </w:p>
        </w:tc>
        <w:tc>
          <w:tcPr>
            <w:tcW w:w="1070"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1 570</w:t>
            </w:r>
          </w:p>
        </w:tc>
        <w:tc>
          <w:tcPr>
            <w:tcW w:w="84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13</w:t>
            </w:r>
          </w:p>
        </w:tc>
        <w:tc>
          <w:tcPr>
            <w:tcW w:w="774"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20</w:t>
            </w:r>
          </w:p>
        </w:tc>
        <w:tc>
          <w:tcPr>
            <w:tcW w:w="716"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53"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33</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i/>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i/>
                <w:noProof/>
                <w:color w:val="000000"/>
                <w:sz w:val="16"/>
              </w:rPr>
            </w:pPr>
            <w:r>
              <w:rPr>
                <w:rFonts w:ascii="Verdana" w:hAnsi="Verdana"/>
                <w:i/>
                <w:noProof/>
                <w:color w:val="000000"/>
                <w:sz w:val="16"/>
              </w:rPr>
              <w:t>josta: markkinoihin liittyvät menot ja suorat tuet</w:t>
            </w:r>
          </w:p>
        </w:tc>
        <w:tc>
          <w:tcPr>
            <w:tcW w:w="98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45 436</w:t>
            </w:r>
          </w:p>
        </w:tc>
        <w:tc>
          <w:tcPr>
            <w:tcW w:w="978"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42 533</w:t>
            </w:r>
          </w:p>
        </w:tc>
        <w:tc>
          <w:tcPr>
            <w:tcW w:w="84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636</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1 142</w:t>
            </w:r>
          </w:p>
        </w:tc>
        <w:tc>
          <w:tcPr>
            <w:tcW w:w="918"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44 310</w:t>
            </w:r>
          </w:p>
        </w:tc>
        <w:tc>
          <w:tcPr>
            <w:tcW w:w="725"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98 %</w:t>
            </w:r>
          </w:p>
        </w:tc>
        <w:tc>
          <w:tcPr>
            <w:tcW w:w="76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186</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460</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459</w:t>
            </w:r>
          </w:p>
        </w:tc>
        <w:tc>
          <w:tcPr>
            <w:tcW w:w="1070"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1 104</w:t>
            </w:r>
          </w:p>
        </w:tc>
        <w:tc>
          <w:tcPr>
            <w:tcW w:w="84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2</w:t>
            </w:r>
          </w:p>
        </w:tc>
        <w:tc>
          <w:tcPr>
            <w:tcW w:w="774"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20</w:t>
            </w:r>
          </w:p>
        </w:tc>
        <w:tc>
          <w:tcPr>
            <w:tcW w:w="716"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w:t>
            </w:r>
          </w:p>
        </w:tc>
        <w:tc>
          <w:tcPr>
            <w:tcW w:w="1153"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22</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r>
              <w:rPr>
                <w:rFonts w:ascii="Verdana" w:hAnsi="Verdana"/>
                <w:noProof/>
                <w:color w:val="000000"/>
                <w:sz w:val="16"/>
              </w:rPr>
              <w:t>3</w:t>
            </w:r>
          </w:p>
        </w:tc>
        <w:tc>
          <w:tcPr>
            <w:tcW w:w="2068"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r>
              <w:rPr>
                <w:rFonts w:ascii="Verdana" w:hAnsi="Verdana"/>
                <w:noProof/>
                <w:color w:val="000000"/>
                <w:sz w:val="16"/>
              </w:rPr>
              <w:t>Turvallisuus ja kansalaisuus</w:t>
            </w:r>
          </w:p>
        </w:tc>
        <w:tc>
          <w:tcPr>
            <w:tcW w:w="98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3 305</w:t>
            </w:r>
          </w:p>
        </w:tc>
        <w:tc>
          <w:tcPr>
            <w:tcW w:w="978"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2 980</w:t>
            </w:r>
          </w:p>
        </w:tc>
        <w:tc>
          <w:tcPr>
            <w:tcW w:w="84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11</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117</w:t>
            </w:r>
          </w:p>
        </w:tc>
        <w:tc>
          <w:tcPr>
            <w:tcW w:w="918"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3 108</w:t>
            </w:r>
          </w:p>
        </w:tc>
        <w:tc>
          <w:tcPr>
            <w:tcW w:w="725"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94 %</w:t>
            </w:r>
          </w:p>
        </w:tc>
        <w:tc>
          <w:tcPr>
            <w:tcW w:w="76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159</w:t>
            </w:r>
          </w:p>
        </w:tc>
        <w:tc>
          <w:tcPr>
            <w:tcW w:w="1070"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167</w:t>
            </w:r>
          </w:p>
        </w:tc>
        <w:tc>
          <w:tcPr>
            <w:tcW w:w="84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25</w:t>
            </w:r>
          </w:p>
        </w:tc>
        <w:tc>
          <w:tcPr>
            <w:tcW w:w="774"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716"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53"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29</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r>
              <w:rPr>
                <w:rFonts w:ascii="Verdana" w:hAnsi="Verdana"/>
                <w:noProof/>
                <w:color w:val="000000"/>
                <w:sz w:val="16"/>
              </w:rPr>
              <w:t>4</w:t>
            </w:r>
          </w:p>
        </w:tc>
        <w:tc>
          <w:tcPr>
            <w:tcW w:w="2068"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r>
              <w:rPr>
                <w:rFonts w:ascii="Verdana" w:hAnsi="Verdana"/>
                <w:noProof/>
                <w:color w:val="000000"/>
                <w:sz w:val="16"/>
              </w:rPr>
              <w:t>Globaali Eurooppa</w:t>
            </w:r>
          </w:p>
        </w:tc>
        <w:tc>
          <w:tcPr>
            <w:tcW w:w="98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10 788</w:t>
            </w:r>
          </w:p>
        </w:tc>
        <w:tc>
          <w:tcPr>
            <w:tcW w:w="978"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8 711</w:t>
            </w:r>
          </w:p>
        </w:tc>
        <w:tc>
          <w:tcPr>
            <w:tcW w:w="84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310</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498</w:t>
            </w:r>
          </w:p>
        </w:tc>
        <w:tc>
          <w:tcPr>
            <w:tcW w:w="918"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9 519</w:t>
            </w:r>
          </w:p>
        </w:tc>
        <w:tc>
          <w:tcPr>
            <w:tcW w:w="725"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88 %</w:t>
            </w:r>
          </w:p>
        </w:tc>
        <w:tc>
          <w:tcPr>
            <w:tcW w:w="76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65</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1 161</w:t>
            </w:r>
          </w:p>
        </w:tc>
        <w:tc>
          <w:tcPr>
            <w:tcW w:w="1070"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1 226</w:t>
            </w:r>
          </w:p>
        </w:tc>
        <w:tc>
          <w:tcPr>
            <w:tcW w:w="84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37</w:t>
            </w:r>
          </w:p>
        </w:tc>
        <w:tc>
          <w:tcPr>
            <w:tcW w:w="774"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716"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53"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42</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r>
              <w:rPr>
                <w:rFonts w:ascii="Verdana" w:hAnsi="Verdana"/>
                <w:noProof/>
                <w:color w:val="000000"/>
                <w:sz w:val="16"/>
              </w:rPr>
              <w:t>5</w:t>
            </w:r>
          </w:p>
        </w:tc>
        <w:tc>
          <w:tcPr>
            <w:tcW w:w="2068"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r>
              <w:rPr>
                <w:rFonts w:ascii="Verdana" w:hAnsi="Verdana"/>
                <w:noProof/>
                <w:color w:val="000000"/>
                <w:sz w:val="16"/>
              </w:rPr>
              <w:t>Hallinto</w:t>
            </w:r>
          </w:p>
        </w:tc>
        <w:tc>
          <w:tcPr>
            <w:tcW w:w="98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11 355</w:t>
            </w:r>
          </w:p>
        </w:tc>
        <w:tc>
          <w:tcPr>
            <w:tcW w:w="978"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8 731</w:t>
            </w:r>
          </w:p>
        </w:tc>
        <w:tc>
          <w:tcPr>
            <w:tcW w:w="84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768</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445</w:t>
            </w:r>
          </w:p>
        </w:tc>
        <w:tc>
          <w:tcPr>
            <w:tcW w:w="918"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9 944</w:t>
            </w:r>
          </w:p>
        </w:tc>
        <w:tc>
          <w:tcPr>
            <w:tcW w:w="725"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88 %</w:t>
            </w:r>
          </w:p>
        </w:tc>
        <w:tc>
          <w:tcPr>
            <w:tcW w:w="76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818</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389</w:t>
            </w:r>
          </w:p>
        </w:tc>
        <w:tc>
          <w:tcPr>
            <w:tcW w:w="1070"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1 209</w:t>
            </w:r>
          </w:p>
        </w:tc>
        <w:tc>
          <w:tcPr>
            <w:tcW w:w="84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120</w:t>
            </w:r>
          </w:p>
        </w:tc>
        <w:tc>
          <w:tcPr>
            <w:tcW w:w="774"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82</w:t>
            </w:r>
          </w:p>
        </w:tc>
        <w:tc>
          <w:tcPr>
            <w:tcW w:w="716"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1153"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203</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i/>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i/>
                <w:noProof/>
                <w:color w:val="000000"/>
                <w:sz w:val="16"/>
              </w:rPr>
            </w:pPr>
            <w:r>
              <w:rPr>
                <w:rFonts w:ascii="Verdana" w:hAnsi="Verdana"/>
                <w:i/>
                <w:noProof/>
                <w:color w:val="000000"/>
                <w:sz w:val="16"/>
              </w:rPr>
              <w:t>josta: toimielinten hallintomenot</w:t>
            </w:r>
          </w:p>
        </w:tc>
        <w:tc>
          <w:tcPr>
            <w:tcW w:w="98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4 963</w:t>
            </w:r>
          </w:p>
        </w:tc>
        <w:tc>
          <w:tcPr>
            <w:tcW w:w="978"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3 435</w:t>
            </w:r>
          </w:p>
        </w:tc>
        <w:tc>
          <w:tcPr>
            <w:tcW w:w="84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446</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259</w:t>
            </w:r>
          </w:p>
        </w:tc>
        <w:tc>
          <w:tcPr>
            <w:tcW w:w="918"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4 140</w:t>
            </w:r>
          </w:p>
        </w:tc>
        <w:tc>
          <w:tcPr>
            <w:tcW w:w="725"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83 %</w:t>
            </w:r>
          </w:p>
        </w:tc>
        <w:tc>
          <w:tcPr>
            <w:tcW w:w="76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508</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0</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182</w:t>
            </w:r>
          </w:p>
        </w:tc>
        <w:tc>
          <w:tcPr>
            <w:tcW w:w="1070"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690</w:t>
            </w:r>
          </w:p>
        </w:tc>
        <w:tc>
          <w:tcPr>
            <w:tcW w:w="84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76</w:t>
            </w:r>
          </w:p>
        </w:tc>
        <w:tc>
          <w:tcPr>
            <w:tcW w:w="774"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58</w:t>
            </w:r>
          </w:p>
        </w:tc>
        <w:tc>
          <w:tcPr>
            <w:tcW w:w="716"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w:t>
            </w:r>
          </w:p>
        </w:tc>
        <w:tc>
          <w:tcPr>
            <w:tcW w:w="1153"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133</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r>
              <w:rPr>
                <w:rFonts w:ascii="Verdana" w:hAnsi="Verdana"/>
                <w:noProof/>
                <w:color w:val="000000"/>
                <w:sz w:val="16"/>
              </w:rPr>
              <w:t>6</w:t>
            </w:r>
          </w:p>
        </w:tc>
        <w:tc>
          <w:tcPr>
            <w:tcW w:w="2068"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r>
              <w:rPr>
                <w:rFonts w:ascii="Verdana" w:hAnsi="Verdana"/>
                <w:noProof/>
                <w:color w:val="000000"/>
                <w:sz w:val="16"/>
              </w:rPr>
              <w:t>Korvaukset</w:t>
            </w:r>
          </w:p>
        </w:tc>
        <w:tc>
          <w:tcPr>
            <w:tcW w:w="98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78"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4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18"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25"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6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070"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4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74"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16"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53"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r>
              <w:rPr>
                <w:rFonts w:ascii="Verdana" w:hAnsi="Verdana"/>
                <w:noProof/>
                <w:color w:val="000000"/>
                <w:sz w:val="16"/>
              </w:rPr>
              <w:t>8</w:t>
            </w:r>
          </w:p>
        </w:tc>
        <w:tc>
          <w:tcPr>
            <w:tcW w:w="2068"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r>
              <w:rPr>
                <w:rFonts w:ascii="Verdana" w:hAnsi="Verdana"/>
                <w:noProof/>
                <w:color w:val="000000"/>
                <w:sz w:val="16"/>
              </w:rPr>
              <w:t xml:space="preserve">Negatiivinen varaus ja edeltävältä varainhoitovuodelta siirretty alijäämä </w:t>
            </w:r>
          </w:p>
        </w:tc>
        <w:tc>
          <w:tcPr>
            <w:tcW w:w="98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78"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4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18"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25"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6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070"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4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74"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16"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53"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r>
              <w:rPr>
                <w:rFonts w:ascii="Verdana" w:hAnsi="Verdana"/>
                <w:noProof/>
                <w:color w:val="000000"/>
                <w:sz w:val="16"/>
              </w:rPr>
              <w:t>9</w:t>
            </w:r>
          </w:p>
        </w:tc>
        <w:tc>
          <w:tcPr>
            <w:tcW w:w="2068"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r>
              <w:rPr>
                <w:rFonts w:ascii="Verdana" w:hAnsi="Verdana"/>
                <w:noProof/>
                <w:color w:val="000000"/>
                <w:sz w:val="16"/>
              </w:rPr>
              <w:t>Erityisrahoitusvälineet</w:t>
            </w:r>
          </w:p>
        </w:tc>
        <w:tc>
          <w:tcPr>
            <w:tcW w:w="98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340</w:t>
            </w:r>
          </w:p>
        </w:tc>
        <w:tc>
          <w:tcPr>
            <w:tcW w:w="978"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157</w:t>
            </w:r>
          </w:p>
        </w:tc>
        <w:tc>
          <w:tcPr>
            <w:tcW w:w="84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22</w:t>
            </w:r>
          </w:p>
        </w:tc>
        <w:tc>
          <w:tcPr>
            <w:tcW w:w="918"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180</w:t>
            </w:r>
          </w:p>
        </w:tc>
        <w:tc>
          <w:tcPr>
            <w:tcW w:w="725"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53 %</w:t>
            </w:r>
          </w:p>
        </w:tc>
        <w:tc>
          <w:tcPr>
            <w:tcW w:w="76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1070"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84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144</w:t>
            </w:r>
          </w:p>
        </w:tc>
        <w:tc>
          <w:tcPr>
            <w:tcW w:w="774"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16"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53" w:type="dxa"/>
            <w:gridSpan w:val="2"/>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144</w:t>
            </w:r>
          </w:p>
        </w:tc>
      </w:tr>
      <w:tr>
        <w:trPr>
          <w:trHeight w:val="340"/>
        </w:trPr>
        <w:tc>
          <w:tcPr>
            <w:tcW w:w="2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3ImplementPayments"/>
              <w:rPr>
                <w:rFonts w:ascii="Verdana" w:eastAsia="Times New Roman" w:hAnsi="Verdana" w:cs="Verdana"/>
                <w:b/>
                <w:noProof/>
                <w:color w:val="000000"/>
                <w:sz w:val="16"/>
              </w:rPr>
            </w:pPr>
          </w:p>
        </w:tc>
        <w:tc>
          <w:tcPr>
            <w:tcW w:w="206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3ImplementPayments"/>
              <w:rPr>
                <w:rFonts w:ascii="Verdana" w:eastAsia="Times New Roman" w:hAnsi="Verdana" w:cs="Verdana"/>
                <w:b/>
                <w:noProof/>
                <w:color w:val="000000"/>
                <w:sz w:val="16"/>
              </w:rPr>
            </w:pPr>
            <w:r>
              <w:rPr>
                <w:rFonts w:ascii="Verdana" w:hAnsi="Verdana"/>
                <w:b/>
                <w:noProof/>
                <w:color w:val="000000"/>
                <w:sz w:val="16"/>
              </w:rPr>
              <w:t>Yhteensä</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3ImplementPayments"/>
              <w:jc w:val="right"/>
              <w:rPr>
                <w:rFonts w:ascii="Verdana" w:eastAsia="Times New Roman" w:hAnsi="Verdana" w:cs="Verdana"/>
                <w:b/>
                <w:noProof/>
                <w:color w:val="000000"/>
                <w:sz w:val="16"/>
              </w:rPr>
            </w:pPr>
            <w:r>
              <w:rPr>
                <w:rFonts w:ascii="Verdana" w:hAnsi="Verdana"/>
                <w:b/>
                <w:noProof/>
                <w:color w:val="000000"/>
                <w:sz w:val="16"/>
              </w:rPr>
              <w:t>166 353</w:t>
            </w:r>
          </w:p>
        </w:tc>
        <w:tc>
          <w:tcPr>
            <w:tcW w:w="97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3ImplementPayments"/>
              <w:jc w:val="right"/>
              <w:rPr>
                <w:rFonts w:ascii="Verdana" w:eastAsia="Times New Roman" w:hAnsi="Verdana" w:cs="Verdana"/>
                <w:b/>
                <w:noProof/>
                <w:color w:val="000000"/>
                <w:sz w:val="16"/>
              </w:rPr>
            </w:pPr>
            <w:r>
              <w:rPr>
                <w:rFonts w:ascii="Verdana" w:hAnsi="Verdana"/>
                <w:b/>
                <w:noProof/>
                <w:color w:val="000000"/>
                <w:sz w:val="16"/>
              </w:rPr>
              <w:t>142 695</w:t>
            </w:r>
          </w:p>
        </w:tc>
        <w:tc>
          <w:tcPr>
            <w:tcW w:w="84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3ImplementPayments"/>
              <w:jc w:val="right"/>
              <w:rPr>
                <w:rFonts w:ascii="Verdana" w:eastAsia="Times New Roman" w:hAnsi="Verdana" w:cs="Verdana"/>
                <w:b/>
                <w:noProof/>
                <w:color w:val="000000"/>
                <w:sz w:val="16"/>
              </w:rPr>
            </w:pPr>
            <w:r>
              <w:rPr>
                <w:rFonts w:ascii="Verdana" w:hAnsi="Verdana"/>
                <w:b/>
                <w:noProof/>
                <w:color w:val="000000"/>
                <w:sz w:val="16"/>
              </w:rPr>
              <w:t>1 840</w:t>
            </w:r>
          </w:p>
        </w:tc>
        <w:tc>
          <w:tcPr>
            <w:tcW w:w="903"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MFF3ImplementPayments"/>
              <w:jc w:val="right"/>
              <w:rPr>
                <w:rFonts w:ascii="Verdana" w:eastAsia="Times New Roman" w:hAnsi="Verdana" w:cs="Verdana"/>
                <w:b/>
                <w:noProof/>
                <w:color w:val="000000"/>
                <w:sz w:val="16"/>
              </w:rPr>
            </w:pPr>
            <w:r>
              <w:rPr>
                <w:rFonts w:ascii="Verdana" w:hAnsi="Verdana"/>
                <w:b/>
                <w:noProof/>
                <w:color w:val="000000"/>
                <w:sz w:val="16"/>
              </w:rPr>
              <w:t>12 138</w:t>
            </w:r>
          </w:p>
        </w:tc>
        <w:tc>
          <w:tcPr>
            <w:tcW w:w="91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3ImplementPayments"/>
              <w:jc w:val="right"/>
              <w:rPr>
                <w:rFonts w:ascii="Verdana" w:eastAsia="Times New Roman" w:hAnsi="Verdana" w:cs="Verdana"/>
                <w:b/>
                <w:noProof/>
                <w:color w:val="000000"/>
                <w:sz w:val="16"/>
              </w:rPr>
            </w:pPr>
            <w:r>
              <w:rPr>
                <w:rFonts w:ascii="Verdana" w:hAnsi="Verdana"/>
                <w:b/>
                <w:noProof/>
                <w:color w:val="000000"/>
                <w:sz w:val="16"/>
              </w:rPr>
              <w:t>156 673</w:t>
            </w:r>
          </w:p>
        </w:tc>
        <w:tc>
          <w:tcPr>
            <w:tcW w:w="72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3ImplementPayments"/>
              <w:jc w:val="right"/>
              <w:rPr>
                <w:rFonts w:ascii="Verdana" w:eastAsia="Times New Roman" w:hAnsi="Verdana" w:cs="Verdana"/>
                <w:b/>
                <w:noProof/>
                <w:color w:val="000000"/>
                <w:sz w:val="16"/>
              </w:rPr>
            </w:pPr>
            <w:r>
              <w:rPr>
                <w:rFonts w:ascii="Verdana" w:hAnsi="Verdana"/>
                <w:b/>
                <w:noProof/>
                <w:color w:val="000000"/>
                <w:sz w:val="16"/>
              </w:rPr>
              <w:t>94 %</w:t>
            </w:r>
          </w:p>
        </w:tc>
        <w:tc>
          <w:tcPr>
            <w:tcW w:w="76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3ImplementPayments"/>
              <w:jc w:val="right"/>
              <w:rPr>
                <w:rFonts w:ascii="Verdana" w:eastAsia="Times New Roman" w:hAnsi="Verdana" w:cs="Verdana"/>
                <w:b/>
                <w:noProof/>
                <w:color w:val="000000"/>
                <w:sz w:val="16"/>
              </w:rPr>
            </w:pPr>
            <w:r>
              <w:rPr>
                <w:rFonts w:ascii="Verdana" w:hAnsi="Verdana"/>
                <w:b/>
                <w:noProof/>
                <w:color w:val="000000"/>
                <w:sz w:val="16"/>
              </w:rPr>
              <w:t>1 214</w:t>
            </w:r>
          </w:p>
        </w:tc>
        <w:tc>
          <w:tcPr>
            <w:tcW w:w="850"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MFF3ImplementPayments"/>
              <w:jc w:val="right"/>
              <w:rPr>
                <w:rFonts w:ascii="Verdana" w:eastAsia="Times New Roman" w:hAnsi="Verdana" w:cs="Verdana"/>
                <w:b/>
                <w:noProof/>
                <w:color w:val="000000"/>
                <w:sz w:val="16"/>
              </w:rPr>
            </w:pPr>
            <w:r>
              <w:rPr>
                <w:rFonts w:ascii="Verdana" w:hAnsi="Verdana"/>
                <w:b/>
                <w:noProof/>
                <w:color w:val="000000"/>
                <w:sz w:val="16"/>
              </w:rPr>
              <w:t xml:space="preserve"> 465</w:t>
            </w:r>
          </w:p>
        </w:tc>
        <w:tc>
          <w:tcPr>
            <w:tcW w:w="709"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MFF3ImplementPayments"/>
              <w:jc w:val="right"/>
              <w:rPr>
                <w:rFonts w:ascii="Verdana" w:eastAsia="Times New Roman" w:hAnsi="Verdana" w:cs="Verdana"/>
                <w:b/>
                <w:noProof/>
                <w:color w:val="000000"/>
                <w:sz w:val="16"/>
              </w:rPr>
            </w:pPr>
            <w:r>
              <w:rPr>
                <w:rFonts w:ascii="Verdana" w:hAnsi="Verdana"/>
                <w:b/>
                <w:noProof/>
                <w:color w:val="000000"/>
                <w:sz w:val="16"/>
              </w:rPr>
              <w:t>7 475</w:t>
            </w:r>
          </w:p>
        </w:tc>
        <w:tc>
          <w:tcPr>
            <w:tcW w:w="1070"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MFF3ImplementPayments"/>
              <w:jc w:val="right"/>
              <w:rPr>
                <w:rFonts w:ascii="Verdana" w:eastAsia="Times New Roman" w:hAnsi="Verdana" w:cs="Verdana"/>
                <w:b/>
                <w:noProof/>
                <w:color w:val="000000"/>
                <w:sz w:val="16"/>
              </w:rPr>
            </w:pPr>
            <w:r>
              <w:rPr>
                <w:rFonts w:ascii="Verdana" w:hAnsi="Verdana"/>
                <w:b/>
                <w:noProof/>
                <w:color w:val="000000"/>
                <w:sz w:val="16"/>
              </w:rPr>
              <w:t>9 154</w:t>
            </w:r>
          </w:p>
        </w:tc>
        <w:tc>
          <w:tcPr>
            <w:tcW w:w="84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3ImplementPayments"/>
              <w:jc w:val="right"/>
              <w:rPr>
                <w:rFonts w:ascii="Verdana" w:eastAsia="Times New Roman" w:hAnsi="Verdana" w:cs="Verdana"/>
                <w:b/>
                <w:noProof/>
                <w:color w:val="000000"/>
                <w:sz w:val="16"/>
              </w:rPr>
            </w:pPr>
            <w:r>
              <w:rPr>
                <w:rFonts w:ascii="Verdana" w:hAnsi="Verdana"/>
                <w:b/>
                <w:noProof/>
                <w:color w:val="000000"/>
                <w:sz w:val="16"/>
              </w:rPr>
              <w:t xml:space="preserve"> 398</w:t>
            </w:r>
          </w:p>
        </w:tc>
        <w:tc>
          <w:tcPr>
            <w:tcW w:w="774"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MFF3ImplementPayments"/>
              <w:jc w:val="right"/>
              <w:rPr>
                <w:rFonts w:ascii="Verdana" w:eastAsia="Times New Roman" w:hAnsi="Verdana" w:cs="Verdana"/>
                <w:b/>
                <w:noProof/>
                <w:color w:val="000000"/>
                <w:sz w:val="16"/>
              </w:rPr>
            </w:pPr>
            <w:r>
              <w:rPr>
                <w:rFonts w:ascii="Verdana" w:hAnsi="Verdana"/>
                <w:b/>
                <w:noProof/>
                <w:color w:val="000000"/>
                <w:sz w:val="16"/>
              </w:rPr>
              <w:t xml:space="preserve"> 126</w:t>
            </w:r>
          </w:p>
        </w:tc>
        <w:tc>
          <w:tcPr>
            <w:tcW w:w="71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3ImplementPayments"/>
              <w:jc w:val="right"/>
              <w:rPr>
                <w:rFonts w:ascii="Verdana" w:eastAsia="Times New Roman" w:hAnsi="Verdana" w:cs="Verdana"/>
                <w:b/>
                <w:noProof/>
                <w:color w:val="000000"/>
                <w:sz w:val="16"/>
              </w:rPr>
            </w:pPr>
            <w:r>
              <w:rPr>
                <w:rFonts w:ascii="Verdana" w:hAnsi="Verdana"/>
                <w:b/>
                <w:noProof/>
                <w:color w:val="000000"/>
                <w:sz w:val="16"/>
              </w:rPr>
              <w:t xml:space="preserve"> 2</w:t>
            </w:r>
          </w:p>
        </w:tc>
        <w:tc>
          <w:tcPr>
            <w:tcW w:w="1153"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MFF3ImplementPayments"/>
              <w:jc w:val="right"/>
              <w:rPr>
                <w:rFonts w:ascii="Verdana" w:eastAsia="Times New Roman" w:hAnsi="Verdana" w:cs="Verdana"/>
                <w:b/>
                <w:noProof/>
                <w:color w:val="000000"/>
                <w:sz w:val="16"/>
              </w:rPr>
            </w:pPr>
            <w:r>
              <w:rPr>
                <w:rFonts w:ascii="Verdana" w:hAnsi="Verdana"/>
                <w:b/>
                <w:noProof/>
                <w:color w:val="000000"/>
                <w:sz w:val="16"/>
              </w:rPr>
              <w:t xml:space="preserve"> 526</w:t>
            </w:r>
          </w:p>
        </w:tc>
      </w:tr>
    </w:tbl>
    <w:p>
      <w:pPr>
        <w:pStyle w:val="DGTextstand-alone"/>
        <w:sectPr>
          <w:headerReference w:type="even" r:id="rId485"/>
          <w:headerReference w:type="default" r:id="rId486"/>
          <w:footerReference w:type="even" r:id="rId487"/>
          <w:footerReference w:type="default" r:id="rId488"/>
          <w:headerReference w:type="first" r:id="rId489"/>
          <w:footerReference w:type="first" r:id="rId490"/>
          <w:type w:val="nextColumn"/>
          <w:pgSz w:w="16840" w:h="11900" w:orient="landscape"/>
          <w:pgMar w:top="1134" w:right="1134" w:bottom="1134" w:left="1134" w:header="720" w:footer="720" w:gutter="0"/>
          <w:cols w:space="720"/>
          <w:docGrid w:linePitch="272"/>
        </w:sectPr>
      </w:pPr>
    </w:p>
    <w:p>
      <w:pPr>
        <w:pStyle w:val="HEADER2PartBUDG"/>
        <w:rPr>
          <w:noProof/>
        </w:rPr>
      </w:pPr>
      <w:bookmarkStart w:id="330" w:name="_Toc11939554"/>
      <w:bookmarkStart w:id="331" w:name="_Toc17887579"/>
      <w:r>
        <w:rPr>
          <w:noProof/>
        </w:rPr>
        <w:t>MAKSATTAMATTA OLEVIEN SITOUMUSTEN MUUTOKSET MONIVUOTISEN RAHOITUSKEHYKSEN OTSAKKEITTAIN</w:t>
      </w:r>
      <w:bookmarkEnd w:id="330"/>
      <w:bookmarkEnd w:id="331"/>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
        <w:gridCol w:w="2912"/>
        <w:gridCol w:w="1824"/>
        <w:gridCol w:w="1262"/>
        <w:gridCol w:w="1058"/>
        <w:gridCol w:w="65"/>
        <w:gridCol w:w="1123"/>
        <w:gridCol w:w="1123"/>
        <w:gridCol w:w="1123"/>
        <w:gridCol w:w="1404"/>
        <w:gridCol w:w="1123"/>
        <w:gridCol w:w="1294"/>
      </w:tblGrid>
      <w:tr>
        <w:trPr>
          <w:trHeight w:val="284"/>
        </w:trPr>
        <w:tc>
          <w:tcPr>
            <w:tcW w:w="234"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bookmarkStart w:id="332" w:name="DOC_TBL00107_1_1"/>
            <w:bookmarkEnd w:id="332"/>
          </w:p>
        </w:tc>
        <w:tc>
          <w:tcPr>
            <w:tcW w:w="2912"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p>
        </w:tc>
        <w:tc>
          <w:tcPr>
            <w:tcW w:w="1824"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p>
        </w:tc>
        <w:tc>
          <w:tcPr>
            <w:tcW w:w="1262"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p>
        </w:tc>
        <w:tc>
          <w:tcPr>
            <w:tcW w:w="1123" w:type="dxa"/>
            <w:gridSpan w:val="2"/>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p>
        </w:tc>
        <w:tc>
          <w:tcPr>
            <w:tcW w:w="1404"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p>
        </w:tc>
        <w:tc>
          <w:tcPr>
            <w:tcW w:w="129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milj. euroa</w:t>
            </w:r>
          </w:p>
        </w:tc>
      </w:tr>
      <w:tr>
        <w:trPr>
          <w:trHeight w:val="284"/>
        </w:trPr>
        <w:tc>
          <w:tcPr>
            <w:tcW w:w="23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p>
        </w:tc>
        <w:tc>
          <w:tcPr>
            <w:tcW w:w="291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p>
        </w:tc>
        <w:tc>
          <w:tcPr>
            <w:tcW w:w="5332" w:type="dxa"/>
            <w:gridSpan w:val="5"/>
            <w:tcBorders>
              <w:top w:val="nil"/>
              <w:left w:val="nil"/>
              <w:bottom w:val="nil"/>
              <w:right w:val="nil"/>
            </w:tcBorders>
            <w:shd w:val="solid" w:color="016794"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b/>
                <w:noProof/>
                <w:color w:val="FFFFFF"/>
                <w:sz w:val="16"/>
              </w:rPr>
            </w:pPr>
            <w:r>
              <w:rPr>
                <w:rFonts w:ascii="Verdana" w:hAnsi="Verdana"/>
                <w:b/>
                <w:noProof/>
                <w:color w:val="FFFFFF"/>
                <w:sz w:val="16"/>
              </w:rPr>
              <w:t>Maksattamatta olevat sitoumukset edellisen varainhoitovuoden lopussa</w:t>
            </w:r>
          </w:p>
        </w:tc>
        <w:tc>
          <w:tcPr>
            <w:tcW w:w="4773" w:type="dxa"/>
            <w:gridSpan w:val="4"/>
            <w:tcBorders>
              <w:top w:val="nil"/>
              <w:left w:val="nil"/>
              <w:bottom w:val="nil"/>
              <w:right w:val="nil"/>
            </w:tcBorders>
            <w:shd w:val="solid" w:color="016794"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b/>
                <w:noProof/>
                <w:color w:val="FFFFFF"/>
                <w:sz w:val="16"/>
              </w:rPr>
            </w:pPr>
            <w:r>
              <w:rPr>
                <w:rFonts w:ascii="Verdana" w:hAnsi="Verdana"/>
                <w:b/>
                <w:noProof/>
                <w:color w:val="FFFFFF"/>
                <w:sz w:val="16"/>
              </w:rPr>
              <w:t>Varainhoitovuoden sitoumukset</w:t>
            </w:r>
          </w:p>
        </w:tc>
        <w:tc>
          <w:tcPr>
            <w:tcW w:w="1294" w:type="dxa"/>
            <w:vMerge w:val="restart"/>
            <w:tcBorders>
              <w:top w:val="nil"/>
              <w:left w:val="nil"/>
              <w:bottom w:val="nil"/>
              <w:right w:val="nil"/>
            </w:tcBorders>
            <w:shd w:val="solid" w:color="016794" w:fill="FFFFFF"/>
            <w:tcMar>
              <w:top w:w="0" w:type="dxa"/>
              <w:left w:w="60" w:type="dxa"/>
              <w:bottom w:w="0" w:type="dxa"/>
              <w:right w:w="60" w:type="dxa"/>
            </w:tcMar>
            <w:vAlign w:val="center"/>
          </w:tcPr>
          <w:p>
            <w:pPr>
              <w:pStyle w:val="DMETW14819BIPMFF4Commitmentsoustanding"/>
              <w:jc w:val="right"/>
              <w:rPr>
                <w:rFonts w:ascii="Verdana" w:hAnsi="Verdana"/>
                <w:b/>
                <w:noProof/>
                <w:color w:val="FFFFFF"/>
                <w:sz w:val="16"/>
              </w:rPr>
            </w:pPr>
            <w:r>
              <w:rPr>
                <w:rFonts w:ascii="Verdana" w:hAnsi="Verdana"/>
                <w:b/>
                <w:noProof/>
                <w:color w:val="FFFFFF"/>
                <w:sz w:val="16"/>
              </w:rPr>
              <w:t>Maksatta</w:t>
            </w:r>
            <w:r>
              <w:rPr>
                <w:rFonts w:ascii="Verdana" w:hAnsi="Verdana"/>
                <w:b/>
                <w:noProof/>
                <w:color w:val="FFFFFF"/>
                <w:sz w:val="16"/>
              </w:rPr>
              <w:softHyphen/>
              <w:t xml:space="preserve">matta </w:t>
            </w:r>
          </w:p>
          <w:p>
            <w:pPr>
              <w:pStyle w:val="DMETW14819BIPMFF4Commitmentsoustanding"/>
              <w:jc w:val="right"/>
              <w:rPr>
                <w:rFonts w:ascii="Verdana" w:eastAsia="Times New Roman" w:hAnsi="Verdana" w:cs="Verdana"/>
                <w:b/>
                <w:noProof/>
                <w:color w:val="FFFFFF"/>
                <w:sz w:val="16"/>
              </w:rPr>
            </w:pPr>
            <w:r>
              <w:rPr>
                <w:rFonts w:ascii="Verdana" w:hAnsi="Verdana"/>
                <w:b/>
                <w:noProof/>
                <w:color w:val="FFFFFF"/>
                <w:sz w:val="16"/>
              </w:rPr>
              <w:t>olevat sitoumukset yhteensä varainhoito</w:t>
            </w:r>
            <w:r>
              <w:rPr>
                <w:rFonts w:ascii="Verdana" w:hAnsi="Verdana"/>
                <w:b/>
                <w:noProof/>
                <w:color w:val="FFFFFF"/>
                <w:sz w:val="16"/>
              </w:rPr>
              <w:softHyphen/>
              <w:t>vuoden lopussa</w:t>
            </w:r>
          </w:p>
        </w:tc>
      </w:tr>
      <w:tr>
        <w:trPr>
          <w:trHeight w:val="284"/>
        </w:trPr>
        <w:tc>
          <w:tcPr>
            <w:tcW w:w="23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p>
        </w:tc>
        <w:tc>
          <w:tcPr>
            <w:tcW w:w="291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r>
              <w:rPr>
                <w:rFonts w:ascii="Verdana" w:hAnsi="Verdana"/>
                <w:noProof/>
                <w:color w:val="FFFFFF"/>
                <w:sz w:val="16"/>
              </w:rPr>
              <w:t>Rahoituskehyksen otsake</w:t>
            </w:r>
          </w:p>
        </w:tc>
        <w:tc>
          <w:tcPr>
            <w:tcW w:w="182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4Commitmentsoustanding"/>
              <w:jc w:val="right"/>
              <w:rPr>
                <w:rFonts w:ascii="Verdana" w:hAnsi="Verdana"/>
                <w:noProof/>
                <w:color w:val="FFFFFF"/>
                <w:sz w:val="16"/>
              </w:rPr>
            </w:pPr>
            <w:r>
              <w:rPr>
                <w:rFonts w:ascii="Verdana" w:hAnsi="Verdana"/>
                <w:noProof/>
                <w:color w:val="FFFFFF"/>
                <w:sz w:val="16"/>
              </w:rPr>
              <w:t>Edelliseltä varainhoito-</w:t>
            </w:r>
          </w:p>
          <w:p>
            <w:pPr>
              <w:pStyle w:val="DMETW14819BIPMFF4Commitmentsoustanding"/>
              <w:jc w:val="right"/>
              <w:rPr>
                <w:rFonts w:ascii="Verdana" w:eastAsia="Times New Roman" w:hAnsi="Verdana" w:cs="Verdana"/>
                <w:noProof/>
                <w:color w:val="FFFFFF"/>
                <w:sz w:val="16"/>
              </w:rPr>
            </w:pPr>
            <w:r>
              <w:rPr>
                <w:rFonts w:ascii="Verdana" w:hAnsi="Verdana"/>
                <w:noProof/>
                <w:color w:val="FFFFFF"/>
                <w:sz w:val="16"/>
              </w:rPr>
              <w:t>vuodelta siirretyt sitoumukset</w:t>
            </w:r>
          </w:p>
        </w:tc>
        <w:tc>
          <w:tcPr>
            <w:tcW w:w="126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FFFFFF"/>
                <w:sz w:val="16"/>
              </w:rPr>
            </w:pPr>
            <w:r>
              <w:rPr>
                <w:rFonts w:ascii="Verdana" w:hAnsi="Verdana"/>
                <w:noProof/>
                <w:color w:val="FFFFFF"/>
                <w:sz w:val="16"/>
              </w:rPr>
              <w:t>Puretut sitoumukset/</w:t>
            </w:r>
          </w:p>
          <w:p>
            <w:pPr>
              <w:pStyle w:val="DMETW14819BIPMFF4Commitmentsoustanding"/>
              <w:jc w:val="right"/>
              <w:rPr>
                <w:rFonts w:ascii="Verdana" w:eastAsia="Times New Roman" w:hAnsi="Verdana" w:cs="Verdana"/>
                <w:noProof/>
                <w:color w:val="FFFFFF"/>
                <w:sz w:val="16"/>
              </w:rPr>
            </w:pPr>
            <w:r>
              <w:rPr>
                <w:rFonts w:ascii="Verdana" w:hAnsi="Verdana"/>
                <w:noProof/>
                <w:color w:val="FFFFFF"/>
                <w:sz w:val="16"/>
              </w:rPr>
              <w:t>uudelleen</w:t>
            </w:r>
            <w:r>
              <w:rPr>
                <w:rFonts w:ascii="Verdana" w:hAnsi="Verdana"/>
                <w:noProof/>
                <w:color w:val="FFFFFF"/>
                <w:sz w:val="16"/>
              </w:rPr>
              <w:softHyphen/>
              <w:t>arvostukset/</w:t>
            </w:r>
          </w:p>
          <w:p>
            <w:pPr>
              <w:pStyle w:val="DMETW14819BIPMFF4Commitmentsoustanding"/>
              <w:jc w:val="right"/>
              <w:rPr>
                <w:rFonts w:ascii="Verdana" w:eastAsia="Times New Roman" w:hAnsi="Verdana" w:cs="Verdana"/>
                <w:noProof/>
                <w:color w:val="FFFFFF"/>
                <w:sz w:val="16"/>
              </w:rPr>
            </w:pPr>
            <w:r>
              <w:rPr>
                <w:rFonts w:ascii="Verdana" w:hAnsi="Verdana"/>
                <w:noProof/>
                <w:color w:val="FFFFFF"/>
                <w:sz w:val="16"/>
              </w:rPr>
              <w:t>peruutukset</w:t>
            </w:r>
          </w:p>
        </w:tc>
        <w:tc>
          <w:tcPr>
            <w:tcW w:w="1058"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FFFFFF"/>
                <w:sz w:val="16"/>
              </w:rPr>
            </w:pPr>
            <w:r>
              <w:rPr>
                <w:rFonts w:ascii="Verdana" w:hAnsi="Verdana"/>
                <w:noProof/>
                <w:color w:val="FFFFFF"/>
                <w:sz w:val="16"/>
              </w:rPr>
              <w:t>Maksut</w:t>
            </w:r>
          </w:p>
        </w:tc>
        <w:tc>
          <w:tcPr>
            <w:tcW w:w="1188"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FFFFFF"/>
                <w:sz w:val="16"/>
              </w:rPr>
            </w:pPr>
            <w:r>
              <w:rPr>
                <w:rFonts w:ascii="Verdana" w:hAnsi="Verdana"/>
                <w:noProof/>
                <w:color w:val="FFFFFF"/>
                <w:sz w:val="16"/>
              </w:rPr>
              <w:t>Maksatta</w:t>
            </w:r>
            <w:r>
              <w:rPr>
                <w:rFonts w:ascii="Verdana" w:hAnsi="Verdana"/>
                <w:noProof/>
                <w:color w:val="FFFFFF"/>
                <w:sz w:val="16"/>
              </w:rPr>
              <w:softHyphen/>
              <w:t>matta olevat sitoumukset varainhoito</w:t>
            </w:r>
            <w:r>
              <w:rPr>
                <w:rFonts w:ascii="Verdana" w:hAnsi="Verdana"/>
                <w:noProof/>
                <w:color w:val="FFFFFF"/>
                <w:sz w:val="16"/>
              </w:rPr>
              <w:softHyphen/>
              <w:t>vuoden lopussa</w:t>
            </w:r>
          </w:p>
        </w:tc>
        <w:tc>
          <w:tcPr>
            <w:tcW w:w="1123"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FFFFFF"/>
                <w:sz w:val="16"/>
              </w:rPr>
            </w:pPr>
            <w:r>
              <w:rPr>
                <w:rFonts w:ascii="Verdana" w:hAnsi="Verdana"/>
                <w:noProof/>
                <w:color w:val="FFFFFF"/>
                <w:sz w:val="16"/>
              </w:rPr>
              <w:t>Varainhoito</w:t>
            </w:r>
            <w:r>
              <w:rPr>
                <w:rFonts w:ascii="Verdana" w:hAnsi="Verdana"/>
                <w:noProof/>
                <w:color w:val="FFFFFF"/>
                <w:sz w:val="16"/>
              </w:rPr>
              <w:softHyphen/>
              <w:t>vuoden aikana tehdyt sitoumukset</w:t>
            </w:r>
          </w:p>
        </w:tc>
        <w:tc>
          <w:tcPr>
            <w:tcW w:w="1123"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FFFFFF"/>
                <w:sz w:val="16"/>
              </w:rPr>
            </w:pPr>
            <w:r>
              <w:rPr>
                <w:rFonts w:ascii="Verdana" w:hAnsi="Verdana"/>
                <w:noProof/>
                <w:color w:val="FFFFFF"/>
                <w:sz w:val="16"/>
              </w:rPr>
              <w:t>Maksut</w:t>
            </w:r>
          </w:p>
        </w:tc>
        <w:tc>
          <w:tcPr>
            <w:tcW w:w="140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4Commitmentsoustanding"/>
              <w:jc w:val="right"/>
              <w:rPr>
                <w:rFonts w:ascii="Verdana" w:hAnsi="Verdana"/>
                <w:noProof/>
                <w:color w:val="FFFFFF"/>
                <w:sz w:val="16"/>
              </w:rPr>
            </w:pPr>
            <w:r>
              <w:rPr>
                <w:rFonts w:ascii="Verdana" w:hAnsi="Verdana"/>
                <w:noProof/>
                <w:color w:val="FFFFFF"/>
                <w:sz w:val="16"/>
              </w:rPr>
              <w:t xml:space="preserve">Sellaisten sitoumusten peruutukset, joita ei </w:t>
            </w:r>
          </w:p>
          <w:p>
            <w:pPr>
              <w:pStyle w:val="DMETW14819BIPMFF4Commitmentsoustanding"/>
              <w:jc w:val="right"/>
              <w:rPr>
                <w:rFonts w:ascii="Verdana" w:eastAsia="Times New Roman" w:hAnsi="Verdana" w:cs="Verdana"/>
                <w:noProof/>
                <w:color w:val="FFFFFF"/>
                <w:sz w:val="16"/>
              </w:rPr>
            </w:pPr>
            <w:r>
              <w:rPr>
                <w:rFonts w:ascii="Verdana" w:hAnsi="Verdana"/>
                <w:noProof/>
                <w:color w:val="FFFFFF"/>
                <w:sz w:val="16"/>
              </w:rPr>
              <w:t>voida siirtää seuraavalle varainhoito</w:t>
            </w:r>
            <w:r>
              <w:rPr>
                <w:rFonts w:ascii="Verdana" w:hAnsi="Verdana"/>
                <w:noProof/>
                <w:color w:val="FFFFFF"/>
                <w:sz w:val="16"/>
              </w:rPr>
              <w:softHyphen/>
              <w:t>vuodelle</w:t>
            </w:r>
          </w:p>
        </w:tc>
        <w:tc>
          <w:tcPr>
            <w:tcW w:w="1123"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FFFFFF"/>
                <w:sz w:val="16"/>
              </w:rPr>
            </w:pPr>
            <w:r>
              <w:rPr>
                <w:rFonts w:ascii="Verdana" w:hAnsi="Verdana"/>
                <w:noProof/>
                <w:color w:val="FFFFFF"/>
                <w:sz w:val="16"/>
              </w:rPr>
              <w:t>Maksatta</w:t>
            </w:r>
            <w:r>
              <w:rPr>
                <w:rFonts w:ascii="Verdana" w:hAnsi="Verdana"/>
                <w:noProof/>
                <w:color w:val="FFFFFF"/>
                <w:sz w:val="16"/>
              </w:rPr>
              <w:softHyphen/>
              <w:t>matta olevat sitoumukset varainhoito</w:t>
            </w:r>
            <w:r>
              <w:rPr>
                <w:rFonts w:ascii="Verdana" w:hAnsi="Verdana"/>
                <w:noProof/>
                <w:color w:val="FFFFFF"/>
                <w:sz w:val="16"/>
              </w:rPr>
              <w:softHyphen/>
              <w:t>vuoden lopussa</w:t>
            </w:r>
          </w:p>
        </w:tc>
        <w:tc>
          <w:tcPr>
            <w:tcW w:w="1294" w:type="dxa"/>
            <w:vMerge/>
            <w:tcBorders>
              <w:top w:val="nil"/>
              <w:left w:val="nil"/>
              <w:bottom w:val="nil"/>
              <w:right w:val="nil"/>
            </w:tcBorders>
            <w:shd w:val="solid" w:color="016794" w:fill="FFFFFF"/>
            <w:tcMar>
              <w:top w:w="0" w:type="dxa"/>
              <w:left w:w="60" w:type="dxa"/>
              <w:bottom w:w="0" w:type="dxa"/>
              <w:right w:w="60" w:type="dxa"/>
            </w:tcMar>
            <w:vAlign w:val="center"/>
          </w:tcPr>
          <w:p>
            <w:pPr>
              <w:pStyle w:val="DMETW14819BIPMFF4Commitmentsoustanding"/>
              <w:jc w:val="right"/>
              <w:rPr>
                <w:rFonts w:ascii="Verdana" w:eastAsia="Times New Roman" w:hAnsi="Verdana" w:cs="Verdana"/>
                <w:b/>
                <w:noProof/>
                <w:color w:val="FFFFFF"/>
                <w:sz w:val="16"/>
              </w:rPr>
            </w:pPr>
          </w:p>
        </w:tc>
      </w:tr>
      <w:tr>
        <w:trPr>
          <w:trHeight w:val="284"/>
        </w:trPr>
        <w:tc>
          <w:tcPr>
            <w:tcW w:w="234"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p>
        </w:tc>
        <w:tc>
          <w:tcPr>
            <w:tcW w:w="2912"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p>
        </w:tc>
        <w:tc>
          <w:tcPr>
            <w:tcW w:w="1824"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r>
              <w:rPr>
                <w:rFonts w:ascii="Verdana" w:hAnsi="Verdana"/>
                <w:noProof/>
                <w:color w:val="FFFFFF"/>
                <w:sz w:val="16"/>
              </w:rPr>
              <w:t>1</w:t>
            </w:r>
          </w:p>
        </w:tc>
        <w:tc>
          <w:tcPr>
            <w:tcW w:w="1262"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r>
              <w:rPr>
                <w:rFonts w:ascii="Verdana" w:hAnsi="Verdana"/>
                <w:noProof/>
                <w:color w:val="FFFFFF"/>
                <w:sz w:val="16"/>
              </w:rPr>
              <w:t>2</w:t>
            </w:r>
          </w:p>
        </w:tc>
        <w:tc>
          <w:tcPr>
            <w:tcW w:w="1058"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r>
              <w:rPr>
                <w:rFonts w:ascii="Verdana" w:hAnsi="Verdana"/>
                <w:noProof/>
                <w:color w:val="FFFFFF"/>
                <w:sz w:val="16"/>
              </w:rPr>
              <w:t>3</w:t>
            </w:r>
          </w:p>
        </w:tc>
        <w:tc>
          <w:tcPr>
            <w:tcW w:w="1188" w:type="dxa"/>
            <w:gridSpan w:val="2"/>
            <w:tcBorders>
              <w:top w:val="nil"/>
              <w:left w:val="nil"/>
              <w:bottom w:val="nil"/>
              <w:right w:val="nil"/>
            </w:tcBorders>
            <w:shd w:val="solid" w:color="3487A9"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r>
              <w:rPr>
                <w:rFonts w:ascii="Verdana" w:hAnsi="Verdana"/>
                <w:noProof/>
                <w:color w:val="FFFFFF"/>
                <w:sz w:val="16"/>
              </w:rPr>
              <w:t>4=1+2+3</w:t>
            </w:r>
          </w:p>
        </w:tc>
        <w:tc>
          <w:tcPr>
            <w:tcW w:w="1123"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r>
              <w:rPr>
                <w:rFonts w:ascii="Verdana" w:hAnsi="Verdana"/>
                <w:noProof/>
                <w:color w:val="FFFFFF"/>
                <w:sz w:val="16"/>
              </w:rPr>
              <w:t>5</w:t>
            </w:r>
          </w:p>
        </w:tc>
        <w:tc>
          <w:tcPr>
            <w:tcW w:w="1123"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r>
              <w:rPr>
                <w:rFonts w:ascii="Verdana" w:hAnsi="Verdana"/>
                <w:noProof/>
                <w:color w:val="FFFFFF"/>
                <w:sz w:val="16"/>
              </w:rPr>
              <w:t>6</w:t>
            </w:r>
          </w:p>
        </w:tc>
        <w:tc>
          <w:tcPr>
            <w:tcW w:w="1404"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r>
              <w:rPr>
                <w:rFonts w:ascii="Verdana" w:hAnsi="Verdana"/>
                <w:noProof/>
                <w:color w:val="FFFFFF"/>
                <w:sz w:val="16"/>
              </w:rPr>
              <w:t>7</w:t>
            </w:r>
          </w:p>
        </w:tc>
        <w:tc>
          <w:tcPr>
            <w:tcW w:w="1123"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r>
              <w:rPr>
                <w:rFonts w:ascii="Verdana" w:hAnsi="Verdana"/>
                <w:noProof/>
                <w:color w:val="FFFFFF"/>
                <w:sz w:val="16"/>
              </w:rPr>
              <w:t>8=5+6+7</w:t>
            </w:r>
          </w:p>
        </w:tc>
        <w:tc>
          <w:tcPr>
            <w:tcW w:w="1294"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r>
              <w:rPr>
                <w:rFonts w:ascii="Verdana" w:hAnsi="Verdana"/>
                <w:noProof/>
                <w:color w:val="FFFFFF"/>
                <w:sz w:val="16"/>
              </w:rPr>
              <w:t>9=4+8</w:t>
            </w:r>
          </w:p>
        </w:tc>
      </w:tr>
      <w:tr>
        <w:trPr>
          <w:trHeight w:val="284"/>
        </w:trPr>
        <w:tc>
          <w:tcPr>
            <w:tcW w:w="234"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r>
              <w:rPr>
                <w:rFonts w:ascii="Verdana" w:hAnsi="Verdana"/>
                <w:noProof/>
                <w:color w:val="000000"/>
                <w:sz w:val="16"/>
              </w:rPr>
              <w:t>1</w:t>
            </w:r>
          </w:p>
        </w:tc>
        <w:tc>
          <w:tcPr>
            <w:tcW w:w="2912"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r>
              <w:rPr>
                <w:rFonts w:ascii="Verdana" w:hAnsi="Verdana"/>
                <w:noProof/>
                <w:color w:val="000000"/>
                <w:sz w:val="16"/>
              </w:rPr>
              <w:t>Älykäs ja osallistava kasvu</w:t>
            </w:r>
          </w:p>
        </w:tc>
        <w:tc>
          <w:tcPr>
            <w:tcW w:w="182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196 837</w:t>
            </w:r>
          </w:p>
        </w:tc>
        <w:tc>
          <w:tcPr>
            <w:tcW w:w="1262"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(1 323)</w:t>
            </w:r>
          </w:p>
        </w:tc>
        <w:tc>
          <w:tcPr>
            <w:tcW w:w="1058"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(67 640)</w:t>
            </w:r>
          </w:p>
        </w:tc>
        <w:tc>
          <w:tcPr>
            <w:tcW w:w="1188" w:type="dxa"/>
            <w:gridSpan w:val="2"/>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127 874</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87 357</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(8 237)</w:t>
            </w:r>
          </w:p>
        </w:tc>
        <w:tc>
          <w:tcPr>
            <w:tcW w:w="140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(4)</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79 117</w:t>
            </w:r>
          </w:p>
        </w:tc>
        <w:tc>
          <w:tcPr>
            <w:tcW w:w="129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206 991</w:t>
            </w:r>
          </w:p>
        </w:tc>
      </w:tr>
      <w:tr>
        <w:trPr>
          <w:trHeight w:val="284"/>
        </w:trPr>
        <w:tc>
          <w:tcPr>
            <w:tcW w:w="234"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i/>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i/>
                <w:noProof/>
                <w:color w:val="000000"/>
                <w:sz w:val="16"/>
              </w:rPr>
            </w:pPr>
            <w:r>
              <w:rPr>
                <w:rFonts w:ascii="Verdana" w:hAnsi="Verdana"/>
                <w:i/>
                <w:noProof/>
                <w:color w:val="000000"/>
                <w:sz w:val="16"/>
              </w:rPr>
              <w:t>1a: Kasvua ja työllisyyttä edistävä kilpailukyky</w:t>
            </w:r>
          </w:p>
        </w:tc>
        <w:tc>
          <w:tcPr>
            <w:tcW w:w="182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35 576</w:t>
            </w:r>
          </w:p>
        </w:tc>
        <w:tc>
          <w:tcPr>
            <w:tcW w:w="1262"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 xml:space="preserve"> (932)</w:t>
            </w:r>
          </w:p>
        </w:tc>
        <w:tc>
          <w:tcPr>
            <w:tcW w:w="1058"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(13 691)</w:t>
            </w:r>
          </w:p>
        </w:tc>
        <w:tc>
          <w:tcPr>
            <w:tcW w:w="1188" w:type="dxa"/>
            <w:gridSpan w:val="2"/>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20 953</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23 773</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(7 717)</w:t>
            </w:r>
          </w:p>
        </w:tc>
        <w:tc>
          <w:tcPr>
            <w:tcW w:w="140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 xml:space="preserve"> (4)</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16 052</w:t>
            </w:r>
          </w:p>
        </w:tc>
        <w:tc>
          <w:tcPr>
            <w:tcW w:w="129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37 006</w:t>
            </w:r>
          </w:p>
        </w:tc>
      </w:tr>
      <w:tr>
        <w:trPr>
          <w:trHeight w:val="553"/>
        </w:trPr>
        <w:tc>
          <w:tcPr>
            <w:tcW w:w="234"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i/>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i/>
                <w:noProof/>
                <w:color w:val="000000"/>
                <w:sz w:val="16"/>
              </w:rPr>
            </w:pPr>
            <w:r>
              <w:rPr>
                <w:rFonts w:ascii="Verdana" w:hAnsi="Verdana"/>
                <w:i/>
                <w:noProof/>
                <w:color w:val="000000"/>
                <w:sz w:val="16"/>
              </w:rPr>
              <w:t>1b: Taloudellinen, sosiaalinen ja alueellinen koheesio</w:t>
            </w:r>
          </w:p>
        </w:tc>
        <w:tc>
          <w:tcPr>
            <w:tcW w:w="182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161 260</w:t>
            </w:r>
          </w:p>
        </w:tc>
        <w:tc>
          <w:tcPr>
            <w:tcW w:w="1262"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 xml:space="preserve"> (392)</w:t>
            </w:r>
          </w:p>
        </w:tc>
        <w:tc>
          <w:tcPr>
            <w:tcW w:w="1058"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(53 948)</w:t>
            </w:r>
          </w:p>
        </w:tc>
        <w:tc>
          <w:tcPr>
            <w:tcW w:w="1188" w:type="dxa"/>
            <w:gridSpan w:val="2"/>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106 920</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63 585</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 xml:space="preserve"> (520)</w:t>
            </w:r>
          </w:p>
        </w:tc>
        <w:tc>
          <w:tcPr>
            <w:tcW w:w="140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 xml:space="preserve"> (0)</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63 064</w:t>
            </w:r>
          </w:p>
        </w:tc>
        <w:tc>
          <w:tcPr>
            <w:tcW w:w="129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169 985</w:t>
            </w:r>
          </w:p>
        </w:tc>
      </w:tr>
      <w:tr>
        <w:trPr>
          <w:trHeight w:val="284"/>
        </w:trPr>
        <w:tc>
          <w:tcPr>
            <w:tcW w:w="234"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r>
              <w:rPr>
                <w:rFonts w:ascii="Verdana" w:hAnsi="Verdana"/>
                <w:noProof/>
                <w:color w:val="000000"/>
                <w:sz w:val="16"/>
              </w:rPr>
              <w:t>2</w:t>
            </w:r>
          </w:p>
        </w:tc>
        <w:tc>
          <w:tcPr>
            <w:tcW w:w="2912"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r>
              <w:rPr>
                <w:rFonts w:ascii="Verdana" w:hAnsi="Verdana"/>
                <w:noProof/>
                <w:color w:val="000000"/>
                <w:sz w:val="16"/>
              </w:rPr>
              <w:t>Kestävä kasvu: luonnonvarat</w:t>
            </w:r>
          </w:p>
        </w:tc>
        <w:tc>
          <w:tcPr>
            <w:tcW w:w="182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37 883</w:t>
            </w:r>
          </w:p>
        </w:tc>
        <w:tc>
          <w:tcPr>
            <w:tcW w:w="1262"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(360)</w:t>
            </w:r>
          </w:p>
        </w:tc>
        <w:tc>
          <w:tcPr>
            <w:tcW w:w="1058"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(13 466)</w:t>
            </w:r>
          </w:p>
        </w:tc>
        <w:tc>
          <w:tcPr>
            <w:tcW w:w="1188" w:type="dxa"/>
            <w:gridSpan w:val="2"/>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24 058</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60 560</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(44 580)</w:t>
            </w:r>
          </w:p>
        </w:tc>
        <w:tc>
          <w:tcPr>
            <w:tcW w:w="140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15 980</w:t>
            </w:r>
          </w:p>
        </w:tc>
        <w:tc>
          <w:tcPr>
            <w:tcW w:w="129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40 037</w:t>
            </w:r>
          </w:p>
        </w:tc>
      </w:tr>
      <w:tr>
        <w:trPr>
          <w:trHeight w:val="284"/>
        </w:trPr>
        <w:tc>
          <w:tcPr>
            <w:tcW w:w="234"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i/>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i/>
                <w:noProof/>
                <w:color w:val="000000"/>
                <w:sz w:val="16"/>
              </w:rPr>
            </w:pPr>
            <w:r>
              <w:rPr>
                <w:rFonts w:ascii="Verdana" w:hAnsi="Verdana"/>
                <w:i/>
                <w:noProof/>
                <w:color w:val="000000"/>
                <w:sz w:val="16"/>
              </w:rPr>
              <w:t>josta: markkinoihin liittyvät menot ja suorat tuet</w:t>
            </w:r>
          </w:p>
        </w:tc>
        <w:tc>
          <w:tcPr>
            <w:tcW w:w="182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 xml:space="preserve"> 309</w:t>
            </w:r>
          </w:p>
        </w:tc>
        <w:tc>
          <w:tcPr>
            <w:tcW w:w="1262"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 xml:space="preserve"> (14)</w:t>
            </w:r>
          </w:p>
        </w:tc>
        <w:tc>
          <w:tcPr>
            <w:tcW w:w="1058"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 xml:space="preserve"> (228)</w:t>
            </w:r>
          </w:p>
        </w:tc>
        <w:tc>
          <w:tcPr>
            <w:tcW w:w="1188" w:type="dxa"/>
            <w:gridSpan w:val="2"/>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 xml:space="preserve"> 67</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44 364</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(44 082)</w:t>
            </w:r>
          </w:p>
        </w:tc>
        <w:tc>
          <w:tcPr>
            <w:tcW w:w="140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 xml:space="preserve"> 282</w:t>
            </w:r>
          </w:p>
        </w:tc>
        <w:tc>
          <w:tcPr>
            <w:tcW w:w="129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 xml:space="preserve"> 349</w:t>
            </w:r>
          </w:p>
        </w:tc>
      </w:tr>
      <w:tr>
        <w:trPr>
          <w:trHeight w:val="284"/>
        </w:trPr>
        <w:tc>
          <w:tcPr>
            <w:tcW w:w="234"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r>
              <w:rPr>
                <w:rFonts w:ascii="Verdana" w:hAnsi="Verdana"/>
                <w:noProof/>
                <w:color w:val="000000"/>
                <w:sz w:val="16"/>
              </w:rPr>
              <w:t>3</w:t>
            </w:r>
          </w:p>
        </w:tc>
        <w:tc>
          <w:tcPr>
            <w:tcW w:w="2912"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r>
              <w:rPr>
                <w:rFonts w:ascii="Verdana" w:hAnsi="Verdana"/>
                <w:noProof/>
                <w:color w:val="000000"/>
                <w:sz w:val="16"/>
              </w:rPr>
              <w:t>Turvallisuus ja kansalaisuus</w:t>
            </w:r>
          </w:p>
        </w:tc>
        <w:tc>
          <w:tcPr>
            <w:tcW w:w="182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5 194</w:t>
            </w:r>
          </w:p>
        </w:tc>
        <w:tc>
          <w:tcPr>
            <w:tcW w:w="1262"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(107)</w:t>
            </w:r>
          </w:p>
        </w:tc>
        <w:tc>
          <w:tcPr>
            <w:tcW w:w="1058"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(1 781)</w:t>
            </w:r>
          </w:p>
        </w:tc>
        <w:tc>
          <w:tcPr>
            <w:tcW w:w="1188" w:type="dxa"/>
            <w:gridSpan w:val="2"/>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3 306</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3 855</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(1 327)</w:t>
            </w:r>
          </w:p>
        </w:tc>
        <w:tc>
          <w:tcPr>
            <w:tcW w:w="140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2 528</w:t>
            </w:r>
          </w:p>
        </w:tc>
        <w:tc>
          <w:tcPr>
            <w:tcW w:w="129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5 834</w:t>
            </w:r>
          </w:p>
        </w:tc>
      </w:tr>
      <w:tr>
        <w:trPr>
          <w:trHeight w:val="284"/>
        </w:trPr>
        <w:tc>
          <w:tcPr>
            <w:tcW w:w="234"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r>
              <w:rPr>
                <w:rFonts w:ascii="Verdana" w:hAnsi="Verdana"/>
                <w:noProof/>
                <w:color w:val="000000"/>
                <w:sz w:val="16"/>
              </w:rPr>
              <w:t>4</w:t>
            </w:r>
          </w:p>
        </w:tc>
        <w:tc>
          <w:tcPr>
            <w:tcW w:w="2912"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r>
              <w:rPr>
                <w:rFonts w:ascii="Verdana" w:hAnsi="Verdana"/>
                <w:noProof/>
                <w:color w:val="000000"/>
                <w:sz w:val="16"/>
              </w:rPr>
              <w:t>Globaali Eurooppa</w:t>
            </w:r>
          </w:p>
        </w:tc>
        <w:tc>
          <w:tcPr>
            <w:tcW w:w="182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26 478</w:t>
            </w:r>
          </w:p>
        </w:tc>
        <w:tc>
          <w:tcPr>
            <w:tcW w:w="1262"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(667)</w:t>
            </w:r>
          </w:p>
        </w:tc>
        <w:tc>
          <w:tcPr>
            <w:tcW w:w="1058"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(6 746)</w:t>
            </w:r>
          </w:p>
        </w:tc>
        <w:tc>
          <w:tcPr>
            <w:tcW w:w="1188" w:type="dxa"/>
            <w:gridSpan w:val="2"/>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19 064</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11 062</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(2 773)</w:t>
            </w:r>
          </w:p>
        </w:tc>
        <w:tc>
          <w:tcPr>
            <w:tcW w:w="140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(1)</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8 288</w:t>
            </w:r>
          </w:p>
        </w:tc>
        <w:tc>
          <w:tcPr>
            <w:tcW w:w="129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27 352</w:t>
            </w:r>
          </w:p>
        </w:tc>
      </w:tr>
      <w:tr>
        <w:trPr>
          <w:trHeight w:val="284"/>
        </w:trPr>
        <w:tc>
          <w:tcPr>
            <w:tcW w:w="234"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r>
              <w:rPr>
                <w:rFonts w:ascii="Verdana" w:hAnsi="Verdana"/>
                <w:noProof/>
                <w:color w:val="000000"/>
                <w:sz w:val="16"/>
              </w:rPr>
              <w:t>5</w:t>
            </w:r>
          </w:p>
        </w:tc>
        <w:tc>
          <w:tcPr>
            <w:tcW w:w="2912"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r>
              <w:rPr>
                <w:rFonts w:ascii="Verdana" w:hAnsi="Verdana"/>
                <w:noProof/>
                <w:color w:val="000000"/>
                <w:sz w:val="16"/>
              </w:rPr>
              <w:t>Hallinto</w:t>
            </w:r>
          </w:p>
        </w:tc>
        <w:tc>
          <w:tcPr>
            <w:tcW w:w="182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867</w:t>
            </w:r>
          </w:p>
        </w:tc>
        <w:tc>
          <w:tcPr>
            <w:tcW w:w="1262"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(87)</w:t>
            </w:r>
          </w:p>
        </w:tc>
        <w:tc>
          <w:tcPr>
            <w:tcW w:w="1058"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(775)</w:t>
            </w:r>
          </w:p>
        </w:tc>
        <w:tc>
          <w:tcPr>
            <w:tcW w:w="1188" w:type="dxa"/>
            <w:gridSpan w:val="2"/>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6</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10 124</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(9 169)</w:t>
            </w:r>
          </w:p>
        </w:tc>
        <w:tc>
          <w:tcPr>
            <w:tcW w:w="140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955</w:t>
            </w:r>
          </w:p>
        </w:tc>
        <w:tc>
          <w:tcPr>
            <w:tcW w:w="129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961</w:t>
            </w:r>
          </w:p>
        </w:tc>
      </w:tr>
      <w:tr>
        <w:trPr>
          <w:trHeight w:val="284"/>
        </w:trPr>
        <w:tc>
          <w:tcPr>
            <w:tcW w:w="234"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i/>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i/>
                <w:noProof/>
                <w:color w:val="000000"/>
                <w:sz w:val="16"/>
              </w:rPr>
            </w:pPr>
            <w:r>
              <w:rPr>
                <w:rFonts w:ascii="Verdana" w:hAnsi="Verdana"/>
                <w:i/>
                <w:noProof/>
                <w:color w:val="000000"/>
                <w:sz w:val="16"/>
              </w:rPr>
              <w:t>josta: toimielinten hallintomenot</w:t>
            </w:r>
          </w:p>
        </w:tc>
        <w:tc>
          <w:tcPr>
            <w:tcW w:w="182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 xml:space="preserve"> 507</w:t>
            </w:r>
          </w:p>
        </w:tc>
        <w:tc>
          <w:tcPr>
            <w:tcW w:w="1262"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 xml:space="preserve"> (61)</w:t>
            </w:r>
          </w:p>
        </w:tc>
        <w:tc>
          <w:tcPr>
            <w:tcW w:w="1058"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 xml:space="preserve"> (444)</w:t>
            </w:r>
          </w:p>
        </w:tc>
        <w:tc>
          <w:tcPr>
            <w:tcW w:w="1188" w:type="dxa"/>
            <w:gridSpan w:val="2"/>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 xml:space="preserve"> 2</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4 280</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(3 695)</w:t>
            </w:r>
          </w:p>
        </w:tc>
        <w:tc>
          <w:tcPr>
            <w:tcW w:w="140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0</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 xml:space="preserve"> 584</w:t>
            </w:r>
          </w:p>
        </w:tc>
        <w:tc>
          <w:tcPr>
            <w:tcW w:w="129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 xml:space="preserve"> 587</w:t>
            </w:r>
          </w:p>
        </w:tc>
      </w:tr>
      <w:tr>
        <w:trPr>
          <w:trHeight w:val="284"/>
        </w:trPr>
        <w:tc>
          <w:tcPr>
            <w:tcW w:w="234"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r>
              <w:rPr>
                <w:rFonts w:ascii="Verdana" w:hAnsi="Verdana"/>
                <w:noProof/>
                <w:color w:val="000000"/>
                <w:sz w:val="16"/>
              </w:rPr>
              <w:t>6</w:t>
            </w:r>
          </w:p>
        </w:tc>
        <w:tc>
          <w:tcPr>
            <w:tcW w:w="2912"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r>
              <w:rPr>
                <w:rFonts w:ascii="Verdana" w:hAnsi="Verdana"/>
                <w:noProof/>
                <w:color w:val="000000"/>
                <w:sz w:val="16"/>
              </w:rPr>
              <w:t>Korvaukset</w:t>
            </w:r>
          </w:p>
        </w:tc>
        <w:tc>
          <w:tcPr>
            <w:tcW w:w="182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62"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058"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88" w:type="dxa"/>
            <w:gridSpan w:val="2"/>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40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9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r>
      <w:tr>
        <w:trPr>
          <w:trHeight w:val="284"/>
        </w:trPr>
        <w:tc>
          <w:tcPr>
            <w:tcW w:w="234"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r>
              <w:rPr>
                <w:rFonts w:ascii="Verdana" w:hAnsi="Verdana"/>
                <w:noProof/>
                <w:color w:val="000000"/>
                <w:sz w:val="16"/>
              </w:rPr>
              <w:t>8</w:t>
            </w:r>
          </w:p>
        </w:tc>
        <w:tc>
          <w:tcPr>
            <w:tcW w:w="2912"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r>
              <w:rPr>
                <w:rFonts w:ascii="Verdana" w:hAnsi="Verdana"/>
                <w:noProof/>
                <w:color w:val="000000"/>
                <w:sz w:val="16"/>
              </w:rPr>
              <w:t xml:space="preserve">Negatiivinen varaus ja edeltävältä varainhoitovuodelta siirretty alijäämä </w:t>
            </w:r>
          </w:p>
        </w:tc>
        <w:tc>
          <w:tcPr>
            <w:tcW w:w="182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62"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058"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88" w:type="dxa"/>
            <w:gridSpan w:val="2"/>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40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9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r>
      <w:tr>
        <w:trPr>
          <w:trHeight w:val="284"/>
        </w:trPr>
        <w:tc>
          <w:tcPr>
            <w:tcW w:w="234"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r>
              <w:rPr>
                <w:rFonts w:ascii="Verdana" w:hAnsi="Verdana"/>
                <w:noProof/>
                <w:color w:val="000000"/>
                <w:sz w:val="16"/>
              </w:rPr>
              <w:t>9</w:t>
            </w:r>
          </w:p>
        </w:tc>
        <w:tc>
          <w:tcPr>
            <w:tcW w:w="2912"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r>
              <w:rPr>
                <w:rFonts w:ascii="Verdana" w:hAnsi="Verdana"/>
                <w:noProof/>
                <w:color w:val="000000"/>
                <w:sz w:val="16"/>
              </w:rPr>
              <w:t>Erityisrahoitusvälineet</w:t>
            </w:r>
          </w:p>
        </w:tc>
        <w:tc>
          <w:tcPr>
            <w:tcW w:w="182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62"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58"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88" w:type="dxa"/>
            <w:gridSpan w:val="2"/>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180</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(180)</w:t>
            </w:r>
          </w:p>
        </w:tc>
        <w:tc>
          <w:tcPr>
            <w:tcW w:w="140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2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9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284"/>
        </w:trPr>
        <w:tc>
          <w:tcPr>
            <w:tcW w:w="2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4Commitmentsoustanding"/>
              <w:rPr>
                <w:rFonts w:ascii="Verdana" w:eastAsia="Times New Roman" w:hAnsi="Verdana" w:cs="Verdana"/>
                <w:b/>
                <w:noProof/>
                <w:color w:val="000000"/>
                <w:sz w:val="16"/>
              </w:rPr>
            </w:pPr>
          </w:p>
        </w:tc>
        <w:tc>
          <w:tcPr>
            <w:tcW w:w="291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4Commitmentsoustanding"/>
              <w:rPr>
                <w:rFonts w:ascii="Verdana" w:eastAsia="Times New Roman" w:hAnsi="Verdana" w:cs="Verdana"/>
                <w:b/>
                <w:noProof/>
                <w:color w:val="000000"/>
                <w:sz w:val="16"/>
              </w:rPr>
            </w:pPr>
            <w:r>
              <w:rPr>
                <w:rFonts w:ascii="Verdana" w:hAnsi="Verdana"/>
                <w:b/>
                <w:noProof/>
                <w:color w:val="000000"/>
                <w:sz w:val="16"/>
              </w:rPr>
              <w:t>Yhteensä</w:t>
            </w:r>
          </w:p>
        </w:tc>
        <w:tc>
          <w:tcPr>
            <w:tcW w:w="182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4Commitmentsoustanding"/>
              <w:jc w:val="right"/>
              <w:rPr>
                <w:rFonts w:ascii="Verdana" w:eastAsia="Times New Roman" w:hAnsi="Verdana" w:cs="Verdana"/>
                <w:b/>
                <w:noProof/>
                <w:color w:val="000000"/>
                <w:sz w:val="16"/>
              </w:rPr>
            </w:pPr>
            <w:r>
              <w:rPr>
                <w:rFonts w:ascii="Verdana" w:hAnsi="Verdana"/>
                <w:b/>
                <w:noProof/>
                <w:color w:val="000000"/>
                <w:sz w:val="16"/>
              </w:rPr>
              <w:t>267 258</w:t>
            </w:r>
          </w:p>
        </w:tc>
        <w:tc>
          <w:tcPr>
            <w:tcW w:w="126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4Commitmentsoustanding"/>
              <w:jc w:val="right"/>
              <w:rPr>
                <w:rFonts w:ascii="Verdana" w:eastAsia="Times New Roman" w:hAnsi="Verdana" w:cs="Verdana"/>
                <w:b/>
                <w:noProof/>
                <w:color w:val="000000"/>
                <w:sz w:val="16"/>
              </w:rPr>
            </w:pPr>
            <w:r>
              <w:rPr>
                <w:rFonts w:ascii="Verdana" w:hAnsi="Verdana"/>
                <w:b/>
                <w:noProof/>
                <w:color w:val="000000"/>
                <w:sz w:val="16"/>
              </w:rPr>
              <w:t>(2 544)</w:t>
            </w:r>
          </w:p>
        </w:tc>
        <w:tc>
          <w:tcPr>
            <w:tcW w:w="105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4Commitmentsoustanding"/>
              <w:jc w:val="right"/>
              <w:rPr>
                <w:rFonts w:ascii="Verdana" w:eastAsia="Times New Roman" w:hAnsi="Verdana" w:cs="Verdana"/>
                <w:b/>
                <w:noProof/>
                <w:color w:val="000000"/>
                <w:sz w:val="16"/>
              </w:rPr>
            </w:pPr>
            <w:r>
              <w:rPr>
                <w:rFonts w:ascii="Verdana" w:hAnsi="Verdana"/>
                <w:b/>
                <w:noProof/>
                <w:color w:val="000000"/>
                <w:sz w:val="16"/>
              </w:rPr>
              <w:t>(90 407)</w:t>
            </w:r>
          </w:p>
        </w:tc>
        <w:tc>
          <w:tcPr>
            <w:tcW w:w="1188"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MFF4Commitmentsoustanding"/>
              <w:jc w:val="right"/>
              <w:rPr>
                <w:rFonts w:ascii="Verdana" w:eastAsia="Times New Roman" w:hAnsi="Verdana" w:cs="Verdana"/>
                <w:b/>
                <w:noProof/>
                <w:color w:val="000000"/>
                <w:sz w:val="16"/>
              </w:rPr>
            </w:pPr>
            <w:r>
              <w:rPr>
                <w:rFonts w:ascii="Verdana" w:hAnsi="Verdana"/>
                <w:b/>
                <w:noProof/>
                <w:color w:val="000000"/>
                <w:sz w:val="16"/>
              </w:rPr>
              <w:t>174 307</w:t>
            </w:r>
          </w:p>
        </w:tc>
        <w:tc>
          <w:tcPr>
            <w:tcW w:w="112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4Commitmentsoustanding"/>
              <w:jc w:val="right"/>
              <w:rPr>
                <w:rFonts w:ascii="Verdana" w:eastAsia="Times New Roman" w:hAnsi="Verdana" w:cs="Verdana"/>
                <w:b/>
                <w:noProof/>
                <w:color w:val="000000"/>
                <w:sz w:val="16"/>
              </w:rPr>
            </w:pPr>
            <w:r>
              <w:rPr>
                <w:rFonts w:ascii="Verdana" w:hAnsi="Verdana"/>
                <w:b/>
                <w:noProof/>
                <w:color w:val="000000"/>
                <w:sz w:val="16"/>
              </w:rPr>
              <w:t>173 139</w:t>
            </w:r>
          </w:p>
        </w:tc>
        <w:tc>
          <w:tcPr>
            <w:tcW w:w="112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4Commitmentsoustanding"/>
              <w:jc w:val="right"/>
              <w:rPr>
                <w:rFonts w:ascii="Verdana" w:eastAsia="Times New Roman" w:hAnsi="Verdana" w:cs="Verdana"/>
                <w:b/>
                <w:noProof/>
                <w:color w:val="000000"/>
                <w:sz w:val="16"/>
              </w:rPr>
            </w:pPr>
            <w:r>
              <w:rPr>
                <w:rFonts w:ascii="Verdana" w:hAnsi="Verdana"/>
                <w:b/>
                <w:noProof/>
                <w:color w:val="000000"/>
                <w:sz w:val="16"/>
              </w:rPr>
              <w:t>(66 265)</w:t>
            </w:r>
          </w:p>
        </w:tc>
        <w:tc>
          <w:tcPr>
            <w:tcW w:w="140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4Commitmentsoustanding"/>
              <w:jc w:val="right"/>
              <w:rPr>
                <w:rFonts w:ascii="Verdana" w:eastAsia="Times New Roman" w:hAnsi="Verdana" w:cs="Verdana"/>
                <w:b/>
                <w:noProof/>
                <w:color w:val="000000"/>
                <w:sz w:val="16"/>
              </w:rPr>
            </w:pPr>
            <w:r>
              <w:rPr>
                <w:rFonts w:ascii="Verdana" w:hAnsi="Verdana"/>
                <w:b/>
                <w:noProof/>
                <w:color w:val="000000"/>
                <w:sz w:val="16"/>
              </w:rPr>
              <w:t xml:space="preserve"> (5)</w:t>
            </w:r>
          </w:p>
        </w:tc>
        <w:tc>
          <w:tcPr>
            <w:tcW w:w="112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4Commitmentsoustanding"/>
              <w:jc w:val="right"/>
              <w:rPr>
                <w:rFonts w:ascii="Verdana" w:eastAsia="Times New Roman" w:hAnsi="Verdana" w:cs="Verdana"/>
                <w:b/>
                <w:noProof/>
                <w:color w:val="000000"/>
                <w:sz w:val="16"/>
              </w:rPr>
            </w:pPr>
            <w:r>
              <w:rPr>
                <w:rFonts w:ascii="Verdana" w:hAnsi="Verdana"/>
                <w:b/>
                <w:noProof/>
                <w:color w:val="000000"/>
                <w:sz w:val="16"/>
              </w:rPr>
              <w:t>106 868</w:t>
            </w:r>
          </w:p>
        </w:tc>
        <w:tc>
          <w:tcPr>
            <w:tcW w:w="129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4Commitmentsoustanding"/>
              <w:jc w:val="right"/>
              <w:rPr>
                <w:rFonts w:ascii="Verdana" w:eastAsia="Times New Roman" w:hAnsi="Verdana" w:cs="Verdana"/>
                <w:b/>
                <w:noProof/>
                <w:color w:val="000000"/>
                <w:sz w:val="16"/>
              </w:rPr>
            </w:pPr>
            <w:r>
              <w:rPr>
                <w:rFonts w:ascii="Verdana" w:hAnsi="Verdana"/>
                <w:b/>
                <w:noProof/>
                <w:color w:val="000000"/>
                <w:sz w:val="16"/>
              </w:rPr>
              <w:t>281 175</w:t>
            </w:r>
          </w:p>
        </w:tc>
      </w:tr>
    </w:tbl>
    <w:p>
      <w:pPr>
        <w:pStyle w:val="DGTextstand-alone"/>
      </w:pPr>
    </w:p>
    <w:p>
      <w:pPr>
        <w:pStyle w:val="Textstand-alone"/>
      </w:pPr>
    </w:p>
    <w:p>
      <w:pPr>
        <w:pStyle w:val="Textstand-alone"/>
        <w:sectPr>
          <w:headerReference w:type="even" r:id="rId491"/>
          <w:headerReference w:type="default" r:id="rId492"/>
          <w:footerReference w:type="even" r:id="rId493"/>
          <w:footerReference w:type="default" r:id="rId494"/>
          <w:headerReference w:type="first" r:id="rId495"/>
          <w:footerReference w:type="first" r:id="rId496"/>
          <w:type w:val="nextColumn"/>
          <w:pgSz w:w="16840" w:h="11900" w:orient="landscape"/>
          <w:pgMar w:top="1134" w:right="1134" w:bottom="1134" w:left="1134" w:header="720" w:footer="720" w:gutter="0"/>
          <w:cols w:space="720"/>
          <w:docGrid w:linePitch="272"/>
        </w:sectPr>
      </w:pPr>
    </w:p>
    <w:p>
      <w:pPr>
        <w:pStyle w:val="HEADER2PartBUDG"/>
        <w:rPr>
          <w:noProof/>
        </w:rPr>
      </w:pPr>
      <w:bookmarkStart w:id="333" w:name="_Toc11939555"/>
      <w:bookmarkStart w:id="334" w:name="_Toc17887580"/>
      <w:r>
        <w:rPr>
          <w:noProof/>
        </w:rPr>
        <w:t>MAKSATTAMATTA OLEVIEN SITOUMUSTEN JAKAUTUMINEN ALKUPERÄVUODEN MUKAAN MONIVUOTISEN RAHOITUSKEHYKSEN OTSAKKEITTAIN</w:t>
      </w:r>
      <w:bookmarkEnd w:id="333"/>
      <w:bookmarkEnd w:id="334"/>
      <w:r>
        <w:rPr>
          <w:noProof/>
        </w:rPr>
        <w:t xml:space="preserve"> </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
        <w:gridCol w:w="4963"/>
        <w:gridCol w:w="1226"/>
        <w:gridCol w:w="1001"/>
        <w:gridCol w:w="1002"/>
        <w:gridCol w:w="1001"/>
        <w:gridCol w:w="1002"/>
        <w:gridCol w:w="1001"/>
        <w:gridCol w:w="1002"/>
        <w:gridCol w:w="986"/>
        <w:gridCol w:w="1134"/>
      </w:tblGrid>
      <w:tr>
        <w:trPr>
          <w:trHeight w:val="340"/>
        </w:trPr>
        <w:tc>
          <w:tcPr>
            <w:tcW w:w="342"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bookmarkStart w:id="335" w:name="DOC_TBL00108_1_1"/>
            <w:bookmarkEnd w:id="335"/>
          </w:p>
        </w:tc>
        <w:tc>
          <w:tcPr>
            <w:tcW w:w="4963"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p>
        </w:tc>
        <w:tc>
          <w:tcPr>
            <w:tcW w:w="1226"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p>
        </w:tc>
        <w:tc>
          <w:tcPr>
            <w:tcW w:w="986"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p>
        </w:tc>
        <w:tc>
          <w:tcPr>
            <w:tcW w:w="1134"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milj. euroa</w:t>
            </w:r>
          </w:p>
        </w:tc>
      </w:tr>
      <w:tr>
        <w:trPr>
          <w:trHeight w:val="340"/>
        </w:trPr>
        <w:tc>
          <w:tcPr>
            <w:tcW w:w="34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5RALYoO"/>
              <w:jc w:val="center"/>
              <w:rPr>
                <w:rFonts w:ascii="Verdana" w:eastAsia="Times New Roman" w:hAnsi="Verdana" w:cs="Verdana"/>
                <w:noProof/>
                <w:color w:val="FFFFFF"/>
                <w:sz w:val="16"/>
              </w:rPr>
            </w:pPr>
          </w:p>
        </w:tc>
        <w:tc>
          <w:tcPr>
            <w:tcW w:w="4963"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5RALYoO"/>
              <w:jc w:val="center"/>
              <w:rPr>
                <w:rFonts w:ascii="Verdana" w:eastAsia="Times New Roman" w:hAnsi="Verdana" w:cs="Verdana"/>
                <w:noProof/>
                <w:color w:val="FFFFFF"/>
                <w:sz w:val="16"/>
              </w:rPr>
            </w:pPr>
            <w:r>
              <w:rPr>
                <w:rFonts w:ascii="Verdana" w:hAnsi="Verdana"/>
                <w:noProof/>
                <w:color w:val="FFFFFF"/>
                <w:sz w:val="16"/>
              </w:rPr>
              <w:t>Rahoituskehyksen otsake</w:t>
            </w:r>
          </w:p>
        </w:tc>
        <w:tc>
          <w:tcPr>
            <w:tcW w:w="1226"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5RALYoO"/>
              <w:jc w:val="center"/>
              <w:rPr>
                <w:rFonts w:ascii="Verdana" w:eastAsia="Times New Roman" w:hAnsi="Verdana" w:cs="Verdana"/>
                <w:noProof/>
                <w:color w:val="FFFFFF"/>
                <w:sz w:val="16"/>
              </w:rPr>
            </w:pPr>
            <w:r>
              <w:rPr>
                <w:rFonts w:ascii="Verdana" w:hAnsi="Verdana"/>
                <w:noProof/>
                <w:color w:val="FFFFFF"/>
                <w:sz w:val="16"/>
              </w:rPr>
              <w:t>&lt; 2012</w:t>
            </w:r>
          </w:p>
        </w:tc>
        <w:tc>
          <w:tcPr>
            <w:tcW w:w="1001"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5RALYoO"/>
              <w:jc w:val="center"/>
              <w:rPr>
                <w:rFonts w:ascii="Verdana" w:eastAsia="Times New Roman" w:hAnsi="Verdana" w:cs="Verdana"/>
                <w:noProof/>
                <w:color w:val="FFFFFF"/>
                <w:sz w:val="16"/>
              </w:rPr>
            </w:pPr>
            <w:r>
              <w:rPr>
                <w:rFonts w:ascii="Verdana" w:hAnsi="Verdana"/>
                <w:noProof/>
                <w:color w:val="FFFFFF"/>
                <w:sz w:val="16"/>
              </w:rPr>
              <w:t>2012</w:t>
            </w:r>
          </w:p>
        </w:tc>
        <w:tc>
          <w:tcPr>
            <w:tcW w:w="100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5RALYoO"/>
              <w:jc w:val="center"/>
              <w:rPr>
                <w:rFonts w:ascii="Verdana" w:eastAsia="Times New Roman" w:hAnsi="Verdana" w:cs="Verdana"/>
                <w:noProof/>
                <w:color w:val="FFFFFF"/>
                <w:sz w:val="16"/>
              </w:rPr>
            </w:pPr>
            <w:r>
              <w:rPr>
                <w:rFonts w:ascii="Verdana" w:hAnsi="Verdana"/>
                <w:noProof/>
                <w:color w:val="FFFFFF"/>
                <w:sz w:val="16"/>
              </w:rPr>
              <w:t>2013</w:t>
            </w:r>
          </w:p>
        </w:tc>
        <w:tc>
          <w:tcPr>
            <w:tcW w:w="1001"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5RALYoO"/>
              <w:jc w:val="center"/>
              <w:rPr>
                <w:rFonts w:ascii="Verdana" w:eastAsia="Times New Roman" w:hAnsi="Verdana" w:cs="Verdana"/>
                <w:noProof/>
                <w:color w:val="FFFFFF"/>
                <w:sz w:val="16"/>
              </w:rPr>
            </w:pPr>
            <w:r>
              <w:rPr>
                <w:rFonts w:ascii="Verdana" w:hAnsi="Verdana"/>
                <w:noProof/>
                <w:color w:val="FFFFFF"/>
                <w:sz w:val="16"/>
              </w:rPr>
              <w:t>2014</w:t>
            </w:r>
          </w:p>
        </w:tc>
        <w:tc>
          <w:tcPr>
            <w:tcW w:w="100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5RALYoO"/>
              <w:jc w:val="center"/>
              <w:rPr>
                <w:rFonts w:ascii="Verdana" w:eastAsia="Times New Roman" w:hAnsi="Verdana" w:cs="Verdana"/>
                <w:noProof/>
                <w:color w:val="FFFFFF"/>
                <w:sz w:val="16"/>
              </w:rPr>
            </w:pPr>
            <w:r>
              <w:rPr>
                <w:rFonts w:ascii="Verdana" w:hAnsi="Verdana"/>
                <w:noProof/>
                <w:color w:val="FFFFFF"/>
                <w:sz w:val="16"/>
              </w:rPr>
              <w:t>2015</w:t>
            </w:r>
          </w:p>
        </w:tc>
        <w:tc>
          <w:tcPr>
            <w:tcW w:w="1001"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5RALYoO"/>
              <w:jc w:val="center"/>
              <w:rPr>
                <w:rFonts w:ascii="Verdana" w:eastAsia="Times New Roman" w:hAnsi="Verdana" w:cs="Verdana"/>
                <w:noProof/>
                <w:color w:val="FFFFFF"/>
                <w:sz w:val="16"/>
              </w:rPr>
            </w:pPr>
            <w:r>
              <w:rPr>
                <w:rFonts w:ascii="Verdana" w:hAnsi="Verdana"/>
                <w:noProof/>
                <w:color w:val="FFFFFF"/>
                <w:sz w:val="16"/>
              </w:rPr>
              <w:t>2016</w:t>
            </w:r>
          </w:p>
        </w:tc>
        <w:tc>
          <w:tcPr>
            <w:tcW w:w="100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5RALYoO"/>
              <w:jc w:val="center"/>
              <w:rPr>
                <w:rFonts w:ascii="Verdana" w:eastAsia="Times New Roman" w:hAnsi="Verdana" w:cs="Verdana"/>
                <w:noProof/>
                <w:color w:val="FFFFFF"/>
                <w:sz w:val="16"/>
              </w:rPr>
            </w:pPr>
            <w:r>
              <w:rPr>
                <w:rFonts w:ascii="Verdana" w:hAnsi="Verdana"/>
                <w:noProof/>
                <w:color w:val="FFFFFF"/>
                <w:sz w:val="16"/>
              </w:rPr>
              <w:t>2017</w:t>
            </w:r>
          </w:p>
        </w:tc>
        <w:tc>
          <w:tcPr>
            <w:tcW w:w="986"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5RALYoO"/>
              <w:jc w:val="center"/>
              <w:rPr>
                <w:rFonts w:ascii="Verdana" w:eastAsia="Times New Roman" w:hAnsi="Verdana" w:cs="Verdana"/>
                <w:noProof/>
                <w:color w:val="FFFFFF"/>
                <w:sz w:val="16"/>
              </w:rPr>
            </w:pPr>
            <w:r>
              <w:rPr>
                <w:rFonts w:ascii="Verdana" w:hAnsi="Verdana"/>
                <w:noProof/>
                <w:color w:val="FFFFFF"/>
                <w:sz w:val="16"/>
              </w:rPr>
              <w:t>2018</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5RALYoO"/>
              <w:jc w:val="center"/>
              <w:rPr>
                <w:rFonts w:ascii="Verdana" w:eastAsia="Times New Roman" w:hAnsi="Verdana" w:cs="Verdana"/>
                <w:noProof/>
                <w:color w:val="FFFFFF"/>
                <w:sz w:val="16"/>
              </w:rPr>
            </w:pPr>
            <w:r>
              <w:rPr>
                <w:rFonts w:ascii="Verdana" w:hAnsi="Verdana"/>
                <w:noProof/>
                <w:color w:val="FFFFFF"/>
                <w:sz w:val="16"/>
              </w:rPr>
              <w:t>Yhteensä</w:t>
            </w:r>
          </w:p>
        </w:tc>
      </w:tr>
      <w:tr>
        <w:trPr>
          <w:trHeight w:val="340"/>
        </w:trPr>
        <w:tc>
          <w:tcPr>
            <w:tcW w:w="342"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r>
              <w:rPr>
                <w:rFonts w:ascii="Verdana" w:hAnsi="Verdana"/>
                <w:noProof/>
                <w:color w:val="000000"/>
                <w:sz w:val="16"/>
              </w:rPr>
              <w:t>1</w:t>
            </w:r>
          </w:p>
        </w:tc>
        <w:tc>
          <w:tcPr>
            <w:tcW w:w="4963"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r>
              <w:rPr>
                <w:rFonts w:ascii="Verdana" w:hAnsi="Verdana"/>
                <w:noProof/>
                <w:color w:val="000000"/>
                <w:sz w:val="16"/>
              </w:rPr>
              <w:t>Älykäs ja osallistava kasvu</w:t>
            </w:r>
          </w:p>
        </w:tc>
        <w:tc>
          <w:tcPr>
            <w:tcW w:w="122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1 355</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744</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5 867</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3 807</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13 803</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37 234</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65 049</w:t>
            </w:r>
          </w:p>
        </w:tc>
        <w:tc>
          <w:tcPr>
            <w:tcW w:w="98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79 131</w:t>
            </w:r>
          </w:p>
        </w:tc>
        <w:tc>
          <w:tcPr>
            <w:tcW w:w="1134"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206 991</w:t>
            </w:r>
          </w:p>
        </w:tc>
      </w:tr>
      <w:tr>
        <w:trPr>
          <w:trHeight w:val="340"/>
        </w:trPr>
        <w:tc>
          <w:tcPr>
            <w:tcW w:w="342"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i/>
                <w:noProof/>
                <w:color w:val="000000"/>
                <w:sz w:val="16"/>
              </w:rPr>
            </w:pPr>
          </w:p>
        </w:tc>
        <w:tc>
          <w:tcPr>
            <w:tcW w:w="4963"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i/>
                <w:noProof/>
                <w:color w:val="000000"/>
                <w:sz w:val="16"/>
              </w:rPr>
            </w:pPr>
            <w:r>
              <w:rPr>
                <w:rFonts w:ascii="Verdana" w:hAnsi="Verdana"/>
                <w:i/>
                <w:noProof/>
                <w:color w:val="000000"/>
                <w:sz w:val="16"/>
              </w:rPr>
              <w:t>1a: Kasvua ja työllisyyttä edistävä kilpailukyky</w:t>
            </w:r>
          </w:p>
        </w:tc>
        <w:tc>
          <w:tcPr>
            <w:tcW w:w="122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 xml:space="preserve"> 554</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 xml:space="preserve"> 289</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1 645</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2 067</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2 880</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4 994</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8 521</w:t>
            </w:r>
          </w:p>
        </w:tc>
        <w:tc>
          <w:tcPr>
            <w:tcW w:w="98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16 055</w:t>
            </w:r>
          </w:p>
        </w:tc>
        <w:tc>
          <w:tcPr>
            <w:tcW w:w="1134"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37 006</w:t>
            </w:r>
          </w:p>
        </w:tc>
      </w:tr>
      <w:tr>
        <w:trPr>
          <w:trHeight w:val="340"/>
        </w:trPr>
        <w:tc>
          <w:tcPr>
            <w:tcW w:w="342"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i/>
                <w:noProof/>
                <w:color w:val="000000"/>
                <w:sz w:val="16"/>
              </w:rPr>
            </w:pPr>
          </w:p>
        </w:tc>
        <w:tc>
          <w:tcPr>
            <w:tcW w:w="4963"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i/>
                <w:noProof/>
                <w:color w:val="000000"/>
                <w:sz w:val="16"/>
              </w:rPr>
            </w:pPr>
            <w:r>
              <w:rPr>
                <w:rFonts w:ascii="Verdana" w:hAnsi="Verdana"/>
                <w:i/>
                <w:noProof/>
                <w:color w:val="000000"/>
                <w:sz w:val="16"/>
              </w:rPr>
              <w:t>1b: Taloudellinen, sosiaalinen ja alueellinen koheesio</w:t>
            </w:r>
          </w:p>
        </w:tc>
        <w:tc>
          <w:tcPr>
            <w:tcW w:w="122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 xml:space="preserve"> 801</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 xml:space="preserve"> 455</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4 222</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1 739</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10 923</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32 240</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56 528</w:t>
            </w:r>
          </w:p>
        </w:tc>
        <w:tc>
          <w:tcPr>
            <w:tcW w:w="98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63 076</w:t>
            </w:r>
          </w:p>
        </w:tc>
        <w:tc>
          <w:tcPr>
            <w:tcW w:w="1134"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169 985</w:t>
            </w:r>
          </w:p>
        </w:tc>
      </w:tr>
      <w:tr>
        <w:trPr>
          <w:trHeight w:val="340"/>
        </w:trPr>
        <w:tc>
          <w:tcPr>
            <w:tcW w:w="342"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r>
              <w:rPr>
                <w:rFonts w:ascii="Verdana" w:hAnsi="Verdana"/>
                <w:noProof/>
                <w:color w:val="000000"/>
                <w:sz w:val="16"/>
              </w:rPr>
              <w:t>2</w:t>
            </w:r>
          </w:p>
        </w:tc>
        <w:tc>
          <w:tcPr>
            <w:tcW w:w="4963"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r>
              <w:rPr>
                <w:rFonts w:ascii="Verdana" w:hAnsi="Verdana"/>
                <w:noProof/>
                <w:color w:val="000000"/>
                <w:sz w:val="16"/>
              </w:rPr>
              <w:t>Kestävä kasvu: luonnonvarat</w:t>
            </w:r>
          </w:p>
        </w:tc>
        <w:tc>
          <w:tcPr>
            <w:tcW w:w="122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186</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56</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461</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311</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2 138</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8 301</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12 411</w:t>
            </w:r>
          </w:p>
        </w:tc>
        <w:tc>
          <w:tcPr>
            <w:tcW w:w="98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16 173</w:t>
            </w:r>
          </w:p>
        </w:tc>
        <w:tc>
          <w:tcPr>
            <w:tcW w:w="1134"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40 037</w:t>
            </w:r>
          </w:p>
        </w:tc>
      </w:tr>
      <w:tr>
        <w:trPr>
          <w:trHeight w:val="340"/>
        </w:trPr>
        <w:tc>
          <w:tcPr>
            <w:tcW w:w="342"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i/>
                <w:noProof/>
                <w:color w:val="000000"/>
                <w:sz w:val="16"/>
              </w:rPr>
            </w:pPr>
          </w:p>
        </w:tc>
        <w:tc>
          <w:tcPr>
            <w:tcW w:w="4963"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i/>
                <w:noProof/>
                <w:color w:val="000000"/>
                <w:sz w:val="16"/>
              </w:rPr>
            </w:pPr>
            <w:r>
              <w:rPr>
                <w:rFonts w:ascii="Verdana" w:hAnsi="Verdana"/>
                <w:i/>
                <w:noProof/>
                <w:color w:val="000000"/>
                <w:sz w:val="16"/>
              </w:rPr>
              <w:t>josta: markkinoihin liittyvät menot ja suorat tuet</w:t>
            </w:r>
          </w:p>
        </w:tc>
        <w:tc>
          <w:tcPr>
            <w:tcW w:w="122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 xml:space="preserve"> 0</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 xml:space="preserve"> 3</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 xml:space="preserve"> 9</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 xml:space="preserve"> 55</w:t>
            </w:r>
          </w:p>
        </w:tc>
        <w:tc>
          <w:tcPr>
            <w:tcW w:w="98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 xml:space="preserve"> 282</w:t>
            </w:r>
          </w:p>
        </w:tc>
        <w:tc>
          <w:tcPr>
            <w:tcW w:w="1134"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 xml:space="preserve"> 349</w:t>
            </w:r>
          </w:p>
        </w:tc>
      </w:tr>
      <w:tr>
        <w:trPr>
          <w:trHeight w:val="340"/>
        </w:trPr>
        <w:tc>
          <w:tcPr>
            <w:tcW w:w="342"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r>
              <w:rPr>
                <w:rFonts w:ascii="Verdana" w:hAnsi="Verdana"/>
                <w:noProof/>
                <w:color w:val="000000"/>
                <w:sz w:val="16"/>
              </w:rPr>
              <w:t>3</w:t>
            </w:r>
          </w:p>
        </w:tc>
        <w:tc>
          <w:tcPr>
            <w:tcW w:w="4963"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r>
              <w:rPr>
                <w:rFonts w:ascii="Verdana" w:hAnsi="Verdana"/>
                <w:noProof/>
                <w:color w:val="000000"/>
                <w:sz w:val="16"/>
              </w:rPr>
              <w:t>Turvallisuus ja kansalaisuus</w:t>
            </w:r>
          </w:p>
        </w:tc>
        <w:tc>
          <w:tcPr>
            <w:tcW w:w="122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50</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67</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56</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45</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118</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901</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2 069</w:t>
            </w:r>
          </w:p>
        </w:tc>
        <w:tc>
          <w:tcPr>
            <w:tcW w:w="98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2 528</w:t>
            </w:r>
          </w:p>
        </w:tc>
        <w:tc>
          <w:tcPr>
            <w:tcW w:w="1134"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5 834</w:t>
            </w:r>
          </w:p>
        </w:tc>
      </w:tr>
      <w:tr>
        <w:trPr>
          <w:trHeight w:val="340"/>
        </w:trPr>
        <w:tc>
          <w:tcPr>
            <w:tcW w:w="342"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r>
              <w:rPr>
                <w:rFonts w:ascii="Verdana" w:hAnsi="Verdana"/>
                <w:noProof/>
                <w:color w:val="000000"/>
                <w:sz w:val="16"/>
              </w:rPr>
              <w:t>4</w:t>
            </w:r>
          </w:p>
        </w:tc>
        <w:tc>
          <w:tcPr>
            <w:tcW w:w="4963"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r>
              <w:rPr>
                <w:rFonts w:ascii="Verdana" w:hAnsi="Verdana"/>
                <w:noProof/>
                <w:color w:val="000000"/>
                <w:sz w:val="16"/>
              </w:rPr>
              <w:t>Globaali Eurooppa</w:t>
            </w:r>
          </w:p>
        </w:tc>
        <w:tc>
          <w:tcPr>
            <w:tcW w:w="122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1 065</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671</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1 526</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1 753</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2 920</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4 697</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6 385</w:t>
            </w:r>
          </w:p>
        </w:tc>
        <w:tc>
          <w:tcPr>
            <w:tcW w:w="98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8 335</w:t>
            </w:r>
          </w:p>
        </w:tc>
        <w:tc>
          <w:tcPr>
            <w:tcW w:w="1134"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27 352</w:t>
            </w:r>
          </w:p>
        </w:tc>
      </w:tr>
      <w:tr>
        <w:trPr>
          <w:trHeight w:val="340"/>
        </w:trPr>
        <w:tc>
          <w:tcPr>
            <w:tcW w:w="342"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r>
              <w:rPr>
                <w:rFonts w:ascii="Verdana" w:hAnsi="Verdana"/>
                <w:noProof/>
                <w:color w:val="000000"/>
                <w:sz w:val="16"/>
              </w:rPr>
              <w:t>5</w:t>
            </w:r>
          </w:p>
        </w:tc>
        <w:tc>
          <w:tcPr>
            <w:tcW w:w="4963"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r>
              <w:rPr>
                <w:rFonts w:ascii="Verdana" w:hAnsi="Verdana"/>
                <w:noProof/>
                <w:color w:val="000000"/>
                <w:sz w:val="16"/>
              </w:rPr>
              <w:t>Hallinto</w:t>
            </w:r>
          </w:p>
        </w:tc>
        <w:tc>
          <w:tcPr>
            <w:tcW w:w="122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3</w:t>
            </w:r>
          </w:p>
        </w:tc>
        <w:tc>
          <w:tcPr>
            <w:tcW w:w="98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957</w:t>
            </w:r>
          </w:p>
        </w:tc>
        <w:tc>
          <w:tcPr>
            <w:tcW w:w="1134"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961</w:t>
            </w:r>
          </w:p>
        </w:tc>
      </w:tr>
      <w:tr>
        <w:trPr>
          <w:trHeight w:val="340"/>
        </w:trPr>
        <w:tc>
          <w:tcPr>
            <w:tcW w:w="342"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i/>
                <w:noProof/>
                <w:color w:val="000000"/>
                <w:sz w:val="16"/>
              </w:rPr>
            </w:pPr>
          </w:p>
        </w:tc>
        <w:tc>
          <w:tcPr>
            <w:tcW w:w="4963"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i/>
                <w:noProof/>
                <w:color w:val="000000"/>
                <w:sz w:val="16"/>
              </w:rPr>
            </w:pPr>
            <w:r>
              <w:rPr>
                <w:rFonts w:ascii="Verdana" w:hAnsi="Verdana"/>
                <w:i/>
                <w:noProof/>
                <w:color w:val="000000"/>
                <w:sz w:val="16"/>
              </w:rPr>
              <w:t>josta: toimielinten hallintomenot</w:t>
            </w:r>
          </w:p>
        </w:tc>
        <w:tc>
          <w:tcPr>
            <w:tcW w:w="122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0</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0</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0</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0</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0</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0</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0</w:t>
            </w:r>
          </w:p>
        </w:tc>
        <w:tc>
          <w:tcPr>
            <w:tcW w:w="98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 xml:space="preserve"> 587</w:t>
            </w:r>
          </w:p>
        </w:tc>
        <w:tc>
          <w:tcPr>
            <w:tcW w:w="1134"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 xml:space="preserve"> 587</w:t>
            </w:r>
          </w:p>
        </w:tc>
      </w:tr>
      <w:tr>
        <w:trPr>
          <w:trHeight w:val="340"/>
        </w:trPr>
        <w:tc>
          <w:tcPr>
            <w:tcW w:w="342"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r>
              <w:rPr>
                <w:rFonts w:ascii="Verdana" w:hAnsi="Verdana"/>
                <w:noProof/>
                <w:color w:val="000000"/>
                <w:sz w:val="16"/>
              </w:rPr>
              <w:t>9</w:t>
            </w:r>
          </w:p>
        </w:tc>
        <w:tc>
          <w:tcPr>
            <w:tcW w:w="4963"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r>
              <w:rPr>
                <w:rFonts w:ascii="Verdana" w:hAnsi="Verdana"/>
                <w:noProof/>
                <w:color w:val="000000"/>
                <w:sz w:val="16"/>
              </w:rPr>
              <w:t>Erityisrahoitusvälineet</w:t>
            </w:r>
          </w:p>
        </w:tc>
        <w:tc>
          <w:tcPr>
            <w:tcW w:w="122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8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34"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34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5RALYoO"/>
              <w:rPr>
                <w:rFonts w:ascii="Verdana" w:eastAsia="Times New Roman" w:hAnsi="Verdana" w:cs="Verdana"/>
                <w:b/>
                <w:noProof/>
                <w:color w:val="000000"/>
                <w:sz w:val="16"/>
              </w:rPr>
            </w:pPr>
          </w:p>
        </w:tc>
        <w:tc>
          <w:tcPr>
            <w:tcW w:w="496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5RALYoO"/>
              <w:rPr>
                <w:rFonts w:ascii="Verdana" w:eastAsia="Times New Roman" w:hAnsi="Verdana" w:cs="Verdana"/>
                <w:b/>
                <w:noProof/>
                <w:color w:val="000000"/>
                <w:sz w:val="16"/>
              </w:rPr>
            </w:pPr>
            <w:r>
              <w:rPr>
                <w:rFonts w:ascii="Verdana" w:hAnsi="Verdana"/>
                <w:b/>
                <w:noProof/>
                <w:color w:val="000000"/>
                <w:sz w:val="16"/>
              </w:rPr>
              <w:t>Yhteensä</w:t>
            </w:r>
          </w:p>
        </w:tc>
        <w:tc>
          <w:tcPr>
            <w:tcW w:w="122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5RALYoO"/>
              <w:jc w:val="right"/>
              <w:rPr>
                <w:rFonts w:ascii="Verdana" w:eastAsia="Times New Roman" w:hAnsi="Verdana" w:cs="Verdana"/>
                <w:b/>
                <w:noProof/>
                <w:color w:val="000000"/>
                <w:sz w:val="16"/>
              </w:rPr>
            </w:pPr>
            <w:r>
              <w:rPr>
                <w:rFonts w:ascii="Verdana" w:hAnsi="Verdana"/>
                <w:b/>
                <w:noProof/>
                <w:color w:val="000000"/>
                <w:sz w:val="16"/>
              </w:rPr>
              <w:t>2 656</w:t>
            </w:r>
          </w:p>
        </w:tc>
        <w:tc>
          <w:tcPr>
            <w:tcW w:w="100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5RALYoO"/>
              <w:jc w:val="right"/>
              <w:rPr>
                <w:rFonts w:ascii="Verdana" w:eastAsia="Times New Roman" w:hAnsi="Verdana" w:cs="Verdana"/>
                <w:b/>
                <w:noProof/>
                <w:color w:val="000000"/>
                <w:sz w:val="16"/>
              </w:rPr>
            </w:pPr>
            <w:r>
              <w:rPr>
                <w:rFonts w:ascii="Verdana" w:hAnsi="Verdana"/>
                <w:b/>
                <w:noProof/>
                <w:color w:val="000000"/>
                <w:sz w:val="16"/>
              </w:rPr>
              <w:t>1 538</w:t>
            </w:r>
          </w:p>
        </w:tc>
        <w:tc>
          <w:tcPr>
            <w:tcW w:w="100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5RALYoO"/>
              <w:jc w:val="right"/>
              <w:rPr>
                <w:rFonts w:ascii="Verdana" w:eastAsia="Times New Roman" w:hAnsi="Verdana" w:cs="Verdana"/>
                <w:b/>
                <w:noProof/>
                <w:color w:val="000000"/>
                <w:sz w:val="16"/>
              </w:rPr>
            </w:pPr>
            <w:r>
              <w:rPr>
                <w:rFonts w:ascii="Verdana" w:hAnsi="Verdana"/>
                <w:b/>
                <w:noProof/>
                <w:color w:val="000000"/>
                <w:sz w:val="16"/>
              </w:rPr>
              <w:t>7 910</w:t>
            </w:r>
          </w:p>
        </w:tc>
        <w:tc>
          <w:tcPr>
            <w:tcW w:w="100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5RALYoO"/>
              <w:jc w:val="right"/>
              <w:rPr>
                <w:rFonts w:ascii="Verdana" w:eastAsia="Times New Roman" w:hAnsi="Verdana" w:cs="Verdana"/>
                <w:b/>
                <w:noProof/>
                <w:color w:val="000000"/>
                <w:sz w:val="16"/>
              </w:rPr>
            </w:pPr>
            <w:r>
              <w:rPr>
                <w:rFonts w:ascii="Verdana" w:hAnsi="Verdana"/>
                <w:b/>
                <w:noProof/>
                <w:color w:val="000000"/>
                <w:sz w:val="16"/>
              </w:rPr>
              <w:t>5 916</w:t>
            </w:r>
          </w:p>
        </w:tc>
        <w:tc>
          <w:tcPr>
            <w:tcW w:w="100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5RALYoO"/>
              <w:jc w:val="right"/>
              <w:rPr>
                <w:rFonts w:ascii="Verdana" w:eastAsia="Times New Roman" w:hAnsi="Verdana" w:cs="Verdana"/>
                <w:b/>
                <w:noProof/>
                <w:color w:val="000000"/>
                <w:sz w:val="16"/>
              </w:rPr>
            </w:pPr>
            <w:r>
              <w:rPr>
                <w:rFonts w:ascii="Verdana" w:hAnsi="Verdana"/>
                <w:b/>
                <w:noProof/>
                <w:color w:val="000000"/>
                <w:sz w:val="16"/>
              </w:rPr>
              <w:t>18 979</w:t>
            </w:r>
          </w:p>
        </w:tc>
        <w:tc>
          <w:tcPr>
            <w:tcW w:w="100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5RALYoO"/>
              <w:jc w:val="right"/>
              <w:rPr>
                <w:rFonts w:ascii="Verdana" w:eastAsia="Times New Roman" w:hAnsi="Verdana" w:cs="Verdana"/>
                <w:b/>
                <w:noProof/>
                <w:color w:val="000000"/>
                <w:sz w:val="16"/>
              </w:rPr>
            </w:pPr>
            <w:r>
              <w:rPr>
                <w:rFonts w:ascii="Verdana" w:hAnsi="Verdana"/>
                <w:b/>
                <w:noProof/>
                <w:color w:val="000000"/>
                <w:sz w:val="16"/>
              </w:rPr>
              <w:t>51 133</w:t>
            </w:r>
          </w:p>
        </w:tc>
        <w:tc>
          <w:tcPr>
            <w:tcW w:w="100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5RALYoO"/>
              <w:jc w:val="right"/>
              <w:rPr>
                <w:rFonts w:ascii="Verdana" w:eastAsia="Times New Roman" w:hAnsi="Verdana" w:cs="Verdana"/>
                <w:b/>
                <w:noProof/>
                <w:color w:val="000000"/>
                <w:sz w:val="16"/>
              </w:rPr>
            </w:pPr>
            <w:r>
              <w:rPr>
                <w:rFonts w:ascii="Verdana" w:hAnsi="Verdana"/>
                <w:b/>
                <w:noProof/>
                <w:color w:val="000000"/>
                <w:sz w:val="16"/>
              </w:rPr>
              <w:t>85 917</w:t>
            </w:r>
          </w:p>
        </w:tc>
        <w:tc>
          <w:tcPr>
            <w:tcW w:w="98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5RALYoO"/>
              <w:jc w:val="right"/>
              <w:rPr>
                <w:rFonts w:ascii="Verdana" w:eastAsia="Times New Roman" w:hAnsi="Verdana" w:cs="Verdana"/>
                <w:b/>
                <w:noProof/>
                <w:color w:val="000000"/>
                <w:sz w:val="16"/>
              </w:rPr>
            </w:pPr>
            <w:r>
              <w:rPr>
                <w:rFonts w:ascii="Verdana" w:hAnsi="Verdana"/>
                <w:b/>
                <w:noProof/>
                <w:color w:val="000000"/>
                <w:sz w:val="16"/>
              </w:rPr>
              <w:t>107 126</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5RALYoO"/>
              <w:jc w:val="right"/>
              <w:rPr>
                <w:rFonts w:ascii="Verdana" w:eastAsia="Times New Roman" w:hAnsi="Verdana" w:cs="Verdana"/>
                <w:b/>
                <w:noProof/>
                <w:color w:val="000000"/>
                <w:sz w:val="16"/>
              </w:rPr>
            </w:pPr>
            <w:r>
              <w:rPr>
                <w:rFonts w:ascii="Verdana" w:hAnsi="Verdana"/>
                <w:b/>
                <w:noProof/>
                <w:color w:val="000000"/>
                <w:sz w:val="16"/>
              </w:rPr>
              <w:t>281 175</w:t>
            </w:r>
          </w:p>
        </w:tc>
      </w:tr>
    </w:tbl>
    <w:p>
      <w:pPr>
        <w:pStyle w:val="Textstand-alone"/>
      </w:pPr>
    </w:p>
    <w:p>
      <w:pPr>
        <w:pStyle w:val="Textstand-alone"/>
      </w:pPr>
    </w:p>
    <w:p>
      <w:pPr>
        <w:pStyle w:val="Textstand-alone"/>
      </w:pPr>
    </w:p>
    <w:p>
      <w:pPr>
        <w:pStyle w:val="Textstand-alone"/>
        <w:sectPr>
          <w:headerReference w:type="even" r:id="rId497"/>
          <w:headerReference w:type="default" r:id="rId498"/>
          <w:footerReference w:type="even" r:id="rId499"/>
          <w:footerReference w:type="default" r:id="rId500"/>
          <w:headerReference w:type="first" r:id="rId501"/>
          <w:footerReference w:type="first" r:id="rId502"/>
          <w:type w:val="nextColumn"/>
          <w:pgSz w:w="16840" w:h="11900" w:orient="landscape"/>
          <w:pgMar w:top="1134" w:right="1134" w:bottom="1134" w:left="1134" w:header="720" w:footer="720" w:gutter="0"/>
          <w:cols w:space="720"/>
          <w:docGrid w:linePitch="272"/>
        </w:sectPr>
      </w:pPr>
    </w:p>
    <w:p>
      <w:pPr>
        <w:pStyle w:val="HEADER2PartBUDG"/>
        <w:rPr>
          <w:noProof/>
        </w:rPr>
      </w:pPr>
      <w:bookmarkStart w:id="336" w:name="_Toc11939556"/>
      <w:bookmarkStart w:id="337" w:name="_Toc17887581"/>
      <w:r>
        <w:rPr>
          <w:noProof/>
        </w:rPr>
        <w:t>YKSITYISKOHTAINEN MONIVUOTINEN RAHOITUSKEHYS: MAKSUSITOUMUS- JA MAKSUMÄÄRÄRAHOJEN JAKAUTUMINEN JA MUUTOKSET</w:t>
      </w:r>
      <w:bookmarkEnd w:id="336"/>
      <w:bookmarkEnd w:id="337"/>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912"/>
        <w:gridCol w:w="982"/>
        <w:gridCol w:w="183"/>
        <w:gridCol w:w="799"/>
        <w:gridCol w:w="983"/>
        <w:gridCol w:w="61"/>
        <w:gridCol w:w="640"/>
        <w:gridCol w:w="983"/>
        <w:gridCol w:w="982"/>
        <w:gridCol w:w="982"/>
        <w:gridCol w:w="1058"/>
        <w:gridCol w:w="907"/>
        <w:gridCol w:w="259"/>
        <w:gridCol w:w="142"/>
        <w:gridCol w:w="300"/>
        <w:gridCol w:w="267"/>
        <w:gridCol w:w="851"/>
        <w:gridCol w:w="1018"/>
      </w:tblGrid>
      <w:tr>
        <w:trPr>
          <w:trHeight w:val="340"/>
          <w:tblHeader/>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bookmarkStart w:id="338" w:name="DOC_TBL00109_1_1"/>
            <w:bookmarkEnd w:id="338"/>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701"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907"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701"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1118"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i/>
                <w:noProof/>
                <w:color w:val="000000"/>
                <w:sz w:val="16"/>
              </w:rPr>
            </w:pPr>
            <w:r>
              <w:rPr>
                <w:rFonts w:ascii="Verdana" w:hAnsi="Verdana"/>
                <w:i/>
                <w:noProof/>
                <w:color w:val="000000"/>
                <w:sz w:val="16"/>
              </w:rPr>
              <w:t>milj. euroa</w:t>
            </w:r>
          </w:p>
        </w:tc>
      </w:tr>
      <w:tr>
        <w:trPr>
          <w:trHeight w:val="340"/>
          <w:tblHeader/>
        </w:trPr>
        <w:tc>
          <w:tcPr>
            <w:tcW w:w="236"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p>
        </w:tc>
        <w:tc>
          <w:tcPr>
            <w:tcW w:w="291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p>
        </w:tc>
        <w:tc>
          <w:tcPr>
            <w:tcW w:w="5613" w:type="dxa"/>
            <w:gridSpan w:val="8"/>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b/>
                <w:noProof/>
                <w:color w:val="FFFFFF"/>
                <w:sz w:val="16"/>
              </w:rPr>
            </w:pPr>
            <w:r>
              <w:rPr>
                <w:rFonts w:ascii="Verdana" w:hAnsi="Verdana"/>
                <w:b/>
                <w:noProof/>
                <w:color w:val="FFFFFF"/>
                <w:sz w:val="16"/>
              </w:rPr>
              <w:t>Maksusitoumusmäärärahat</w:t>
            </w:r>
          </w:p>
        </w:tc>
        <w:tc>
          <w:tcPr>
            <w:tcW w:w="4766" w:type="dxa"/>
            <w:gridSpan w:val="8"/>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b/>
                <w:noProof/>
                <w:color w:val="FFFFFF"/>
                <w:sz w:val="16"/>
              </w:rPr>
            </w:pPr>
            <w:r>
              <w:rPr>
                <w:rFonts w:ascii="Verdana" w:hAnsi="Verdana"/>
                <w:b/>
                <w:noProof/>
                <w:color w:val="FFFFFF"/>
                <w:sz w:val="16"/>
              </w:rPr>
              <w:t>Maksumäärärahat</w:t>
            </w:r>
          </w:p>
        </w:tc>
        <w:tc>
          <w:tcPr>
            <w:tcW w:w="1018"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p>
        </w:tc>
      </w:tr>
      <w:tr>
        <w:trPr>
          <w:trHeight w:val="340"/>
          <w:tblHeader/>
        </w:trPr>
        <w:tc>
          <w:tcPr>
            <w:tcW w:w="236"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p>
        </w:tc>
        <w:tc>
          <w:tcPr>
            <w:tcW w:w="291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p>
        </w:tc>
        <w:tc>
          <w:tcPr>
            <w:tcW w:w="3008" w:type="dxa"/>
            <w:gridSpan w:val="5"/>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Talousarviomäärärahat</w:t>
            </w:r>
          </w:p>
        </w:tc>
        <w:tc>
          <w:tcPr>
            <w:tcW w:w="1623"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Lisämäärärahat</w:t>
            </w:r>
          </w:p>
        </w:tc>
        <w:tc>
          <w:tcPr>
            <w:tcW w:w="982" w:type="dxa"/>
            <w:vMerge w:val="restart"/>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FFFFFF"/>
                <w:sz w:val="16"/>
              </w:rPr>
            </w:pPr>
            <w:r>
              <w:rPr>
                <w:rFonts w:ascii="Verdana" w:hAnsi="Verdana"/>
                <w:noProof/>
                <w:color w:val="FFFFFF"/>
                <w:sz w:val="16"/>
              </w:rPr>
              <w:t>Käytettä</w:t>
            </w:r>
            <w:r>
              <w:rPr>
                <w:rFonts w:ascii="Verdana" w:hAnsi="Verdana"/>
                <w:noProof/>
                <w:color w:val="FFFFFF"/>
                <w:sz w:val="16"/>
              </w:rPr>
              <w:softHyphen/>
              <w:t>vissä olevat määrä</w:t>
            </w:r>
            <w:r>
              <w:rPr>
                <w:rFonts w:ascii="Verdana" w:hAnsi="Verdana"/>
                <w:noProof/>
                <w:color w:val="FFFFFF"/>
                <w:sz w:val="16"/>
              </w:rPr>
              <w:softHyphen/>
              <w:t>rahat yhteensä</w:t>
            </w:r>
          </w:p>
        </w:tc>
        <w:tc>
          <w:tcPr>
            <w:tcW w:w="3348" w:type="dxa"/>
            <w:gridSpan w:val="5"/>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Talousarviomäärärahat</w:t>
            </w:r>
          </w:p>
        </w:tc>
        <w:tc>
          <w:tcPr>
            <w:tcW w:w="1418" w:type="dxa"/>
            <w:gridSpan w:val="3"/>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Lisämäärärahat</w:t>
            </w:r>
          </w:p>
        </w:tc>
        <w:tc>
          <w:tcPr>
            <w:tcW w:w="1018" w:type="dxa"/>
            <w:vMerge w:val="restart"/>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right"/>
              <w:rPr>
                <w:rFonts w:ascii="Verdana" w:hAnsi="Verdana"/>
                <w:noProof/>
                <w:color w:val="FFFFFF"/>
                <w:sz w:val="16"/>
              </w:rPr>
            </w:pPr>
            <w:r>
              <w:rPr>
                <w:rFonts w:ascii="Verdana" w:hAnsi="Verdana"/>
                <w:noProof/>
                <w:color w:val="FFFFFF"/>
                <w:sz w:val="16"/>
              </w:rPr>
              <w:t>Käytettä</w:t>
            </w:r>
            <w:r>
              <w:rPr>
                <w:rFonts w:ascii="Verdana" w:hAnsi="Verdana"/>
                <w:noProof/>
                <w:color w:val="FFFFFF"/>
                <w:sz w:val="16"/>
              </w:rPr>
              <w:softHyphen/>
              <w:t xml:space="preserve">vissä </w:t>
            </w:r>
          </w:p>
          <w:p>
            <w:pPr>
              <w:pStyle w:val="DMETW14819BIPDetailedMFF1Breakdown"/>
              <w:jc w:val="right"/>
              <w:rPr>
                <w:rFonts w:ascii="Verdana" w:eastAsia="Times New Roman" w:hAnsi="Verdana" w:cs="Verdana"/>
                <w:noProof/>
                <w:color w:val="FFFFFF"/>
                <w:sz w:val="16"/>
              </w:rPr>
            </w:pPr>
            <w:r>
              <w:rPr>
                <w:rFonts w:ascii="Verdana" w:hAnsi="Verdana"/>
                <w:noProof/>
                <w:color w:val="FFFFFF"/>
                <w:sz w:val="16"/>
              </w:rPr>
              <w:t>olevat yhteensä</w:t>
            </w:r>
          </w:p>
        </w:tc>
      </w:tr>
      <w:tr>
        <w:trPr>
          <w:trHeight w:val="340"/>
          <w:tblHeader/>
        </w:trPr>
        <w:tc>
          <w:tcPr>
            <w:tcW w:w="236"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p>
        </w:tc>
        <w:tc>
          <w:tcPr>
            <w:tcW w:w="291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Ohjelma</w:t>
            </w:r>
          </w:p>
        </w:tc>
        <w:tc>
          <w:tcPr>
            <w:tcW w:w="1165"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FFFFFF"/>
                <w:sz w:val="16"/>
              </w:rPr>
            </w:pPr>
            <w:r>
              <w:rPr>
                <w:rFonts w:ascii="Verdana" w:hAnsi="Verdana"/>
                <w:noProof/>
                <w:color w:val="FFFFFF"/>
                <w:sz w:val="16"/>
              </w:rPr>
              <w:t>Alku-peräinen hyväksytty talousarvio</w:t>
            </w:r>
          </w:p>
        </w:tc>
        <w:tc>
          <w:tcPr>
            <w:tcW w:w="799"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FFFFFF"/>
                <w:sz w:val="16"/>
              </w:rPr>
            </w:pPr>
            <w:r>
              <w:rPr>
                <w:rFonts w:ascii="Verdana" w:hAnsi="Verdana"/>
                <w:noProof/>
                <w:color w:val="FFFFFF"/>
                <w:sz w:val="16"/>
              </w:rPr>
              <w:t>Lisä</w:t>
            </w:r>
            <w:r>
              <w:rPr>
                <w:rFonts w:ascii="Verdana" w:hAnsi="Verdana"/>
                <w:noProof/>
                <w:color w:val="FFFFFF"/>
                <w:sz w:val="16"/>
              </w:rPr>
              <w:softHyphen/>
              <w:t>talous</w:t>
            </w:r>
            <w:r>
              <w:rPr>
                <w:rFonts w:ascii="Verdana" w:hAnsi="Verdana"/>
                <w:noProof/>
                <w:color w:val="FFFFFF"/>
                <w:sz w:val="16"/>
              </w:rPr>
              <w:softHyphen/>
              <w:t>arviot &amp; siirrot</w:t>
            </w:r>
          </w:p>
        </w:tc>
        <w:tc>
          <w:tcPr>
            <w:tcW w:w="1044"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FFFFFF"/>
                <w:sz w:val="16"/>
              </w:rPr>
            </w:pPr>
            <w:r>
              <w:rPr>
                <w:rFonts w:ascii="Verdana" w:hAnsi="Verdana"/>
                <w:noProof/>
                <w:color w:val="FFFFFF"/>
                <w:sz w:val="16"/>
              </w:rPr>
              <w:t>Lopullinen hyväksytty talousarvio</w:t>
            </w:r>
          </w:p>
        </w:tc>
        <w:tc>
          <w:tcPr>
            <w:tcW w:w="640"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FFFFFF"/>
                <w:sz w:val="16"/>
              </w:rPr>
            </w:pPr>
            <w:r>
              <w:rPr>
                <w:rFonts w:ascii="Verdana" w:hAnsi="Verdana"/>
                <w:noProof/>
                <w:color w:val="FFFFFF"/>
                <w:sz w:val="16"/>
              </w:rPr>
              <w:t>Siirrot</w:t>
            </w:r>
          </w:p>
        </w:tc>
        <w:tc>
          <w:tcPr>
            <w:tcW w:w="983"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FFFFFF"/>
                <w:sz w:val="16"/>
              </w:rPr>
            </w:pPr>
            <w:r>
              <w:rPr>
                <w:rFonts w:ascii="Verdana" w:hAnsi="Verdana"/>
                <w:noProof/>
                <w:color w:val="FFFFFF"/>
                <w:sz w:val="16"/>
              </w:rPr>
              <w:t>Käyttö</w:t>
            </w:r>
            <w:r>
              <w:rPr>
                <w:rFonts w:ascii="Verdana" w:hAnsi="Verdana"/>
                <w:noProof/>
                <w:color w:val="FFFFFF"/>
                <w:sz w:val="16"/>
              </w:rPr>
              <w:softHyphen/>
              <w:t>tark. sidotut tulot</w:t>
            </w:r>
          </w:p>
        </w:tc>
        <w:tc>
          <w:tcPr>
            <w:tcW w:w="982" w:type="dxa"/>
            <w:vMerge/>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FFFFFF"/>
                <w:sz w:val="16"/>
              </w:rPr>
            </w:pPr>
          </w:p>
        </w:tc>
        <w:tc>
          <w:tcPr>
            <w:tcW w:w="98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FFFFFF"/>
                <w:sz w:val="16"/>
              </w:rPr>
            </w:pPr>
            <w:r>
              <w:rPr>
                <w:rFonts w:ascii="Verdana" w:hAnsi="Verdana"/>
                <w:noProof/>
                <w:color w:val="FFFFFF"/>
                <w:sz w:val="16"/>
              </w:rPr>
              <w:t>Alkupe</w:t>
            </w:r>
            <w:r>
              <w:rPr>
                <w:rFonts w:ascii="Verdana" w:hAnsi="Verdana"/>
                <w:noProof/>
                <w:color w:val="FFFFFF"/>
                <w:sz w:val="16"/>
              </w:rPr>
              <w:softHyphen/>
              <w:t>räinen hyväksyt</w:t>
            </w:r>
            <w:r>
              <w:rPr>
                <w:rFonts w:ascii="Verdana" w:hAnsi="Verdana"/>
                <w:noProof/>
                <w:color w:val="FFFFFF"/>
                <w:sz w:val="16"/>
              </w:rPr>
              <w:softHyphen/>
              <w:t>ty talous</w:t>
            </w:r>
            <w:r>
              <w:rPr>
                <w:rFonts w:ascii="Verdana" w:hAnsi="Verdana"/>
                <w:noProof/>
                <w:color w:val="FFFFFF"/>
                <w:sz w:val="16"/>
              </w:rPr>
              <w:softHyphen/>
              <w:t>arvio</w:t>
            </w:r>
          </w:p>
        </w:tc>
        <w:tc>
          <w:tcPr>
            <w:tcW w:w="1058"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FFFFFF"/>
                <w:sz w:val="16"/>
              </w:rPr>
            </w:pPr>
            <w:r>
              <w:rPr>
                <w:rFonts w:ascii="Verdana" w:hAnsi="Verdana"/>
                <w:noProof/>
                <w:color w:val="FFFFFF"/>
                <w:sz w:val="16"/>
              </w:rPr>
              <w:t>Lisätalous</w:t>
            </w:r>
            <w:r>
              <w:rPr>
                <w:rFonts w:ascii="Verdana" w:hAnsi="Verdana"/>
                <w:noProof/>
                <w:color w:val="FFFFFF"/>
                <w:sz w:val="16"/>
              </w:rPr>
              <w:softHyphen/>
              <w:t>arviot &amp; siirrot</w:t>
            </w:r>
          </w:p>
        </w:tc>
        <w:tc>
          <w:tcPr>
            <w:tcW w:w="1166"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FFFFFF"/>
                <w:sz w:val="16"/>
              </w:rPr>
            </w:pPr>
            <w:r>
              <w:rPr>
                <w:rFonts w:ascii="Verdana" w:hAnsi="Verdana"/>
                <w:noProof/>
                <w:color w:val="FFFFFF"/>
                <w:sz w:val="16"/>
              </w:rPr>
              <w:t>Lopullinen hyväksytty talousarvio</w:t>
            </w:r>
          </w:p>
        </w:tc>
        <w:tc>
          <w:tcPr>
            <w:tcW w:w="709" w:type="dxa"/>
            <w:gridSpan w:val="3"/>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FFFFFF"/>
                <w:sz w:val="16"/>
              </w:rPr>
            </w:pPr>
            <w:r>
              <w:rPr>
                <w:rFonts w:ascii="Verdana" w:hAnsi="Verdana"/>
                <w:noProof/>
                <w:color w:val="FFFFFF"/>
                <w:sz w:val="16"/>
              </w:rPr>
              <w:t>Siirrot</w:t>
            </w:r>
          </w:p>
        </w:tc>
        <w:tc>
          <w:tcPr>
            <w:tcW w:w="851"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right"/>
              <w:rPr>
                <w:rFonts w:ascii="Verdana" w:hAnsi="Verdana"/>
                <w:noProof/>
                <w:color w:val="FFFFFF"/>
                <w:sz w:val="16"/>
              </w:rPr>
            </w:pPr>
            <w:r>
              <w:rPr>
                <w:rFonts w:ascii="Verdana" w:hAnsi="Verdana"/>
                <w:noProof/>
                <w:color w:val="FFFFFF"/>
                <w:sz w:val="16"/>
              </w:rPr>
              <w:t>Käyttö</w:t>
            </w:r>
            <w:r>
              <w:rPr>
                <w:rFonts w:ascii="Verdana" w:hAnsi="Verdana"/>
                <w:noProof/>
                <w:color w:val="FFFFFF"/>
                <w:sz w:val="16"/>
              </w:rPr>
              <w:softHyphen/>
            </w:r>
          </w:p>
          <w:p>
            <w:pPr>
              <w:pStyle w:val="DMETW14819BIPDetailedMFF1Breakdown"/>
              <w:jc w:val="right"/>
              <w:rPr>
                <w:rFonts w:ascii="Verdana" w:eastAsia="Times New Roman" w:hAnsi="Verdana" w:cs="Verdana"/>
                <w:noProof/>
                <w:color w:val="FFFFFF"/>
                <w:sz w:val="16"/>
              </w:rPr>
            </w:pPr>
            <w:r>
              <w:rPr>
                <w:rFonts w:ascii="Verdana" w:hAnsi="Verdana"/>
                <w:noProof/>
                <w:color w:val="FFFFFF"/>
                <w:sz w:val="16"/>
              </w:rPr>
              <w:t>tark. sidotut tulot</w:t>
            </w:r>
          </w:p>
        </w:tc>
        <w:tc>
          <w:tcPr>
            <w:tcW w:w="1018" w:type="dxa"/>
            <w:vMerge/>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p>
        </w:tc>
      </w:tr>
      <w:tr>
        <w:trPr>
          <w:trHeight w:val="340"/>
          <w:tblHeader/>
        </w:trPr>
        <w:tc>
          <w:tcPr>
            <w:tcW w:w="236"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p>
        </w:tc>
        <w:tc>
          <w:tcPr>
            <w:tcW w:w="2912"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p>
        </w:tc>
        <w:tc>
          <w:tcPr>
            <w:tcW w:w="1165" w:type="dxa"/>
            <w:gridSpan w:val="2"/>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1</w:t>
            </w:r>
          </w:p>
        </w:tc>
        <w:tc>
          <w:tcPr>
            <w:tcW w:w="799"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2</w:t>
            </w:r>
          </w:p>
        </w:tc>
        <w:tc>
          <w:tcPr>
            <w:tcW w:w="1044" w:type="dxa"/>
            <w:gridSpan w:val="2"/>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3=1+2</w:t>
            </w:r>
          </w:p>
        </w:tc>
        <w:tc>
          <w:tcPr>
            <w:tcW w:w="640"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4</w:t>
            </w:r>
          </w:p>
        </w:tc>
        <w:tc>
          <w:tcPr>
            <w:tcW w:w="983"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5</w:t>
            </w:r>
          </w:p>
        </w:tc>
        <w:tc>
          <w:tcPr>
            <w:tcW w:w="982"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6=3+</w:t>
            </w:r>
          </w:p>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4+5</w:t>
            </w:r>
          </w:p>
        </w:tc>
        <w:tc>
          <w:tcPr>
            <w:tcW w:w="982"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7</w:t>
            </w:r>
          </w:p>
        </w:tc>
        <w:tc>
          <w:tcPr>
            <w:tcW w:w="1058"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8</w:t>
            </w:r>
          </w:p>
        </w:tc>
        <w:tc>
          <w:tcPr>
            <w:tcW w:w="1166" w:type="dxa"/>
            <w:gridSpan w:val="2"/>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9=7+8</w:t>
            </w:r>
          </w:p>
        </w:tc>
        <w:tc>
          <w:tcPr>
            <w:tcW w:w="709" w:type="dxa"/>
            <w:gridSpan w:val="3"/>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10</w:t>
            </w:r>
          </w:p>
        </w:tc>
        <w:tc>
          <w:tcPr>
            <w:tcW w:w="851"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11</w:t>
            </w:r>
          </w:p>
        </w:tc>
        <w:tc>
          <w:tcPr>
            <w:tcW w:w="1018"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12=9+</w:t>
            </w:r>
          </w:p>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10+11</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1</w:t>
            </w: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Euroopan strategisten investointien rahasto (ESIR)</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2 038</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2 038</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89</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2 127</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1 828</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151</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1 979</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89</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2 068</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Euroopan satelliittinavigointijärjestelmät (EGNOS/Galileo)</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808</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808</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169</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977</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718</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192</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910</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259</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1 171</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Kansainvälinen lämpöydinreaktori (ITER)</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376</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376</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50</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426</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501</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148</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649</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50</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699</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Euroopan maanseurantaohjelma (Copernicus)</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630</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630</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15</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645</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608</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(47)</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561</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15</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577</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Euroopan solidaarisuusjoukot</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43</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43</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43</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33</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33</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33</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Ydinturvallisuus ja ydinvoimalaitosten käytöstäpoisto</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141</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141</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141</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152</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44</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196</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196</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Horisontti 2020</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11 212</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11 217</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2 190</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13 407</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10 901</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(332)</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10 570</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67</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3 116</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13 753</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Euratomin tutkimus- ja koulutusohjelma</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356</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353</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123</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475</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315</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(24)</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291</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151</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462</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Yritysten kilpailukykyä ja pk-yrityksiä koskeva ohjelma (COSME)</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354</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354</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49</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403</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253</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255</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97</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355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Koulutus-, nuoriso- ja urheiluohjelma (Erasmus+)</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2 315</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2 315</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427</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2 741</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2 146</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103</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2 249</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441</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2 697</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Työllisyys ja sosiaalinen innovointi (EaSI-ohjelma)</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132</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132</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143</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118</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117</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10</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129</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Tulli-ohjelma, Fiscalis-ohjelma ja petostentorjunta</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135</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139</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146</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125</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124</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132</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 xml:space="preserve">Verkkojen Eurooppa </w:t>
            </w:r>
            <w:r>
              <w:rPr>
                <w:noProof/>
              </w:rPr>
              <w:noBreakHyphen/>
            </w:r>
            <w:r>
              <w:rPr>
                <w:rFonts w:ascii="Verdana" w:hAnsi="Verdana"/>
                <w:noProof/>
                <w:color w:val="000000"/>
                <w:sz w:val="16"/>
              </w:rPr>
              <w:t>väline – Energia</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680</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680</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686</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218</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43</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261</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267</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 xml:space="preserve">Verkkojen Eurooppa </w:t>
            </w:r>
            <w:r>
              <w:rPr>
                <w:noProof/>
              </w:rPr>
              <w:noBreakHyphen/>
            </w:r>
            <w:r>
              <w:rPr>
                <w:rFonts w:ascii="Verdana" w:hAnsi="Verdana"/>
                <w:noProof/>
                <w:color w:val="000000"/>
                <w:sz w:val="16"/>
              </w:rPr>
              <w:t>väline – Liikenne</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1 898</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1 898</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165</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2 063</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1 163</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(103)</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1 060</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90</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1 151</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 xml:space="preserve">Verkkojen Eurooppa </w:t>
            </w:r>
            <w:r>
              <w:rPr>
                <w:noProof/>
              </w:rPr>
              <w:noBreakHyphen/>
            </w:r>
            <w:r>
              <w:rPr>
                <w:rFonts w:ascii="Verdana" w:hAnsi="Verdana"/>
                <w:noProof/>
                <w:color w:val="000000"/>
                <w:sz w:val="16"/>
              </w:rPr>
              <w:t>väline – Tieto- ja viestintäteknologia</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170</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170</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178</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142</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(53)</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89</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94</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Talouden elpymistä edistävät energiahankkeet</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53</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53</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210</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(52)</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158</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48</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Erillisvirastot</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316</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311</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25</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336</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318</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307</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25</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332</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Muut toimet ja ohjelmat</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176</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174</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473</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647</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153</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19</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172</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400</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573</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Pilottihankkeet ja valmistelutoimet</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92</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91</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93</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78</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(25)</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52</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53</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Komission erityiset toimivaltuudet</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129</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129</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133</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117</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122</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Alueellinen lähentyminen (vähemmän kehittyneet alueet)</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27 012</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(53)</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26 960</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96</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4 223</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31 279</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23 388</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749</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24 137</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4 722</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28 858</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Siirtymäalueet</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5 739</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(10)</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5 729</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850</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6 579</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4 040</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(605)</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3 435</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939</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4 374</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Kilpailukyky (kehittyneemmät alueet)</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8 427</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41</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8 468</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1 370</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9 837</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7 394</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(21)</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7 373</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1 907</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9 280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Syrjäisimmät ja harvaan asutut alueet</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226</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226</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32</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258</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169</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88</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257</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32</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289</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Koheesiorahasto</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9 394</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9 394</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1 325</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10 719</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8 456</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(272)</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8 184</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1 264</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9 448</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Euroopan alueiden välinen yhteistyö</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1 934</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1 934</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23</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248</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2 205</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1 235</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(160)</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1 074</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148</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1 222</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Tekninen apu</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230</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22</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252</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253</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200</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202</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215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Vähävaraisimmille suunnatun eurooppalaisen avun rahasto</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557</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557</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557</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401</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(40)</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361</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368</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Nuorisotyöllisyysaloite</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350</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350</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84</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434</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600</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220</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820</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206</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1 026</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 xml:space="preserve">Verkkojen Eurooppa </w:t>
            </w:r>
            <w:r>
              <w:rPr>
                <w:noProof/>
              </w:rPr>
              <w:noBreakHyphen/>
            </w:r>
            <w:r>
              <w:rPr>
                <w:rFonts w:ascii="Verdana" w:hAnsi="Verdana"/>
                <w:noProof/>
                <w:color w:val="000000"/>
                <w:sz w:val="16"/>
              </w:rPr>
              <w:t>väline (CEF)</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1 655</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1 655</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1 655</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626</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100</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725</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28</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754</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Pilottihankkeet ja valmistelutoimet</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18</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(10)</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Rahoituskehyksen otsake 1 yhteensä</w:t>
            </w:r>
          </w:p>
        </w:tc>
        <w:tc>
          <w:tcPr>
            <w:tcW w:w="1165"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77 534</w:t>
            </w:r>
          </w:p>
        </w:tc>
        <w:tc>
          <w:tcPr>
            <w:tcW w:w="79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1044"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77 532</w:t>
            </w:r>
          </w:p>
        </w:tc>
        <w:tc>
          <w:tcPr>
            <w:tcW w:w="64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123</w:t>
            </w:r>
          </w:p>
        </w:tc>
        <w:tc>
          <w:tcPr>
            <w:tcW w:w="98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11 994</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89 649</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66 624</w:t>
            </w:r>
          </w:p>
        </w:tc>
        <w:tc>
          <w:tcPr>
            <w:tcW w:w="105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108</w:t>
            </w:r>
          </w:p>
        </w:tc>
        <w:tc>
          <w:tcPr>
            <w:tcW w:w="1166"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66 733</w:t>
            </w:r>
          </w:p>
        </w:tc>
        <w:tc>
          <w:tcPr>
            <w:tcW w:w="709" w:type="dxa"/>
            <w:gridSpan w:val="3"/>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120</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14 064</w:t>
            </w:r>
          </w:p>
        </w:tc>
        <w:tc>
          <w:tcPr>
            <w:tcW w:w="101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80 917</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2</w:t>
            </w: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Euroopan maatalouden tukirahasto (maataloustukirahasto)</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43 235</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43 233</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451</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1 601</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45 284</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43 189</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43 180</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656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1 601</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45 436</w:t>
            </w:r>
          </w:p>
        </w:tc>
      </w:tr>
      <w:tr>
        <w:trPr>
          <w:trHeight w:val="479"/>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Euroopan maaseudun kehittämisen maatalousrahasto (maaseuturahasto)</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14 381</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14 380</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972</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15 352</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11 852</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213</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12 066</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862</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12 929</w:t>
            </w:r>
          </w:p>
        </w:tc>
      </w:tr>
      <w:tr>
        <w:trPr>
          <w:trHeight w:val="571"/>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Euroopan meri- ja kalatalousrahasto (EMKR)</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933</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933</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140</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1 073</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515</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507</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268</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776</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Kalastuskumppanuussopimukset ja kalastuksenhoitojärjestöt</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141</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(47)</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95</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95</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132</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(34)</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97</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97</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Ympäristö- ja ilmastotoimet (Life)</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523</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523</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532</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316</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317</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327</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Erillisvirastot</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57</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60</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68</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57</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60</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68</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Muut toimet ja toimenpiteet</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Pilottihankkeet ja valmistelutoimet</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16</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16</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16</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18</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Erityistoimet</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Rahoituskehyksen otsake 2 yhteensä</w:t>
            </w:r>
          </w:p>
        </w:tc>
        <w:tc>
          <w:tcPr>
            <w:tcW w:w="1165"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59 285</w:t>
            </w:r>
          </w:p>
        </w:tc>
        <w:tc>
          <w:tcPr>
            <w:tcW w:w="79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(46)</w:t>
            </w:r>
          </w:p>
        </w:tc>
        <w:tc>
          <w:tcPr>
            <w:tcW w:w="1044"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59 239</w:t>
            </w:r>
          </w:p>
        </w:tc>
        <w:tc>
          <w:tcPr>
            <w:tcW w:w="64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451</w:t>
            </w:r>
          </w:p>
        </w:tc>
        <w:tc>
          <w:tcPr>
            <w:tcW w:w="98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2 729</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62 419</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56 084</w:t>
            </w:r>
          </w:p>
        </w:tc>
        <w:tc>
          <w:tcPr>
            <w:tcW w:w="105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157</w:t>
            </w:r>
          </w:p>
        </w:tc>
        <w:tc>
          <w:tcPr>
            <w:tcW w:w="1166"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56 241</w:t>
            </w:r>
          </w:p>
        </w:tc>
        <w:tc>
          <w:tcPr>
            <w:tcW w:w="709" w:type="dxa"/>
            <w:gridSpan w:val="3"/>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663</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2 744</w:t>
            </w:r>
          </w:p>
        </w:tc>
        <w:tc>
          <w:tcPr>
            <w:tcW w:w="101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59 648</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3</w:t>
            </w: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Turvapaikka-, maahanmuutto- ja kotouttamisrahasto</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719</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29</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748</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207</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38</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993</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594</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112</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706</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38</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746</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Kuluttajat</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28</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28</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29</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23</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29</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31</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Luova Eurooppa</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230</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230</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244</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181</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16</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197</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16</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214</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Unionin sisällä annettava hätätilanteen tuki</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200</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199</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199</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221</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233</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233</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Sisäisen turvallisuuden rahasto</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720</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10</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730</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40</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132</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901</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481</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(48)</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433</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129</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565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Tietotekniikkajärjestelmät</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26</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(17)</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10</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10</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Oikeusasiat</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47</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47</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49</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36</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48</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Perusoikeudet, tasa-arvo ja kansalaisuus</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63</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63</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65</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47</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27</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73</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Unionin pelastuspalvelumekanismi</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33</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33</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35</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34</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34</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41</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Kansalaisten Eurooppa</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28</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28</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28</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29</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29</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29</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Elintarvikkeet ja rehut</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280</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279</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284</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248</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244</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252</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Terveydenhuolto</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66</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66</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69</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56</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60</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63</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Erillisvirastot</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940</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920</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76</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996</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908</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(98)</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810</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76</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886</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Pilottihankkeet ja valmistelutoimet</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18</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Erityistoimet</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99</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99</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99</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92</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93</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94</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Rahoituskehyksen otsake 3 yhteensä</w:t>
            </w:r>
          </w:p>
        </w:tc>
        <w:tc>
          <w:tcPr>
            <w:tcW w:w="1165"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3 493</w:t>
            </w:r>
          </w:p>
        </w:tc>
        <w:tc>
          <w:tcPr>
            <w:tcW w:w="79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44"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3 492</w:t>
            </w:r>
          </w:p>
        </w:tc>
        <w:tc>
          <w:tcPr>
            <w:tcW w:w="64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247</w:t>
            </w:r>
          </w:p>
        </w:tc>
        <w:tc>
          <w:tcPr>
            <w:tcW w:w="98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276</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4 015</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2 981</w:t>
            </w:r>
          </w:p>
        </w:tc>
        <w:tc>
          <w:tcPr>
            <w:tcW w:w="105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32</w:t>
            </w:r>
          </w:p>
        </w:tc>
        <w:tc>
          <w:tcPr>
            <w:tcW w:w="1166"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3 013</w:t>
            </w:r>
          </w:p>
        </w:tc>
        <w:tc>
          <w:tcPr>
            <w:tcW w:w="709" w:type="dxa"/>
            <w:gridSpan w:val="3"/>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16</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276</w:t>
            </w:r>
          </w:p>
        </w:tc>
        <w:tc>
          <w:tcPr>
            <w:tcW w:w="101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3 305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4</w:t>
            </w: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Liittymistä valmisteleva tuki (IPA II)</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1 649</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393</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2 041</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106</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2 149</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1 452</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(186)</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1 266</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475</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1 747</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Makrotaloudellinen rahoitusapu (MFA)</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42</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(32)</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42</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(32)</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10</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Takuurahasto ulkosuhteisiin liittyville hankkeille</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138</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138</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110</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248</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138</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138</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110</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248</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Unionin pelastuspalvelumekanismi</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16</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(10)</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15</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EU:n vapaaehtoisapua koskeva aloite (EUAV)</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17</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16</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16</w:t>
            </w:r>
          </w:p>
        </w:tc>
      </w:tr>
      <w:tr>
        <w:trPr>
          <w:trHeight w:val="445"/>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Euroopan kestävän kehityksen rahasto (EKKR)</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25</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25</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401</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426</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25</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25</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275</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401</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701</w:t>
            </w:r>
          </w:p>
        </w:tc>
      </w:tr>
      <w:tr>
        <w:trPr>
          <w:trHeight w:val="551"/>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Euroopan naapuruusväline (ENI)</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2 367</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112</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2 478</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40</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2 518</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2 278</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(167)</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2 111</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51</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2 167</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Kehitysyhteistyön rahoitusväline (DCI)</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2 976</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2 981</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74</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3 055</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2 735</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(78)</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2 657</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14</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110</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2 781</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Kumppanuusväline</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140</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145</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151</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101</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27</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128</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Demokratiaa ja ihmisoikeuksia koskeva eurooppalainen rahoitusväline</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193</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188</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190</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169</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22</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191</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195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Vakautta ja rauhaa edistävä väline</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370</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370</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378</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325</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327</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342</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Humanitaarinen apu</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1 085</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332</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1 417</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62</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58</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1 537</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1 095</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348</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1 443</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275</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1 723</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Yhteinen ulko- ja turvallisuuspolitiikka (YUTP)</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328</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348</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39</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387</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292</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292</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52</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345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Ydinturvallisuuteen liittyvä yhteistyö</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33</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33</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33</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45</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39</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Erillisvirastot</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Muut toimet ja ohjelmat</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83</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80</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158</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238</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75</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70</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162</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232</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Pilottihankkeet ja valmistelutoimet</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14</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Erityistoimet</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74</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75</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76</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68</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61</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62</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Rahoituskehyksen otsake 4 yhteensä</w:t>
            </w:r>
          </w:p>
        </w:tc>
        <w:tc>
          <w:tcPr>
            <w:tcW w:w="1165"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9 569</w:t>
            </w:r>
          </w:p>
        </w:tc>
        <w:tc>
          <w:tcPr>
            <w:tcW w:w="79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810</w:t>
            </w:r>
          </w:p>
        </w:tc>
        <w:tc>
          <w:tcPr>
            <w:tcW w:w="1044"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10 379</w:t>
            </w:r>
          </w:p>
        </w:tc>
        <w:tc>
          <w:tcPr>
            <w:tcW w:w="64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64</w:t>
            </w:r>
          </w:p>
        </w:tc>
        <w:tc>
          <w:tcPr>
            <w:tcW w:w="98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1 005</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11 448</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8 906</w:t>
            </w:r>
          </w:p>
        </w:tc>
        <w:tc>
          <w:tcPr>
            <w:tcW w:w="105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(93)</w:t>
            </w:r>
          </w:p>
        </w:tc>
        <w:tc>
          <w:tcPr>
            <w:tcW w:w="1166"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8 813</w:t>
            </w:r>
          </w:p>
        </w:tc>
        <w:tc>
          <w:tcPr>
            <w:tcW w:w="709" w:type="dxa"/>
            <w:gridSpan w:val="3"/>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315</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1 659</w:t>
            </w:r>
          </w:p>
        </w:tc>
        <w:tc>
          <w:tcPr>
            <w:tcW w:w="101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10 788</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5</w:t>
            </w: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Eläkkeet</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1 893</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1 893</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1 894</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1 893</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1 893</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1 894</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Eurooppa-koulut</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192</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183</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15</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199</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192</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183</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15</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199</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Erillisvirastot</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Pilottihankkeet ja valmistelutoimet</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w:t>
            </w:r>
          </w:p>
        </w:tc>
      </w:tr>
      <w:tr>
        <w:trPr>
          <w:trHeight w:val="591"/>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Komission hallintomenot</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3 562</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3 571</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376</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3 947</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3 562</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10</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3 572</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346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377</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4 294</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Muiden toimielinten hallintomenot</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4 015</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4 015</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439</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4 465</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4 015</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4 015</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507</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441</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4 963</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Rahoituskehyksen otsake 5 yhteensä</w:t>
            </w:r>
          </w:p>
        </w:tc>
        <w:tc>
          <w:tcPr>
            <w:tcW w:w="1165"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9 666</w:t>
            </w:r>
          </w:p>
        </w:tc>
        <w:tc>
          <w:tcPr>
            <w:tcW w:w="79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9 666</w:t>
            </w:r>
          </w:p>
        </w:tc>
        <w:tc>
          <w:tcPr>
            <w:tcW w:w="64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w:t>
            </w:r>
          </w:p>
        </w:tc>
        <w:tc>
          <w:tcPr>
            <w:tcW w:w="98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832</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10 508</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9 666</w:t>
            </w:r>
          </w:p>
        </w:tc>
        <w:tc>
          <w:tcPr>
            <w:tcW w:w="105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6"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9 667</w:t>
            </w:r>
          </w:p>
        </w:tc>
        <w:tc>
          <w:tcPr>
            <w:tcW w:w="709" w:type="dxa"/>
            <w:gridSpan w:val="3"/>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854</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834</w:t>
            </w:r>
          </w:p>
        </w:tc>
        <w:tc>
          <w:tcPr>
            <w:tcW w:w="101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11 355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6</w:t>
            </w: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Korvaukset</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Rahoituskehyksen otsake 6 yhteensä</w:t>
            </w:r>
          </w:p>
        </w:tc>
        <w:tc>
          <w:tcPr>
            <w:tcW w:w="1165"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79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64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5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166"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709" w:type="dxa"/>
            <w:gridSpan w:val="3"/>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1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8</w:t>
            </w: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Negatiivinen varaus</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Edelliseltä varainhoitovuodelta siirretty alijäämä</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shd w:val="solid" w:color="CCE1EB" w:fill="FFFFFF"/>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shd w:val="solid" w:color="CCE1EB" w:fill="FFFFFF"/>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Rahoituskehyksen otsake 8 yhteensä</w:t>
            </w:r>
          </w:p>
        </w:tc>
        <w:tc>
          <w:tcPr>
            <w:tcW w:w="1165"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79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64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5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166"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709" w:type="dxa"/>
            <w:gridSpan w:val="3"/>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1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9</w:t>
            </w: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Hätäapuvaraus</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345</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(310)</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34</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34</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345</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(225)</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120</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Euroopan globalisaatiorahasto (EGR)</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172</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172</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41</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213</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25</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(19)</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38</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44</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Euroopan unionin solidaarisuusrahasto (EUSR)</w:t>
            </w:r>
          </w:p>
        </w:tc>
        <w:tc>
          <w:tcPr>
            <w:tcW w:w="1165"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50</w:t>
            </w:r>
          </w:p>
        </w:tc>
        <w:tc>
          <w:tcPr>
            <w:tcW w:w="79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132</w:t>
            </w:r>
          </w:p>
        </w:tc>
        <w:tc>
          <w:tcPr>
            <w:tcW w:w="1044"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182</w:t>
            </w:r>
          </w:p>
        </w:tc>
        <w:tc>
          <w:tcPr>
            <w:tcW w:w="640"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182</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50</w:t>
            </w:r>
          </w:p>
        </w:tc>
        <w:tc>
          <w:tcPr>
            <w:tcW w:w="105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127</w:t>
            </w:r>
          </w:p>
        </w:tc>
        <w:tc>
          <w:tcPr>
            <w:tcW w:w="1166" w:type="dxa"/>
            <w:gridSpan w:val="2"/>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177</w:t>
            </w:r>
          </w:p>
        </w:tc>
        <w:tc>
          <w:tcPr>
            <w:tcW w:w="709" w:type="dxa"/>
            <w:gridSpan w:val="3"/>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1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177</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1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Rahoituskehyksen otsake 9 yhteensä</w:t>
            </w:r>
          </w:p>
        </w:tc>
        <w:tc>
          <w:tcPr>
            <w:tcW w:w="1165"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567</w:t>
            </w:r>
          </w:p>
        </w:tc>
        <w:tc>
          <w:tcPr>
            <w:tcW w:w="79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(179)</w:t>
            </w:r>
          </w:p>
        </w:tc>
        <w:tc>
          <w:tcPr>
            <w:tcW w:w="1044"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388</w:t>
            </w:r>
          </w:p>
        </w:tc>
        <w:tc>
          <w:tcPr>
            <w:tcW w:w="64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41</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429</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420</w:t>
            </w:r>
          </w:p>
        </w:tc>
        <w:tc>
          <w:tcPr>
            <w:tcW w:w="105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(118)</w:t>
            </w:r>
          </w:p>
        </w:tc>
        <w:tc>
          <w:tcPr>
            <w:tcW w:w="1166"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302</w:t>
            </w:r>
          </w:p>
        </w:tc>
        <w:tc>
          <w:tcPr>
            <w:tcW w:w="709" w:type="dxa"/>
            <w:gridSpan w:val="3"/>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38</w:t>
            </w:r>
          </w:p>
        </w:tc>
        <w:tc>
          <w:tcPr>
            <w:tcW w:w="101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340</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rPr>
                <w:rFonts w:ascii="Verdana" w:eastAsia="Times New Roman" w:hAnsi="Verdana" w:cs="Verdana"/>
                <w:b/>
                <w:noProof/>
                <w:color w:val="000000"/>
                <w:sz w:val="16"/>
              </w:rPr>
            </w:pPr>
          </w:p>
        </w:tc>
        <w:tc>
          <w:tcPr>
            <w:tcW w:w="291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rPr>
                <w:rFonts w:ascii="Verdana" w:eastAsia="Times New Roman" w:hAnsi="Verdana" w:cs="Verdana"/>
                <w:b/>
                <w:noProof/>
                <w:color w:val="000000"/>
                <w:sz w:val="16"/>
              </w:rPr>
            </w:pPr>
            <w:r>
              <w:rPr>
                <w:rFonts w:ascii="Verdana" w:hAnsi="Verdana"/>
                <w:b/>
                <w:noProof/>
                <w:color w:val="000000"/>
                <w:sz w:val="16"/>
              </w:rPr>
              <w:t>Yhteensä</w:t>
            </w:r>
          </w:p>
        </w:tc>
        <w:tc>
          <w:tcPr>
            <w:tcW w:w="1165"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b/>
                <w:noProof/>
                <w:color w:val="000000"/>
                <w:sz w:val="16"/>
              </w:rPr>
            </w:pPr>
            <w:r>
              <w:rPr>
                <w:rFonts w:ascii="Verdana" w:hAnsi="Verdana"/>
                <w:b/>
                <w:noProof/>
                <w:color w:val="000000"/>
                <w:sz w:val="16"/>
              </w:rPr>
              <w:t>160 114</w:t>
            </w:r>
          </w:p>
        </w:tc>
        <w:tc>
          <w:tcPr>
            <w:tcW w:w="79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b/>
                <w:noProof/>
                <w:color w:val="000000"/>
                <w:sz w:val="16"/>
              </w:rPr>
            </w:pPr>
            <w:r>
              <w:rPr>
                <w:rFonts w:ascii="Verdana" w:hAnsi="Verdana"/>
                <w:b/>
                <w:noProof/>
                <w:color w:val="000000"/>
                <w:sz w:val="16"/>
              </w:rPr>
              <w:t xml:space="preserve"> 583</w:t>
            </w:r>
          </w:p>
        </w:tc>
        <w:tc>
          <w:tcPr>
            <w:tcW w:w="1044"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b/>
                <w:noProof/>
                <w:color w:val="000000"/>
                <w:sz w:val="16"/>
              </w:rPr>
            </w:pPr>
            <w:r>
              <w:rPr>
                <w:rFonts w:ascii="Verdana" w:hAnsi="Verdana"/>
                <w:b/>
                <w:noProof/>
                <w:color w:val="000000"/>
                <w:sz w:val="16"/>
              </w:rPr>
              <w:t>160 696</w:t>
            </w:r>
          </w:p>
        </w:tc>
        <w:tc>
          <w:tcPr>
            <w:tcW w:w="64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b/>
                <w:noProof/>
                <w:color w:val="000000"/>
                <w:sz w:val="16"/>
              </w:rPr>
            </w:pPr>
            <w:r>
              <w:rPr>
                <w:rFonts w:ascii="Verdana" w:hAnsi="Verdana"/>
                <w:b/>
                <w:noProof/>
                <w:color w:val="000000"/>
                <w:sz w:val="16"/>
              </w:rPr>
              <w:t xml:space="preserve"> 895</w:t>
            </w:r>
          </w:p>
        </w:tc>
        <w:tc>
          <w:tcPr>
            <w:tcW w:w="98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b/>
                <w:noProof/>
                <w:color w:val="000000"/>
                <w:sz w:val="16"/>
              </w:rPr>
            </w:pPr>
            <w:r>
              <w:rPr>
                <w:rFonts w:ascii="Verdana" w:hAnsi="Verdana"/>
                <w:b/>
                <w:noProof/>
                <w:color w:val="000000"/>
                <w:sz w:val="16"/>
              </w:rPr>
              <w:t>16 876</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b/>
                <w:noProof/>
                <w:color w:val="000000"/>
                <w:sz w:val="16"/>
              </w:rPr>
            </w:pPr>
            <w:r>
              <w:rPr>
                <w:rFonts w:ascii="Verdana" w:hAnsi="Verdana"/>
                <w:b/>
                <w:noProof/>
                <w:color w:val="000000"/>
                <w:sz w:val="16"/>
              </w:rPr>
              <w:t>178 468</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b/>
                <w:noProof/>
                <w:color w:val="000000"/>
                <w:sz w:val="16"/>
              </w:rPr>
            </w:pPr>
            <w:r>
              <w:rPr>
                <w:rFonts w:ascii="Verdana" w:hAnsi="Verdana"/>
                <w:b/>
                <w:noProof/>
                <w:color w:val="000000"/>
                <w:sz w:val="16"/>
              </w:rPr>
              <w:t>144 681</w:t>
            </w:r>
          </w:p>
        </w:tc>
        <w:tc>
          <w:tcPr>
            <w:tcW w:w="105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b/>
                <w:noProof/>
                <w:color w:val="000000"/>
                <w:sz w:val="16"/>
              </w:rPr>
            </w:pPr>
            <w:r>
              <w:rPr>
                <w:rFonts w:ascii="Verdana" w:hAnsi="Verdana"/>
                <w:b/>
                <w:noProof/>
                <w:color w:val="000000"/>
                <w:sz w:val="16"/>
              </w:rPr>
              <w:t xml:space="preserve"> 87</w:t>
            </w:r>
          </w:p>
        </w:tc>
        <w:tc>
          <w:tcPr>
            <w:tcW w:w="1166"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b/>
                <w:noProof/>
                <w:color w:val="000000"/>
                <w:sz w:val="16"/>
              </w:rPr>
            </w:pPr>
            <w:r>
              <w:rPr>
                <w:rFonts w:ascii="Verdana" w:hAnsi="Verdana"/>
                <w:b/>
                <w:noProof/>
                <w:color w:val="000000"/>
                <w:sz w:val="16"/>
              </w:rPr>
              <w:t>144 768</w:t>
            </w:r>
          </w:p>
        </w:tc>
        <w:tc>
          <w:tcPr>
            <w:tcW w:w="709" w:type="dxa"/>
            <w:gridSpan w:val="3"/>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b/>
                <w:noProof/>
                <w:color w:val="000000"/>
                <w:sz w:val="16"/>
              </w:rPr>
            </w:pPr>
            <w:r>
              <w:rPr>
                <w:rFonts w:ascii="Verdana" w:hAnsi="Verdana"/>
                <w:b/>
                <w:noProof/>
                <w:color w:val="000000"/>
                <w:sz w:val="16"/>
              </w:rPr>
              <w:t>1 970</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b/>
                <w:noProof/>
                <w:color w:val="000000"/>
                <w:sz w:val="16"/>
              </w:rPr>
            </w:pPr>
            <w:r>
              <w:rPr>
                <w:rFonts w:ascii="Verdana" w:hAnsi="Verdana"/>
                <w:b/>
                <w:noProof/>
                <w:color w:val="000000"/>
                <w:sz w:val="16"/>
              </w:rPr>
              <w:t>19 616</w:t>
            </w:r>
          </w:p>
        </w:tc>
        <w:tc>
          <w:tcPr>
            <w:tcW w:w="101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b/>
                <w:noProof/>
                <w:color w:val="000000"/>
                <w:sz w:val="16"/>
              </w:rPr>
            </w:pPr>
            <w:r>
              <w:rPr>
                <w:rFonts w:ascii="Verdana" w:hAnsi="Verdana"/>
                <w:b/>
                <w:noProof/>
                <w:color w:val="000000"/>
                <w:sz w:val="16"/>
              </w:rPr>
              <w:t>166 353</w:t>
            </w:r>
          </w:p>
        </w:tc>
      </w:tr>
    </w:tbl>
    <w:p>
      <w:pPr>
        <w:pStyle w:val="Textstand-alone"/>
      </w:pPr>
      <w:r>
        <w:br w:type="page"/>
      </w:r>
    </w:p>
    <w:p>
      <w:pPr>
        <w:pStyle w:val="Textstand-alone"/>
        <w:sectPr>
          <w:headerReference w:type="even" r:id="rId503"/>
          <w:headerReference w:type="default" r:id="rId504"/>
          <w:footerReference w:type="even" r:id="rId505"/>
          <w:footerReference w:type="default" r:id="rId506"/>
          <w:headerReference w:type="first" r:id="rId507"/>
          <w:footerReference w:type="first" r:id="rId508"/>
          <w:type w:val="nextColumn"/>
          <w:pgSz w:w="16840" w:h="11900" w:orient="landscape"/>
          <w:pgMar w:top="1134" w:right="1134" w:bottom="1134" w:left="1134" w:header="720" w:footer="720" w:gutter="0"/>
          <w:cols w:space="720"/>
          <w:docGrid w:linePitch="272"/>
        </w:sectPr>
      </w:pPr>
    </w:p>
    <w:p>
      <w:pPr>
        <w:pStyle w:val="HEADER2PartBUDG"/>
        <w:rPr>
          <w:noProof/>
        </w:rPr>
      </w:pPr>
      <w:bookmarkStart w:id="339" w:name="_Toc11939557"/>
      <w:bookmarkStart w:id="340" w:name="_Toc17887582"/>
      <w:r>
        <w:rPr>
          <w:noProof/>
        </w:rPr>
        <w:t>YKSITYISKOHTAINEN MONIVUOTINEN RAHOITUSKEHYS: MAKSUSITOUMUSMÄÄRÄRAHOJEN TOTEUTUMINEN</w:t>
      </w:r>
      <w:bookmarkEnd w:id="339"/>
      <w:bookmarkEnd w:id="340"/>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
        <w:gridCol w:w="2770"/>
        <w:gridCol w:w="1025"/>
        <w:gridCol w:w="940"/>
        <w:gridCol w:w="701"/>
        <w:gridCol w:w="202"/>
        <w:gridCol w:w="641"/>
        <w:gridCol w:w="351"/>
        <w:gridCol w:w="631"/>
        <w:gridCol w:w="220"/>
        <w:gridCol w:w="142"/>
        <w:gridCol w:w="567"/>
        <w:gridCol w:w="756"/>
        <w:gridCol w:w="843"/>
        <w:gridCol w:w="952"/>
        <w:gridCol w:w="592"/>
        <w:gridCol w:w="259"/>
        <w:gridCol w:w="583"/>
        <w:gridCol w:w="267"/>
        <w:gridCol w:w="716"/>
        <w:gridCol w:w="276"/>
        <w:gridCol w:w="877"/>
      </w:tblGrid>
      <w:tr>
        <w:trPr>
          <w:trHeight w:val="340"/>
          <w:tblHeader/>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bookmarkStart w:id="341" w:name="DOC_TBL00110_1_1"/>
            <w:bookmarkEnd w:id="341"/>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7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84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929" w:type="dxa"/>
            <w:gridSpan w:val="3"/>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592"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84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98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p>
        </w:tc>
        <w:tc>
          <w:tcPr>
            <w:tcW w:w="115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i/>
                <w:noProof/>
                <w:color w:val="000000"/>
                <w:sz w:val="16"/>
              </w:rPr>
            </w:pPr>
            <w:r>
              <w:rPr>
                <w:rFonts w:ascii="Verdana" w:hAnsi="Verdana"/>
                <w:i/>
                <w:noProof/>
                <w:color w:val="000000"/>
                <w:sz w:val="16"/>
              </w:rPr>
              <w:t>milj. euroa</w:t>
            </w:r>
          </w:p>
        </w:tc>
      </w:tr>
      <w:tr>
        <w:trPr>
          <w:trHeight w:val="340"/>
          <w:tblHeader/>
        </w:trPr>
        <w:tc>
          <w:tcPr>
            <w:tcW w:w="23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b/>
                <w:noProof/>
                <w:color w:val="FFFFFF"/>
                <w:sz w:val="16"/>
              </w:rPr>
            </w:pPr>
          </w:p>
        </w:tc>
        <w:tc>
          <w:tcPr>
            <w:tcW w:w="2770"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b/>
                <w:noProof/>
                <w:color w:val="FFFFFF"/>
                <w:sz w:val="16"/>
              </w:rPr>
            </w:pPr>
          </w:p>
        </w:tc>
        <w:tc>
          <w:tcPr>
            <w:tcW w:w="1025" w:type="dxa"/>
            <w:vMerge w:val="restart"/>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b/>
                <w:noProof/>
                <w:color w:val="FFFFFF"/>
                <w:sz w:val="16"/>
              </w:rPr>
            </w:pPr>
            <w:r>
              <w:rPr>
                <w:rFonts w:ascii="Verdana" w:hAnsi="Verdana"/>
                <w:b/>
                <w:noProof/>
                <w:color w:val="FFFFFF"/>
                <w:sz w:val="16"/>
              </w:rPr>
              <w:t>Käytet</w:t>
            </w:r>
            <w:r>
              <w:rPr>
                <w:rFonts w:ascii="Verdana" w:hAnsi="Verdana"/>
                <w:b/>
                <w:noProof/>
                <w:color w:val="FFFFFF"/>
                <w:sz w:val="16"/>
              </w:rPr>
              <w:softHyphen/>
              <w:t>tävissä</w:t>
            </w:r>
          </w:p>
          <w:p>
            <w:pPr>
              <w:pStyle w:val="DMETW14819BIPDetailedMFF2ImplementCommitments"/>
              <w:jc w:val="right"/>
              <w:rPr>
                <w:rFonts w:ascii="Verdana" w:eastAsia="Times New Roman" w:hAnsi="Verdana" w:cs="Verdana"/>
                <w:b/>
                <w:noProof/>
                <w:color w:val="FFFFFF"/>
                <w:sz w:val="16"/>
              </w:rPr>
            </w:pPr>
            <w:r>
              <w:rPr>
                <w:rFonts w:ascii="Verdana" w:hAnsi="Verdana"/>
                <w:b/>
                <w:noProof/>
                <w:color w:val="FFFFFF"/>
                <w:sz w:val="16"/>
              </w:rPr>
              <w:t>olevat määrä</w:t>
            </w:r>
            <w:r>
              <w:rPr>
                <w:rFonts w:ascii="Verdana" w:hAnsi="Verdana"/>
                <w:b/>
                <w:noProof/>
                <w:color w:val="FFFFFF"/>
                <w:sz w:val="16"/>
              </w:rPr>
              <w:softHyphen/>
              <w:t xml:space="preserve">rahat </w:t>
            </w:r>
          </w:p>
          <w:p>
            <w:pPr>
              <w:pStyle w:val="DMETW14819BIPDetailedMFF2ImplementCommitments"/>
              <w:jc w:val="right"/>
              <w:rPr>
                <w:rFonts w:ascii="Verdana" w:eastAsia="Times New Roman" w:hAnsi="Verdana" w:cs="Verdana"/>
                <w:b/>
                <w:noProof/>
                <w:color w:val="FFFFFF"/>
                <w:sz w:val="16"/>
              </w:rPr>
            </w:pPr>
            <w:r>
              <w:rPr>
                <w:rFonts w:ascii="Verdana" w:hAnsi="Verdana"/>
                <w:b/>
                <w:noProof/>
                <w:color w:val="FFFFFF"/>
                <w:sz w:val="16"/>
              </w:rPr>
              <w:t>yhteensä</w:t>
            </w:r>
          </w:p>
        </w:tc>
        <w:tc>
          <w:tcPr>
            <w:tcW w:w="4395" w:type="dxa"/>
            <w:gridSpan w:val="9"/>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b/>
                <w:noProof/>
                <w:color w:val="FFFFFF"/>
                <w:sz w:val="16"/>
              </w:rPr>
            </w:pPr>
            <w:r>
              <w:rPr>
                <w:rFonts w:ascii="Verdana" w:hAnsi="Verdana"/>
                <w:b/>
                <w:noProof/>
                <w:color w:val="FFFFFF"/>
                <w:sz w:val="16"/>
              </w:rPr>
              <w:t>Tehdyt sitoumukset</w:t>
            </w:r>
          </w:p>
        </w:tc>
        <w:tc>
          <w:tcPr>
            <w:tcW w:w="2551" w:type="dxa"/>
            <w:gridSpan w:val="3"/>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b/>
                <w:noProof/>
                <w:color w:val="FFFFFF"/>
                <w:sz w:val="16"/>
              </w:rPr>
            </w:pPr>
            <w:r>
              <w:rPr>
                <w:rFonts w:ascii="Verdana" w:hAnsi="Verdana"/>
                <w:b/>
                <w:noProof/>
                <w:color w:val="FFFFFF"/>
                <w:sz w:val="16"/>
              </w:rPr>
              <w:t>Vuodelle 2019 siirretyt määrärahat</w:t>
            </w:r>
          </w:p>
        </w:tc>
        <w:tc>
          <w:tcPr>
            <w:tcW w:w="3570" w:type="dxa"/>
            <w:gridSpan w:val="7"/>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b/>
                <w:noProof/>
                <w:color w:val="FFFFFF"/>
                <w:sz w:val="16"/>
              </w:rPr>
            </w:pPr>
            <w:r>
              <w:rPr>
                <w:rFonts w:ascii="Verdana" w:hAnsi="Verdana"/>
                <w:b/>
                <w:noProof/>
                <w:color w:val="FFFFFF"/>
                <w:sz w:val="16"/>
              </w:rPr>
              <w:t>Raukeavat määrärahat</w:t>
            </w:r>
          </w:p>
        </w:tc>
      </w:tr>
      <w:tr>
        <w:trPr>
          <w:trHeight w:val="340"/>
          <w:tblHeader/>
        </w:trPr>
        <w:tc>
          <w:tcPr>
            <w:tcW w:w="23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p>
        </w:tc>
        <w:tc>
          <w:tcPr>
            <w:tcW w:w="2770"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Ohjelma</w:t>
            </w:r>
          </w:p>
        </w:tc>
        <w:tc>
          <w:tcPr>
            <w:tcW w:w="1025" w:type="dxa"/>
            <w:vMerge/>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b/>
                <w:noProof/>
                <w:color w:val="FFFFFF"/>
                <w:sz w:val="16"/>
              </w:rPr>
            </w:pPr>
          </w:p>
        </w:tc>
        <w:tc>
          <w:tcPr>
            <w:tcW w:w="940"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FFFFFF"/>
                <w:sz w:val="16"/>
              </w:rPr>
            </w:pPr>
            <w:r>
              <w:rPr>
                <w:rFonts w:ascii="Verdana" w:hAnsi="Verdana"/>
                <w:noProof/>
                <w:color w:val="FFFFFF"/>
                <w:sz w:val="16"/>
              </w:rPr>
              <w:t>Lopulli</w:t>
            </w:r>
            <w:r>
              <w:rPr>
                <w:rFonts w:ascii="Verdana" w:hAnsi="Verdana"/>
                <w:noProof/>
                <w:color w:val="FFFFFF"/>
                <w:sz w:val="16"/>
              </w:rPr>
              <w:softHyphen/>
              <w:t>sista hyväk-sytyistä määrä</w:t>
            </w:r>
            <w:r>
              <w:rPr>
                <w:rFonts w:ascii="Verdana" w:hAnsi="Verdana"/>
                <w:noProof/>
                <w:color w:val="FFFFFF"/>
                <w:sz w:val="16"/>
              </w:rPr>
              <w:softHyphen/>
              <w:t>rahoista</w:t>
            </w:r>
          </w:p>
        </w:tc>
        <w:tc>
          <w:tcPr>
            <w:tcW w:w="903"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FFFFFF"/>
                <w:sz w:val="16"/>
              </w:rPr>
            </w:pPr>
            <w:r>
              <w:rPr>
                <w:rFonts w:ascii="Verdana" w:hAnsi="Verdana"/>
                <w:noProof/>
                <w:color w:val="FFFFFF"/>
                <w:sz w:val="16"/>
              </w:rPr>
              <w:t>Siirre</w:t>
            </w:r>
            <w:r>
              <w:rPr>
                <w:rFonts w:ascii="Verdana" w:hAnsi="Verdana"/>
                <w:noProof/>
                <w:color w:val="FFFFFF"/>
                <w:sz w:val="16"/>
              </w:rPr>
              <w:softHyphen/>
              <w:t>tyistä määrä</w:t>
            </w:r>
            <w:r>
              <w:rPr>
                <w:rFonts w:ascii="Verdana" w:hAnsi="Verdana"/>
                <w:noProof/>
                <w:color w:val="FFFFFF"/>
                <w:sz w:val="16"/>
              </w:rPr>
              <w:softHyphen/>
              <w:t>rahoista</w:t>
            </w:r>
          </w:p>
        </w:tc>
        <w:tc>
          <w:tcPr>
            <w:tcW w:w="992"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FFFFFF"/>
                <w:sz w:val="16"/>
              </w:rPr>
            </w:pPr>
            <w:r>
              <w:rPr>
                <w:rFonts w:ascii="Verdana" w:hAnsi="Verdana"/>
                <w:noProof/>
                <w:color w:val="FFFFFF"/>
                <w:sz w:val="16"/>
              </w:rPr>
              <w:t>Käyttö</w:t>
            </w:r>
            <w:r>
              <w:rPr>
                <w:rFonts w:ascii="Verdana" w:hAnsi="Verdana"/>
                <w:noProof/>
                <w:color w:val="FFFFFF"/>
                <w:sz w:val="16"/>
              </w:rPr>
              <w:softHyphen/>
              <w:t>tark. sidotuista tuloista</w:t>
            </w:r>
          </w:p>
        </w:tc>
        <w:tc>
          <w:tcPr>
            <w:tcW w:w="993" w:type="dxa"/>
            <w:gridSpan w:val="3"/>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FFFFFF"/>
                <w:sz w:val="16"/>
              </w:rPr>
            </w:pPr>
            <w:r>
              <w:rPr>
                <w:rFonts w:ascii="Verdana" w:hAnsi="Verdana"/>
                <w:noProof/>
                <w:color w:val="FFFFFF"/>
                <w:sz w:val="16"/>
              </w:rPr>
              <w:t>Yhteensä</w:t>
            </w:r>
          </w:p>
        </w:tc>
        <w:tc>
          <w:tcPr>
            <w:tcW w:w="567"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FFFFFF"/>
                <w:sz w:val="16"/>
              </w:rPr>
            </w:pPr>
            <w:r>
              <w:rPr>
                <w:rFonts w:ascii="Verdana" w:hAnsi="Verdana"/>
                <w:noProof/>
                <w:color w:val="FFFFFF"/>
                <w:sz w:val="16"/>
              </w:rPr>
              <w:t>%</w:t>
            </w:r>
          </w:p>
        </w:tc>
        <w:tc>
          <w:tcPr>
            <w:tcW w:w="756"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FFFFFF"/>
                <w:sz w:val="16"/>
              </w:rPr>
            </w:pPr>
            <w:r>
              <w:rPr>
                <w:rFonts w:ascii="Verdana" w:hAnsi="Verdana"/>
                <w:noProof/>
                <w:color w:val="FFFFFF"/>
                <w:sz w:val="16"/>
              </w:rPr>
              <w:t>Käyttö</w:t>
            </w:r>
            <w:r>
              <w:rPr>
                <w:rFonts w:ascii="Verdana" w:hAnsi="Verdana"/>
                <w:noProof/>
                <w:color w:val="FFFFFF"/>
                <w:sz w:val="16"/>
              </w:rPr>
              <w:softHyphen/>
              <w:t>tark. sidotut tulot</w:t>
            </w:r>
          </w:p>
        </w:tc>
        <w:tc>
          <w:tcPr>
            <w:tcW w:w="843"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FFFFFF"/>
                <w:sz w:val="16"/>
              </w:rPr>
            </w:pPr>
            <w:r>
              <w:rPr>
                <w:rFonts w:ascii="Verdana" w:hAnsi="Verdana"/>
                <w:noProof/>
                <w:color w:val="FFFFFF"/>
                <w:sz w:val="16"/>
              </w:rPr>
              <w:t>Päätök</w:t>
            </w:r>
            <w:r>
              <w:rPr>
                <w:rFonts w:ascii="Verdana" w:hAnsi="Verdana"/>
                <w:noProof/>
                <w:color w:val="FFFFFF"/>
                <w:sz w:val="16"/>
              </w:rPr>
              <w:softHyphen/>
              <w:t>sellä siirretyt</w:t>
            </w:r>
          </w:p>
        </w:tc>
        <w:tc>
          <w:tcPr>
            <w:tcW w:w="95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FFFFFF"/>
                <w:sz w:val="16"/>
              </w:rPr>
            </w:pPr>
            <w:r>
              <w:rPr>
                <w:rFonts w:ascii="Verdana" w:hAnsi="Verdana"/>
                <w:noProof/>
                <w:color w:val="FFFFFF"/>
                <w:sz w:val="16"/>
              </w:rPr>
              <w:t>Yhteensä</w:t>
            </w:r>
          </w:p>
        </w:tc>
        <w:tc>
          <w:tcPr>
            <w:tcW w:w="851"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FFFFFF"/>
                <w:sz w:val="16"/>
              </w:rPr>
            </w:pPr>
            <w:r>
              <w:rPr>
                <w:rFonts w:ascii="Verdana" w:hAnsi="Verdana"/>
                <w:noProof/>
                <w:color w:val="FFFFFF"/>
                <w:sz w:val="16"/>
              </w:rPr>
              <w:t>Lopulli</w:t>
            </w:r>
            <w:r>
              <w:rPr>
                <w:rFonts w:ascii="Verdana" w:hAnsi="Verdana"/>
                <w:noProof/>
                <w:color w:val="FFFFFF"/>
                <w:sz w:val="16"/>
              </w:rPr>
              <w:softHyphen/>
              <w:t>sista hyväk</w:t>
            </w:r>
            <w:r>
              <w:rPr>
                <w:rFonts w:ascii="Verdana" w:hAnsi="Verdana"/>
                <w:noProof/>
                <w:color w:val="FFFFFF"/>
                <w:sz w:val="16"/>
              </w:rPr>
              <w:softHyphen/>
              <w:t>sytyistä määrä</w:t>
            </w:r>
            <w:r>
              <w:rPr>
                <w:rFonts w:ascii="Verdana" w:hAnsi="Verdana"/>
                <w:noProof/>
                <w:color w:val="FFFFFF"/>
                <w:sz w:val="16"/>
              </w:rPr>
              <w:softHyphen/>
              <w:t>rahoista</w:t>
            </w:r>
          </w:p>
        </w:tc>
        <w:tc>
          <w:tcPr>
            <w:tcW w:w="850"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FFFFFF"/>
                <w:sz w:val="16"/>
              </w:rPr>
            </w:pPr>
            <w:r>
              <w:rPr>
                <w:rFonts w:ascii="Verdana" w:hAnsi="Verdana"/>
                <w:noProof/>
                <w:color w:val="FFFFFF"/>
                <w:sz w:val="16"/>
              </w:rPr>
              <w:t>Siirre</w:t>
            </w:r>
            <w:r>
              <w:rPr>
                <w:rFonts w:ascii="Verdana" w:hAnsi="Verdana"/>
                <w:noProof/>
                <w:color w:val="FFFFFF"/>
                <w:sz w:val="16"/>
              </w:rPr>
              <w:softHyphen/>
              <w:t>tyistä määrä</w:t>
            </w:r>
            <w:r>
              <w:rPr>
                <w:rFonts w:ascii="Verdana" w:hAnsi="Verdana"/>
                <w:noProof/>
                <w:color w:val="FFFFFF"/>
                <w:sz w:val="16"/>
              </w:rPr>
              <w:softHyphen/>
              <w:t>rahoista</w:t>
            </w:r>
          </w:p>
        </w:tc>
        <w:tc>
          <w:tcPr>
            <w:tcW w:w="992"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FFFFFF"/>
                <w:sz w:val="16"/>
              </w:rPr>
            </w:pPr>
            <w:r>
              <w:rPr>
                <w:rFonts w:ascii="Verdana" w:hAnsi="Verdana"/>
                <w:noProof/>
                <w:color w:val="FFFFFF"/>
                <w:sz w:val="16"/>
              </w:rPr>
              <w:t>Käyttö</w:t>
            </w:r>
            <w:r>
              <w:rPr>
                <w:rFonts w:ascii="Verdana" w:hAnsi="Verdana"/>
                <w:noProof/>
                <w:color w:val="FFFFFF"/>
                <w:sz w:val="16"/>
              </w:rPr>
              <w:softHyphen/>
              <w:t>tark. sidotuista tuloista</w:t>
            </w:r>
          </w:p>
        </w:tc>
        <w:tc>
          <w:tcPr>
            <w:tcW w:w="877"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FFFFFF"/>
                <w:sz w:val="16"/>
              </w:rPr>
            </w:pPr>
            <w:r>
              <w:rPr>
                <w:rFonts w:ascii="Verdana" w:hAnsi="Verdana"/>
                <w:noProof/>
                <w:color w:val="FFFFFF"/>
                <w:sz w:val="16"/>
              </w:rPr>
              <w:t>Yhteensä</w:t>
            </w:r>
          </w:p>
        </w:tc>
      </w:tr>
      <w:tr>
        <w:trPr>
          <w:trHeight w:val="340"/>
          <w:tblHeader/>
        </w:trPr>
        <w:tc>
          <w:tcPr>
            <w:tcW w:w="234"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p>
        </w:tc>
        <w:tc>
          <w:tcPr>
            <w:tcW w:w="2770"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p>
        </w:tc>
        <w:tc>
          <w:tcPr>
            <w:tcW w:w="1025"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1</w:t>
            </w:r>
          </w:p>
        </w:tc>
        <w:tc>
          <w:tcPr>
            <w:tcW w:w="940"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2</w:t>
            </w:r>
          </w:p>
        </w:tc>
        <w:tc>
          <w:tcPr>
            <w:tcW w:w="903" w:type="dxa"/>
            <w:gridSpan w:val="2"/>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3</w:t>
            </w:r>
          </w:p>
        </w:tc>
        <w:tc>
          <w:tcPr>
            <w:tcW w:w="992" w:type="dxa"/>
            <w:gridSpan w:val="2"/>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4</w:t>
            </w:r>
          </w:p>
        </w:tc>
        <w:tc>
          <w:tcPr>
            <w:tcW w:w="851" w:type="dxa"/>
            <w:gridSpan w:val="2"/>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5=2+3</w:t>
            </w:r>
          </w:p>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+4</w:t>
            </w:r>
          </w:p>
        </w:tc>
        <w:tc>
          <w:tcPr>
            <w:tcW w:w="709" w:type="dxa"/>
            <w:gridSpan w:val="2"/>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6=5/1</w:t>
            </w:r>
          </w:p>
        </w:tc>
        <w:tc>
          <w:tcPr>
            <w:tcW w:w="756"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7</w:t>
            </w:r>
          </w:p>
        </w:tc>
        <w:tc>
          <w:tcPr>
            <w:tcW w:w="843"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8</w:t>
            </w:r>
          </w:p>
        </w:tc>
        <w:tc>
          <w:tcPr>
            <w:tcW w:w="952"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9=7+8</w:t>
            </w:r>
          </w:p>
        </w:tc>
        <w:tc>
          <w:tcPr>
            <w:tcW w:w="851" w:type="dxa"/>
            <w:gridSpan w:val="2"/>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10</w:t>
            </w:r>
          </w:p>
        </w:tc>
        <w:tc>
          <w:tcPr>
            <w:tcW w:w="850" w:type="dxa"/>
            <w:gridSpan w:val="2"/>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11</w:t>
            </w:r>
          </w:p>
        </w:tc>
        <w:tc>
          <w:tcPr>
            <w:tcW w:w="992" w:type="dxa"/>
            <w:gridSpan w:val="2"/>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12</w:t>
            </w:r>
          </w:p>
        </w:tc>
        <w:tc>
          <w:tcPr>
            <w:tcW w:w="877"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13=10+</w:t>
            </w:r>
          </w:p>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11+12</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1</w:t>
            </w: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Euroopan strategisten investointien rahasto (ESIR)</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2 127</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2 038</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59</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2 097</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30</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453"/>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Euroopan satelliittinavigointijärjestelmät (EGNOS/Galileo)</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977</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808</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84</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892</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91 %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85</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85</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545"/>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Kansainvälinen lämpöydinreaktori (ITER)</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426</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376</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18</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394</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92 %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32</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32</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Euroopan maanseurantaohjelma (Copernicus)</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645</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630</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15</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645</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Euroopan solidaarisuusjoukot</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43</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43</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43</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Ydinturvallisuus ja ydinvoimalaitosten käytöstäpoisto</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141</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141</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141</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Horisontti 2020</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13 407</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11 214</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1 040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12 254</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91 %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1 149</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1 149</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Euratomin tutkimus- ja koulutusohjelma</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475</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353</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45</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397</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84 %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78</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78</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519"/>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Yritysten kilpailukykyä ja pk-yrityksiä koskeva ohjelma (COSME)</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403</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354</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37</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391</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12</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12</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556"/>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Koulutus-, nuoriso- ja urheiluohjelma (Erasmus+)</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2 741</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2 315</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258</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2 573</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94 %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168</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168</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Työllisyys ja sosiaalinen innovointi (EaSI-ohjelma)</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143</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129</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134</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94 %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Tulli-ohjelma, Fiscalis-ohjelma ja petostentorjunta</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146</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138</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139</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95 %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 xml:space="preserve">Verkkojen Eurooppa </w:t>
            </w:r>
            <w:r>
              <w:rPr>
                <w:noProof/>
              </w:rPr>
              <w:noBreakHyphen/>
            </w:r>
            <w:r>
              <w:rPr>
                <w:rFonts w:ascii="Verdana" w:hAnsi="Verdana"/>
                <w:noProof/>
                <w:color w:val="000000"/>
                <w:sz w:val="16"/>
              </w:rPr>
              <w:t>väline – Energia</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686</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680</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680</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 xml:space="preserve">Verkkojen Eurooppa </w:t>
            </w:r>
            <w:r>
              <w:rPr>
                <w:noProof/>
              </w:rPr>
              <w:noBreakHyphen/>
            </w:r>
            <w:r>
              <w:rPr>
                <w:rFonts w:ascii="Verdana" w:hAnsi="Verdana"/>
                <w:noProof/>
                <w:color w:val="000000"/>
                <w:sz w:val="16"/>
              </w:rPr>
              <w:t>väline – Liikenne</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2 063</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1 898</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89</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1 986</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96 %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76</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76</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 xml:space="preserve">Verkkojen Eurooppa </w:t>
            </w:r>
            <w:r>
              <w:rPr>
                <w:noProof/>
              </w:rPr>
              <w:noBreakHyphen/>
            </w:r>
            <w:r>
              <w:rPr>
                <w:rFonts w:ascii="Verdana" w:hAnsi="Verdana"/>
                <w:noProof/>
                <w:color w:val="000000"/>
                <w:sz w:val="16"/>
              </w:rPr>
              <w:t>väline – Tieto- ja viestintäteknologia</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178</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170</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178</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Talouden elpymistä edistävät energiahankkeet</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53</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53</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53</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Erillisvirastot</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336</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311</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15</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326</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Muut toimet ja ohjelmat</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647</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174</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107</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281</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43 %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366</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366</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545"/>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Pilottihankkeet ja valmistelutoimet</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93</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91</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92</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553"/>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Komission erityiset toimivaltuudet</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133</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125</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128</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96 %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Alueellinen lähentyminen (vähemmän kehittyneet alueet)</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31 279</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26 960</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87</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4 103</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31 150</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120</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120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Siirtymäalueet</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6 579</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5 729</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850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6 579</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557"/>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Kilpailukyky (kehittyneemmät alueet)</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9 837</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8 467</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1 345</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9 811</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25</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25</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Syrjäisimmät ja harvaan asutut alueet</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258</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226</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32</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258</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Koheesiorahasto</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10 719</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9 394</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1 299</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10 693</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26</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26</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Euroopan alueiden välinen yhteistyö</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2 205</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1 934</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23</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236</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2 193</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12</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12</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Tekninen apu</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253</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246</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247</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Vähävaraisimmille suunnatun eurooppalaisen avun rahasto</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557</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557</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557</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Nuorisotyöllisyysaloite</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434</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350</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84</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434</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 xml:space="preserve">Verkkojen Eurooppa </w:t>
            </w:r>
            <w:r>
              <w:rPr>
                <w:noProof/>
              </w:rPr>
              <w:noBreakHyphen/>
            </w:r>
            <w:r>
              <w:rPr>
                <w:rFonts w:ascii="Verdana" w:hAnsi="Verdana"/>
                <w:noProof/>
                <w:color w:val="000000"/>
                <w:sz w:val="16"/>
              </w:rPr>
              <w:t>väline (CEF)</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1 655</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1 655</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1 655</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Pilottihankkeet ja valmistelutoimet</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Rahoituskehyksen otsake 1 yhteensä</w:t>
            </w:r>
          </w:p>
        </w:tc>
        <w:tc>
          <w:tcPr>
            <w:tcW w:w="102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89 649</w:t>
            </w:r>
          </w:p>
        </w:tc>
        <w:tc>
          <w:tcPr>
            <w:tcW w:w="94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77 514</w:t>
            </w:r>
          </w:p>
        </w:tc>
        <w:tc>
          <w:tcPr>
            <w:tcW w:w="903"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114</w:t>
            </w:r>
          </w:p>
        </w:tc>
        <w:tc>
          <w:tcPr>
            <w:tcW w:w="992"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9 729</w:t>
            </w:r>
          </w:p>
        </w:tc>
        <w:tc>
          <w:tcPr>
            <w:tcW w:w="851"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87 357</w:t>
            </w:r>
          </w:p>
        </w:tc>
        <w:tc>
          <w:tcPr>
            <w:tcW w:w="709"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97 %</w:t>
            </w:r>
          </w:p>
        </w:tc>
        <w:tc>
          <w:tcPr>
            <w:tcW w:w="75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2 265</w:t>
            </w:r>
          </w:p>
        </w:tc>
        <w:tc>
          <w:tcPr>
            <w:tcW w:w="84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5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2 265</w:t>
            </w:r>
          </w:p>
        </w:tc>
        <w:tc>
          <w:tcPr>
            <w:tcW w:w="851"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18</w:t>
            </w:r>
          </w:p>
        </w:tc>
        <w:tc>
          <w:tcPr>
            <w:tcW w:w="850"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992"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7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27</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2</w:t>
            </w: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Euroopan maatalouden tukirahasto (maataloustukirahasto)</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45 284</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42 771</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442</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1 152</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44 364</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449</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460</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908</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11</w:t>
            </w:r>
          </w:p>
        </w:tc>
      </w:tr>
      <w:tr>
        <w:trPr>
          <w:trHeight w:val="517"/>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Euroopan maaseudun kehittämisen maatalousrahasto (maaseuturahasto)</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15 352</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14 380</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47</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14 427</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94 %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925</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925</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Euroopan meri- ja kalatalousrahasto (EMKR)</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1 073</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931</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139</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1 070</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933"/>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Kalastuskumppanuussopimukset ja kalastuksenhoitojärjestöt</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95</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94</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94</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Ympäristö- ja ilmastotoimet (Life)</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532</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522</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522</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Erillisvirastot</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68</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60</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66</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Muut toimet ja toimenpiteet</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Pilottihankkeet ja valmistelutoimet</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Erityistoimet</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Rahoituskehyksen otsake 2 yhteensä</w:t>
            </w:r>
          </w:p>
        </w:tc>
        <w:tc>
          <w:tcPr>
            <w:tcW w:w="102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62 419</w:t>
            </w:r>
          </w:p>
        </w:tc>
        <w:tc>
          <w:tcPr>
            <w:tcW w:w="94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58 774</w:t>
            </w:r>
          </w:p>
        </w:tc>
        <w:tc>
          <w:tcPr>
            <w:tcW w:w="903"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442</w:t>
            </w:r>
          </w:p>
        </w:tc>
        <w:tc>
          <w:tcPr>
            <w:tcW w:w="992"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1 344</w:t>
            </w:r>
          </w:p>
        </w:tc>
        <w:tc>
          <w:tcPr>
            <w:tcW w:w="851"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60 560</w:t>
            </w:r>
          </w:p>
        </w:tc>
        <w:tc>
          <w:tcPr>
            <w:tcW w:w="709"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97 %</w:t>
            </w:r>
          </w:p>
        </w:tc>
        <w:tc>
          <w:tcPr>
            <w:tcW w:w="75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1 385</w:t>
            </w:r>
          </w:p>
        </w:tc>
        <w:tc>
          <w:tcPr>
            <w:tcW w:w="84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460</w:t>
            </w:r>
          </w:p>
        </w:tc>
        <w:tc>
          <w:tcPr>
            <w:tcW w:w="95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1 845</w:t>
            </w:r>
          </w:p>
        </w:tc>
        <w:tc>
          <w:tcPr>
            <w:tcW w:w="851"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50"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992"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15</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3</w:t>
            </w: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Turvapaikka-, maahanmuutto- ja kotouttamisrahasto</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993</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747</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207</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33</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986</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Kuluttajat</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29</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28</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29</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Luova Eurooppa</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244</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230</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239</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Unionin sisällä annettava hätätilanteen tuki</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199</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199</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199</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Sisäisen turvallisuuden rahasto</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901</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729</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40</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799</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89 %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102</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102</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Tietotekniikkajärjestelmät</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13</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12</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93 %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Oikeusasiat</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49</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47</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48</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Perusoikeudet, tasa-arvo ja kansalaisuus</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65</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63</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64</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Unionin pelastuspalvelumekanismi</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35</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33</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35</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Kansalaisten Eurooppa</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28</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28</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28</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Elintarvikkeet ja rehut</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284</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279</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281</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Terveydenhuolto</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69</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66</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68</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Erillisvirastot</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996</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920</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36</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956</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96 %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39</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39</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Pilottihankkeet ja valmistelutoimet</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11</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11</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11</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Erityistoimet</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Rahoituskehyksen otsake 3 yhteensä</w:t>
            </w:r>
          </w:p>
        </w:tc>
        <w:tc>
          <w:tcPr>
            <w:tcW w:w="102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4 015</w:t>
            </w:r>
          </w:p>
        </w:tc>
        <w:tc>
          <w:tcPr>
            <w:tcW w:w="94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3 491</w:t>
            </w:r>
          </w:p>
        </w:tc>
        <w:tc>
          <w:tcPr>
            <w:tcW w:w="903"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247</w:t>
            </w:r>
          </w:p>
        </w:tc>
        <w:tc>
          <w:tcPr>
            <w:tcW w:w="992"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118</w:t>
            </w:r>
          </w:p>
        </w:tc>
        <w:tc>
          <w:tcPr>
            <w:tcW w:w="851"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3 855</w:t>
            </w:r>
          </w:p>
        </w:tc>
        <w:tc>
          <w:tcPr>
            <w:tcW w:w="709"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96 %</w:t>
            </w:r>
          </w:p>
        </w:tc>
        <w:tc>
          <w:tcPr>
            <w:tcW w:w="75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158</w:t>
            </w:r>
          </w:p>
        </w:tc>
        <w:tc>
          <w:tcPr>
            <w:tcW w:w="84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158</w:t>
            </w:r>
          </w:p>
        </w:tc>
        <w:tc>
          <w:tcPr>
            <w:tcW w:w="851"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0"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7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4</w:t>
            </w: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Liittymistä valmisteleva tuki (IPA II)</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2 149</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2 041</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55</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2 097</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52</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52</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Makrotaloudellinen rahoitusapu (MFA)</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11</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Takuurahasto ulkosuhteisiin liittyville hankkeille</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248</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138</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138</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56 %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110</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110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Unionin pelastuspalvelumekanismi</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7</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7</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EU:n vapaaehtoisapua koskeva aloite (EUAV)</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20</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20</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20</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477"/>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Euroopan kestävän kehityksen rahasto (EKKR)</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426</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25</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300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325</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76 %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101</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101</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569"/>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Euroopan naapuruusväline (ENI)</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2 518</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2 478</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23</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2 501</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17</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17</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Kehitysyhteistyön rahoitusväline (DCI)</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3 055</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2 981</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34</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3 015</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40</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Kumppanuusväline</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151</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145</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146</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96 %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Demokratiaa ja ihmisoikeuksia koskeva eurooppalainen rahoitusväline</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190</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188</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189</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Vakautta ja rauhaa edistävä väline</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378</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369</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373</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Humanitaarinen apu</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1 537</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1 417</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62</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54</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1 533</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Yhteinen ulko- ja turvallisuuspolitiikka (YUTP)</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387</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348</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23</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371</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96 %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Ydinturvallisuuteen liittyvä yhteistyö</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33</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33</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33</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Erillisvirastot</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20</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20</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20</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Muut toimet ja ohjelmat</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238</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80</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128</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208</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87 %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31</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31</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Pilottihankkeet ja valmistelutoimet</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85 %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Erityistoimet</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76</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75</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76</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Rahoituskehyksen otsake 4 yhteensä</w:t>
            </w:r>
          </w:p>
        </w:tc>
        <w:tc>
          <w:tcPr>
            <w:tcW w:w="102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11 448</w:t>
            </w:r>
          </w:p>
        </w:tc>
        <w:tc>
          <w:tcPr>
            <w:tcW w:w="94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10 377</w:t>
            </w:r>
          </w:p>
        </w:tc>
        <w:tc>
          <w:tcPr>
            <w:tcW w:w="903"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64</w:t>
            </w:r>
          </w:p>
        </w:tc>
        <w:tc>
          <w:tcPr>
            <w:tcW w:w="992"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621</w:t>
            </w:r>
          </w:p>
        </w:tc>
        <w:tc>
          <w:tcPr>
            <w:tcW w:w="851"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11 062</w:t>
            </w:r>
          </w:p>
        </w:tc>
        <w:tc>
          <w:tcPr>
            <w:tcW w:w="709"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97 %</w:t>
            </w:r>
          </w:p>
        </w:tc>
        <w:tc>
          <w:tcPr>
            <w:tcW w:w="75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383</w:t>
            </w:r>
          </w:p>
        </w:tc>
        <w:tc>
          <w:tcPr>
            <w:tcW w:w="84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383</w:t>
            </w:r>
          </w:p>
        </w:tc>
        <w:tc>
          <w:tcPr>
            <w:tcW w:w="851"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0"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7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5</w:t>
            </w: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Eläkkeet</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1 894</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1 877</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1 879</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15</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15</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Eurooppa-koulut</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199</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178</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13</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190</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96 %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Erillisvirastot</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Pilottihankkeet ja valmistelutoimet</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552"/>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Komission hallintomenot</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3 947</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3 548</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224</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3 772</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96 %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151</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152</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22</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22</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Muiden toimielinten hallintomenot</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4 465</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3 939</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7</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334</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4 280</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96 %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105</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0</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105</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76</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0</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81</w:t>
            </w:r>
          </w:p>
        </w:tc>
      </w:tr>
      <w:tr>
        <w:trPr>
          <w:trHeight w:val="340"/>
        </w:trPr>
        <w:tc>
          <w:tcPr>
            <w:tcW w:w="2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Rahoituskehyksen otsake 5 yhteensä</w:t>
            </w:r>
          </w:p>
        </w:tc>
        <w:tc>
          <w:tcPr>
            <w:tcW w:w="102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10 508</w:t>
            </w:r>
          </w:p>
        </w:tc>
        <w:tc>
          <w:tcPr>
            <w:tcW w:w="94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9 545</w:t>
            </w:r>
          </w:p>
        </w:tc>
        <w:tc>
          <w:tcPr>
            <w:tcW w:w="903"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7</w:t>
            </w:r>
          </w:p>
        </w:tc>
        <w:tc>
          <w:tcPr>
            <w:tcW w:w="992"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572</w:t>
            </w:r>
          </w:p>
        </w:tc>
        <w:tc>
          <w:tcPr>
            <w:tcW w:w="851"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10 124</w:t>
            </w:r>
          </w:p>
        </w:tc>
        <w:tc>
          <w:tcPr>
            <w:tcW w:w="709"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96 %</w:t>
            </w:r>
          </w:p>
        </w:tc>
        <w:tc>
          <w:tcPr>
            <w:tcW w:w="75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259</w:t>
            </w:r>
          </w:p>
        </w:tc>
        <w:tc>
          <w:tcPr>
            <w:tcW w:w="84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5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260</w:t>
            </w:r>
          </w:p>
        </w:tc>
        <w:tc>
          <w:tcPr>
            <w:tcW w:w="851"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119</w:t>
            </w:r>
          </w:p>
        </w:tc>
        <w:tc>
          <w:tcPr>
            <w:tcW w:w="850"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992"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7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124</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6</w:t>
            </w: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Korvaukset</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Rahoituskehyksen otsake 6 yhteensä</w:t>
            </w:r>
          </w:p>
        </w:tc>
        <w:tc>
          <w:tcPr>
            <w:tcW w:w="102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4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03"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9"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5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8</w:t>
            </w: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Negatiivinen varaus</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Edelliseltä varainhoitovuodelta siirretty alijäämä</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Rahoituskehyksen otsake 8 yhteensä</w:t>
            </w:r>
          </w:p>
        </w:tc>
        <w:tc>
          <w:tcPr>
            <w:tcW w:w="102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4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03"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9"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5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9</w:t>
            </w: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Hätäapuvaraus</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34</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34</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34</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Euroopan globalisaatiorahasto (EGR)</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213</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28</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28</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13 %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41</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41</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144</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144</w:t>
            </w:r>
          </w:p>
        </w:tc>
      </w:tr>
      <w:tr>
        <w:trPr>
          <w:trHeight w:val="340"/>
        </w:trPr>
        <w:tc>
          <w:tcPr>
            <w:tcW w:w="234"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Euroopan unionin solidaarisuusrahasto (EUSR)</w:t>
            </w:r>
          </w:p>
        </w:tc>
        <w:tc>
          <w:tcPr>
            <w:tcW w:w="102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182</w:t>
            </w:r>
          </w:p>
        </w:tc>
        <w:tc>
          <w:tcPr>
            <w:tcW w:w="94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152</w:t>
            </w:r>
          </w:p>
        </w:tc>
        <w:tc>
          <w:tcPr>
            <w:tcW w:w="903"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152</w:t>
            </w:r>
          </w:p>
        </w:tc>
        <w:tc>
          <w:tcPr>
            <w:tcW w:w="709"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84 %</w:t>
            </w:r>
          </w:p>
        </w:tc>
        <w:tc>
          <w:tcPr>
            <w:tcW w:w="756"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30</w:t>
            </w:r>
          </w:p>
        </w:tc>
        <w:tc>
          <w:tcPr>
            <w:tcW w:w="95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77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Rahoituskehyksen otsake 9 yhteensä</w:t>
            </w:r>
          </w:p>
        </w:tc>
        <w:tc>
          <w:tcPr>
            <w:tcW w:w="102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429</w:t>
            </w:r>
          </w:p>
        </w:tc>
        <w:tc>
          <w:tcPr>
            <w:tcW w:w="94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180</w:t>
            </w:r>
          </w:p>
        </w:tc>
        <w:tc>
          <w:tcPr>
            <w:tcW w:w="903"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180</w:t>
            </w:r>
          </w:p>
        </w:tc>
        <w:tc>
          <w:tcPr>
            <w:tcW w:w="709"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42 %</w:t>
            </w:r>
          </w:p>
        </w:tc>
        <w:tc>
          <w:tcPr>
            <w:tcW w:w="75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41</w:t>
            </w:r>
          </w:p>
        </w:tc>
        <w:tc>
          <w:tcPr>
            <w:tcW w:w="84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64</w:t>
            </w:r>
          </w:p>
        </w:tc>
        <w:tc>
          <w:tcPr>
            <w:tcW w:w="95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104</w:t>
            </w:r>
          </w:p>
        </w:tc>
        <w:tc>
          <w:tcPr>
            <w:tcW w:w="851"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144</w:t>
            </w:r>
          </w:p>
        </w:tc>
        <w:tc>
          <w:tcPr>
            <w:tcW w:w="850"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7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144</w:t>
            </w:r>
          </w:p>
        </w:tc>
      </w:tr>
      <w:tr>
        <w:trPr>
          <w:trHeight w:val="340"/>
        </w:trPr>
        <w:tc>
          <w:tcPr>
            <w:tcW w:w="2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b/>
                <w:noProof/>
                <w:color w:val="000000"/>
                <w:sz w:val="16"/>
              </w:rPr>
            </w:pPr>
          </w:p>
        </w:tc>
        <w:tc>
          <w:tcPr>
            <w:tcW w:w="277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b/>
                <w:noProof/>
                <w:color w:val="000000"/>
                <w:sz w:val="16"/>
              </w:rPr>
            </w:pPr>
            <w:r>
              <w:rPr>
                <w:rFonts w:ascii="Verdana" w:hAnsi="Verdana"/>
                <w:b/>
                <w:noProof/>
                <w:color w:val="000000"/>
                <w:sz w:val="16"/>
              </w:rPr>
              <w:t>Yhteensä</w:t>
            </w:r>
          </w:p>
        </w:tc>
        <w:tc>
          <w:tcPr>
            <w:tcW w:w="102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b/>
                <w:noProof/>
                <w:color w:val="000000"/>
                <w:sz w:val="16"/>
              </w:rPr>
            </w:pPr>
            <w:r>
              <w:rPr>
                <w:rFonts w:ascii="Verdana" w:hAnsi="Verdana"/>
                <w:b/>
                <w:noProof/>
                <w:color w:val="000000"/>
                <w:sz w:val="16"/>
              </w:rPr>
              <w:t>178 468</w:t>
            </w:r>
          </w:p>
        </w:tc>
        <w:tc>
          <w:tcPr>
            <w:tcW w:w="94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b/>
                <w:noProof/>
                <w:color w:val="000000"/>
                <w:sz w:val="16"/>
              </w:rPr>
            </w:pPr>
            <w:r>
              <w:rPr>
                <w:rFonts w:ascii="Verdana" w:hAnsi="Verdana"/>
                <w:b/>
                <w:noProof/>
                <w:color w:val="000000"/>
                <w:sz w:val="16"/>
              </w:rPr>
              <w:t>159 881</w:t>
            </w:r>
          </w:p>
        </w:tc>
        <w:tc>
          <w:tcPr>
            <w:tcW w:w="903"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b/>
                <w:noProof/>
                <w:color w:val="000000"/>
                <w:sz w:val="16"/>
              </w:rPr>
            </w:pPr>
            <w:r>
              <w:rPr>
                <w:rFonts w:ascii="Verdana" w:hAnsi="Verdana"/>
                <w:b/>
                <w:noProof/>
                <w:color w:val="000000"/>
                <w:sz w:val="16"/>
              </w:rPr>
              <w:t xml:space="preserve"> 873</w:t>
            </w:r>
          </w:p>
        </w:tc>
        <w:tc>
          <w:tcPr>
            <w:tcW w:w="992"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b/>
                <w:noProof/>
                <w:color w:val="000000"/>
                <w:sz w:val="16"/>
              </w:rPr>
            </w:pPr>
            <w:r>
              <w:rPr>
                <w:rFonts w:ascii="Verdana" w:hAnsi="Verdana"/>
                <w:b/>
                <w:noProof/>
                <w:color w:val="000000"/>
                <w:sz w:val="16"/>
              </w:rPr>
              <w:t>12 385</w:t>
            </w:r>
          </w:p>
        </w:tc>
        <w:tc>
          <w:tcPr>
            <w:tcW w:w="851"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b/>
                <w:noProof/>
                <w:color w:val="000000"/>
                <w:sz w:val="16"/>
              </w:rPr>
            </w:pPr>
            <w:r>
              <w:rPr>
                <w:rFonts w:ascii="Verdana" w:hAnsi="Verdana"/>
                <w:b/>
                <w:noProof/>
                <w:color w:val="000000"/>
                <w:sz w:val="16"/>
              </w:rPr>
              <w:t>173 139</w:t>
            </w:r>
          </w:p>
        </w:tc>
        <w:tc>
          <w:tcPr>
            <w:tcW w:w="709"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b/>
                <w:noProof/>
                <w:color w:val="000000"/>
                <w:sz w:val="16"/>
              </w:rPr>
            </w:pPr>
            <w:r>
              <w:rPr>
                <w:rFonts w:ascii="Verdana" w:hAnsi="Verdana"/>
                <w:b/>
                <w:noProof/>
                <w:color w:val="000000"/>
                <w:sz w:val="16"/>
              </w:rPr>
              <w:t>97 %</w:t>
            </w:r>
          </w:p>
        </w:tc>
        <w:tc>
          <w:tcPr>
            <w:tcW w:w="75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b/>
                <w:noProof/>
                <w:color w:val="000000"/>
                <w:sz w:val="16"/>
              </w:rPr>
            </w:pPr>
            <w:r>
              <w:rPr>
                <w:rFonts w:ascii="Verdana" w:hAnsi="Verdana"/>
                <w:b/>
                <w:noProof/>
                <w:color w:val="000000"/>
                <w:sz w:val="16"/>
              </w:rPr>
              <w:t>4 491</w:t>
            </w:r>
          </w:p>
        </w:tc>
        <w:tc>
          <w:tcPr>
            <w:tcW w:w="84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b/>
                <w:noProof/>
                <w:color w:val="000000"/>
                <w:sz w:val="16"/>
              </w:rPr>
            </w:pPr>
            <w:r>
              <w:rPr>
                <w:rFonts w:ascii="Verdana" w:hAnsi="Verdana"/>
                <w:b/>
                <w:noProof/>
                <w:color w:val="000000"/>
                <w:sz w:val="16"/>
              </w:rPr>
              <w:t xml:space="preserve"> 525</w:t>
            </w:r>
          </w:p>
        </w:tc>
        <w:tc>
          <w:tcPr>
            <w:tcW w:w="95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b/>
                <w:noProof/>
                <w:color w:val="000000"/>
                <w:sz w:val="16"/>
              </w:rPr>
            </w:pPr>
            <w:r>
              <w:rPr>
                <w:rFonts w:ascii="Verdana" w:hAnsi="Verdana"/>
                <w:b/>
                <w:noProof/>
                <w:color w:val="000000"/>
                <w:sz w:val="16"/>
              </w:rPr>
              <w:t>5 015</w:t>
            </w:r>
          </w:p>
        </w:tc>
        <w:tc>
          <w:tcPr>
            <w:tcW w:w="851"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b/>
                <w:noProof/>
                <w:color w:val="000000"/>
                <w:sz w:val="16"/>
              </w:rPr>
            </w:pPr>
            <w:r>
              <w:rPr>
                <w:rFonts w:ascii="Verdana" w:hAnsi="Verdana"/>
                <w:b/>
                <w:noProof/>
                <w:color w:val="000000"/>
                <w:sz w:val="16"/>
              </w:rPr>
              <w:t xml:space="preserve"> 291</w:t>
            </w:r>
          </w:p>
        </w:tc>
        <w:tc>
          <w:tcPr>
            <w:tcW w:w="850"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b/>
                <w:noProof/>
                <w:color w:val="000000"/>
                <w:sz w:val="16"/>
              </w:rPr>
            </w:pPr>
            <w:r>
              <w:rPr>
                <w:rFonts w:ascii="Verdana" w:hAnsi="Verdana"/>
                <w:b/>
                <w:noProof/>
                <w:color w:val="000000"/>
                <w:sz w:val="16"/>
              </w:rPr>
              <w:t xml:space="preserve"> 23</w:t>
            </w:r>
          </w:p>
        </w:tc>
        <w:tc>
          <w:tcPr>
            <w:tcW w:w="992"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b/>
                <w:noProof/>
                <w:color w:val="000000"/>
                <w:sz w:val="16"/>
              </w:rPr>
            </w:pPr>
            <w:r>
              <w:rPr>
                <w:rFonts w:ascii="Verdana" w:hAnsi="Verdana"/>
                <w:b/>
                <w:noProof/>
                <w:color w:val="000000"/>
                <w:sz w:val="16"/>
              </w:rPr>
              <w:t xml:space="preserve"> 0</w:t>
            </w:r>
          </w:p>
        </w:tc>
        <w:tc>
          <w:tcPr>
            <w:tcW w:w="87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b/>
                <w:noProof/>
                <w:color w:val="000000"/>
                <w:sz w:val="16"/>
              </w:rPr>
            </w:pPr>
            <w:r>
              <w:rPr>
                <w:rFonts w:ascii="Verdana" w:hAnsi="Verdana"/>
                <w:b/>
                <w:noProof/>
                <w:color w:val="000000"/>
                <w:sz w:val="16"/>
              </w:rPr>
              <w:t xml:space="preserve"> 314</w:t>
            </w:r>
          </w:p>
        </w:tc>
      </w:tr>
    </w:tbl>
    <w:p>
      <w:pPr>
        <w:pStyle w:val="Textstand-alone"/>
      </w:pPr>
      <w:r>
        <w:br w:type="page"/>
      </w:r>
    </w:p>
    <w:p>
      <w:pPr>
        <w:pStyle w:val="HEADER2PartBUDG"/>
        <w:rPr>
          <w:noProof/>
        </w:rPr>
      </w:pPr>
      <w:bookmarkStart w:id="342" w:name="_Toc11939558"/>
      <w:bookmarkStart w:id="343" w:name="_Toc17887583"/>
      <w:r>
        <w:rPr>
          <w:noProof/>
        </w:rPr>
        <w:t>YKSITYISKOHTAINEN MONIVUOTINEN RAHOITUSKEHYS: MONIVUOTISEN RAHOITUSKEHYKSEN OTSAKKEITTAIN</w:t>
      </w:r>
      <w:bookmarkEnd w:id="342"/>
      <w:bookmarkEnd w:id="3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
        <w:gridCol w:w="2051"/>
        <w:gridCol w:w="976"/>
        <w:gridCol w:w="975"/>
        <w:gridCol w:w="697"/>
        <w:gridCol w:w="192"/>
        <w:gridCol w:w="644"/>
        <w:gridCol w:w="343"/>
        <w:gridCol w:w="632"/>
        <w:gridCol w:w="211"/>
        <w:gridCol w:w="141"/>
        <w:gridCol w:w="485"/>
        <w:gridCol w:w="975"/>
        <w:gridCol w:w="697"/>
        <w:gridCol w:w="95"/>
        <w:gridCol w:w="741"/>
        <w:gridCol w:w="948"/>
        <w:gridCol w:w="586"/>
        <w:gridCol w:w="258"/>
        <w:gridCol w:w="578"/>
        <w:gridCol w:w="267"/>
        <w:gridCol w:w="570"/>
        <w:gridCol w:w="415"/>
        <w:gridCol w:w="984"/>
      </w:tblGrid>
      <w:tr>
        <w:trPr>
          <w:trHeight w:val="397"/>
          <w:tblHeader/>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bookmarkStart w:id="344" w:name="DOC_TBL00111_1_1"/>
            <w:bookmarkEnd w:id="344"/>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70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84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70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84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590"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84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84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141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i/>
                <w:noProof/>
                <w:color w:val="000000"/>
                <w:sz w:val="16"/>
              </w:rPr>
            </w:pPr>
            <w:r>
              <w:rPr>
                <w:rFonts w:ascii="Verdana" w:hAnsi="Verdana"/>
                <w:i/>
                <w:noProof/>
                <w:color w:val="000000"/>
                <w:sz w:val="16"/>
              </w:rPr>
              <w:t>milj. euroa</w:t>
            </w:r>
          </w:p>
        </w:tc>
      </w:tr>
      <w:tr>
        <w:trPr>
          <w:trHeight w:val="397"/>
          <w:tblHeader/>
        </w:trPr>
        <w:tc>
          <w:tcPr>
            <w:tcW w:w="233"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p>
        </w:tc>
        <w:tc>
          <w:tcPr>
            <w:tcW w:w="2068"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b/>
                <w:noProof/>
                <w:color w:val="FFFFFF"/>
                <w:sz w:val="16"/>
              </w:rPr>
            </w:pPr>
          </w:p>
        </w:tc>
        <w:tc>
          <w:tcPr>
            <w:tcW w:w="983" w:type="dxa"/>
            <w:vMerge w:val="restart"/>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b/>
                <w:noProof/>
                <w:color w:val="FFFFFF"/>
                <w:sz w:val="16"/>
              </w:rPr>
            </w:pPr>
            <w:r>
              <w:rPr>
                <w:rFonts w:ascii="Verdana" w:hAnsi="Verdana"/>
                <w:b/>
                <w:noProof/>
                <w:color w:val="FFFFFF"/>
                <w:sz w:val="16"/>
              </w:rPr>
              <w:t>Käytet</w:t>
            </w:r>
            <w:r>
              <w:rPr>
                <w:rFonts w:ascii="Verdana" w:hAnsi="Verdana"/>
                <w:b/>
                <w:noProof/>
                <w:color w:val="FFFFFF"/>
                <w:sz w:val="16"/>
              </w:rPr>
              <w:softHyphen/>
              <w:t>tävissä</w:t>
            </w:r>
          </w:p>
          <w:p>
            <w:pPr>
              <w:pStyle w:val="DMETW14819BIPDetailedMFF3ImplementPayments"/>
              <w:jc w:val="right"/>
              <w:rPr>
                <w:rFonts w:ascii="Verdana" w:eastAsia="Times New Roman" w:hAnsi="Verdana" w:cs="Verdana"/>
                <w:b/>
                <w:noProof/>
                <w:color w:val="FFFFFF"/>
                <w:sz w:val="16"/>
              </w:rPr>
            </w:pPr>
            <w:r>
              <w:rPr>
                <w:rFonts w:ascii="Verdana" w:hAnsi="Verdana"/>
                <w:b/>
                <w:noProof/>
                <w:color w:val="FFFFFF"/>
                <w:sz w:val="16"/>
              </w:rPr>
              <w:t>olevat määrä</w:t>
            </w:r>
            <w:r>
              <w:rPr>
                <w:rFonts w:ascii="Verdana" w:hAnsi="Verdana"/>
                <w:b/>
                <w:noProof/>
                <w:color w:val="FFFFFF"/>
                <w:sz w:val="16"/>
              </w:rPr>
              <w:softHyphen/>
              <w:t>rahat</w:t>
            </w:r>
          </w:p>
          <w:p>
            <w:pPr>
              <w:pStyle w:val="DMETW14819BIPDetailedMFF3ImplementPayments"/>
              <w:jc w:val="right"/>
              <w:rPr>
                <w:rFonts w:ascii="Verdana" w:eastAsia="Times New Roman" w:hAnsi="Verdana" w:cs="Verdana"/>
                <w:b/>
                <w:noProof/>
                <w:color w:val="FFFFFF"/>
                <w:sz w:val="16"/>
              </w:rPr>
            </w:pPr>
            <w:r>
              <w:rPr>
                <w:rFonts w:ascii="Verdana" w:hAnsi="Verdana"/>
                <w:b/>
                <w:noProof/>
                <w:color w:val="FFFFFF"/>
                <w:sz w:val="16"/>
              </w:rPr>
              <w:t>yhteensä</w:t>
            </w:r>
          </w:p>
        </w:tc>
        <w:tc>
          <w:tcPr>
            <w:tcW w:w="4351" w:type="dxa"/>
            <w:gridSpan w:val="9"/>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b/>
                <w:noProof/>
                <w:color w:val="FFFFFF"/>
                <w:sz w:val="16"/>
              </w:rPr>
            </w:pPr>
            <w:r>
              <w:rPr>
                <w:rFonts w:ascii="Verdana" w:hAnsi="Verdana"/>
                <w:b/>
                <w:noProof/>
                <w:color w:val="FFFFFF"/>
                <w:sz w:val="16"/>
              </w:rPr>
              <w:t>Suoritetut maksut</w:t>
            </w:r>
          </w:p>
        </w:tc>
        <w:tc>
          <w:tcPr>
            <w:tcW w:w="3481" w:type="dxa"/>
            <w:gridSpan w:val="5"/>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b/>
                <w:noProof/>
                <w:color w:val="FFFFFF"/>
                <w:sz w:val="16"/>
              </w:rPr>
            </w:pPr>
            <w:r>
              <w:rPr>
                <w:rFonts w:ascii="Verdana" w:hAnsi="Verdana"/>
                <w:b/>
                <w:noProof/>
                <w:color w:val="FFFFFF"/>
                <w:sz w:val="16"/>
              </w:rPr>
              <w:t>Vuodelle 2019 siirretyt määrärahat</w:t>
            </w:r>
          </w:p>
        </w:tc>
        <w:tc>
          <w:tcPr>
            <w:tcW w:w="3686" w:type="dxa"/>
            <w:gridSpan w:val="7"/>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b/>
                <w:noProof/>
                <w:color w:val="FFFFFF"/>
                <w:sz w:val="16"/>
              </w:rPr>
            </w:pPr>
            <w:r>
              <w:rPr>
                <w:rFonts w:ascii="Verdana" w:hAnsi="Verdana"/>
                <w:b/>
                <w:noProof/>
                <w:color w:val="FFFFFF"/>
                <w:sz w:val="16"/>
              </w:rPr>
              <w:t>Raukeavat määrärahat</w:t>
            </w:r>
          </w:p>
        </w:tc>
      </w:tr>
      <w:tr>
        <w:trPr>
          <w:trHeight w:val="397"/>
          <w:tblHeader/>
        </w:trPr>
        <w:tc>
          <w:tcPr>
            <w:tcW w:w="233"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p>
        </w:tc>
        <w:tc>
          <w:tcPr>
            <w:tcW w:w="2068"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Ohjelma</w:t>
            </w:r>
          </w:p>
        </w:tc>
        <w:tc>
          <w:tcPr>
            <w:tcW w:w="983" w:type="dxa"/>
            <w:vMerge/>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b/>
                <w:noProof/>
                <w:color w:val="FFFFFF"/>
                <w:sz w:val="16"/>
              </w:rPr>
            </w:pPr>
          </w:p>
        </w:tc>
        <w:tc>
          <w:tcPr>
            <w:tcW w:w="98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FFFFFF"/>
                <w:sz w:val="16"/>
              </w:rPr>
            </w:pPr>
            <w:r>
              <w:rPr>
                <w:rFonts w:ascii="Verdana" w:hAnsi="Verdana"/>
                <w:noProof/>
                <w:color w:val="FFFFFF"/>
                <w:sz w:val="16"/>
              </w:rPr>
              <w:t>Lopulli</w:t>
            </w:r>
            <w:r>
              <w:rPr>
                <w:rFonts w:ascii="Verdana" w:hAnsi="Verdana"/>
                <w:noProof/>
                <w:color w:val="FFFFFF"/>
                <w:sz w:val="16"/>
              </w:rPr>
              <w:softHyphen/>
              <w:t>sista hyväksy</w:t>
            </w:r>
            <w:r>
              <w:rPr>
                <w:rFonts w:ascii="Verdana" w:hAnsi="Verdana"/>
                <w:noProof/>
                <w:color w:val="FFFFFF"/>
                <w:sz w:val="16"/>
              </w:rPr>
              <w:softHyphen/>
              <w:t>tyistä määrä</w:t>
            </w:r>
            <w:r>
              <w:rPr>
                <w:rFonts w:ascii="Verdana" w:hAnsi="Verdana"/>
                <w:noProof/>
                <w:color w:val="FFFFFF"/>
                <w:sz w:val="16"/>
              </w:rPr>
              <w:softHyphen/>
              <w:t>rahoista</w:t>
            </w:r>
          </w:p>
        </w:tc>
        <w:tc>
          <w:tcPr>
            <w:tcW w:w="896"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FFFFFF"/>
                <w:sz w:val="16"/>
              </w:rPr>
            </w:pPr>
            <w:r>
              <w:rPr>
                <w:rFonts w:ascii="Verdana" w:hAnsi="Verdana"/>
                <w:noProof/>
                <w:color w:val="FFFFFF"/>
                <w:sz w:val="16"/>
              </w:rPr>
              <w:t>Siirre</w:t>
            </w:r>
            <w:r>
              <w:rPr>
                <w:rFonts w:ascii="Verdana" w:hAnsi="Verdana"/>
                <w:noProof/>
                <w:color w:val="FFFFFF"/>
                <w:sz w:val="16"/>
              </w:rPr>
              <w:softHyphen/>
              <w:t>tyistä määrä</w:t>
            </w:r>
            <w:r>
              <w:rPr>
                <w:rFonts w:ascii="Verdana" w:hAnsi="Verdana"/>
                <w:noProof/>
                <w:color w:val="FFFFFF"/>
                <w:sz w:val="16"/>
              </w:rPr>
              <w:softHyphen/>
              <w:t>rahoista</w:t>
            </w:r>
          </w:p>
        </w:tc>
        <w:tc>
          <w:tcPr>
            <w:tcW w:w="993"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FFFFFF"/>
                <w:sz w:val="16"/>
              </w:rPr>
            </w:pPr>
            <w:r>
              <w:rPr>
                <w:rFonts w:ascii="Verdana" w:hAnsi="Verdana"/>
                <w:noProof/>
                <w:color w:val="FFFFFF"/>
                <w:sz w:val="16"/>
              </w:rPr>
              <w:t>Käyttö</w:t>
            </w:r>
            <w:r>
              <w:rPr>
                <w:rFonts w:ascii="Verdana" w:hAnsi="Verdana"/>
                <w:noProof/>
                <w:color w:val="FFFFFF"/>
                <w:sz w:val="16"/>
              </w:rPr>
              <w:softHyphen/>
              <w:t>tark. sidotuista tuloista</w:t>
            </w:r>
          </w:p>
        </w:tc>
        <w:tc>
          <w:tcPr>
            <w:tcW w:w="992" w:type="dxa"/>
            <w:gridSpan w:val="3"/>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FFFFFF"/>
                <w:sz w:val="16"/>
              </w:rPr>
            </w:pPr>
            <w:r>
              <w:rPr>
                <w:rFonts w:ascii="Verdana" w:hAnsi="Verdana"/>
                <w:noProof/>
                <w:color w:val="FFFFFF"/>
                <w:sz w:val="16"/>
              </w:rPr>
              <w:t>Yhteensä</w:t>
            </w:r>
          </w:p>
        </w:tc>
        <w:tc>
          <w:tcPr>
            <w:tcW w:w="488"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FFFFFF"/>
                <w:sz w:val="16"/>
              </w:rPr>
            </w:pPr>
            <w:r>
              <w:rPr>
                <w:rFonts w:ascii="Verdana" w:hAnsi="Verdana"/>
                <w:noProof/>
                <w:color w:val="FFFFFF"/>
                <w:sz w:val="16"/>
              </w:rPr>
              <w:t>%</w:t>
            </w:r>
          </w:p>
        </w:tc>
        <w:tc>
          <w:tcPr>
            <w:tcW w:w="98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FFFFFF"/>
                <w:sz w:val="16"/>
              </w:rPr>
            </w:pPr>
            <w:r>
              <w:rPr>
                <w:rFonts w:ascii="Verdana" w:hAnsi="Verdana"/>
                <w:noProof/>
                <w:color w:val="FFFFFF"/>
                <w:sz w:val="16"/>
              </w:rPr>
              <w:t>Automaat</w:t>
            </w:r>
            <w:r>
              <w:rPr>
                <w:rFonts w:ascii="Verdana" w:hAnsi="Verdana"/>
                <w:noProof/>
                <w:color w:val="FFFFFF"/>
                <w:sz w:val="16"/>
              </w:rPr>
              <w:softHyphen/>
              <w:t>tisesti siirtyneet</w:t>
            </w:r>
          </w:p>
        </w:tc>
        <w:tc>
          <w:tcPr>
            <w:tcW w:w="798"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FFFFFF"/>
                <w:sz w:val="16"/>
              </w:rPr>
            </w:pPr>
            <w:r>
              <w:rPr>
                <w:rFonts w:ascii="Verdana" w:hAnsi="Verdana"/>
                <w:noProof/>
                <w:color w:val="FFFFFF"/>
                <w:sz w:val="16"/>
              </w:rPr>
              <w:t>Päätök</w:t>
            </w:r>
            <w:r>
              <w:rPr>
                <w:rFonts w:ascii="Verdana" w:hAnsi="Verdana"/>
                <w:noProof/>
                <w:color w:val="FFFFFF"/>
                <w:sz w:val="16"/>
              </w:rPr>
              <w:softHyphen/>
              <w:t>sellä siirretyt</w:t>
            </w:r>
          </w:p>
        </w:tc>
        <w:tc>
          <w:tcPr>
            <w:tcW w:w="746"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FFFFFF"/>
                <w:sz w:val="16"/>
              </w:rPr>
            </w:pPr>
            <w:r>
              <w:rPr>
                <w:rFonts w:ascii="Verdana" w:hAnsi="Verdana"/>
                <w:noProof/>
                <w:color w:val="FFFFFF"/>
                <w:sz w:val="16"/>
              </w:rPr>
              <w:t>Käyttö</w:t>
            </w:r>
            <w:r>
              <w:rPr>
                <w:rFonts w:ascii="Verdana" w:hAnsi="Verdana"/>
                <w:noProof/>
                <w:color w:val="FFFFFF"/>
                <w:sz w:val="16"/>
              </w:rPr>
              <w:softHyphen/>
              <w:t>tark. sidotut tulot</w:t>
            </w:r>
          </w:p>
        </w:tc>
        <w:tc>
          <w:tcPr>
            <w:tcW w:w="955"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FFFFFF"/>
                <w:sz w:val="16"/>
              </w:rPr>
            </w:pPr>
            <w:r>
              <w:rPr>
                <w:rFonts w:ascii="Verdana" w:hAnsi="Verdana"/>
                <w:noProof/>
                <w:color w:val="FFFFFF"/>
                <w:sz w:val="16"/>
              </w:rPr>
              <w:t>Yhteensä</w:t>
            </w:r>
          </w:p>
        </w:tc>
        <w:tc>
          <w:tcPr>
            <w:tcW w:w="850"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FFFFFF"/>
                <w:sz w:val="16"/>
              </w:rPr>
            </w:pPr>
            <w:r>
              <w:rPr>
                <w:rFonts w:ascii="Verdana" w:hAnsi="Verdana"/>
                <w:noProof/>
                <w:color w:val="FFFFFF"/>
                <w:sz w:val="16"/>
              </w:rPr>
              <w:t>Lopulli</w:t>
            </w:r>
            <w:r>
              <w:rPr>
                <w:rFonts w:ascii="Verdana" w:hAnsi="Verdana"/>
                <w:noProof/>
                <w:color w:val="FFFFFF"/>
                <w:sz w:val="16"/>
              </w:rPr>
              <w:softHyphen/>
              <w:t>sista hyväk</w:t>
            </w:r>
            <w:r>
              <w:rPr>
                <w:rFonts w:ascii="Verdana" w:hAnsi="Verdana"/>
                <w:noProof/>
                <w:color w:val="FFFFFF"/>
                <w:sz w:val="16"/>
              </w:rPr>
              <w:softHyphen/>
              <w:t>sytyistä määrä</w:t>
            </w:r>
            <w:r>
              <w:rPr>
                <w:rFonts w:ascii="Verdana" w:hAnsi="Verdana"/>
                <w:noProof/>
                <w:color w:val="FFFFFF"/>
                <w:sz w:val="16"/>
              </w:rPr>
              <w:softHyphen/>
              <w:t>rahoista</w:t>
            </w:r>
          </w:p>
        </w:tc>
        <w:tc>
          <w:tcPr>
            <w:tcW w:w="851"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FFFFFF"/>
                <w:sz w:val="16"/>
              </w:rPr>
            </w:pPr>
            <w:r>
              <w:rPr>
                <w:rFonts w:ascii="Verdana" w:hAnsi="Verdana"/>
                <w:noProof/>
                <w:color w:val="FFFFFF"/>
                <w:sz w:val="16"/>
              </w:rPr>
              <w:t>Siirre</w:t>
            </w:r>
            <w:r>
              <w:rPr>
                <w:rFonts w:ascii="Verdana" w:hAnsi="Verdana"/>
                <w:noProof/>
                <w:color w:val="FFFFFF"/>
                <w:sz w:val="16"/>
              </w:rPr>
              <w:softHyphen/>
              <w:t>tyistä määrä</w:t>
            </w:r>
            <w:r>
              <w:rPr>
                <w:rFonts w:ascii="Verdana" w:hAnsi="Verdana"/>
                <w:noProof/>
                <w:color w:val="FFFFFF"/>
                <w:sz w:val="16"/>
              </w:rPr>
              <w:softHyphen/>
              <w:t>rahoista</w:t>
            </w:r>
          </w:p>
        </w:tc>
        <w:tc>
          <w:tcPr>
            <w:tcW w:w="993"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FFFFFF"/>
                <w:sz w:val="16"/>
              </w:rPr>
            </w:pPr>
            <w:r>
              <w:rPr>
                <w:rFonts w:ascii="Verdana" w:hAnsi="Verdana"/>
                <w:noProof/>
                <w:color w:val="FFFFFF"/>
                <w:sz w:val="16"/>
              </w:rPr>
              <w:t>Käyttö</w:t>
            </w:r>
            <w:r>
              <w:rPr>
                <w:rFonts w:ascii="Verdana" w:hAnsi="Verdana"/>
                <w:noProof/>
                <w:color w:val="FFFFFF"/>
                <w:sz w:val="16"/>
              </w:rPr>
              <w:softHyphen/>
              <w:t>tark. sidotuista tuloista</w:t>
            </w:r>
          </w:p>
        </w:tc>
        <w:tc>
          <w:tcPr>
            <w:tcW w:w="99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FFFFFF"/>
                <w:sz w:val="16"/>
              </w:rPr>
            </w:pPr>
            <w:r>
              <w:rPr>
                <w:rFonts w:ascii="Verdana" w:hAnsi="Verdana"/>
                <w:noProof/>
                <w:color w:val="FFFFFF"/>
                <w:sz w:val="16"/>
              </w:rPr>
              <w:t>Yhteensä</w:t>
            </w:r>
          </w:p>
        </w:tc>
      </w:tr>
      <w:tr>
        <w:trPr>
          <w:trHeight w:val="397"/>
          <w:tblHeader/>
        </w:trPr>
        <w:tc>
          <w:tcPr>
            <w:tcW w:w="233"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p>
        </w:tc>
        <w:tc>
          <w:tcPr>
            <w:tcW w:w="2068"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p>
        </w:tc>
        <w:tc>
          <w:tcPr>
            <w:tcW w:w="983"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1</w:t>
            </w:r>
          </w:p>
        </w:tc>
        <w:tc>
          <w:tcPr>
            <w:tcW w:w="982"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2</w:t>
            </w:r>
          </w:p>
        </w:tc>
        <w:tc>
          <w:tcPr>
            <w:tcW w:w="896" w:type="dxa"/>
            <w:gridSpan w:val="2"/>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3</w:t>
            </w:r>
          </w:p>
        </w:tc>
        <w:tc>
          <w:tcPr>
            <w:tcW w:w="648"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4</w:t>
            </w:r>
          </w:p>
        </w:tc>
        <w:tc>
          <w:tcPr>
            <w:tcW w:w="1195" w:type="dxa"/>
            <w:gridSpan w:val="3"/>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5=2+</w:t>
            </w:r>
          </w:p>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3+4</w:t>
            </w:r>
          </w:p>
        </w:tc>
        <w:tc>
          <w:tcPr>
            <w:tcW w:w="630" w:type="dxa"/>
            <w:gridSpan w:val="2"/>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6=5/1</w:t>
            </w:r>
          </w:p>
        </w:tc>
        <w:tc>
          <w:tcPr>
            <w:tcW w:w="982"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7</w:t>
            </w:r>
          </w:p>
        </w:tc>
        <w:tc>
          <w:tcPr>
            <w:tcW w:w="798" w:type="dxa"/>
            <w:gridSpan w:val="2"/>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8</w:t>
            </w:r>
          </w:p>
        </w:tc>
        <w:tc>
          <w:tcPr>
            <w:tcW w:w="746"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9</w:t>
            </w:r>
          </w:p>
        </w:tc>
        <w:tc>
          <w:tcPr>
            <w:tcW w:w="955"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10=7+</w:t>
            </w:r>
          </w:p>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8+9</w:t>
            </w:r>
          </w:p>
        </w:tc>
        <w:tc>
          <w:tcPr>
            <w:tcW w:w="850" w:type="dxa"/>
            <w:gridSpan w:val="2"/>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11</w:t>
            </w:r>
          </w:p>
        </w:tc>
        <w:tc>
          <w:tcPr>
            <w:tcW w:w="851" w:type="dxa"/>
            <w:gridSpan w:val="2"/>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12</w:t>
            </w:r>
          </w:p>
        </w:tc>
        <w:tc>
          <w:tcPr>
            <w:tcW w:w="993" w:type="dxa"/>
            <w:gridSpan w:val="2"/>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13</w:t>
            </w:r>
          </w:p>
        </w:tc>
        <w:tc>
          <w:tcPr>
            <w:tcW w:w="992"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14=11+</w:t>
            </w:r>
          </w:p>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12+13</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1</w:t>
            </w: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Euroopan strategisten investointien rahasto (ESIR)</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2 068</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1 979</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59</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2 038</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30</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724"/>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Euroopan satelliittinavigointijärjestelmät (EGNOS/Galileo)</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1 171</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908</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54</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964</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82 %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205</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207</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Kansainvälinen lämpöydinreaktori (ITER)</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699</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648</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18</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666</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95 %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32</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33</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68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Euroopan maanseurantaohjelma (Copernicus)</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577</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559</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15</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576</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Euroopan solidaarisuusjoukot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33</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26</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26</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78 %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Ydinturvallisuus ja ydinvoimalaitosten käytöstäpoisto</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196</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196</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196</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Horisontti 2020</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13 753</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10 492</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61</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766</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11 319</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82 %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75</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2 349</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2 424</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Euratomin tutkimus- ja koulutusohjelma</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462</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273</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18</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26</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317</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69 %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19</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125</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143</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67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Yritysten kilpailukykyä ja pk-yrityksiä koskeva ohjelma (COSME)</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355</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252</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46</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300</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85 %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51</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54</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431"/>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Koulutus-, nuoriso- ja urheiluohjelma (Erasmus+)</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2 697</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2 242</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118</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2 366</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88 %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323</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330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566"/>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Työllisyys ja sosiaalinen innovointi (EaSI-ohjelma)</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129</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115</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120</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93 %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Tulli-ohjelma, Fiscalis-ohjelma ja petostentorjunta</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132</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118</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120</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91 %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 xml:space="preserve">Verkkojen Eurooppa </w:t>
            </w:r>
            <w:r>
              <w:rPr>
                <w:noProof/>
              </w:rPr>
              <w:noBreakHyphen/>
            </w:r>
            <w:r>
              <w:rPr>
                <w:rFonts w:ascii="Verdana" w:hAnsi="Verdana"/>
                <w:noProof/>
                <w:color w:val="000000"/>
                <w:sz w:val="16"/>
              </w:rPr>
              <w:t>väline – Energia</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267</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258</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264</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 xml:space="preserve">Verkkojen Eurooppa </w:t>
            </w:r>
            <w:r>
              <w:rPr>
                <w:noProof/>
              </w:rPr>
              <w:noBreakHyphen/>
            </w:r>
            <w:r>
              <w:rPr>
                <w:rFonts w:ascii="Verdana" w:hAnsi="Verdana"/>
                <w:noProof/>
                <w:color w:val="000000"/>
                <w:sz w:val="16"/>
              </w:rPr>
              <w:t>väline – Liikenne</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1 151</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1 058</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77</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1 137</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12</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13</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 xml:space="preserve">Verkkojen Eurooppa </w:t>
            </w:r>
            <w:r>
              <w:rPr>
                <w:noProof/>
              </w:rPr>
              <w:noBreakHyphen/>
            </w:r>
            <w:r>
              <w:rPr>
                <w:rFonts w:ascii="Verdana" w:hAnsi="Verdana"/>
                <w:noProof/>
                <w:color w:val="000000"/>
                <w:sz w:val="16"/>
              </w:rPr>
              <w:t>väline – Tieto- ja viestintäteknologia</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94</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76</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80</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85 %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13</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13</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Talouden elpymistä edistävät energiahankkeet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205</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150</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159</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77 %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39</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39</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Erillisvirastot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332</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307</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15</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322</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Muut toimet ja ohjelmat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573</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169</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98</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269</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47 %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302</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303</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641"/>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Pilottihankkeet ja valmistelutoimet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53</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48</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49</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92 %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Komission erityiset toimivaltuudet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125</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119</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121</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Alueellinen lähentyminen (vähemmän kehittyneet alueet)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28 858</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24 137</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3 962</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28 099</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760</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760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Siirtymäalueet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4 374</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3 435</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787</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4 223</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151</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151</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Kilpailukyky (kehittyneemmät alueet)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9 280</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7 373</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1 742</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9 115</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165</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165</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Syrjäisimmät ja harvaan asutut alueet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289</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257</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26</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283</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Koheesiorahasto</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9 448</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8 184</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1 045</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9 229</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219</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219</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Euroopan alueiden välinen yhteistyö</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1 222</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1 074</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116</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1 190</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32</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32</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Tekninen apu</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215</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185</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196</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91 %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13</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13</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Vähävaraisimmille suunnatun eurooppalaisen avun rahasto</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368</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347</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354</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96 %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14</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14</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Nuorisotyöllisyysaloite</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1 026</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820</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200</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1 020</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 xml:space="preserve">Verkkojen Eurooppa </w:t>
            </w:r>
            <w:r>
              <w:rPr>
                <w:noProof/>
              </w:rPr>
              <w:noBreakHyphen/>
            </w:r>
            <w:r>
              <w:rPr>
                <w:rFonts w:ascii="Verdana" w:hAnsi="Verdana"/>
                <w:noProof/>
                <w:color w:val="000000"/>
                <w:sz w:val="16"/>
              </w:rPr>
              <w:t>väline (CEF)</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754</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725</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27</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752</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Pilottihankkeet ja valmistelutoimet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Rahoituskehyksen otsake 1 yhteensä</w:t>
            </w:r>
          </w:p>
        </w:tc>
        <w:tc>
          <w:tcPr>
            <w:tcW w:w="98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80 917</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66 540</w:t>
            </w:r>
          </w:p>
        </w:tc>
        <w:tc>
          <w:tcPr>
            <w:tcW w:w="896"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107</w:t>
            </w:r>
          </w:p>
        </w:tc>
        <w:tc>
          <w:tcPr>
            <w:tcW w:w="64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9 230</w:t>
            </w:r>
          </w:p>
        </w:tc>
        <w:tc>
          <w:tcPr>
            <w:tcW w:w="982"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75 876</w:t>
            </w:r>
          </w:p>
        </w:tc>
        <w:tc>
          <w:tcPr>
            <w:tcW w:w="843" w:type="dxa"/>
            <w:gridSpan w:val="3"/>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94 %</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130</w:t>
            </w:r>
          </w:p>
        </w:tc>
        <w:tc>
          <w:tcPr>
            <w:tcW w:w="798"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74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4 833</w:t>
            </w:r>
          </w:p>
        </w:tc>
        <w:tc>
          <w:tcPr>
            <w:tcW w:w="95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4 966</w:t>
            </w:r>
          </w:p>
        </w:tc>
        <w:tc>
          <w:tcPr>
            <w:tcW w:w="850"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59</w:t>
            </w:r>
          </w:p>
        </w:tc>
        <w:tc>
          <w:tcPr>
            <w:tcW w:w="851"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14</w:t>
            </w:r>
          </w:p>
        </w:tc>
        <w:tc>
          <w:tcPr>
            <w:tcW w:w="993"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74</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2</w:t>
            </w: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Euroopan maatalouden tukirahasto (maataloustukirahasto)</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45 436</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42 533</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636</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1 142</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44 310</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186</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460</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459</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1 104</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22</w:t>
            </w:r>
          </w:p>
        </w:tc>
      </w:tr>
      <w:tr>
        <w:trPr>
          <w:trHeight w:val="525"/>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Euroopan maaseudun kehittämisen maatalousrahasto (maaseuturahasto)</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12 929</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12 055</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409</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12 467</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96 %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453</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455</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Euroopan meri- ja kalatalousrahasto (EMKR)</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776</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506</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267</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774</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1162"/>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Kalastuskumppanuussopimukset ja kalastuksenhoitojärjestöt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97</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97</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97</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Ympäristö- ja ilmastotoimet (Life)</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327</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311</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317</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Erillisvirastot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68</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60</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66</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Muut toimet ja toimenpiteet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Pilottihankkeet ja valmistelutoimet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93 %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Erityistoimet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r>
      <w:tr>
        <w:trPr>
          <w:trHeight w:val="397"/>
        </w:trPr>
        <w:tc>
          <w:tcPr>
            <w:tcW w:w="23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Rahoituskehyksen otsake 2 yhteensä</w:t>
            </w:r>
          </w:p>
        </w:tc>
        <w:tc>
          <w:tcPr>
            <w:tcW w:w="98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59 648</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55 576</w:t>
            </w:r>
          </w:p>
        </w:tc>
        <w:tc>
          <w:tcPr>
            <w:tcW w:w="896"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643</w:t>
            </w:r>
          </w:p>
        </w:tc>
        <w:tc>
          <w:tcPr>
            <w:tcW w:w="64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1 827</w:t>
            </w:r>
          </w:p>
        </w:tc>
        <w:tc>
          <w:tcPr>
            <w:tcW w:w="982"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58 046</w:t>
            </w:r>
          </w:p>
        </w:tc>
        <w:tc>
          <w:tcPr>
            <w:tcW w:w="843" w:type="dxa"/>
            <w:gridSpan w:val="3"/>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97 %</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193</w:t>
            </w:r>
          </w:p>
        </w:tc>
        <w:tc>
          <w:tcPr>
            <w:tcW w:w="798"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460</w:t>
            </w:r>
          </w:p>
        </w:tc>
        <w:tc>
          <w:tcPr>
            <w:tcW w:w="74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918</w:t>
            </w:r>
          </w:p>
        </w:tc>
        <w:tc>
          <w:tcPr>
            <w:tcW w:w="95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1 570</w:t>
            </w:r>
          </w:p>
        </w:tc>
        <w:tc>
          <w:tcPr>
            <w:tcW w:w="850"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13</w:t>
            </w:r>
          </w:p>
        </w:tc>
        <w:tc>
          <w:tcPr>
            <w:tcW w:w="851"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20</w:t>
            </w:r>
          </w:p>
        </w:tc>
        <w:tc>
          <w:tcPr>
            <w:tcW w:w="993"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33</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3</w:t>
            </w: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Turvapaikka-, maahanmuutto- ja kotouttamisrahasto</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746</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704</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32</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738</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Kuluttajat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31</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27</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28</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92 %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Luova Eurooppa</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214</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196</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206</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96 %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Unionin sisällä annettava hätätilanteen tuki</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233</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226</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226</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Sisäisen turvallisuuden rahasto</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565</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424</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29</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454</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80 %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100</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102</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Tietotekniikkajärjestelmät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13</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13</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Oikeusasiat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50</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46</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47</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94 %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Perusoikeudet, tasa-arvo ja kansalaisuus</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75</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72</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73</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Unionin pelastuspalvelumekanismi</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41</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31</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34</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83 %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Kansalaisten Eurooppa</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29</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28</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29</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Elintarvikkeet ja rehut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252</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244</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247</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Terveydenhuolto</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63</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59</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61</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Erillisvirastot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886</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810</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36</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846</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96 %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39</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39</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Pilottihankkeet ja valmistelutoimet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13</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11</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11</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89 %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Erityistoimet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94</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92</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93</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97"/>
        </w:trPr>
        <w:tc>
          <w:tcPr>
            <w:tcW w:w="23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Rahoituskehyksen otsake 3 yhteensä</w:t>
            </w:r>
          </w:p>
        </w:tc>
        <w:tc>
          <w:tcPr>
            <w:tcW w:w="98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3 305</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2 980</w:t>
            </w:r>
          </w:p>
        </w:tc>
        <w:tc>
          <w:tcPr>
            <w:tcW w:w="896"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11</w:t>
            </w:r>
          </w:p>
        </w:tc>
        <w:tc>
          <w:tcPr>
            <w:tcW w:w="64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117</w:t>
            </w:r>
          </w:p>
        </w:tc>
        <w:tc>
          <w:tcPr>
            <w:tcW w:w="982"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3 108</w:t>
            </w:r>
          </w:p>
        </w:tc>
        <w:tc>
          <w:tcPr>
            <w:tcW w:w="843" w:type="dxa"/>
            <w:gridSpan w:val="3"/>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94 %</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798"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159</w:t>
            </w:r>
          </w:p>
        </w:tc>
        <w:tc>
          <w:tcPr>
            <w:tcW w:w="95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167</w:t>
            </w:r>
          </w:p>
        </w:tc>
        <w:tc>
          <w:tcPr>
            <w:tcW w:w="850"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25</w:t>
            </w:r>
          </w:p>
        </w:tc>
        <w:tc>
          <w:tcPr>
            <w:tcW w:w="851"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993"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29</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4</w:t>
            </w: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Liittymistä valmisteleva tuki (IPA II)</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1 747</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1 236</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205</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1 446</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83 %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270</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276</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24</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25</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Makrotaloudellinen rahoitusapu (MFA)</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50 %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r>
      <w:tr>
        <w:trPr>
          <w:trHeight w:val="525"/>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Takuurahasto ulkosuhteisiin liittyville hankkeille</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248</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138</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138</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56 %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110</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110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Unionin pelastuspalvelumekanismi</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13</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64 %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r>
      <w:tr>
        <w:trPr>
          <w:trHeight w:val="581"/>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EU:n vapaaehtoisapua koskeva aloite (EUAV)</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Euroopan kestävän kehityksen rahasto (EKKR)</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701</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275</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275</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39 %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25</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401</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426</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Euroopan naapuruusväline (ENI)</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2 167</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2 106</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34</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2 145</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17</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22</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721"/>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Kehitysyhteistyön rahoitusväline (DCI)</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2 781</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2 641</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12</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31</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2 684</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79</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95</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575"/>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Kumppanuusväline</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135</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127</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130</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96 %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Demokratiaa ja ihmisoikeuksia koskeva eurooppalainen rahoitusväline</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195</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188</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191</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Vakautta ja rauhaa edistävä väline</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342</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324</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334</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Humanitaarinen apu</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1 723</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1 437</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63</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1 506</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87 %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212</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217</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Yhteinen ulko- ja turvallisuuspolitiikka (YUTP)</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345</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292</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24</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316</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92 %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28</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28</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Ydinturvallisuuteen liittyvä yhteistyö</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40</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38</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40</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Erillisvirastot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20</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20</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20</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589"/>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Muut toimet ja ohjelmat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232</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69</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127</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197</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85 %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35</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35</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Pilottihankkeet ja valmistelutoimet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88 %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Erityistoimet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62</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60</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61</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97"/>
        </w:trPr>
        <w:tc>
          <w:tcPr>
            <w:tcW w:w="23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Rahoituskehyksen otsake 4 yhteensä</w:t>
            </w:r>
          </w:p>
        </w:tc>
        <w:tc>
          <w:tcPr>
            <w:tcW w:w="98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10 788</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8 711</w:t>
            </w:r>
          </w:p>
        </w:tc>
        <w:tc>
          <w:tcPr>
            <w:tcW w:w="896"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310</w:t>
            </w:r>
          </w:p>
        </w:tc>
        <w:tc>
          <w:tcPr>
            <w:tcW w:w="64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498</w:t>
            </w:r>
          </w:p>
        </w:tc>
        <w:tc>
          <w:tcPr>
            <w:tcW w:w="982"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9 519</w:t>
            </w:r>
          </w:p>
        </w:tc>
        <w:tc>
          <w:tcPr>
            <w:tcW w:w="843" w:type="dxa"/>
            <w:gridSpan w:val="3"/>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88 %</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65</w:t>
            </w:r>
          </w:p>
        </w:tc>
        <w:tc>
          <w:tcPr>
            <w:tcW w:w="798"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1 161</w:t>
            </w:r>
          </w:p>
        </w:tc>
        <w:tc>
          <w:tcPr>
            <w:tcW w:w="95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1 226</w:t>
            </w:r>
          </w:p>
        </w:tc>
        <w:tc>
          <w:tcPr>
            <w:tcW w:w="850"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37</w:t>
            </w:r>
          </w:p>
        </w:tc>
        <w:tc>
          <w:tcPr>
            <w:tcW w:w="851"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993"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42</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5</w:t>
            </w: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Eläkkeet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1 894</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1 877</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1 879</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15</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15</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Eurooppa-koulut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199</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178</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188</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94 %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Erillisvirastot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r>
      <w:tr>
        <w:trPr>
          <w:trHeight w:val="515"/>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Pilottihankkeet ja valmistelutoimet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57 %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Komission hallintomenot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4 294</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3 239</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322</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174</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3 734</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87 %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310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202</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513</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22</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24</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47</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Muiden toimielinten hallintomenot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4 963</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3 435</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446</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259</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4 140</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83 %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508</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182</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690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76</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58</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133</w:t>
            </w:r>
          </w:p>
        </w:tc>
      </w:tr>
      <w:tr>
        <w:trPr>
          <w:trHeight w:val="397"/>
        </w:trPr>
        <w:tc>
          <w:tcPr>
            <w:tcW w:w="23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Rahoituskehyksen otsake 5 yhteensä</w:t>
            </w:r>
          </w:p>
        </w:tc>
        <w:tc>
          <w:tcPr>
            <w:tcW w:w="98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11 355</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8 731</w:t>
            </w:r>
          </w:p>
        </w:tc>
        <w:tc>
          <w:tcPr>
            <w:tcW w:w="896"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768</w:t>
            </w:r>
          </w:p>
        </w:tc>
        <w:tc>
          <w:tcPr>
            <w:tcW w:w="64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445</w:t>
            </w:r>
          </w:p>
        </w:tc>
        <w:tc>
          <w:tcPr>
            <w:tcW w:w="982"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9 944</w:t>
            </w:r>
          </w:p>
        </w:tc>
        <w:tc>
          <w:tcPr>
            <w:tcW w:w="843" w:type="dxa"/>
            <w:gridSpan w:val="3"/>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88 %</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818</w:t>
            </w:r>
          </w:p>
        </w:tc>
        <w:tc>
          <w:tcPr>
            <w:tcW w:w="798"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74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389</w:t>
            </w:r>
          </w:p>
        </w:tc>
        <w:tc>
          <w:tcPr>
            <w:tcW w:w="95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1 209</w:t>
            </w:r>
          </w:p>
        </w:tc>
        <w:tc>
          <w:tcPr>
            <w:tcW w:w="850"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120</w:t>
            </w:r>
          </w:p>
        </w:tc>
        <w:tc>
          <w:tcPr>
            <w:tcW w:w="851"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82</w:t>
            </w:r>
          </w:p>
        </w:tc>
        <w:tc>
          <w:tcPr>
            <w:tcW w:w="993"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203</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6</w:t>
            </w: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Korvaukset</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r>
      <w:tr>
        <w:trPr>
          <w:trHeight w:val="397"/>
        </w:trPr>
        <w:tc>
          <w:tcPr>
            <w:tcW w:w="23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Rahoituskehyksen otsake 6 yhteensä</w:t>
            </w:r>
          </w:p>
        </w:tc>
        <w:tc>
          <w:tcPr>
            <w:tcW w:w="98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96"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43" w:type="dxa"/>
            <w:gridSpan w:val="3"/>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98"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5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8</w:t>
            </w: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Negatiivinen varaus</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Edelliseltä varainhoitovuodelta siirretty alijäämä</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r>
      <w:tr>
        <w:trPr>
          <w:trHeight w:val="397"/>
        </w:trPr>
        <w:tc>
          <w:tcPr>
            <w:tcW w:w="23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Rahoituskehyksen otsake 8 yhteensä</w:t>
            </w:r>
          </w:p>
        </w:tc>
        <w:tc>
          <w:tcPr>
            <w:tcW w:w="98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96"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43" w:type="dxa"/>
            <w:gridSpan w:val="3"/>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98"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5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9</w:t>
            </w: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Hätäapuvaraus</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120</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120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120</w:t>
            </w:r>
          </w:p>
        </w:tc>
      </w:tr>
      <w:tr>
        <w:trPr>
          <w:trHeight w:val="485"/>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Euroopan globalisaatiorahasto (EGR)</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44</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22</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28</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64 %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Euroopan unionin solidaarisuusrahasto (EUSR)</w:t>
            </w:r>
          </w:p>
        </w:tc>
        <w:tc>
          <w:tcPr>
            <w:tcW w:w="98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177</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152</w:t>
            </w:r>
          </w:p>
        </w:tc>
        <w:tc>
          <w:tcPr>
            <w:tcW w:w="896"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48"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152</w:t>
            </w:r>
          </w:p>
        </w:tc>
        <w:tc>
          <w:tcPr>
            <w:tcW w:w="843" w:type="dxa"/>
            <w:gridSpan w:val="3"/>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86 %</w:t>
            </w:r>
          </w:p>
        </w:tc>
        <w:tc>
          <w:tcPr>
            <w:tcW w:w="98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98"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5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25</w:t>
            </w:r>
          </w:p>
        </w:tc>
        <w:tc>
          <w:tcPr>
            <w:tcW w:w="851"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25</w:t>
            </w:r>
          </w:p>
        </w:tc>
      </w:tr>
      <w:tr>
        <w:trPr>
          <w:trHeight w:val="397"/>
        </w:trPr>
        <w:tc>
          <w:tcPr>
            <w:tcW w:w="23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6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Rahoituskehyksen otsake 9 yhteensä</w:t>
            </w:r>
          </w:p>
        </w:tc>
        <w:tc>
          <w:tcPr>
            <w:tcW w:w="98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340</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157</w:t>
            </w:r>
          </w:p>
        </w:tc>
        <w:tc>
          <w:tcPr>
            <w:tcW w:w="896"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64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22</w:t>
            </w:r>
          </w:p>
        </w:tc>
        <w:tc>
          <w:tcPr>
            <w:tcW w:w="982"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180</w:t>
            </w:r>
          </w:p>
        </w:tc>
        <w:tc>
          <w:tcPr>
            <w:tcW w:w="843" w:type="dxa"/>
            <w:gridSpan w:val="3"/>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53 %</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98"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4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95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850"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144</w:t>
            </w:r>
          </w:p>
        </w:tc>
        <w:tc>
          <w:tcPr>
            <w:tcW w:w="851"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144</w:t>
            </w:r>
          </w:p>
        </w:tc>
      </w:tr>
      <w:tr>
        <w:trPr>
          <w:trHeight w:val="397"/>
        </w:trPr>
        <w:tc>
          <w:tcPr>
            <w:tcW w:w="23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b/>
                <w:noProof/>
                <w:color w:val="000000"/>
                <w:sz w:val="16"/>
              </w:rPr>
            </w:pPr>
          </w:p>
        </w:tc>
        <w:tc>
          <w:tcPr>
            <w:tcW w:w="206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b/>
                <w:noProof/>
                <w:color w:val="000000"/>
                <w:sz w:val="16"/>
              </w:rPr>
            </w:pPr>
            <w:r>
              <w:rPr>
                <w:rFonts w:ascii="Verdana" w:hAnsi="Verdana"/>
                <w:b/>
                <w:noProof/>
                <w:color w:val="000000"/>
                <w:sz w:val="16"/>
              </w:rPr>
              <w:t>Yhteensä</w:t>
            </w:r>
          </w:p>
        </w:tc>
        <w:tc>
          <w:tcPr>
            <w:tcW w:w="98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b/>
                <w:noProof/>
                <w:color w:val="000000"/>
                <w:sz w:val="16"/>
              </w:rPr>
            </w:pPr>
            <w:r>
              <w:rPr>
                <w:rFonts w:ascii="Verdana" w:hAnsi="Verdana"/>
                <w:b/>
                <w:noProof/>
                <w:color w:val="000000"/>
                <w:sz w:val="16"/>
              </w:rPr>
              <w:t>166 353</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b/>
                <w:noProof/>
                <w:color w:val="000000"/>
                <w:sz w:val="16"/>
              </w:rPr>
            </w:pPr>
            <w:r>
              <w:rPr>
                <w:rFonts w:ascii="Verdana" w:hAnsi="Verdana"/>
                <w:b/>
                <w:noProof/>
                <w:color w:val="000000"/>
                <w:sz w:val="16"/>
              </w:rPr>
              <w:t>142 695</w:t>
            </w:r>
          </w:p>
        </w:tc>
        <w:tc>
          <w:tcPr>
            <w:tcW w:w="896"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b/>
                <w:noProof/>
                <w:color w:val="000000"/>
                <w:sz w:val="16"/>
              </w:rPr>
            </w:pPr>
            <w:r>
              <w:rPr>
                <w:rFonts w:ascii="Verdana" w:hAnsi="Verdana"/>
                <w:b/>
                <w:noProof/>
                <w:color w:val="000000"/>
                <w:sz w:val="16"/>
              </w:rPr>
              <w:t>1 840</w:t>
            </w:r>
          </w:p>
        </w:tc>
        <w:tc>
          <w:tcPr>
            <w:tcW w:w="64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b/>
                <w:noProof/>
                <w:color w:val="000000"/>
                <w:sz w:val="16"/>
              </w:rPr>
            </w:pPr>
            <w:r>
              <w:rPr>
                <w:rFonts w:ascii="Verdana" w:hAnsi="Verdana"/>
                <w:b/>
                <w:noProof/>
                <w:color w:val="000000"/>
                <w:sz w:val="16"/>
              </w:rPr>
              <w:t>12 138</w:t>
            </w:r>
          </w:p>
        </w:tc>
        <w:tc>
          <w:tcPr>
            <w:tcW w:w="982"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b/>
                <w:noProof/>
                <w:color w:val="000000"/>
                <w:sz w:val="16"/>
              </w:rPr>
            </w:pPr>
            <w:r>
              <w:rPr>
                <w:rFonts w:ascii="Verdana" w:hAnsi="Verdana"/>
                <w:b/>
                <w:noProof/>
                <w:color w:val="000000"/>
                <w:sz w:val="16"/>
              </w:rPr>
              <w:t>156 673</w:t>
            </w:r>
          </w:p>
        </w:tc>
        <w:tc>
          <w:tcPr>
            <w:tcW w:w="843" w:type="dxa"/>
            <w:gridSpan w:val="3"/>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b/>
                <w:noProof/>
                <w:color w:val="000000"/>
                <w:sz w:val="16"/>
              </w:rPr>
            </w:pPr>
            <w:r>
              <w:rPr>
                <w:rFonts w:ascii="Verdana" w:hAnsi="Verdana"/>
                <w:b/>
                <w:noProof/>
                <w:color w:val="000000"/>
                <w:sz w:val="16"/>
              </w:rPr>
              <w:t>94 %</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b/>
                <w:noProof/>
                <w:color w:val="000000"/>
                <w:sz w:val="16"/>
              </w:rPr>
            </w:pPr>
            <w:r>
              <w:rPr>
                <w:rFonts w:ascii="Verdana" w:hAnsi="Verdana"/>
                <w:b/>
                <w:noProof/>
                <w:color w:val="000000"/>
                <w:sz w:val="16"/>
              </w:rPr>
              <w:t>1 214</w:t>
            </w:r>
          </w:p>
        </w:tc>
        <w:tc>
          <w:tcPr>
            <w:tcW w:w="798"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b/>
                <w:noProof/>
                <w:color w:val="000000"/>
                <w:sz w:val="16"/>
              </w:rPr>
            </w:pPr>
            <w:r>
              <w:rPr>
                <w:rFonts w:ascii="Verdana" w:hAnsi="Verdana"/>
                <w:b/>
                <w:noProof/>
                <w:color w:val="000000"/>
                <w:sz w:val="16"/>
              </w:rPr>
              <w:t xml:space="preserve"> 465</w:t>
            </w:r>
          </w:p>
        </w:tc>
        <w:tc>
          <w:tcPr>
            <w:tcW w:w="74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b/>
                <w:noProof/>
                <w:color w:val="000000"/>
                <w:sz w:val="16"/>
              </w:rPr>
            </w:pPr>
            <w:r>
              <w:rPr>
                <w:rFonts w:ascii="Verdana" w:hAnsi="Verdana"/>
                <w:b/>
                <w:noProof/>
                <w:color w:val="000000"/>
                <w:sz w:val="16"/>
              </w:rPr>
              <w:t>7 475</w:t>
            </w:r>
          </w:p>
        </w:tc>
        <w:tc>
          <w:tcPr>
            <w:tcW w:w="95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b/>
                <w:noProof/>
                <w:color w:val="000000"/>
                <w:sz w:val="16"/>
              </w:rPr>
            </w:pPr>
            <w:r>
              <w:rPr>
                <w:rFonts w:ascii="Verdana" w:hAnsi="Verdana"/>
                <w:b/>
                <w:noProof/>
                <w:color w:val="000000"/>
                <w:sz w:val="16"/>
              </w:rPr>
              <w:t>9 154</w:t>
            </w:r>
          </w:p>
        </w:tc>
        <w:tc>
          <w:tcPr>
            <w:tcW w:w="850"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b/>
                <w:noProof/>
                <w:color w:val="000000"/>
                <w:sz w:val="16"/>
              </w:rPr>
            </w:pPr>
            <w:r>
              <w:rPr>
                <w:rFonts w:ascii="Verdana" w:hAnsi="Verdana"/>
                <w:b/>
                <w:noProof/>
                <w:color w:val="000000"/>
                <w:sz w:val="16"/>
              </w:rPr>
              <w:t xml:space="preserve"> 398</w:t>
            </w:r>
          </w:p>
        </w:tc>
        <w:tc>
          <w:tcPr>
            <w:tcW w:w="851"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b/>
                <w:noProof/>
                <w:color w:val="000000"/>
                <w:sz w:val="16"/>
              </w:rPr>
            </w:pPr>
            <w:r>
              <w:rPr>
                <w:rFonts w:ascii="Verdana" w:hAnsi="Verdana"/>
                <w:b/>
                <w:noProof/>
                <w:color w:val="000000"/>
                <w:sz w:val="16"/>
              </w:rPr>
              <w:t xml:space="preserve"> 126</w:t>
            </w:r>
          </w:p>
        </w:tc>
        <w:tc>
          <w:tcPr>
            <w:tcW w:w="993"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b/>
                <w:noProof/>
                <w:color w:val="000000"/>
                <w:sz w:val="16"/>
              </w:rPr>
            </w:pPr>
            <w:r>
              <w:rPr>
                <w:rFonts w:ascii="Verdana" w:hAnsi="Verdana"/>
                <w:b/>
                <w:noProof/>
                <w:color w:val="000000"/>
                <w:sz w:val="16"/>
              </w:rPr>
              <w:t xml:space="preserve"> 2</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b/>
                <w:noProof/>
                <w:color w:val="000000"/>
                <w:sz w:val="16"/>
              </w:rPr>
            </w:pPr>
            <w:r>
              <w:rPr>
                <w:rFonts w:ascii="Verdana" w:hAnsi="Verdana"/>
                <w:b/>
                <w:noProof/>
                <w:color w:val="000000"/>
                <w:sz w:val="16"/>
              </w:rPr>
              <w:t xml:space="preserve"> 526</w:t>
            </w:r>
          </w:p>
        </w:tc>
      </w:tr>
    </w:tbl>
    <w:p>
      <w:pPr>
        <w:pStyle w:val="Textstand-alone"/>
      </w:pPr>
    </w:p>
    <w:p>
      <w:pPr>
        <w:pStyle w:val="Textstand-alone"/>
      </w:pPr>
      <w:r>
        <w:br w:type="page"/>
      </w:r>
    </w:p>
    <w:p>
      <w:pPr>
        <w:pStyle w:val="HEADER2PartBUDG"/>
        <w:rPr>
          <w:noProof/>
        </w:rPr>
      </w:pPr>
      <w:bookmarkStart w:id="345" w:name="_Toc11939559"/>
      <w:bookmarkStart w:id="346" w:name="_Toc17887584"/>
      <w:r>
        <w:rPr>
          <w:noProof/>
        </w:rPr>
        <w:t>YKSITYISKOHTAINEN MONIVUOTINEN RAHOITUSKEHYS: MAKSATTAMATTA OLEVIEN SITOUMUSTEN MUUTOKSET</w:t>
      </w:r>
      <w:bookmarkEnd w:id="345"/>
      <w:bookmarkEnd w:id="346"/>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
        <w:gridCol w:w="3191"/>
        <w:gridCol w:w="1404"/>
        <w:gridCol w:w="1403"/>
        <w:gridCol w:w="983"/>
        <w:gridCol w:w="1262"/>
        <w:gridCol w:w="1123"/>
        <w:gridCol w:w="983"/>
        <w:gridCol w:w="1262"/>
        <w:gridCol w:w="1208"/>
        <w:gridCol w:w="1344"/>
      </w:tblGrid>
      <w:tr>
        <w:trPr>
          <w:trHeight w:val="284"/>
          <w:tblHeader/>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bookmarkStart w:id="347" w:name="DOC_TBL00112_1_1"/>
            <w:bookmarkEnd w:id="347"/>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i/>
                <w:noProof/>
                <w:color w:val="000000"/>
                <w:sz w:val="16"/>
              </w:rPr>
            </w:pPr>
            <w:r>
              <w:rPr>
                <w:rFonts w:ascii="Verdana" w:hAnsi="Verdana"/>
                <w:i/>
                <w:noProof/>
                <w:color w:val="000000"/>
                <w:sz w:val="16"/>
              </w:rPr>
              <w:t>milj. euroa</w:t>
            </w:r>
          </w:p>
        </w:tc>
      </w:tr>
      <w:tr>
        <w:trPr>
          <w:trHeight w:val="284"/>
          <w:tblHeader/>
        </w:trPr>
        <w:tc>
          <w:tcPr>
            <w:tcW w:w="236"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p>
        </w:tc>
        <w:tc>
          <w:tcPr>
            <w:tcW w:w="3226"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p>
        </w:tc>
        <w:tc>
          <w:tcPr>
            <w:tcW w:w="1418" w:type="dxa"/>
            <w:gridSpan w:val="4"/>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b/>
                <w:noProof/>
                <w:color w:val="FFFFFF"/>
                <w:sz w:val="16"/>
              </w:rPr>
            </w:pPr>
            <w:r>
              <w:rPr>
                <w:rFonts w:ascii="Verdana" w:hAnsi="Verdana"/>
                <w:b/>
                <w:noProof/>
                <w:color w:val="FFFFFF"/>
                <w:sz w:val="16"/>
              </w:rPr>
              <w:t>Maksattamatta olevat sitoumukset edellisen varainhoitovuoden lopussa</w:t>
            </w:r>
          </w:p>
        </w:tc>
        <w:tc>
          <w:tcPr>
            <w:tcW w:w="1134" w:type="dxa"/>
            <w:gridSpan w:val="4"/>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b/>
                <w:noProof/>
                <w:color w:val="FFFFFF"/>
                <w:sz w:val="16"/>
              </w:rPr>
            </w:pPr>
            <w:r>
              <w:rPr>
                <w:rFonts w:ascii="Verdana" w:hAnsi="Verdana"/>
                <w:b/>
                <w:noProof/>
                <w:color w:val="FFFFFF"/>
                <w:sz w:val="16"/>
              </w:rPr>
              <w:t>Varainhoitovuoden sitoumukset</w:t>
            </w:r>
          </w:p>
        </w:tc>
        <w:tc>
          <w:tcPr>
            <w:tcW w:w="1358" w:type="dxa"/>
            <w:vMerge w:val="restart"/>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b/>
                <w:noProof/>
                <w:color w:val="FFFFFF"/>
                <w:sz w:val="16"/>
              </w:rPr>
            </w:pPr>
            <w:r>
              <w:rPr>
                <w:rFonts w:ascii="Verdana" w:hAnsi="Verdana"/>
                <w:b/>
                <w:noProof/>
                <w:color w:val="FFFFFF"/>
                <w:sz w:val="16"/>
              </w:rPr>
              <w:t>Varainhoito</w:t>
            </w:r>
            <w:r>
              <w:rPr>
                <w:rFonts w:ascii="Verdana" w:hAnsi="Verdana"/>
                <w:b/>
                <w:noProof/>
                <w:color w:val="FFFFFF"/>
                <w:sz w:val="16"/>
              </w:rPr>
              <w:softHyphen/>
              <w:t>vuoden lopussa maksamatta olevat sitoumukset yhteensä</w:t>
            </w:r>
          </w:p>
        </w:tc>
      </w:tr>
      <w:tr>
        <w:trPr>
          <w:trHeight w:val="284"/>
          <w:tblHeader/>
        </w:trPr>
        <w:tc>
          <w:tcPr>
            <w:tcW w:w="236"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p>
        </w:tc>
        <w:tc>
          <w:tcPr>
            <w:tcW w:w="3226"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r>
              <w:rPr>
                <w:rFonts w:ascii="Verdana" w:hAnsi="Verdana"/>
                <w:noProof/>
                <w:color w:val="FFFFFF"/>
                <w:sz w:val="16"/>
              </w:rPr>
              <w:t>Ohjelma</w:t>
            </w:r>
          </w:p>
        </w:tc>
        <w:tc>
          <w:tcPr>
            <w:tcW w:w="1418"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FFFFFF"/>
                <w:sz w:val="16"/>
              </w:rPr>
            </w:pPr>
            <w:r>
              <w:rPr>
                <w:rFonts w:ascii="Verdana" w:hAnsi="Verdana"/>
                <w:noProof/>
                <w:color w:val="FFFFFF"/>
                <w:sz w:val="16"/>
              </w:rPr>
              <w:t>Edelliseltä varainhoito</w:t>
            </w:r>
            <w:r>
              <w:rPr>
                <w:rFonts w:ascii="Verdana" w:hAnsi="Verdana"/>
                <w:noProof/>
                <w:color w:val="FFFFFF"/>
                <w:sz w:val="16"/>
              </w:rPr>
              <w:softHyphen/>
              <w:t>vuodelta siirretyt sitoumukset</w:t>
            </w:r>
          </w:p>
        </w:tc>
        <w:tc>
          <w:tcPr>
            <w:tcW w:w="1417"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FFFFFF"/>
                <w:sz w:val="16"/>
              </w:rPr>
            </w:pPr>
            <w:r>
              <w:rPr>
                <w:rFonts w:ascii="Verdana" w:hAnsi="Verdana"/>
                <w:noProof/>
                <w:color w:val="FFFFFF"/>
                <w:sz w:val="16"/>
              </w:rPr>
              <w:t>Puretut sitoumukset/</w:t>
            </w:r>
          </w:p>
          <w:p>
            <w:pPr>
              <w:pStyle w:val="DMETW14819BIPDetailedMFF4Commitmentsoustanding"/>
              <w:jc w:val="right"/>
              <w:rPr>
                <w:rFonts w:ascii="Verdana" w:eastAsia="Times New Roman" w:hAnsi="Verdana" w:cs="Verdana"/>
                <w:noProof/>
                <w:color w:val="FFFFFF"/>
                <w:sz w:val="16"/>
              </w:rPr>
            </w:pPr>
            <w:r>
              <w:rPr>
                <w:rFonts w:ascii="Verdana" w:hAnsi="Verdana"/>
                <w:noProof/>
                <w:color w:val="FFFFFF"/>
                <w:sz w:val="16"/>
              </w:rPr>
              <w:t>uudelleen</w:t>
            </w:r>
            <w:r>
              <w:rPr>
                <w:rFonts w:ascii="Verdana" w:hAnsi="Verdana"/>
                <w:noProof/>
                <w:color w:val="FFFFFF"/>
                <w:sz w:val="16"/>
              </w:rPr>
              <w:softHyphen/>
              <w:t>arvostukset/</w:t>
            </w:r>
          </w:p>
          <w:p>
            <w:pPr>
              <w:pStyle w:val="DMETW14819BIPDetailedMFF4Commitmentsoustanding"/>
              <w:jc w:val="right"/>
              <w:rPr>
                <w:rFonts w:ascii="Verdana" w:eastAsia="Times New Roman" w:hAnsi="Verdana" w:cs="Verdana"/>
                <w:noProof/>
                <w:color w:val="FFFFFF"/>
                <w:sz w:val="16"/>
              </w:rPr>
            </w:pPr>
            <w:r>
              <w:rPr>
                <w:rFonts w:ascii="Verdana" w:hAnsi="Verdana"/>
                <w:noProof/>
                <w:color w:val="FFFFFF"/>
                <w:sz w:val="16"/>
              </w:rPr>
              <w:t>peruutukset</w:t>
            </w:r>
          </w:p>
        </w:tc>
        <w:tc>
          <w:tcPr>
            <w:tcW w:w="993"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FFFFFF"/>
                <w:sz w:val="16"/>
              </w:rPr>
            </w:pPr>
            <w:r>
              <w:rPr>
                <w:rFonts w:ascii="Verdana" w:hAnsi="Verdana"/>
                <w:noProof/>
                <w:color w:val="FFFFFF"/>
                <w:sz w:val="16"/>
              </w:rPr>
              <w:t>Maksut</w:t>
            </w:r>
          </w:p>
        </w:tc>
        <w:tc>
          <w:tcPr>
            <w:tcW w:w="1275"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FFFFFF"/>
                <w:sz w:val="16"/>
              </w:rPr>
            </w:pPr>
            <w:r>
              <w:rPr>
                <w:rFonts w:ascii="Verdana" w:hAnsi="Verdana"/>
                <w:noProof/>
                <w:color w:val="FFFFFF"/>
                <w:sz w:val="16"/>
              </w:rPr>
              <w:t>Maksatta</w:t>
            </w:r>
            <w:r>
              <w:rPr>
                <w:rFonts w:ascii="Verdana" w:hAnsi="Verdana"/>
                <w:noProof/>
                <w:color w:val="FFFFFF"/>
                <w:sz w:val="16"/>
              </w:rPr>
              <w:softHyphen/>
              <w:t>matta olevat sitoumukset varainhoito</w:t>
            </w:r>
            <w:r>
              <w:rPr>
                <w:rFonts w:ascii="Verdana" w:hAnsi="Verdana"/>
                <w:noProof/>
                <w:color w:val="FFFFFF"/>
                <w:sz w:val="16"/>
              </w:rPr>
              <w:softHyphen/>
              <w:t>vuoden lopussa</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FFFFFF"/>
                <w:sz w:val="16"/>
              </w:rPr>
            </w:pPr>
            <w:r>
              <w:rPr>
                <w:rFonts w:ascii="Verdana" w:hAnsi="Verdana"/>
                <w:noProof/>
                <w:color w:val="FFFFFF"/>
                <w:sz w:val="16"/>
              </w:rPr>
              <w:t>Varainhoitovuoden aikana tehdyt sitoumukset</w:t>
            </w:r>
          </w:p>
        </w:tc>
        <w:tc>
          <w:tcPr>
            <w:tcW w:w="993"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FFFFFF"/>
                <w:sz w:val="16"/>
              </w:rPr>
            </w:pPr>
            <w:r>
              <w:rPr>
                <w:rFonts w:ascii="Verdana" w:hAnsi="Verdana"/>
                <w:noProof/>
                <w:color w:val="FFFFFF"/>
                <w:sz w:val="16"/>
              </w:rPr>
              <w:t>Maksut</w:t>
            </w:r>
          </w:p>
        </w:tc>
        <w:tc>
          <w:tcPr>
            <w:tcW w:w="1275"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4Commitmentsoustanding"/>
              <w:jc w:val="right"/>
              <w:rPr>
                <w:rFonts w:ascii="Verdana" w:hAnsi="Verdana"/>
                <w:noProof/>
                <w:color w:val="FFFFFF"/>
                <w:sz w:val="16"/>
              </w:rPr>
            </w:pPr>
            <w:r>
              <w:rPr>
                <w:rFonts w:ascii="Verdana" w:hAnsi="Verdana"/>
                <w:noProof/>
                <w:color w:val="FFFFFF"/>
                <w:sz w:val="16"/>
              </w:rPr>
              <w:t xml:space="preserve">Sellaisten sitoumusten peruutukset, joita ei </w:t>
            </w:r>
          </w:p>
          <w:p>
            <w:pPr>
              <w:pStyle w:val="DMETW14819BIPDetailedMFF4Commitmentsoustanding"/>
              <w:jc w:val="right"/>
              <w:rPr>
                <w:rFonts w:ascii="Verdana" w:eastAsia="Times New Roman" w:hAnsi="Verdana" w:cs="Verdana"/>
                <w:noProof/>
                <w:color w:val="FFFFFF"/>
                <w:sz w:val="16"/>
              </w:rPr>
            </w:pPr>
            <w:r>
              <w:rPr>
                <w:rFonts w:ascii="Verdana" w:hAnsi="Verdana"/>
                <w:noProof/>
                <w:color w:val="FFFFFF"/>
                <w:sz w:val="16"/>
              </w:rPr>
              <w:t>voida siirtää seuraavalle varainhoito</w:t>
            </w:r>
            <w:r>
              <w:rPr>
                <w:rFonts w:ascii="Verdana" w:hAnsi="Verdana"/>
                <w:noProof/>
                <w:color w:val="FFFFFF"/>
                <w:sz w:val="16"/>
              </w:rPr>
              <w:softHyphen/>
              <w:t>vuodelle</w:t>
            </w:r>
          </w:p>
        </w:tc>
        <w:tc>
          <w:tcPr>
            <w:tcW w:w="1220"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FFFFFF"/>
                <w:sz w:val="16"/>
              </w:rPr>
            </w:pPr>
            <w:r>
              <w:rPr>
                <w:rFonts w:ascii="Verdana" w:hAnsi="Verdana"/>
                <w:noProof/>
                <w:color w:val="FFFFFF"/>
                <w:sz w:val="16"/>
              </w:rPr>
              <w:t>Maksatta</w:t>
            </w:r>
            <w:r>
              <w:rPr>
                <w:rFonts w:ascii="Verdana" w:hAnsi="Verdana"/>
                <w:noProof/>
                <w:color w:val="FFFFFF"/>
                <w:sz w:val="16"/>
              </w:rPr>
              <w:softHyphen/>
              <w:t>matta olevat sitoumukset varainhoito</w:t>
            </w:r>
            <w:r>
              <w:rPr>
                <w:rFonts w:ascii="Verdana" w:hAnsi="Verdana"/>
                <w:noProof/>
                <w:color w:val="FFFFFF"/>
                <w:sz w:val="16"/>
              </w:rPr>
              <w:softHyphen/>
              <w:t>vuoden lopussa</w:t>
            </w:r>
          </w:p>
        </w:tc>
        <w:tc>
          <w:tcPr>
            <w:tcW w:w="1260" w:type="dxa"/>
            <w:vMerge/>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b/>
                <w:noProof/>
                <w:color w:val="FFFFFF"/>
                <w:sz w:val="16"/>
              </w:rPr>
            </w:pPr>
          </w:p>
        </w:tc>
      </w:tr>
      <w:tr>
        <w:trPr>
          <w:trHeight w:val="284"/>
          <w:tblHeader/>
        </w:trPr>
        <w:tc>
          <w:tcPr>
            <w:tcW w:w="236"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p>
        </w:tc>
        <w:tc>
          <w:tcPr>
            <w:tcW w:w="3226"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p>
        </w:tc>
        <w:tc>
          <w:tcPr>
            <w:tcW w:w="1418"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r>
              <w:rPr>
                <w:rFonts w:ascii="Verdana" w:hAnsi="Verdana"/>
                <w:noProof/>
                <w:color w:val="FFFFFF"/>
                <w:sz w:val="16"/>
              </w:rPr>
              <w:t>1</w:t>
            </w:r>
          </w:p>
        </w:tc>
        <w:tc>
          <w:tcPr>
            <w:tcW w:w="1417"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r>
              <w:rPr>
                <w:rFonts w:ascii="Verdana" w:hAnsi="Verdana"/>
                <w:noProof/>
                <w:color w:val="FFFFFF"/>
                <w:sz w:val="16"/>
              </w:rPr>
              <w:t>2</w:t>
            </w:r>
          </w:p>
        </w:tc>
        <w:tc>
          <w:tcPr>
            <w:tcW w:w="993"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r>
              <w:rPr>
                <w:rFonts w:ascii="Verdana" w:hAnsi="Verdana"/>
                <w:noProof/>
                <w:color w:val="FFFFFF"/>
                <w:sz w:val="16"/>
              </w:rPr>
              <w:t>3</w:t>
            </w:r>
          </w:p>
        </w:tc>
        <w:tc>
          <w:tcPr>
            <w:tcW w:w="1275"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r>
              <w:rPr>
                <w:rFonts w:ascii="Verdana" w:hAnsi="Verdana"/>
                <w:noProof/>
                <w:color w:val="FFFFFF"/>
                <w:sz w:val="16"/>
              </w:rPr>
              <w:t>4=1+2+3</w:t>
            </w:r>
          </w:p>
        </w:tc>
        <w:tc>
          <w:tcPr>
            <w:tcW w:w="1134"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r>
              <w:rPr>
                <w:rFonts w:ascii="Verdana" w:hAnsi="Verdana"/>
                <w:noProof/>
                <w:color w:val="FFFFFF"/>
                <w:sz w:val="16"/>
              </w:rPr>
              <w:t>5</w:t>
            </w:r>
          </w:p>
        </w:tc>
        <w:tc>
          <w:tcPr>
            <w:tcW w:w="993"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r>
              <w:rPr>
                <w:rFonts w:ascii="Verdana" w:hAnsi="Verdana"/>
                <w:noProof/>
                <w:color w:val="FFFFFF"/>
                <w:sz w:val="16"/>
              </w:rPr>
              <w:t>6</w:t>
            </w:r>
          </w:p>
        </w:tc>
        <w:tc>
          <w:tcPr>
            <w:tcW w:w="1275"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r>
              <w:rPr>
                <w:rFonts w:ascii="Verdana" w:hAnsi="Verdana"/>
                <w:noProof/>
                <w:color w:val="FFFFFF"/>
                <w:sz w:val="16"/>
              </w:rPr>
              <w:t>7</w:t>
            </w:r>
          </w:p>
        </w:tc>
        <w:tc>
          <w:tcPr>
            <w:tcW w:w="1220"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r>
              <w:rPr>
                <w:rFonts w:ascii="Verdana" w:hAnsi="Verdana"/>
                <w:noProof/>
                <w:color w:val="FFFFFF"/>
                <w:sz w:val="16"/>
              </w:rPr>
              <w:t>8=5+6+7</w:t>
            </w:r>
          </w:p>
        </w:tc>
        <w:tc>
          <w:tcPr>
            <w:tcW w:w="1358"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r>
              <w:rPr>
                <w:rFonts w:ascii="Verdana" w:hAnsi="Verdana"/>
                <w:noProof/>
                <w:color w:val="FFFFFF"/>
                <w:sz w:val="16"/>
              </w:rPr>
              <w:t>9=4+8</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1</w:t>
            </w: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Euroopan strategisten investointien rahasto (ESIR)</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2 654</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(1 963)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691</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2 097</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(75)</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2 022</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2 714</w:t>
            </w:r>
          </w:p>
        </w:tc>
      </w:tr>
      <w:tr>
        <w:trPr>
          <w:trHeight w:val="479"/>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Euroopan satelliittinavigointijärjestelmät (EGNOS/Galileo)</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1 300</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(573)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724</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892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(391)</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501</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1 224</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Kansainvälinen lämpöydinreaktori (ITER)</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1 727</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(594)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1 133</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394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(72)</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321</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1 454</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Euroopan maanseurantaohjelma (Copernicus)</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174</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(157)</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16</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645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(418)</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227</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243</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Euroopan solidaarisuusjoukot</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(26)</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17</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17</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Ydinturvallisuus ja ydinvoimalaitosten käytöstäpoisto</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651</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(194)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457</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141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139</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596</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Horisontti 2020</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19 921</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(312)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(7 515)</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12 094</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12 254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(3 804)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8 447</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20 541</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Euratomin tutkimus- ja koulutusohjelma</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198</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124</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397</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(247)</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150</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275</w:t>
            </w:r>
          </w:p>
        </w:tc>
      </w:tr>
      <w:tr>
        <w:trPr>
          <w:trHeight w:val="543"/>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Yritysten kilpailukykyä ja pk-yrityksiä koskeva ohjelma (COSME)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908</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(259)</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593</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391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(41)</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350</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943</w:t>
            </w:r>
          </w:p>
        </w:tc>
      </w:tr>
      <w:tr>
        <w:trPr>
          <w:trHeight w:val="579"/>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Koulutus-, nuoriso- ja urheiluohjelma (Erasmus+)</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704</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(291)</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359</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2 573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(2 076)</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497</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855</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Työllisyys ja sosiaalinen innovointi (EaSI-ohjelma)</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222</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(102)</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105</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(18)</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116</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222</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Tulli-ohjelma, Fiscalis-ohjelma ja petostentorjunta</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159</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65</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139</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109</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175</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 xml:space="preserve">Verkkojen Eurooppa </w:t>
            </w:r>
            <w:r>
              <w:rPr>
                <w:noProof/>
              </w:rPr>
              <w:noBreakHyphen/>
            </w:r>
            <w:r>
              <w:rPr>
                <w:rFonts w:ascii="Verdana" w:hAnsi="Verdana"/>
                <w:noProof/>
                <w:color w:val="000000"/>
                <w:sz w:val="16"/>
              </w:rPr>
              <w:t>väline – Energia</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1 678</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(248)</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1 407</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680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(16)</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664</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2 072</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 xml:space="preserve">Verkkojen Eurooppa </w:t>
            </w:r>
            <w:r>
              <w:rPr>
                <w:noProof/>
              </w:rPr>
              <w:noBreakHyphen/>
            </w:r>
            <w:r>
              <w:rPr>
                <w:rFonts w:ascii="Verdana" w:hAnsi="Verdana"/>
                <w:noProof/>
                <w:color w:val="000000"/>
                <w:sz w:val="16"/>
              </w:rPr>
              <w:t>väline – Liikenne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3 673</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(281)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(1 085)</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2 307</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1 986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1 934</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4 241</w:t>
            </w:r>
          </w:p>
        </w:tc>
      </w:tr>
      <w:tr>
        <w:trPr>
          <w:trHeight w:val="449"/>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 xml:space="preserve">Verkkojen Eurooppa </w:t>
            </w:r>
            <w:r>
              <w:rPr>
                <w:noProof/>
              </w:rPr>
              <w:noBreakHyphen/>
            </w:r>
            <w:r>
              <w:rPr>
                <w:rFonts w:ascii="Verdana" w:hAnsi="Verdana"/>
                <w:noProof/>
                <w:color w:val="000000"/>
                <w:sz w:val="16"/>
              </w:rPr>
              <w:t>väline – Tieto- ja viestintäteknologia</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360</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(75)</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275</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178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173</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448</w:t>
            </w:r>
          </w:p>
        </w:tc>
      </w:tr>
      <w:tr>
        <w:trPr>
          <w:trHeight w:val="625"/>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Talouden elpymistä edistävät energiahankkeet</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545</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(159)</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254</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254</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Erillisvirastot</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49</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(31)</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17</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326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(291)</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35</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52</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Muut toimet ja ohjelmat</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412</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(177)</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215</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281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(92)</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189</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404</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Pilottihankkeet ja valmistelutoimet</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66</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39</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68</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107</w:t>
            </w:r>
          </w:p>
        </w:tc>
      </w:tr>
      <w:tr>
        <w:trPr>
          <w:trHeight w:val="58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Komission erityiset toimivaltuudet</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174</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(84)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78</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(37)</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91</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169</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Alueellinen lähentyminen (vähemmän kehittyneet alueet)</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82 421</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(278)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(27 946)</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54 197</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31 150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(153)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30 997</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85 194</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Siirtymäalueet</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16 151</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(4 196)</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11 949</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6 579</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(27)</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6 553</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18 502</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Kilpailukyky (kehittyneemmät alueet)</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25 870</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(8 944)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16 883</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9 811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(171)</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9 640</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26 523</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Syrjäisimmät ja harvaan asutut alueet</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613</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(271)</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343</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258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246</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588</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Koheesiorahasto</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24 398</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(9 214)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15 173</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10 693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10 678</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25 851</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Euroopan alueiden välinen yhteistyö</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3 514</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(1 184)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2 314</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2 193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2 188</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4 502</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Tekninen apu</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218</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126</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247</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124</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251</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Vähävaraisimmille suunnatun eurooppalaisen avun rahasto</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1 101</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(351)</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750</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557</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554</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1 304</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Nuorisotyöllisyysaloite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2 248</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(1 016)</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1 224</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434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431</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1 655</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 xml:space="preserve">Verkkojen Eurooppa </w:t>
            </w:r>
            <w:r>
              <w:rPr>
                <w:noProof/>
              </w:rPr>
              <w:noBreakHyphen/>
            </w:r>
            <w:r>
              <w:rPr>
                <w:rFonts w:ascii="Verdana" w:hAnsi="Verdana"/>
                <w:noProof/>
                <w:color w:val="000000"/>
                <w:sz w:val="16"/>
              </w:rPr>
              <w:t>väline (CEF)</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4 704</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(745)</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3 946</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1 655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1 648</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5 595</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Pilottihankkeet ja valmistelutoimet</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22</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14</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20</w:t>
            </w:r>
          </w:p>
        </w:tc>
      </w:tr>
      <w:tr>
        <w:trPr>
          <w:trHeight w:val="284"/>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Rahoituskehyksen otsake 1 yhteensä</w:t>
            </w:r>
          </w:p>
        </w:tc>
        <w:tc>
          <w:tcPr>
            <w:tcW w:w="141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196 837</w:t>
            </w:r>
          </w:p>
        </w:tc>
        <w:tc>
          <w:tcPr>
            <w:tcW w:w="141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(1 323)</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(67 640)</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127 874</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87 357</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(8 237)</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w:t>
            </w:r>
          </w:p>
        </w:tc>
        <w:tc>
          <w:tcPr>
            <w:tcW w:w="122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79 117</w:t>
            </w:r>
          </w:p>
        </w:tc>
        <w:tc>
          <w:tcPr>
            <w:tcW w:w="135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206 991</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2</w:t>
            </w: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Euroopan maatalouden tukirahasto (maataloustukirahasto)</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309</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(228)</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67</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44 364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(44 082)</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282</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349</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Euroopan maaseudun kehittämisen maatalousrahasto (maaseuturahasto)</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32 742</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(108)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(12 174)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20 460</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14 427</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(292)</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14 134</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34 594</w:t>
            </w:r>
          </w:p>
        </w:tc>
      </w:tr>
      <w:tr>
        <w:trPr>
          <w:trHeight w:val="505"/>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Euroopan meri- ja kalatalousrahasto (EMKR)</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3 218</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(233)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(754)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2 231</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1 070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(21)</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1 049</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3 280</w:t>
            </w:r>
          </w:p>
        </w:tc>
      </w:tr>
      <w:tr>
        <w:trPr>
          <w:trHeight w:val="705"/>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Kalastuskumppanuussopimukset ja kalastuksenhoitojärjestöt</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21</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8</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(87)</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15</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Ympäristö- ja ilmastotoimet (Life)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1 564</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(283)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1 279</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522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488</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1 768</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Erillisvirastot</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Muut toimet ja toimenpiteet</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Pilottihankkeet ja valmistelutoimet</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20</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15</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28</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Erityistoimet</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284"/>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Rahoituskehyksen otsake 2 yhteensä</w:t>
            </w:r>
          </w:p>
        </w:tc>
        <w:tc>
          <w:tcPr>
            <w:tcW w:w="141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37 883</w:t>
            </w:r>
          </w:p>
        </w:tc>
        <w:tc>
          <w:tcPr>
            <w:tcW w:w="141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(360)</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(13 466)</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24 058</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60 560</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(44 580)</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2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15 980</w:t>
            </w:r>
          </w:p>
        </w:tc>
        <w:tc>
          <w:tcPr>
            <w:tcW w:w="135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40 037</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3</w:t>
            </w: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Turvapaikka-, maahanmuutto- ja kotouttamisrahasto</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2 447</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(721)</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1 692</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986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(17)</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969</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2 662</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Kuluttajat</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41</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21</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29</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20</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40</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Luova Eurooppa</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193</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(91)</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94</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239</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(115)</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124</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219</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Unionin sisällä annettava hätätilanteen tuki</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90</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(67)</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22</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199</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(160)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40</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62</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Sisäisen turvallisuuden rahasto</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1 420</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(19)</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(433)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969</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799</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(22)</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777</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1 746</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Tietotekniikkajärjestelmät</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47</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34</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46</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Oikeusasiat</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90</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55</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35</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90</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Perusoikeudet, tasa-arvo ja kansalaisuus</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115</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51</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54</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105</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Unionin pelastuspalvelumekanismi</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44</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(21)</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21</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21</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43</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Kansalaisten Eurooppa</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22</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(16)</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21</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Elintarvikkeet ja rehut</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316</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(187)</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98</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281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221</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319</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Terveydenhuolto</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133</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(46)</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81</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(16)</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52</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133</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Erillisvirastot</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132</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126</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956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(841)</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115</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242</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Pilottihankkeet ja valmistelutoimet</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24</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14</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24</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Erityistoimet</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77</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(59)</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17</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99</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65</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82</w:t>
            </w:r>
          </w:p>
        </w:tc>
      </w:tr>
      <w:tr>
        <w:trPr>
          <w:trHeight w:val="284"/>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Rahoituskehyksen otsake 3 yhteensä</w:t>
            </w:r>
          </w:p>
        </w:tc>
        <w:tc>
          <w:tcPr>
            <w:tcW w:w="141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5 194</w:t>
            </w:r>
          </w:p>
        </w:tc>
        <w:tc>
          <w:tcPr>
            <w:tcW w:w="141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(107)</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(1 781)</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3 306</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3 855</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(1 327)</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2 528</w:t>
            </w:r>
          </w:p>
        </w:tc>
        <w:tc>
          <w:tcPr>
            <w:tcW w:w="135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5 834</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4</w:t>
            </w: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Liittymistä valmisteleva tuki (IPA II)</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6 899</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(1 225)</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5 549</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2 097</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(221)</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1 875</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7 425</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Makrotaloudellinen rahoitusapu (MFA)</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40</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40</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45</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Takuurahasto ulkosuhteisiin liittyville hankkeille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(138)</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Unionin pelastuspalvelumekanismi</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18</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15</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EU:n vapaaehtoisapua koskeva aloite (EUAV)</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18</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16</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22</w:t>
            </w:r>
          </w:p>
        </w:tc>
      </w:tr>
      <w:tr>
        <w:trPr>
          <w:trHeight w:val="521"/>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Euroopan kestävän kehityksen rahasto (EKKR)</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275</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(275)</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325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325</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325</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Euroopan naapuruusväline (ENI)</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7 662</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(185)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(1 724)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5 753</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2 501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(421)</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2 080</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7 833</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Kehitysyhteistyön rahoitusväline (DCI)</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8 643</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(218)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(2 418)</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6 006</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3 015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(265)</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2 749</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8 755</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Kumppanuusväline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376</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(113)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257</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146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(17)</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129</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386</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Demokratiaa ja ihmisoikeuksia koskeva eurooppalainen rahoitusväline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370</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(139)</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222</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189</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(52)</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137</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358</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Vakautta ja rauhaa edistävä väline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623</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(220)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369</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373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(114)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258</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627</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Humanitaarinen apu</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899</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(429)</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437</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1 533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(1 077)</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456</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893</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Yhteinen ulko- ja turvallisuuspolitiikka (YUTP)</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243</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(80)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132</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371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(236)</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134</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266</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Ydinturvallisuuteen liittyvä yhteistyö</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122</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(39)</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75</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32</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107</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Erillisvirastot</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Muut toimet ja ohjelmat</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154</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(29)</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113</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208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(168)</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39</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152</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Pilottihankkeet ja valmistelutoimet</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22</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16</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Erityistoimet</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113</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(42)</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70</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(19)</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57</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126</w:t>
            </w:r>
          </w:p>
        </w:tc>
      </w:tr>
      <w:tr>
        <w:trPr>
          <w:trHeight w:val="284"/>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Rahoituskehyksen otsake 4 yhteensä</w:t>
            </w:r>
          </w:p>
        </w:tc>
        <w:tc>
          <w:tcPr>
            <w:tcW w:w="141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26 478</w:t>
            </w:r>
          </w:p>
        </w:tc>
        <w:tc>
          <w:tcPr>
            <w:tcW w:w="141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(667)</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(6 746)</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19 064</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11 062</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(2 773)</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w:t>
            </w:r>
          </w:p>
        </w:tc>
        <w:tc>
          <w:tcPr>
            <w:tcW w:w="122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8 288</w:t>
            </w:r>
          </w:p>
        </w:tc>
        <w:tc>
          <w:tcPr>
            <w:tcW w:w="135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27 352</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5</w:t>
            </w: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Eläkkeet</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1 879</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(1 879)</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Eurooppa-koulut</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190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(188)</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Erillisvirastot</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Pilottihankkeet ja valmistelutoimet</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w:t>
            </w:r>
          </w:p>
        </w:tc>
      </w:tr>
      <w:tr>
        <w:trPr>
          <w:trHeight w:val="439"/>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Komission hallintomenot</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354</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(328)</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3 772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(3 407)</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365</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366</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Muiden toimielinten hallintomenot</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507</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(444)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4 280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(3 695)</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0</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584</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587</w:t>
            </w:r>
          </w:p>
        </w:tc>
      </w:tr>
      <w:tr>
        <w:trPr>
          <w:trHeight w:val="284"/>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Rahoituskehyksen otsake 5 yhteensä</w:t>
            </w:r>
          </w:p>
        </w:tc>
        <w:tc>
          <w:tcPr>
            <w:tcW w:w="141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867</w:t>
            </w:r>
          </w:p>
        </w:tc>
        <w:tc>
          <w:tcPr>
            <w:tcW w:w="141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(87)</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(775)</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10 124</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(9 169)</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2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955</w:t>
            </w:r>
          </w:p>
        </w:tc>
        <w:tc>
          <w:tcPr>
            <w:tcW w:w="135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961</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6</w:t>
            </w: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Korvaukset</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Rahoituskehyksen otsake 6 yhteensä</w:t>
            </w:r>
          </w:p>
        </w:tc>
        <w:tc>
          <w:tcPr>
            <w:tcW w:w="141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41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35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8</w:t>
            </w: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Negatiivinen varaus</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Edelliseltä varainhoitovuodelta siirretty alijäämä</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Rahoituskehyksen otsake 8 yhteensä</w:t>
            </w:r>
          </w:p>
        </w:tc>
        <w:tc>
          <w:tcPr>
            <w:tcW w:w="141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41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35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9</w:t>
            </w: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Hätäapuvaraus</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Euroopan globalisaatiorahasto (EGR)</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(28)</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Euroopan unionin solidaarisuusrahasto (EUSR)</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152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(152)</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Rahoituskehyksen otsake 9 yhteensä</w:t>
            </w:r>
          </w:p>
        </w:tc>
        <w:tc>
          <w:tcPr>
            <w:tcW w:w="141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41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180</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(180)</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35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284"/>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b/>
                <w:noProof/>
                <w:color w:val="000000"/>
                <w:sz w:val="16"/>
              </w:rPr>
            </w:pPr>
          </w:p>
        </w:tc>
        <w:tc>
          <w:tcPr>
            <w:tcW w:w="322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b/>
                <w:noProof/>
                <w:color w:val="000000"/>
                <w:sz w:val="16"/>
              </w:rPr>
            </w:pPr>
            <w:r>
              <w:rPr>
                <w:rFonts w:ascii="Verdana" w:hAnsi="Verdana"/>
                <w:b/>
                <w:noProof/>
                <w:color w:val="000000"/>
                <w:sz w:val="16"/>
              </w:rPr>
              <w:t>Yhteensä</w:t>
            </w:r>
          </w:p>
        </w:tc>
        <w:tc>
          <w:tcPr>
            <w:tcW w:w="141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b/>
                <w:noProof/>
                <w:color w:val="000000"/>
                <w:sz w:val="16"/>
              </w:rPr>
            </w:pPr>
            <w:r>
              <w:rPr>
                <w:rFonts w:ascii="Verdana" w:hAnsi="Verdana"/>
                <w:b/>
                <w:noProof/>
                <w:color w:val="000000"/>
                <w:sz w:val="16"/>
              </w:rPr>
              <w:t>267 258</w:t>
            </w:r>
          </w:p>
        </w:tc>
        <w:tc>
          <w:tcPr>
            <w:tcW w:w="141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b/>
                <w:noProof/>
                <w:color w:val="000000"/>
                <w:sz w:val="16"/>
              </w:rPr>
            </w:pPr>
            <w:r>
              <w:rPr>
                <w:rFonts w:ascii="Verdana" w:hAnsi="Verdana"/>
                <w:b/>
                <w:noProof/>
                <w:color w:val="000000"/>
                <w:sz w:val="16"/>
              </w:rPr>
              <w:t>(2 544)</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b/>
                <w:noProof/>
                <w:color w:val="000000"/>
                <w:sz w:val="16"/>
              </w:rPr>
            </w:pPr>
            <w:r>
              <w:rPr>
                <w:rFonts w:ascii="Verdana" w:hAnsi="Verdana"/>
                <w:b/>
                <w:noProof/>
                <w:color w:val="000000"/>
                <w:sz w:val="16"/>
              </w:rPr>
              <w:t>(90 407)</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b/>
                <w:noProof/>
                <w:color w:val="000000"/>
                <w:sz w:val="16"/>
              </w:rPr>
            </w:pPr>
            <w:r>
              <w:rPr>
                <w:rFonts w:ascii="Verdana" w:hAnsi="Verdana"/>
                <w:b/>
                <w:noProof/>
                <w:color w:val="000000"/>
                <w:sz w:val="16"/>
              </w:rPr>
              <w:t>174 307</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b/>
                <w:noProof/>
                <w:color w:val="000000"/>
                <w:sz w:val="16"/>
              </w:rPr>
            </w:pPr>
            <w:r>
              <w:rPr>
                <w:rFonts w:ascii="Verdana" w:hAnsi="Verdana"/>
                <w:b/>
                <w:noProof/>
                <w:color w:val="000000"/>
                <w:sz w:val="16"/>
              </w:rPr>
              <w:t>173 139</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b/>
                <w:noProof/>
                <w:color w:val="000000"/>
                <w:sz w:val="16"/>
              </w:rPr>
            </w:pPr>
            <w:r>
              <w:rPr>
                <w:rFonts w:ascii="Verdana" w:hAnsi="Verdana"/>
                <w:b/>
                <w:noProof/>
                <w:color w:val="000000"/>
                <w:sz w:val="16"/>
              </w:rPr>
              <w:t>(66 265)</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b/>
                <w:noProof/>
                <w:color w:val="000000"/>
                <w:sz w:val="16"/>
              </w:rPr>
            </w:pPr>
            <w:r>
              <w:rPr>
                <w:rFonts w:ascii="Verdana" w:hAnsi="Verdana"/>
                <w:b/>
                <w:noProof/>
                <w:color w:val="000000"/>
                <w:sz w:val="16"/>
              </w:rPr>
              <w:t xml:space="preserve"> (5)</w:t>
            </w:r>
          </w:p>
        </w:tc>
        <w:tc>
          <w:tcPr>
            <w:tcW w:w="122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b/>
                <w:noProof/>
                <w:color w:val="000000"/>
                <w:sz w:val="16"/>
              </w:rPr>
            </w:pPr>
            <w:r>
              <w:rPr>
                <w:rFonts w:ascii="Verdana" w:hAnsi="Verdana"/>
                <w:b/>
                <w:noProof/>
                <w:color w:val="000000"/>
                <w:sz w:val="16"/>
              </w:rPr>
              <w:t>106 868</w:t>
            </w:r>
          </w:p>
        </w:tc>
        <w:tc>
          <w:tcPr>
            <w:tcW w:w="135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b/>
                <w:noProof/>
                <w:color w:val="000000"/>
                <w:sz w:val="16"/>
              </w:rPr>
            </w:pPr>
            <w:r>
              <w:rPr>
                <w:rFonts w:ascii="Verdana" w:hAnsi="Verdana"/>
                <w:b/>
                <w:noProof/>
                <w:color w:val="000000"/>
                <w:sz w:val="16"/>
              </w:rPr>
              <w:t>281 175</w:t>
            </w:r>
          </w:p>
        </w:tc>
      </w:tr>
    </w:tbl>
    <w:p>
      <w:pPr>
        <w:pStyle w:val="DGTextstand-alone"/>
      </w:pPr>
    </w:p>
    <w:p>
      <w:pPr>
        <w:rPr>
          <w:rFonts w:ascii="Verdana" w:eastAsia="Calibri" w:hAnsi="Verdana"/>
          <w:b/>
          <w:noProof/>
          <w:color w:val="016794"/>
          <w:sz w:val="28"/>
        </w:rPr>
      </w:pPr>
      <w:r>
        <w:rPr>
          <w:noProof/>
        </w:rPr>
        <w:br w:type="page"/>
      </w:r>
    </w:p>
    <w:p>
      <w:pPr>
        <w:pStyle w:val="HEADER2PartBUDG"/>
        <w:rPr>
          <w:noProof/>
        </w:rPr>
      </w:pPr>
      <w:r>
        <w:rPr>
          <w:noProof/>
        </w:rPr>
        <w:t xml:space="preserve"> </w:t>
      </w:r>
      <w:bookmarkStart w:id="348" w:name="_Toc11939560"/>
      <w:bookmarkStart w:id="349" w:name="_Toc17887585"/>
      <w:r>
        <w:rPr>
          <w:noProof/>
        </w:rPr>
        <w:t>YKSITYISKOHTAINEN MONIVUOTINEN RAHOITUSKEHYS: MONIVUOTISEN RAHOITUSKEHYKSEN OTSAKKEITTAIN</w:t>
      </w:r>
      <w:bookmarkEnd w:id="348"/>
      <w:bookmarkEnd w:id="349"/>
    </w:p>
    <w:p>
      <w:pPr>
        <w:pStyle w:val="DGTextstand-alone"/>
        <w:spacing w:before="0" w:after="0"/>
      </w:pPr>
      <w:r>
        <w:t xml:space="preserve"> </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
        <w:gridCol w:w="5395"/>
        <w:gridCol w:w="965"/>
        <w:gridCol w:w="965"/>
        <w:gridCol w:w="965"/>
        <w:gridCol w:w="965"/>
        <w:gridCol w:w="965"/>
        <w:gridCol w:w="965"/>
        <w:gridCol w:w="965"/>
        <w:gridCol w:w="965"/>
        <w:gridCol w:w="1089"/>
      </w:tblGrid>
      <w:tr>
        <w:trPr>
          <w:trHeight w:val="227"/>
          <w:tblHeader/>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bookmarkStart w:id="350" w:name="DOC_TBL00113_1_1"/>
            <w:bookmarkEnd w:id="350"/>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i/>
                <w:noProof/>
                <w:color w:val="000000"/>
                <w:sz w:val="16"/>
              </w:rPr>
            </w:pPr>
            <w:r>
              <w:rPr>
                <w:rFonts w:ascii="Verdana" w:hAnsi="Verdana"/>
                <w:i/>
                <w:noProof/>
                <w:color w:val="000000"/>
                <w:sz w:val="16"/>
              </w:rPr>
              <w:t>milj. euroa</w:t>
            </w:r>
          </w:p>
        </w:tc>
      </w:tr>
      <w:tr>
        <w:trPr>
          <w:trHeight w:val="270"/>
          <w:tblHeader/>
        </w:trPr>
        <w:tc>
          <w:tcPr>
            <w:tcW w:w="34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5RALYoO"/>
              <w:jc w:val="center"/>
              <w:rPr>
                <w:rFonts w:ascii="Verdana" w:eastAsia="Times New Roman" w:hAnsi="Verdana" w:cs="Verdana"/>
                <w:noProof/>
                <w:color w:val="FFFFFF"/>
                <w:sz w:val="16"/>
              </w:rPr>
            </w:pPr>
          </w:p>
        </w:tc>
        <w:tc>
          <w:tcPr>
            <w:tcW w:w="5455"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5RALYoO"/>
              <w:jc w:val="center"/>
              <w:rPr>
                <w:rFonts w:ascii="Verdana" w:eastAsia="Times New Roman" w:hAnsi="Verdana" w:cs="Verdana"/>
                <w:noProof/>
                <w:color w:val="FFFFFF"/>
                <w:sz w:val="16"/>
              </w:rPr>
            </w:pPr>
            <w:r>
              <w:rPr>
                <w:rFonts w:ascii="Verdana" w:hAnsi="Verdana"/>
                <w:noProof/>
                <w:color w:val="FFFFFF"/>
                <w:sz w:val="16"/>
              </w:rPr>
              <w:t>Ohjelma</w:t>
            </w:r>
          </w:p>
        </w:tc>
        <w:tc>
          <w:tcPr>
            <w:tcW w:w="975"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5RALYoO"/>
              <w:jc w:val="center"/>
              <w:rPr>
                <w:rFonts w:ascii="Verdana" w:eastAsia="Times New Roman" w:hAnsi="Verdana" w:cs="Verdana"/>
                <w:noProof/>
                <w:color w:val="FFFFFF"/>
                <w:sz w:val="16"/>
              </w:rPr>
            </w:pPr>
            <w:r>
              <w:rPr>
                <w:rFonts w:ascii="Verdana" w:hAnsi="Verdana"/>
                <w:noProof/>
                <w:color w:val="FFFFFF"/>
                <w:sz w:val="16"/>
              </w:rPr>
              <w:t>&lt; 2012</w:t>
            </w:r>
          </w:p>
        </w:tc>
        <w:tc>
          <w:tcPr>
            <w:tcW w:w="97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5RALYoO"/>
              <w:jc w:val="center"/>
              <w:rPr>
                <w:rFonts w:ascii="Verdana" w:eastAsia="Times New Roman" w:hAnsi="Verdana" w:cs="Verdana"/>
                <w:noProof/>
                <w:color w:val="FFFFFF"/>
                <w:sz w:val="16"/>
              </w:rPr>
            </w:pPr>
            <w:r>
              <w:rPr>
                <w:rFonts w:ascii="Verdana" w:hAnsi="Verdana"/>
                <w:noProof/>
                <w:color w:val="FFFFFF"/>
                <w:sz w:val="16"/>
              </w:rPr>
              <w:t>2012</w:t>
            </w:r>
          </w:p>
        </w:tc>
        <w:tc>
          <w:tcPr>
            <w:tcW w:w="97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5RALYoO"/>
              <w:jc w:val="center"/>
              <w:rPr>
                <w:rFonts w:ascii="Verdana" w:eastAsia="Times New Roman" w:hAnsi="Verdana" w:cs="Verdana"/>
                <w:noProof/>
                <w:color w:val="FFFFFF"/>
                <w:sz w:val="16"/>
              </w:rPr>
            </w:pPr>
            <w:r>
              <w:rPr>
                <w:rFonts w:ascii="Verdana" w:hAnsi="Verdana"/>
                <w:noProof/>
                <w:color w:val="FFFFFF"/>
                <w:sz w:val="16"/>
              </w:rPr>
              <w:t>2013</w:t>
            </w:r>
          </w:p>
        </w:tc>
        <w:tc>
          <w:tcPr>
            <w:tcW w:w="97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5RALYoO"/>
              <w:jc w:val="center"/>
              <w:rPr>
                <w:rFonts w:ascii="Verdana" w:eastAsia="Times New Roman" w:hAnsi="Verdana" w:cs="Verdana"/>
                <w:noProof/>
                <w:color w:val="FFFFFF"/>
                <w:sz w:val="16"/>
              </w:rPr>
            </w:pPr>
            <w:r>
              <w:rPr>
                <w:rFonts w:ascii="Verdana" w:hAnsi="Verdana"/>
                <w:noProof/>
                <w:color w:val="FFFFFF"/>
                <w:sz w:val="16"/>
              </w:rPr>
              <w:t>2014</w:t>
            </w:r>
          </w:p>
        </w:tc>
        <w:tc>
          <w:tcPr>
            <w:tcW w:w="97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5RALYoO"/>
              <w:jc w:val="center"/>
              <w:rPr>
                <w:rFonts w:ascii="Verdana" w:eastAsia="Times New Roman" w:hAnsi="Verdana" w:cs="Verdana"/>
                <w:noProof/>
                <w:color w:val="FFFFFF"/>
                <w:sz w:val="16"/>
              </w:rPr>
            </w:pPr>
            <w:r>
              <w:rPr>
                <w:rFonts w:ascii="Verdana" w:hAnsi="Verdana"/>
                <w:noProof/>
                <w:color w:val="FFFFFF"/>
                <w:sz w:val="16"/>
              </w:rPr>
              <w:t>2015</w:t>
            </w:r>
          </w:p>
        </w:tc>
        <w:tc>
          <w:tcPr>
            <w:tcW w:w="97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5RALYoO"/>
              <w:jc w:val="center"/>
              <w:rPr>
                <w:rFonts w:ascii="Verdana" w:eastAsia="Times New Roman" w:hAnsi="Verdana" w:cs="Verdana"/>
                <w:noProof/>
                <w:color w:val="FFFFFF"/>
                <w:sz w:val="16"/>
              </w:rPr>
            </w:pPr>
            <w:r>
              <w:rPr>
                <w:rFonts w:ascii="Verdana" w:hAnsi="Verdana"/>
                <w:noProof/>
                <w:color w:val="FFFFFF"/>
                <w:sz w:val="16"/>
              </w:rPr>
              <w:t>2016</w:t>
            </w:r>
          </w:p>
        </w:tc>
        <w:tc>
          <w:tcPr>
            <w:tcW w:w="97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5RALYoO"/>
              <w:jc w:val="center"/>
              <w:rPr>
                <w:rFonts w:ascii="Verdana" w:eastAsia="Times New Roman" w:hAnsi="Verdana" w:cs="Verdana"/>
                <w:noProof/>
                <w:color w:val="FFFFFF"/>
                <w:sz w:val="16"/>
              </w:rPr>
            </w:pPr>
            <w:r>
              <w:rPr>
                <w:rFonts w:ascii="Verdana" w:hAnsi="Verdana"/>
                <w:noProof/>
                <w:color w:val="FFFFFF"/>
                <w:sz w:val="16"/>
              </w:rPr>
              <w:t>2017</w:t>
            </w:r>
          </w:p>
        </w:tc>
        <w:tc>
          <w:tcPr>
            <w:tcW w:w="97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5RALYoO"/>
              <w:jc w:val="center"/>
              <w:rPr>
                <w:rFonts w:ascii="Verdana" w:eastAsia="Times New Roman" w:hAnsi="Verdana" w:cs="Verdana"/>
                <w:noProof/>
                <w:color w:val="FFFFFF"/>
                <w:sz w:val="16"/>
              </w:rPr>
            </w:pPr>
            <w:r>
              <w:rPr>
                <w:rFonts w:ascii="Verdana" w:hAnsi="Verdana"/>
                <w:noProof/>
                <w:color w:val="FFFFFF"/>
                <w:sz w:val="16"/>
              </w:rPr>
              <w:t>2018</w:t>
            </w:r>
          </w:p>
        </w:tc>
        <w:tc>
          <w:tcPr>
            <w:tcW w:w="1100"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5RALYoO"/>
              <w:jc w:val="center"/>
              <w:rPr>
                <w:rFonts w:ascii="Verdana" w:eastAsia="Times New Roman" w:hAnsi="Verdana" w:cs="Verdana"/>
                <w:noProof/>
                <w:color w:val="FFFFFF"/>
                <w:sz w:val="16"/>
              </w:rPr>
            </w:pPr>
            <w:r>
              <w:rPr>
                <w:rFonts w:ascii="Verdana" w:hAnsi="Verdana"/>
                <w:noProof/>
                <w:color w:val="FFFFFF"/>
                <w:sz w:val="16"/>
              </w:rPr>
              <w:t>Yhteensä</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1</w:t>
            </w: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Euroopan strategisten investointien rahasto (ESIR)</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687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2 022</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2 714</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Euroopan satelliittinavigointijärjestelmät (EGNOS/Galileo)</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112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564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501</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1 224</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Kansainvälinen lämpöydinreaktori (ITER)</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546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306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267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321</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1 454</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Euroopan maanseurantaohjelma (Copernicus)</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227</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243</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Euroopan solidaarisuusjoukot</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17</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17</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Ydinturvallisuus ja ydinvoimalaitosten käytöstäpoisto</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103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108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139</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596</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Horisontti 2020</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246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273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784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1 440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2 120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2 908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4 320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8 450</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20 541</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Euratomin tutkimus- ja koulutusohjelma</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150</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275</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Yritysten kilpailukykyä ja pk-yrityksiä koskeva ohjelma (COSME)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181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113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242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350</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943</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Koulutus-, nuoriso- ja urheiluohjelma (Erasmus+)</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199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497</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855</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Työllisyys ja sosiaalinen innovointi (EaSI-ohjelma)</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116</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222</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Tulli-ohjelma, Fiscalis-ohjelma ja petostentorjunta</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109</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175</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 xml:space="preserve">Verkkojen Eurooppa </w:t>
            </w:r>
            <w:r>
              <w:rPr>
                <w:noProof/>
              </w:rPr>
              <w:noBreakHyphen/>
            </w:r>
            <w:r>
              <w:rPr>
                <w:rFonts w:ascii="Verdana" w:hAnsi="Verdana"/>
                <w:noProof/>
                <w:color w:val="000000"/>
                <w:sz w:val="16"/>
              </w:rPr>
              <w:t>väline – Energia</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245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235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387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532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664</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2 072</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 xml:space="preserve">Verkkojen Eurooppa </w:t>
            </w:r>
            <w:r>
              <w:rPr>
                <w:noProof/>
              </w:rPr>
              <w:noBreakHyphen/>
            </w:r>
            <w:r>
              <w:rPr>
                <w:rFonts w:ascii="Verdana" w:hAnsi="Verdana"/>
                <w:noProof/>
                <w:color w:val="000000"/>
                <w:sz w:val="16"/>
              </w:rPr>
              <w:t>väline – Liikenne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226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192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705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1 166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1 934</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4 241</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 xml:space="preserve">Verkkojen Eurooppa </w:t>
            </w:r>
            <w:r>
              <w:rPr>
                <w:noProof/>
              </w:rPr>
              <w:noBreakHyphen/>
            </w:r>
            <w:r>
              <w:rPr>
                <w:rFonts w:ascii="Verdana" w:hAnsi="Verdana"/>
                <w:noProof/>
                <w:color w:val="000000"/>
                <w:sz w:val="16"/>
              </w:rPr>
              <w:t>väline – Tieto- ja viestintäteknologia</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135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85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173</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448</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Talouden elpymistä edistävät energiahankkeet</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254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254</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Erillisvirastot</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35</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52</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Muut toimet ja ohjelmat</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103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189</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404</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Pilottihankkeet ja valmistelutoimet</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68</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107</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Komission erityiset toimivaltuudet</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91</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169</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Alueellinen lähentyminen (vähemmän kehittyneet alueet)</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510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445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3 057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651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5 465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16 652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27 416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30 997</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85 194</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Siirtymäalueet</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149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1 594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4 066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6 102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6 553</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18 502</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Kilpailukyky (kehittyneemmät alueet)</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626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327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1 766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5 071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9 040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9 640</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26 523</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Syrjäisimmät ja harvaan asutut alueet</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222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246</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588</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Koheesiorahasto</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159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487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321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1 046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3 598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9 561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10 678</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25 851</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Euroopan alueiden välinen yhteistyö</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417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1 780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2 199</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4 502</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Tekninen apu</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124</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251</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Vähävaraisimmille suunnatun eurooppalaisen avun rahasto</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300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415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554</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1 304</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Nuorisotyöllisyysaloite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397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413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413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431</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1 655</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 xml:space="preserve">Verkkojen Eurooppa </w:t>
            </w:r>
            <w:r>
              <w:rPr>
                <w:noProof/>
              </w:rPr>
              <w:noBreakHyphen/>
            </w:r>
            <w:r>
              <w:rPr>
                <w:rFonts w:ascii="Verdana" w:hAnsi="Verdana"/>
                <w:noProof/>
                <w:color w:val="000000"/>
                <w:sz w:val="16"/>
              </w:rPr>
              <w:t>väline (CEF)</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279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550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1 608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1 510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1 648</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5 595</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Pilottihankkeet ja valmistelutoimet</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20</w:t>
            </w:r>
          </w:p>
        </w:tc>
      </w:tr>
      <w:tr>
        <w:trPr>
          <w:trHeight w:val="227"/>
        </w:trPr>
        <w:tc>
          <w:tcPr>
            <w:tcW w:w="34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Rahoituskehyksen otsake 1 yhteensä</w:t>
            </w:r>
          </w:p>
        </w:tc>
        <w:tc>
          <w:tcPr>
            <w:tcW w:w="9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1 355</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744</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5 867</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3 807</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13 803</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37 234</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65 049</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79 131</w:t>
            </w:r>
          </w:p>
        </w:tc>
        <w:tc>
          <w:tcPr>
            <w:tcW w:w="110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206 991</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2</w:t>
            </w: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Euroopan maatalouden tukirahasto (maataloustukirahasto)</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282</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349</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Euroopan maaseudun kehittämisen maatalousrahasto (maaseuturahasto)</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293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198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1 567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7 296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11 072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14 134</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34 594</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Euroopan meri- ja kalatalousrahasto (EMKR)</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358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760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1 000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1 049</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3 280</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Kalastuskumppanuussopimukset ja kalastuksenhoitojärjestöt</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15</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Ympäristö- ja ilmastotoimet (Life)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142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107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209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229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273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682</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1 768</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Erillisvirastot</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Muut toimet ja toimenpiteet</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Pilottihankkeet ja valmistelutoimet</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15</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28</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Erityistoimet</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227"/>
        </w:trPr>
        <w:tc>
          <w:tcPr>
            <w:tcW w:w="34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Rahoituskehyksen otsake 2 yhteensä</w:t>
            </w:r>
          </w:p>
        </w:tc>
        <w:tc>
          <w:tcPr>
            <w:tcW w:w="9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186</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56</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461</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311</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2 138</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8 301</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12 411</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16 173</w:t>
            </w:r>
          </w:p>
        </w:tc>
        <w:tc>
          <w:tcPr>
            <w:tcW w:w="110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40 037</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3</w:t>
            </w: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Turvapaikka-, maahanmuutto- ja kotouttamisrahasto</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491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1 094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969</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2 662</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Kuluttajat</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20</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40</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Luova Eurooppa</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124</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219</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Unionin sisällä annettava hätätilanteen tuki</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40</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62</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Sisäisen turvallisuuden rahasto</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266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589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777</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1 746</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Tietotekniikkajärjestelmät</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12</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46</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Oikeusasiat</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35</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90</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Perusoikeudet, tasa-arvo ja kansalaisuus</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54</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105</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Unionin pelastuspalvelumekanismi</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21</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43</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Kansalaisten Eurooppa</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12</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21</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Elintarvikkeet ja rehut</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221</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319</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Terveydenhuolto</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52</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133</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Erillisvirastot</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114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115</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242</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Pilottihankkeet ja valmistelutoimet</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24</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Erityistoimet</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65</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82</w:t>
            </w:r>
          </w:p>
        </w:tc>
      </w:tr>
      <w:tr>
        <w:trPr>
          <w:trHeight w:val="227"/>
        </w:trPr>
        <w:tc>
          <w:tcPr>
            <w:tcW w:w="34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Rahoituskehyksen otsake 3 yhteensä</w:t>
            </w:r>
          </w:p>
        </w:tc>
        <w:tc>
          <w:tcPr>
            <w:tcW w:w="9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50</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67</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56</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45</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118</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901</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2 069</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2 528</w:t>
            </w:r>
          </w:p>
        </w:tc>
        <w:tc>
          <w:tcPr>
            <w:tcW w:w="110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5 834</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4</w:t>
            </w: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Liittymistä valmisteleva tuki (IPA II)</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349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522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437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971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1 475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1 702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1 875</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7 425</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Makrotaloudellinen rahoitusapu (MFA)</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45</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Takuurahasto ulkosuhteisiin liittyville hankkeille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Unionin pelastuspalvelumekanismi</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15</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EU:n vapaaehtoisapua koskeva aloite (EUAV)</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22</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Euroopan kestävän kehityksen rahasto (EKKR)</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325</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325</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Euroopan naapuruusväline (ENI)</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426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341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485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594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783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1 367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1 716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2 120</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7 833</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Kehitysyhteistyön rahoitusväline (DCI)</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250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178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453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564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938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1 424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2 198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2 751</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8 755</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Kumppanuusväline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82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133</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386</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Demokratiaa ja ihmisoikeuksia koskeva eurooppalainen rahoitusväline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137</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358</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Vakautta ja rauhaa edistävä väline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88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141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258</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627</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Humanitaarinen apu</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117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267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456</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893</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Yhteinen ulko- ja turvallisuuspolitiikka (YUTP)</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134</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266</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Ydinturvallisuuteen liittyvä yhteistyö</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32</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107</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Erillisvirastot</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Muut toimet ja ohjelmat</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39</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152</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Pilottihankkeet ja valmistelutoimet</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16</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Erityistoimet</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57</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126</w:t>
            </w:r>
          </w:p>
        </w:tc>
      </w:tr>
      <w:tr>
        <w:trPr>
          <w:trHeight w:val="227"/>
        </w:trPr>
        <w:tc>
          <w:tcPr>
            <w:tcW w:w="34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Rahoituskehyksen otsake 4 yhteensä</w:t>
            </w:r>
          </w:p>
        </w:tc>
        <w:tc>
          <w:tcPr>
            <w:tcW w:w="9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1 065</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671</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1 526</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1 753</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2 920</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4 697</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6 385</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8 335</w:t>
            </w:r>
          </w:p>
        </w:tc>
        <w:tc>
          <w:tcPr>
            <w:tcW w:w="110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27 352</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5</w:t>
            </w: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Eläkkeet</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Eurooppa-koulut</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Erillisvirastot</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Pilottihankkeet ja valmistelutoimet</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Komission hallintomenot</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365</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366</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Muiden toimielinten hallintomenot</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587</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587</w:t>
            </w:r>
          </w:p>
        </w:tc>
      </w:tr>
      <w:tr>
        <w:trPr>
          <w:trHeight w:val="227"/>
        </w:trPr>
        <w:tc>
          <w:tcPr>
            <w:tcW w:w="34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Rahoituskehyksen otsake 5 yhteensä</w:t>
            </w:r>
          </w:p>
        </w:tc>
        <w:tc>
          <w:tcPr>
            <w:tcW w:w="9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957</w:t>
            </w:r>
          </w:p>
        </w:tc>
        <w:tc>
          <w:tcPr>
            <w:tcW w:w="110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961</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6</w:t>
            </w: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Korvaukset</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r>
      <w:tr>
        <w:trPr>
          <w:trHeight w:val="227"/>
        </w:trPr>
        <w:tc>
          <w:tcPr>
            <w:tcW w:w="34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Rahoituskehyksen otsake 6 yhteensä</w:t>
            </w:r>
          </w:p>
        </w:tc>
        <w:tc>
          <w:tcPr>
            <w:tcW w:w="9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110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8</w:t>
            </w: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Negatiivinen varaus</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Edelliseltä varainhoitovuodelta siirretty alijäämä</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r>
      <w:tr>
        <w:trPr>
          <w:trHeight w:val="227"/>
        </w:trPr>
        <w:tc>
          <w:tcPr>
            <w:tcW w:w="34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Rahoituskehyksen otsake 8 yhteensä</w:t>
            </w:r>
          </w:p>
        </w:tc>
        <w:tc>
          <w:tcPr>
            <w:tcW w:w="9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110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9</w:t>
            </w: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Hätäapuvaraus</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Euroopan globalisaatiorahasto (EGR)</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Euroopan unionin solidaarisuusrahasto (EUSR)</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r>
      <w:tr>
        <w:trPr>
          <w:trHeight w:val="227"/>
        </w:trPr>
        <w:tc>
          <w:tcPr>
            <w:tcW w:w="34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Rahoituskehyksen otsake 9 yhteensä</w:t>
            </w:r>
          </w:p>
        </w:tc>
        <w:tc>
          <w:tcPr>
            <w:tcW w:w="9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0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227"/>
        </w:trPr>
        <w:tc>
          <w:tcPr>
            <w:tcW w:w="34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b/>
                <w:noProof/>
                <w:color w:val="000000"/>
                <w:sz w:val="16"/>
              </w:rPr>
            </w:pPr>
          </w:p>
        </w:tc>
        <w:tc>
          <w:tcPr>
            <w:tcW w:w="545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b/>
                <w:noProof/>
                <w:color w:val="000000"/>
                <w:sz w:val="16"/>
              </w:rPr>
            </w:pPr>
            <w:r>
              <w:rPr>
                <w:rFonts w:ascii="Verdana" w:hAnsi="Verdana"/>
                <w:b/>
                <w:noProof/>
                <w:color w:val="000000"/>
                <w:sz w:val="16"/>
              </w:rPr>
              <w:t>Yhteensä</w:t>
            </w:r>
          </w:p>
        </w:tc>
        <w:tc>
          <w:tcPr>
            <w:tcW w:w="9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b/>
                <w:noProof/>
                <w:color w:val="000000"/>
                <w:sz w:val="16"/>
              </w:rPr>
            </w:pPr>
            <w:r>
              <w:rPr>
                <w:rFonts w:ascii="Verdana" w:hAnsi="Verdana"/>
                <w:b/>
                <w:noProof/>
                <w:color w:val="000000"/>
                <w:sz w:val="16"/>
              </w:rPr>
              <w:t>2 656</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b/>
                <w:noProof/>
                <w:color w:val="000000"/>
                <w:sz w:val="16"/>
              </w:rPr>
            </w:pPr>
            <w:r>
              <w:rPr>
                <w:rFonts w:ascii="Verdana" w:hAnsi="Verdana"/>
                <w:b/>
                <w:noProof/>
                <w:color w:val="000000"/>
                <w:sz w:val="16"/>
              </w:rPr>
              <w:t>1 538</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b/>
                <w:noProof/>
                <w:color w:val="000000"/>
                <w:sz w:val="16"/>
              </w:rPr>
            </w:pPr>
            <w:r>
              <w:rPr>
                <w:rFonts w:ascii="Verdana" w:hAnsi="Verdana"/>
                <w:b/>
                <w:noProof/>
                <w:color w:val="000000"/>
                <w:sz w:val="16"/>
              </w:rPr>
              <w:t>7 910</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b/>
                <w:noProof/>
                <w:color w:val="000000"/>
                <w:sz w:val="16"/>
              </w:rPr>
            </w:pPr>
            <w:r>
              <w:rPr>
                <w:rFonts w:ascii="Verdana" w:hAnsi="Verdana"/>
                <w:b/>
                <w:noProof/>
                <w:color w:val="000000"/>
                <w:sz w:val="16"/>
              </w:rPr>
              <w:t>5 916</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b/>
                <w:noProof/>
                <w:color w:val="000000"/>
                <w:sz w:val="16"/>
              </w:rPr>
            </w:pPr>
            <w:r>
              <w:rPr>
                <w:rFonts w:ascii="Verdana" w:hAnsi="Verdana"/>
                <w:b/>
                <w:noProof/>
                <w:color w:val="000000"/>
                <w:sz w:val="16"/>
              </w:rPr>
              <w:t>18 979</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b/>
                <w:noProof/>
                <w:color w:val="000000"/>
                <w:sz w:val="16"/>
              </w:rPr>
            </w:pPr>
            <w:r>
              <w:rPr>
                <w:rFonts w:ascii="Verdana" w:hAnsi="Verdana"/>
                <w:b/>
                <w:noProof/>
                <w:color w:val="000000"/>
                <w:sz w:val="16"/>
              </w:rPr>
              <w:t>51 133</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b/>
                <w:noProof/>
                <w:color w:val="000000"/>
                <w:sz w:val="16"/>
              </w:rPr>
            </w:pPr>
            <w:r>
              <w:rPr>
                <w:rFonts w:ascii="Verdana" w:hAnsi="Verdana"/>
                <w:b/>
                <w:noProof/>
                <w:color w:val="000000"/>
                <w:sz w:val="16"/>
              </w:rPr>
              <w:t>85 917</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b/>
                <w:noProof/>
                <w:color w:val="000000"/>
                <w:sz w:val="16"/>
              </w:rPr>
            </w:pPr>
            <w:r>
              <w:rPr>
                <w:rFonts w:ascii="Verdana" w:hAnsi="Verdana"/>
                <w:b/>
                <w:noProof/>
                <w:color w:val="000000"/>
                <w:sz w:val="16"/>
              </w:rPr>
              <w:t>107 126</w:t>
            </w:r>
          </w:p>
        </w:tc>
        <w:tc>
          <w:tcPr>
            <w:tcW w:w="110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b/>
                <w:noProof/>
                <w:color w:val="000000"/>
                <w:sz w:val="16"/>
              </w:rPr>
            </w:pPr>
            <w:r>
              <w:rPr>
                <w:rFonts w:ascii="Verdana" w:hAnsi="Verdana"/>
                <w:b/>
                <w:noProof/>
                <w:color w:val="000000"/>
                <w:sz w:val="16"/>
              </w:rPr>
              <w:t>281 175</w:t>
            </w:r>
          </w:p>
        </w:tc>
      </w:tr>
    </w:tbl>
    <w:p>
      <w:pPr>
        <w:pStyle w:val="DGTextstand-alone"/>
        <w:spacing w:before="0" w:after="0"/>
      </w:pPr>
    </w:p>
    <w:bookmarkEnd w:id="318"/>
    <w:p>
      <w:pPr>
        <w:pStyle w:val="Textstand-alone"/>
        <w:sectPr>
          <w:headerReference w:type="even" r:id="rId509"/>
          <w:headerReference w:type="default" r:id="rId510"/>
          <w:footerReference w:type="even" r:id="rId511"/>
          <w:footerReference w:type="default" r:id="rId512"/>
          <w:headerReference w:type="first" r:id="rId513"/>
          <w:footerReference w:type="first" r:id="rId514"/>
          <w:type w:val="nextColumn"/>
          <w:pgSz w:w="16840" w:h="11900" w:orient="landscape"/>
          <w:pgMar w:top="1134" w:right="1134" w:bottom="1134" w:left="1134" w:header="720" w:footer="720" w:gutter="0"/>
          <w:cols w:space="720"/>
          <w:docGrid w:linePitch="272"/>
        </w:sectPr>
      </w:pPr>
    </w:p>
    <w:p>
      <w:pPr>
        <w:pStyle w:val="HEADER1PartBUDG"/>
        <w:rPr>
          <w:noProof/>
        </w:rPr>
      </w:pPr>
      <w:bookmarkStart w:id="351" w:name="_DMBM_14879"/>
      <w:r>
        <w:rPr>
          <w:noProof/>
        </w:rPr>
        <w:t xml:space="preserve"> </w:t>
      </w:r>
      <w:bookmarkStart w:id="352" w:name="_Toc11939561"/>
      <w:bookmarkStart w:id="353" w:name="_Toc17887586"/>
      <w:r>
        <w:rPr>
          <w:noProof/>
        </w:rPr>
        <w:t>TALOUSARVION TOTEUTTAMINEN TOIMIELIMITTÄIN</w:t>
      </w:r>
      <w:bookmarkEnd w:id="352"/>
      <w:bookmarkEnd w:id="353"/>
    </w:p>
    <w:p>
      <w:pPr>
        <w:pStyle w:val="HEADER2PartBUDG"/>
        <w:rPr>
          <w:noProof/>
        </w:rPr>
      </w:pPr>
      <w:bookmarkStart w:id="354" w:name="_Toc11939562"/>
      <w:bookmarkStart w:id="355" w:name="_Toc17887587"/>
      <w:r>
        <w:rPr>
          <w:noProof/>
        </w:rPr>
        <w:t>TALOUSARVION TULOJEN TOTEUTUMINEN</w:t>
      </w:r>
      <w:bookmarkEnd w:id="354"/>
      <w:bookmarkEnd w:id="355"/>
      <w:r>
        <w:rPr>
          <w:noProof/>
        </w:rPr>
        <w:t xml:space="preserve">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1"/>
        <w:gridCol w:w="1275"/>
        <w:gridCol w:w="165"/>
        <w:gridCol w:w="969"/>
        <w:gridCol w:w="1132"/>
        <w:gridCol w:w="1051"/>
        <w:gridCol w:w="1051"/>
        <w:gridCol w:w="1051"/>
        <w:gridCol w:w="1051"/>
        <w:gridCol w:w="1051"/>
        <w:gridCol w:w="1051"/>
        <w:gridCol w:w="1230"/>
      </w:tblGrid>
      <w:tr>
        <w:trPr>
          <w:trHeight w:val="284"/>
        </w:trPr>
        <w:tc>
          <w:tcPr>
            <w:tcW w:w="3321"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bookmarkStart w:id="356" w:name="DOC_TBL00114_1_1"/>
            <w:bookmarkEnd w:id="356"/>
          </w:p>
        </w:tc>
        <w:tc>
          <w:tcPr>
            <w:tcW w:w="1440" w:type="dxa"/>
            <w:gridSpan w:val="2"/>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p>
        </w:tc>
        <w:tc>
          <w:tcPr>
            <w:tcW w:w="969"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p>
        </w:tc>
        <w:tc>
          <w:tcPr>
            <w:tcW w:w="1132"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p>
        </w:tc>
        <w:tc>
          <w:tcPr>
            <w:tcW w:w="1230"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i/>
                <w:noProof/>
                <w:color w:val="000000"/>
                <w:sz w:val="16"/>
              </w:rPr>
            </w:pPr>
            <w:r>
              <w:rPr>
                <w:rFonts w:ascii="Verdana" w:hAnsi="Verdana"/>
                <w:i/>
                <w:noProof/>
                <w:color w:val="000000"/>
                <w:sz w:val="16"/>
              </w:rPr>
              <w:t>milj. euroa</w:t>
            </w:r>
          </w:p>
        </w:tc>
      </w:tr>
      <w:tr>
        <w:trPr>
          <w:trHeight w:val="284"/>
        </w:trPr>
        <w:tc>
          <w:tcPr>
            <w:tcW w:w="3321"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p>
        </w:tc>
        <w:tc>
          <w:tcPr>
            <w:tcW w:w="2409" w:type="dxa"/>
            <w:gridSpan w:val="3"/>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1Revenue"/>
              <w:jc w:val="center"/>
              <w:rPr>
                <w:rFonts w:ascii="Verdana" w:eastAsia="Times New Roman" w:hAnsi="Verdana" w:cs="Verdana"/>
                <w:b/>
                <w:noProof/>
                <w:color w:val="FFFFFF"/>
                <w:sz w:val="16"/>
              </w:rPr>
            </w:pPr>
            <w:r>
              <w:rPr>
                <w:rFonts w:ascii="Verdana" w:hAnsi="Verdana"/>
                <w:b/>
                <w:noProof/>
                <w:color w:val="FFFFFF"/>
                <w:sz w:val="16"/>
              </w:rPr>
              <w:t>Talousarvioon otetut tulot</w:t>
            </w:r>
          </w:p>
        </w:tc>
        <w:tc>
          <w:tcPr>
            <w:tcW w:w="3234" w:type="dxa"/>
            <w:gridSpan w:val="3"/>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1Revenue"/>
              <w:jc w:val="center"/>
              <w:rPr>
                <w:rFonts w:ascii="Verdana" w:eastAsia="Times New Roman" w:hAnsi="Verdana" w:cs="Verdana"/>
                <w:b/>
                <w:noProof/>
                <w:color w:val="FFFFFF"/>
                <w:sz w:val="16"/>
              </w:rPr>
            </w:pPr>
            <w:r>
              <w:rPr>
                <w:rFonts w:ascii="Verdana" w:hAnsi="Verdana"/>
                <w:b/>
                <w:noProof/>
                <w:color w:val="FFFFFF"/>
                <w:sz w:val="16"/>
              </w:rPr>
              <w:t>Vahvistetut saamiset</w:t>
            </w:r>
          </w:p>
        </w:tc>
        <w:tc>
          <w:tcPr>
            <w:tcW w:w="3153" w:type="dxa"/>
            <w:gridSpan w:val="3"/>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1Revenue"/>
              <w:jc w:val="center"/>
              <w:rPr>
                <w:rFonts w:ascii="Verdana" w:eastAsia="Times New Roman" w:hAnsi="Verdana" w:cs="Verdana"/>
                <w:b/>
                <w:noProof/>
                <w:color w:val="FFFFFF"/>
                <w:sz w:val="16"/>
              </w:rPr>
            </w:pPr>
            <w:r>
              <w:rPr>
                <w:rFonts w:ascii="Verdana" w:hAnsi="Verdana"/>
                <w:b/>
                <w:noProof/>
                <w:color w:val="FFFFFF"/>
                <w:sz w:val="16"/>
              </w:rPr>
              <w:t>Tulot</w:t>
            </w:r>
          </w:p>
        </w:tc>
        <w:tc>
          <w:tcPr>
            <w:tcW w:w="1051" w:type="dxa"/>
            <w:vMerge w:val="restart"/>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FFFFFF"/>
                <w:sz w:val="16"/>
              </w:rPr>
            </w:pPr>
            <w:r>
              <w:rPr>
                <w:rFonts w:ascii="Verdana" w:hAnsi="Verdana"/>
                <w:noProof/>
                <w:color w:val="FFFFFF"/>
                <w:sz w:val="16"/>
              </w:rPr>
              <w:t>Tulot % budjetoi</w:t>
            </w:r>
            <w:r>
              <w:rPr>
                <w:rFonts w:ascii="Verdana" w:hAnsi="Verdana"/>
                <w:noProof/>
                <w:color w:val="FFFFFF"/>
                <w:sz w:val="16"/>
              </w:rPr>
              <w:softHyphen/>
              <w:t>duista</w:t>
            </w:r>
          </w:p>
        </w:tc>
        <w:tc>
          <w:tcPr>
            <w:tcW w:w="1230" w:type="dxa"/>
            <w:vMerge w:val="restart"/>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FFFFFF"/>
                <w:sz w:val="16"/>
              </w:rPr>
            </w:pPr>
            <w:r>
              <w:rPr>
                <w:rFonts w:ascii="Verdana" w:hAnsi="Verdana"/>
                <w:noProof/>
                <w:color w:val="FFFFFF"/>
                <w:sz w:val="16"/>
              </w:rPr>
              <w:t>Perimättä</w:t>
            </w:r>
          </w:p>
        </w:tc>
      </w:tr>
      <w:tr>
        <w:trPr>
          <w:trHeight w:val="284"/>
        </w:trPr>
        <w:tc>
          <w:tcPr>
            <w:tcW w:w="3321"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r>
              <w:rPr>
                <w:rFonts w:ascii="Verdana" w:hAnsi="Verdana"/>
                <w:noProof/>
                <w:color w:val="FFFFFF"/>
                <w:sz w:val="16"/>
              </w:rPr>
              <w:t>Toimielin</w:t>
            </w:r>
          </w:p>
        </w:tc>
        <w:tc>
          <w:tcPr>
            <w:tcW w:w="1275"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FFFFFF"/>
                <w:sz w:val="16"/>
              </w:rPr>
            </w:pPr>
            <w:r>
              <w:rPr>
                <w:rFonts w:ascii="Verdana" w:hAnsi="Verdana"/>
                <w:noProof/>
                <w:color w:val="FFFFFF"/>
                <w:sz w:val="16"/>
              </w:rPr>
              <w:t>Alku-peräinen hyväksytty talousarvio</w:t>
            </w:r>
          </w:p>
        </w:tc>
        <w:tc>
          <w:tcPr>
            <w:tcW w:w="1134"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FFFFFF"/>
                <w:sz w:val="16"/>
              </w:rPr>
            </w:pPr>
            <w:r>
              <w:rPr>
                <w:rFonts w:ascii="Verdana" w:hAnsi="Verdana"/>
                <w:noProof/>
                <w:color w:val="FFFFFF"/>
                <w:sz w:val="16"/>
              </w:rPr>
              <w:t>Lopullinen hyväksytty talousarvio</w:t>
            </w:r>
          </w:p>
        </w:tc>
        <w:tc>
          <w:tcPr>
            <w:tcW w:w="1132"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FFFFFF"/>
                <w:sz w:val="16"/>
              </w:rPr>
            </w:pPr>
            <w:r>
              <w:rPr>
                <w:rFonts w:ascii="Verdana" w:hAnsi="Verdana"/>
                <w:noProof/>
                <w:color w:val="FFFFFF"/>
                <w:sz w:val="16"/>
              </w:rPr>
              <w:t>Varainhoito-vuonna</w:t>
            </w:r>
          </w:p>
        </w:tc>
        <w:tc>
          <w:tcPr>
            <w:tcW w:w="1051"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FFFFFF"/>
                <w:sz w:val="16"/>
              </w:rPr>
            </w:pPr>
            <w:r>
              <w:rPr>
                <w:rFonts w:ascii="Verdana" w:hAnsi="Verdana"/>
                <w:noProof/>
                <w:color w:val="FFFFFF"/>
                <w:sz w:val="16"/>
              </w:rPr>
              <w:t>Siirretyt määrät</w:t>
            </w:r>
          </w:p>
        </w:tc>
        <w:tc>
          <w:tcPr>
            <w:tcW w:w="1051"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FFFFFF"/>
                <w:sz w:val="16"/>
              </w:rPr>
            </w:pPr>
            <w:r>
              <w:rPr>
                <w:rFonts w:ascii="Verdana" w:hAnsi="Verdana"/>
                <w:noProof/>
                <w:color w:val="FFFFFF"/>
                <w:sz w:val="16"/>
              </w:rPr>
              <w:t>Yhteensä</w:t>
            </w:r>
          </w:p>
        </w:tc>
        <w:tc>
          <w:tcPr>
            <w:tcW w:w="1051"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FFFFFF"/>
                <w:sz w:val="16"/>
              </w:rPr>
            </w:pPr>
            <w:r>
              <w:rPr>
                <w:rFonts w:ascii="Verdana" w:hAnsi="Verdana"/>
                <w:noProof/>
                <w:color w:val="FFFFFF"/>
                <w:sz w:val="16"/>
              </w:rPr>
              <w:t>Varainhoitovuoden saamisista</w:t>
            </w:r>
          </w:p>
        </w:tc>
        <w:tc>
          <w:tcPr>
            <w:tcW w:w="1051"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FFFFFF"/>
                <w:sz w:val="16"/>
              </w:rPr>
            </w:pPr>
            <w:r>
              <w:rPr>
                <w:rFonts w:ascii="Verdana" w:hAnsi="Verdana"/>
                <w:noProof/>
                <w:color w:val="FFFFFF"/>
                <w:sz w:val="16"/>
              </w:rPr>
              <w:t>Siirretyistä saamisista</w:t>
            </w:r>
          </w:p>
        </w:tc>
        <w:tc>
          <w:tcPr>
            <w:tcW w:w="1051"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FFFFFF"/>
                <w:sz w:val="16"/>
              </w:rPr>
            </w:pPr>
            <w:r>
              <w:rPr>
                <w:rFonts w:ascii="Verdana" w:hAnsi="Verdana"/>
                <w:noProof/>
                <w:color w:val="FFFFFF"/>
                <w:sz w:val="16"/>
              </w:rPr>
              <w:t>Yhteensä</w:t>
            </w:r>
          </w:p>
        </w:tc>
        <w:tc>
          <w:tcPr>
            <w:tcW w:w="1051" w:type="dxa"/>
            <w:vMerge/>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p>
        </w:tc>
        <w:tc>
          <w:tcPr>
            <w:tcW w:w="1230" w:type="dxa"/>
            <w:vMerge/>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p>
        </w:tc>
      </w:tr>
      <w:tr>
        <w:trPr>
          <w:trHeight w:val="284"/>
        </w:trPr>
        <w:tc>
          <w:tcPr>
            <w:tcW w:w="3321"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p>
        </w:tc>
        <w:tc>
          <w:tcPr>
            <w:tcW w:w="1275"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r>
              <w:rPr>
                <w:rFonts w:ascii="Verdana" w:hAnsi="Verdana"/>
                <w:noProof/>
                <w:color w:val="FFFFFF"/>
                <w:sz w:val="16"/>
              </w:rPr>
              <w:t>1</w:t>
            </w:r>
          </w:p>
        </w:tc>
        <w:tc>
          <w:tcPr>
            <w:tcW w:w="1134" w:type="dxa"/>
            <w:gridSpan w:val="2"/>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r>
              <w:rPr>
                <w:rFonts w:ascii="Verdana" w:hAnsi="Verdana"/>
                <w:noProof/>
                <w:color w:val="FFFFFF"/>
                <w:sz w:val="16"/>
              </w:rPr>
              <w:t>2</w:t>
            </w:r>
          </w:p>
        </w:tc>
        <w:tc>
          <w:tcPr>
            <w:tcW w:w="1132"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r>
              <w:rPr>
                <w:rFonts w:ascii="Verdana" w:hAnsi="Verdana"/>
                <w:noProof/>
                <w:color w:val="FFFFFF"/>
                <w:sz w:val="16"/>
              </w:rPr>
              <w:t>3</w:t>
            </w:r>
          </w:p>
        </w:tc>
        <w:tc>
          <w:tcPr>
            <w:tcW w:w="1051"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r>
              <w:rPr>
                <w:rFonts w:ascii="Verdana" w:hAnsi="Verdana"/>
                <w:noProof/>
                <w:color w:val="FFFFFF"/>
                <w:sz w:val="16"/>
              </w:rPr>
              <w:t>4</w:t>
            </w:r>
          </w:p>
        </w:tc>
        <w:tc>
          <w:tcPr>
            <w:tcW w:w="1051"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r>
              <w:rPr>
                <w:rFonts w:ascii="Verdana" w:hAnsi="Verdana"/>
                <w:noProof/>
                <w:color w:val="FFFFFF"/>
                <w:sz w:val="16"/>
              </w:rPr>
              <w:t>5=3+4</w:t>
            </w:r>
          </w:p>
        </w:tc>
        <w:tc>
          <w:tcPr>
            <w:tcW w:w="1051"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r>
              <w:rPr>
                <w:rFonts w:ascii="Verdana" w:hAnsi="Verdana"/>
                <w:noProof/>
                <w:color w:val="FFFFFF"/>
                <w:sz w:val="16"/>
              </w:rPr>
              <w:t>6</w:t>
            </w:r>
          </w:p>
        </w:tc>
        <w:tc>
          <w:tcPr>
            <w:tcW w:w="1051"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r>
              <w:rPr>
                <w:rFonts w:ascii="Verdana" w:hAnsi="Verdana"/>
                <w:noProof/>
                <w:color w:val="FFFFFF"/>
                <w:sz w:val="16"/>
              </w:rPr>
              <w:t>7</w:t>
            </w:r>
          </w:p>
        </w:tc>
        <w:tc>
          <w:tcPr>
            <w:tcW w:w="1051"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r>
              <w:rPr>
                <w:rFonts w:ascii="Verdana" w:hAnsi="Verdana"/>
                <w:noProof/>
                <w:color w:val="FFFFFF"/>
                <w:sz w:val="16"/>
              </w:rPr>
              <w:t>8=6+7</w:t>
            </w:r>
          </w:p>
        </w:tc>
        <w:tc>
          <w:tcPr>
            <w:tcW w:w="1051"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r>
              <w:rPr>
                <w:rFonts w:ascii="Verdana" w:hAnsi="Verdana"/>
                <w:noProof/>
                <w:color w:val="FFFFFF"/>
                <w:sz w:val="16"/>
              </w:rPr>
              <w:t>9=8/2</w:t>
            </w:r>
          </w:p>
        </w:tc>
        <w:tc>
          <w:tcPr>
            <w:tcW w:w="1230"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r>
              <w:rPr>
                <w:rFonts w:ascii="Verdana" w:hAnsi="Verdana"/>
                <w:noProof/>
                <w:color w:val="FFFFFF"/>
                <w:sz w:val="16"/>
              </w:rPr>
              <w:t>10=5-8</w:t>
            </w:r>
          </w:p>
        </w:tc>
      </w:tr>
      <w:tr>
        <w:trPr>
          <w:trHeight w:val="284"/>
        </w:trPr>
        <w:tc>
          <w:tcPr>
            <w:tcW w:w="3321"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r>
              <w:rPr>
                <w:rFonts w:ascii="Verdana" w:hAnsi="Verdana"/>
                <w:noProof/>
                <w:color w:val="000000"/>
                <w:sz w:val="16"/>
              </w:rPr>
              <w:t>Euroopan parlamentti</w:t>
            </w:r>
          </w:p>
        </w:tc>
        <w:tc>
          <w:tcPr>
            <w:tcW w:w="1275"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164</w:t>
            </w:r>
          </w:p>
        </w:tc>
        <w:tc>
          <w:tcPr>
            <w:tcW w:w="1134" w:type="dxa"/>
            <w:gridSpan w:val="2"/>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164</w:t>
            </w:r>
          </w:p>
        </w:tc>
        <w:tc>
          <w:tcPr>
            <w:tcW w:w="1132"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197</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19</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217</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191</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3</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194</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118 %</w:t>
            </w:r>
          </w:p>
        </w:tc>
        <w:tc>
          <w:tcPr>
            <w:tcW w:w="1230"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23</w:t>
            </w:r>
          </w:p>
        </w:tc>
      </w:tr>
      <w:tr>
        <w:trPr>
          <w:trHeight w:val="284"/>
        </w:trPr>
        <w:tc>
          <w:tcPr>
            <w:tcW w:w="3321"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r>
              <w:rPr>
                <w:rFonts w:ascii="Verdana" w:hAnsi="Verdana"/>
                <w:noProof/>
                <w:color w:val="000000"/>
                <w:sz w:val="16"/>
              </w:rPr>
              <w:t>Eurooppa-neuvosto ja neuvosto</w:t>
            </w:r>
          </w:p>
        </w:tc>
        <w:tc>
          <w:tcPr>
            <w:tcW w:w="1275"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53</w:t>
            </w:r>
          </w:p>
        </w:tc>
        <w:tc>
          <w:tcPr>
            <w:tcW w:w="1134" w:type="dxa"/>
            <w:gridSpan w:val="2"/>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53</w:t>
            </w:r>
          </w:p>
        </w:tc>
        <w:tc>
          <w:tcPr>
            <w:tcW w:w="1132"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79</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2</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81</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79</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80</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151 %</w:t>
            </w:r>
          </w:p>
        </w:tc>
        <w:tc>
          <w:tcPr>
            <w:tcW w:w="1230"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284"/>
        </w:trPr>
        <w:tc>
          <w:tcPr>
            <w:tcW w:w="3321"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r>
              <w:rPr>
                <w:rFonts w:ascii="Verdana" w:hAnsi="Verdana"/>
                <w:noProof/>
                <w:color w:val="000000"/>
                <w:sz w:val="16"/>
              </w:rPr>
              <w:t>Komissio</w:t>
            </w:r>
          </w:p>
        </w:tc>
        <w:tc>
          <w:tcPr>
            <w:tcW w:w="1275"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144 315</w:t>
            </w:r>
          </w:p>
        </w:tc>
        <w:tc>
          <w:tcPr>
            <w:tcW w:w="1134" w:type="dxa"/>
            <w:gridSpan w:val="2"/>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144 401</w:t>
            </w:r>
          </w:p>
        </w:tc>
        <w:tc>
          <w:tcPr>
            <w:tcW w:w="1132"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164 179</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8 210</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172 389</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157 870</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773</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158 643</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110 %</w:t>
            </w:r>
          </w:p>
        </w:tc>
        <w:tc>
          <w:tcPr>
            <w:tcW w:w="1230"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13 747</w:t>
            </w:r>
          </w:p>
        </w:tc>
      </w:tr>
      <w:tr>
        <w:trPr>
          <w:trHeight w:val="284"/>
        </w:trPr>
        <w:tc>
          <w:tcPr>
            <w:tcW w:w="3321"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r>
              <w:rPr>
                <w:rFonts w:ascii="Verdana" w:hAnsi="Verdana"/>
                <w:noProof/>
                <w:color w:val="000000"/>
                <w:sz w:val="16"/>
              </w:rPr>
              <w:t>Unionin tuomioistuin</w:t>
            </w:r>
          </w:p>
        </w:tc>
        <w:tc>
          <w:tcPr>
            <w:tcW w:w="1275"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56</w:t>
            </w:r>
          </w:p>
        </w:tc>
        <w:tc>
          <w:tcPr>
            <w:tcW w:w="1134" w:type="dxa"/>
            <w:gridSpan w:val="2"/>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56</w:t>
            </w:r>
          </w:p>
        </w:tc>
        <w:tc>
          <w:tcPr>
            <w:tcW w:w="1132"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53</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53</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53</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53</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96 %</w:t>
            </w:r>
          </w:p>
        </w:tc>
        <w:tc>
          <w:tcPr>
            <w:tcW w:w="1230"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284"/>
        </w:trPr>
        <w:tc>
          <w:tcPr>
            <w:tcW w:w="3321"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r>
              <w:rPr>
                <w:rFonts w:ascii="Verdana" w:hAnsi="Verdana"/>
                <w:noProof/>
                <w:color w:val="000000"/>
                <w:sz w:val="16"/>
              </w:rPr>
              <w:t>Tilintarkastustuomioistuin</w:t>
            </w:r>
          </w:p>
        </w:tc>
        <w:tc>
          <w:tcPr>
            <w:tcW w:w="1275"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21</w:t>
            </w:r>
          </w:p>
        </w:tc>
        <w:tc>
          <w:tcPr>
            <w:tcW w:w="1134" w:type="dxa"/>
            <w:gridSpan w:val="2"/>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21</w:t>
            </w:r>
          </w:p>
        </w:tc>
        <w:tc>
          <w:tcPr>
            <w:tcW w:w="1132"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21</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21</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21</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21</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101 %</w:t>
            </w:r>
          </w:p>
        </w:tc>
        <w:tc>
          <w:tcPr>
            <w:tcW w:w="1230"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284"/>
        </w:trPr>
        <w:tc>
          <w:tcPr>
            <w:tcW w:w="3321"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r>
              <w:rPr>
                <w:rFonts w:ascii="Verdana" w:hAnsi="Verdana"/>
                <w:noProof/>
                <w:color w:val="000000"/>
                <w:sz w:val="16"/>
              </w:rPr>
              <w:t>Talous- ja sosiaalikomitea</w:t>
            </w:r>
          </w:p>
        </w:tc>
        <w:tc>
          <w:tcPr>
            <w:tcW w:w="1275"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12</w:t>
            </w:r>
          </w:p>
        </w:tc>
        <w:tc>
          <w:tcPr>
            <w:tcW w:w="1134" w:type="dxa"/>
            <w:gridSpan w:val="2"/>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12</w:t>
            </w:r>
          </w:p>
        </w:tc>
        <w:tc>
          <w:tcPr>
            <w:tcW w:w="1132"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16</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16</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16</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16</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136 %</w:t>
            </w:r>
          </w:p>
        </w:tc>
        <w:tc>
          <w:tcPr>
            <w:tcW w:w="1230"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w:t>
            </w:r>
          </w:p>
        </w:tc>
      </w:tr>
      <w:tr>
        <w:trPr>
          <w:trHeight w:val="284"/>
        </w:trPr>
        <w:tc>
          <w:tcPr>
            <w:tcW w:w="3321"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r>
              <w:rPr>
                <w:rFonts w:ascii="Verdana" w:hAnsi="Verdana"/>
                <w:noProof/>
                <w:color w:val="000000"/>
                <w:sz w:val="16"/>
              </w:rPr>
              <w:t>Alueiden komitea</w:t>
            </w:r>
          </w:p>
        </w:tc>
        <w:tc>
          <w:tcPr>
            <w:tcW w:w="1275"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9</w:t>
            </w:r>
          </w:p>
        </w:tc>
        <w:tc>
          <w:tcPr>
            <w:tcW w:w="1134" w:type="dxa"/>
            <w:gridSpan w:val="2"/>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9</w:t>
            </w:r>
          </w:p>
        </w:tc>
        <w:tc>
          <w:tcPr>
            <w:tcW w:w="1132"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11</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11</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11</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11</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124 %</w:t>
            </w:r>
          </w:p>
        </w:tc>
        <w:tc>
          <w:tcPr>
            <w:tcW w:w="1230"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284"/>
        </w:trPr>
        <w:tc>
          <w:tcPr>
            <w:tcW w:w="3321"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r>
              <w:rPr>
                <w:rFonts w:ascii="Verdana" w:hAnsi="Verdana"/>
                <w:noProof/>
                <w:color w:val="000000"/>
                <w:sz w:val="16"/>
              </w:rPr>
              <w:t>Oikeusasiamies</w:t>
            </w:r>
          </w:p>
        </w:tc>
        <w:tc>
          <w:tcPr>
            <w:tcW w:w="1275"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w:t>
            </w:r>
          </w:p>
        </w:tc>
        <w:tc>
          <w:tcPr>
            <w:tcW w:w="1134" w:type="dxa"/>
            <w:gridSpan w:val="2"/>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w:t>
            </w:r>
          </w:p>
        </w:tc>
        <w:tc>
          <w:tcPr>
            <w:tcW w:w="1132"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86 %</w:t>
            </w:r>
          </w:p>
        </w:tc>
        <w:tc>
          <w:tcPr>
            <w:tcW w:w="1230"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284"/>
        </w:trPr>
        <w:tc>
          <w:tcPr>
            <w:tcW w:w="3321"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r>
              <w:rPr>
                <w:rFonts w:ascii="Verdana" w:hAnsi="Verdana"/>
                <w:noProof/>
                <w:color w:val="000000"/>
                <w:sz w:val="16"/>
              </w:rPr>
              <w:t>Euroopan tietosuojavaltuutettu</w:t>
            </w:r>
          </w:p>
        </w:tc>
        <w:tc>
          <w:tcPr>
            <w:tcW w:w="1275"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w:t>
            </w:r>
          </w:p>
        </w:tc>
        <w:tc>
          <w:tcPr>
            <w:tcW w:w="1134" w:type="dxa"/>
            <w:gridSpan w:val="2"/>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w:t>
            </w:r>
          </w:p>
        </w:tc>
        <w:tc>
          <w:tcPr>
            <w:tcW w:w="1132"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78 %</w:t>
            </w:r>
          </w:p>
        </w:tc>
        <w:tc>
          <w:tcPr>
            <w:tcW w:w="1230"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w:t>
            </w:r>
          </w:p>
        </w:tc>
      </w:tr>
      <w:tr>
        <w:trPr>
          <w:trHeight w:val="284"/>
        </w:trPr>
        <w:tc>
          <w:tcPr>
            <w:tcW w:w="3321"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r>
              <w:rPr>
                <w:rFonts w:ascii="Verdana" w:hAnsi="Verdana"/>
                <w:noProof/>
                <w:color w:val="000000"/>
                <w:sz w:val="16"/>
              </w:rPr>
              <w:t>Euroopan ulkosuhdehallinto</w:t>
            </w:r>
          </w:p>
        </w:tc>
        <w:tc>
          <w:tcPr>
            <w:tcW w:w="1275"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49</w:t>
            </w:r>
          </w:p>
        </w:tc>
        <w:tc>
          <w:tcPr>
            <w:tcW w:w="1134" w:type="dxa"/>
            <w:gridSpan w:val="2"/>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49</w:t>
            </w:r>
          </w:p>
        </w:tc>
        <w:tc>
          <w:tcPr>
            <w:tcW w:w="1132"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296</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2</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297</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295</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2</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297</w:t>
            </w:r>
          </w:p>
        </w:tc>
        <w:tc>
          <w:tcPr>
            <w:tcW w:w="105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607 %</w:t>
            </w:r>
          </w:p>
        </w:tc>
        <w:tc>
          <w:tcPr>
            <w:tcW w:w="1230"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284"/>
        </w:trPr>
        <w:tc>
          <w:tcPr>
            <w:tcW w:w="3321"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1Revenue"/>
              <w:rPr>
                <w:rFonts w:ascii="Verdana" w:eastAsia="Times New Roman" w:hAnsi="Verdana" w:cs="Verdana"/>
                <w:b/>
                <w:noProof/>
                <w:color w:val="000000"/>
                <w:sz w:val="16"/>
              </w:rPr>
            </w:pPr>
            <w:r>
              <w:rPr>
                <w:rFonts w:ascii="Verdana" w:hAnsi="Verdana"/>
                <w:b/>
                <w:noProof/>
                <w:color w:val="000000"/>
                <w:sz w:val="16"/>
              </w:rPr>
              <w:t>Yhteensä</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1Revenue"/>
              <w:jc w:val="right"/>
              <w:rPr>
                <w:rFonts w:ascii="Verdana" w:eastAsia="Times New Roman" w:hAnsi="Verdana" w:cs="Verdana"/>
                <w:b/>
                <w:noProof/>
                <w:color w:val="000000"/>
                <w:sz w:val="16"/>
              </w:rPr>
            </w:pPr>
            <w:r>
              <w:rPr>
                <w:rFonts w:ascii="Verdana" w:hAnsi="Verdana"/>
                <w:b/>
                <w:noProof/>
                <w:color w:val="000000"/>
                <w:sz w:val="16"/>
              </w:rPr>
              <w:t>144 681</w:t>
            </w:r>
          </w:p>
        </w:tc>
        <w:tc>
          <w:tcPr>
            <w:tcW w:w="1134"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1Revenue"/>
              <w:jc w:val="right"/>
              <w:rPr>
                <w:rFonts w:ascii="Verdana" w:eastAsia="Times New Roman" w:hAnsi="Verdana" w:cs="Verdana"/>
                <w:b/>
                <w:noProof/>
                <w:color w:val="000000"/>
                <w:sz w:val="16"/>
              </w:rPr>
            </w:pPr>
            <w:r>
              <w:rPr>
                <w:rFonts w:ascii="Verdana" w:hAnsi="Verdana"/>
                <w:b/>
                <w:noProof/>
                <w:color w:val="000000"/>
                <w:sz w:val="16"/>
              </w:rPr>
              <w:t>144 768</w:t>
            </w:r>
          </w:p>
        </w:tc>
        <w:tc>
          <w:tcPr>
            <w:tcW w:w="1132"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1Revenue"/>
              <w:jc w:val="right"/>
              <w:rPr>
                <w:rFonts w:ascii="Verdana" w:eastAsia="Times New Roman" w:hAnsi="Verdana" w:cs="Verdana"/>
                <w:b/>
                <w:noProof/>
                <w:color w:val="000000"/>
                <w:sz w:val="16"/>
              </w:rPr>
            </w:pPr>
            <w:r>
              <w:rPr>
                <w:rFonts w:ascii="Verdana" w:hAnsi="Verdana"/>
                <w:b/>
                <w:noProof/>
                <w:color w:val="000000"/>
                <w:sz w:val="16"/>
              </w:rPr>
              <w:t>164 856</w:t>
            </w:r>
          </w:p>
        </w:tc>
        <w:tc>
          <w:tcPr>
            <w:tcW w:w="1051"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1Revenue"/>
              <w:jc w:val="right"/>
              <w:rPr>
                <w:rFonts w:ascii="Verdana" w:eastAsia="Times New Roman" w:hAnsi="Verdana" w:cs="Verdana"/>
                <w:b/>
                <w:noProof/>
                <w:color w:val="000000"/>
                <w:sz w:val="16"/>
              </w:rPr>
            </w:pPr>
            <w:r>
              <w:rPr>
                <w:rFonts w:ascii="Verdana" w:hAnsi="Verdana"/>
                <w:b/>
                <w:noProof/>
                <w:color w:val="000000"/>
                <w:sz w:val="16"/>
              </w:rPr>
              <w:t>8 234</w:t>
            </w:r>
          </w:p>
        </w:tc>
        <w:tc>
          <w:tcPr>
            <w:tcW w:w="1051"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1Revenue"/>
              <w:jc w:val="right"/>
              <w:rPr>
                <w:rFonts w:ascii="Verdana" w:eastAsia="Times New Roman" w:hAnsi="Verdana" w:cs="Verdana"/>
                <w:b/>
                <w:noProof/>
                <w:color w:val="000000"/>
                <w:sz w:val="16"/>
              </w:rPr>
            </w:pPr>
            <w:r>
              <w:rPr>
                <w:rFonts w:ascii="Verdana" w:hAnsi="Verdana"/>
                <w:b/>
                <w:noProof/>
                <w:color w:val="000000"/>
                <w:sz w:val="16"/>
              </w:rPr>
              <w:t>173 090</w:t>
            </w:r>
          </w:p>
        </w:tc>
        <w:tc>
          <w:tcPr>
            <w:tcW w:w="1051"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1Revenue"/>
              <w:jc w:val="right"/>
              <w:rPr>
                <w:rFonts w:ascii="Verdana" w:eastAsia="Times New Roman" w:hAnsi="Verdana" w:cs="Verdana"/>
                <w:b/>
                <w:noProof/>
                <w:color w:val="000000"/>
                <w:sz w:val="16"/>
              </w:rPr>
            </w:pPr>
            <w:r>
              <w:rPr>
                <w:rFonts w:ascii="Verdana" w:hAnsi="Verdana"/>
                <w:b/>
                <w:noProof/>
                <w:color w:val="000000"/>
                <w:sz w:val="16"/>
              </w:rPr>
              <w:t>158 539</w:t>
            </w:r>
          </w:p>
        </w:tc>
        <w:tc>
          <w:tcPr>
            <w:tcW w:w="1051"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1Revenue"/>
              <w:jc w:val="right"/>
              <w:rPr>
                <w:rFonts w:ascii="Verdana" w:eastAsia="Times New Roman" w:hAnsi="Verdana" w:cs="Verdana"/>
                <w:b/>
                <w:noProof/>
                <w:color w:val="000000"/>
                <w:sz w:val="16"/>
              </w:rPr>
            </w:pPr>
            <w:r>
              <w:rPr>
                <w:rFonts w:ascii="Verdana" w:hAnsi="Verdana"/>
                <w:b/>
                <w:noProof/>
                <w:color w:val="000000"/>
                <w:sz w:val="16"/>
              </w:rPr>
              <w:t xml:space="preserve"> 779</w:t>
            </w:r>
          </w:p>
        </w:tc>
        <w:tc>
          <w:tcPr>
            <w:tcW w:w="1051"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1Revenue"/>
              <w:jc w:val="right"/>
              <w:rPr>
                <w:rFonts w:ascii="Verdana" w:eastAsia="Times New Roman" w:hAnsi="Verdana" w:cs="Verdana"/>
                <w:b/>
                <w:noProof/>
                <w:color w:val="000000"/>
                <w:sz w:val="16"/>
              </w:rPr>
            </w:pPr>
            <w:r>
              <w:rPr>
                <w:rFonts w:ascii="Verdana" w:hAnsi="Verdana"/>
                <w:b/>
                <w:noProof/>
                <w:color w:val="000000"/>
                <w:sz w:val="16"/>
              </w:rPr>
              <w:t>159 318</w:t>
            </w:r>
          </w:p>
        </w:tc>
        <w:tc>
          <w:tcPr>
            <w:tcW w:w="1051"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1Revenue"/>
              <w:jc w:val="right"/>
              <w:rPr>
                <w:rFonts w:ascii="Verdana" w:eastAsia="Times New Roman" w:hAnsi="Verdana" w:cs="Verdana"/>
                <w:b/>
                <w:noProof/>
                <w:color w:val="000000"/>
                <w:sz w:val="16"/>
              </w:rPr>
            </w:pPr>
            <w:r>
              <w:rPr>
                <w:rFonts w:ascii="Verdana" w:hAnsi="Verdana"/>
                <w:b/>
                <w:noProof/>
                <w:color w:val="000000"/>
                <w:sz w:val="16"/>
              </w:rPr>
              <w:t>110 %</w:t>
            </w:r>
          </w:p>
        </w:tc>
        <w:tc>
          <w:tcPr>
            <w:tcW w:w="1230"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1Revenue"/>
              <w:jc w:val="right"/>
              <w:rPr>
                <w:rFonts w:ascii="Verdana" w:eastAsia="Times New Roman" w:hAnsi="Verdana" w:cs="Verdana"/>
                <w:b/>
                <w:noProof/>
                <w:color w:val="000000"/>
                <w:sz w:val="16"/>
              </w:rPr>
            </w:pPr>
            <w:r>
              <w:rPr>
                <w:rFonts w:ascii="Verdana" w:hAnsi="Verdana"/>
                <w:b/>
                <w:noProof/>
                <w:color w:val="000000"/>
                <w:sz w:val="16"/>
              </w:rPr>
              <w:t>13 771</w:t>
            </w:r>
          </w:p>
        </w:tc>
      </w:tr>
    </w:tbl>
    <w:p>
      <w:pPr>
        <w:pStyle w:val="DGTextstand-alone"/>
      </w:pPr>
      <w:r>
        <w:t xml:space="preserve">Konsolidoitu selvitys EU:n yleisen talousarvion toteuttamisesta sisältää edellisvuosien tapaan selvitykset kunkin toimielimen talousarvion toteuttamisesta, koska eri toimielinten talousarviot sisältyvät EU:n talousarvioon erillisinä. </w:t>
      </w:r>
    </w:p>
    <w:p>
      <w:pPr>
        <w:pStyle w:val="DGTextstand-alone"/>
      </w:pPr>
      <w:r>
        <w:t>Virastojen talousarviota ja toteuttamista ei konsolidoida EU:n talousarvioon. Komission avustus sisältyy EU:n talousarvioon.</w:t>
      </w:r>
    </w:p>
    <w:p>
      <w:pPr>
        <w:pStyle w:val="DGTextstand-alone"/>
      </w:pPr>
      <w:r>
        <w:t xml:space="preserve">Euroopan ulkosuhdehallinnon osalta olisi otettava huomioon, että oman talousarvionsa lisäksi se saa rahoitusosuudet komissiolta (141,7 miljoonaa euroa, 144 miljoonaa euroa vuonna 2017) ja Euroopan kehitysrahastolta ja erityisrahastoilta (70,1 miljoonaa euroa, 72 miljoonaa euroa vuonna 2017). Tämä kattaa komission henkilöstön kustannukset Euroopan kehitysrahastosta ja erityisrahastoista rahoitetuissa edustustoissa, mukaan lukien vuoden aikana näistä rahoitusosuuksista syntyneet käyttötarkoitukseensa sidotut tulot. Nämä talousarviomäärärahat asetetaan Euroopan ulkosuhdehallinnon käyttöön (käyttötarkoitukseensa sidottuina tuloina) ja niillä katetaan lähinnä EU:n edustustoissa työskentelevän komission henkilöstön kustannukset. Kyseisten edustustojen hallinnosta vastaa Euroopan ulkosuhdehallinto.  </w:t>
      </w:r>
    </w:p>
    <w:p>
      <w:pPr>
        <w:pStyle w:val="DGTextstand-alone"/>
        <w:rPr>
          <w:rFonts w:eastAsia="Verdana" w:cs="Verdana"/>
          <w:sz w:val="25"/>
          <w:szCs w:val="25"/>
          <w:highlight w:val="yellow"/>
        </w:rPr>
        <w:sectPr>
          <w:headerReference w:type="even" r:id="rId515"/>
          <w:headerReference w:type="default" r:id="rId516"/>
          <w:footerReference w:type="even" r:id="rId517"/>
          <w:footerReference w:type="default" r:id="rId518"/>
          <w:headerReference w:type="first" r:id="rId519"/>
          <w:footerReference w:type="first" r:id="rId520"/>
          <w:pgSz w:w="16840" w:h="11900" w:orient="landscape"/>
          <w:pgMar w:top="1134" w:right="1134" w:bottom="1134" w:left="1134" w:header="708" w:footer="708" w:gutter="0"/>
          <w:cols w:space="720"/>
        </w:sectPr>
      </w:pPr>
    </w:p>
    <w:p>
      <w:pPr>
        <w:pStyle w:val="HEADER2PartBUDG"/>
        <w:rPr>
          <w:noProof/>
        </w:rPr>
      </w:pPr>
      <w:bookmarkStart w:id="357" w:name="_Toc11939563"/>
      <w:bookmarkStart w:id="358" w:name="_Toc17887588"/>
      <w:r>
        <w:rPr>
          <w:noProof/>
        </w:rPr>
        <w:t>MAKSUSITOUMUSMÄÄRÄRAHOJEN TOTEUTUMINEN</w:t>
      </w:r>
      <w:bookmarkEnd w:id="357"/>
      <w:bookmarkEnd w:id="358"/>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1263"/>
        <w:gridCol w:w="1032"/>
        <w:gridCol w:w="988"/>
        <w:gridCol w:w="838"/>
        <w:gridCol w:w="154"/>
        <w:gridCol w:w="759"/>
        <w:gridCol w:w="234"/>
        <w:gridCol w:w="679"/>
        <w:gridCol w:w="913"/>
        <w:gridCol w:w="913"/>
        <w:gridCol w:w="913"/>
        <w:gridCol w:w="913"/>
        <w:gridCol w:w="786"/>
        <w:gridCol w:w="843"/>
        <w:gridCol w:w="135"/>
        <w:gridCol w:w="1013"/>
      </w:tblGrid>
      <w:tr>
        <w:trPr>
          <w:trHeight w:val="181"/>
        </w:trPr>
        <w:tc>
          <w:tcPr>
            <w:tcW w:w="2022"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bookmarkStart w:id="359" w:name="DOC_TBL00115_1_1"/>
            <w:bookmarkEnd w:id="359"/>
          </w:p>
        </w:tc>
        <w:tc>
          <w:tcPr>
            <w:tcW w:w="1263"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p>
        </w:tc>
        <w:tc>
          <w:tcPr>
            <w:tcW w:w="1032"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p>
        </w:tc>
        <w:tc>
          <w:tcPr>
            <w:tcW w:w="988"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p>
        </w:tc>
        <w:tc>
          <w:tcPr>
            <w:tcW w:w="838"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p>
        </w:tc>
        <w:tc>
          <w:tcPr>
            <w:tcW w:w="913" w:type="dxa"/>
            <w:gridSpan w:val="2"/>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p>
        </w:tc>
        <w:tc>
          <w:tcPr>
            <w:tcW w:w="913" w:type="dxa"/>
            <w:gridSpan w:val="2"/>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p>
        </w:tc>
        <w:tc>
          <w:tcPr>
            <w:tcW w:w="786"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p>
        </w:tc>
        <w:tc>
          <w:tcPr>
            <w:tcW w:w="843"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p>
        </w:tc>
        <w:tc>
          <w:tcPr>
            <w:tcW w:w="1148" w:type="dxa"/>
            <w:gridSpan w:val="2"/>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i/>
                <w:noProof/>
                <w:color w:val="000000"/>
                <w:sz w:val="16"/>
              </w:rPr>
            </w:pPr>
            <w:r>
              <w:rPr>
                <w:rFonts w:ascii="Verdana" w:hAnsi="Verdana"/>
                <w:i/>
                <w:noProof/>
                <w:color w:val="000000"/>
                <w:sz w:val="16"/>
              </w:rPr>
              <w:t>milj. euroa</w:t>
            </w:r>
          </w:p>
        </w:tc>
      </w:tr>
      <w:tr>
        <w:trPr>
          <w:trHeight w:val="340"/>
        </w:trPr>
        <w:tc>
          <w:tcPr>
            <w:tcW w:w="2022"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p>
        </w:tc>
        <w:tc>
          <w:tcPr>
            <w:tcW w:w="1263" w:type="dxa"/>
            <w:vMerge w:val="restart"/>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b/>
                <w:noProof/>
                <w:color w:val="FFFFFF"/>
                <w:sz w:val="16"/>
              </w:rPr>
            </w:pPr>
            <w:r>
              <w:rPr>
                <w:rFonts w:ascii="Verdana" w:hAnsi="Verdana"/>
                <w:b/>
                <w:noProof/>
                <w:color w:val="FFFFFF"/>
                <w:sz w:val="16"/>
              </w:rPr>
              <w:t>Käytettä</w:t>
            </w:r>
            <w:r>
              <w:rPr>
                <w:rFonts w:ascii="Verdana" w:hAnsi="Verdana"/>
                <w:b/>
                <w:noProof/>
                <w:color w:val="FFFFFF"/>
                <w:sz w:val="16"/>
              </w:rPr>
              <w:softHyphen/>
              <w:t>vissä olevat</w:t>
            </w:r>
          </w:p>
          <w:p>
            <w:pPr>
              <w:pStyle w:val="DMETW14863BIPInstitutions2Commitments"/>
              <w:jc w:val="right"/>
              <w:rPr>
                <w:rFonts w:ascii="Verdana" w:eastAsia="Times New Roman" w:hAnsi="Verdana" w:cs="Verdana"/>
                <w:b/>
                <w:noProof/>
                <w:color w:val="FFFFFF"/>
                <w:sz w:val="16"/>
              </w:rPr>
            </w:pPr>
            <w:r>
              <w:rPr>
                <w:rFonts w:ascii="Verdana" w:hAnsi="Verdana"/>
                <w:b/>
                <w:noProof/>
                <w:color w:val="FFFFFF"/>
                <w:sz w:val="16"/>
              </w:rPr>
              <w:t>määrärahat</w:t>
            </w:r>
          </w:p>
          <w:p>
            <w:pPr>
              <w:pStyle w:val="DMETW14863BIPInstitutions2Commitments"/>
              <w:jc w:val="right"/>
              <w:rPr>
                <w:rFonts w:ascii="Verdana" w:eastAsia="Times New Roman" w:hAnsi="Verdana" w:cs="Verdana"/>
                <w:b/>
                <w:noProof/>
                <w:color w:val="FFFFFF"/>
                <w:sz w:val="16"/>
              </w:rPr>
            </w:pPr>
            <w:r>
              <w:rPr>
                <w:rFonts w:ascii="Verdana" w:hAnsi="Verdana"/>
                <w:b/>
                <w:noProof/>
                <w:color w:val="FFFFFF"/>
                <w:sz w:val="16"/>
              </w:rPr>
              <w:t>yhteensä</w:t>
            </w:r>
          </w:p>
        </w:tc>
        <w:tc>
          <w:tcPr>
            <w:tcW w:w="4684" w:type="dxa"/>
            <w:gridSpan w:val="7"/>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b/>
                <w:noProof/>
                <w:color w:val="FFFFFF"/>
                <w:sz w:val="16"/>
              </w:rPr>
            </w:pPr>
            <w:r>
              <w:rPr>
                <w:rFonts w:ascii="Verdana" w:hAnsi="Verdana"/>
                <w:b/>
                <w:noProof/>
                <w:color w:val="FFFFFF"/>
                <w:sz w:val="16"/>
              </w:rPr>
              <w:t>Tehdyt sitoumukset</w:t>
            </w:r>
          </w:p>
        </w:tc>
        <w:tc>
          <w:tcPr>
            <w:tcW w:w="2739" w:type="dxa"/>
            <w:gridSpan w:val="3"/>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b/>
                <w:noProof/>
                <w:color w:val="FFFFFF"/>
                <w:sz w:val="16"/>
              </w:rPr>
            </w:pPr>
            <w:r>
              <w:rPr>
                <w:rFonts w:ascii="Verdana" w:hAnsi="Verdana"/>
                <w:b/>
                <w:noProof/>
                <w:color w:val="FFFFFF"/>
                <w:sz w:val="16"/>
              </w:rPr>
              <w:t>Vuodelle 2019 siirretyt määrärahat</w:t>
            </w:r>
          </w:p>
        </w:tc>
        <w:tc>
          <w:tcPr>
            <w:tcW w:w="3690" w:type="dxa"/>
            <w:gridSpan w:val="5"/>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b/>
                <w:noProof/>
                <w:color w:val="FFFFFF"/>
                <w:sz w:val="16"/>
              </w:rPr>
            </w:pPr>
            <w:r>
              <w:rPr>
                <w:rFonts w:ascii="Verdana" w:hAnsi="Verdana"/>
                <w:b/>
                <w:noProof/>
                <w:color w:val="FFFFFF"/>
                <w:sz w:val="16"/>
              </w:rPr>
              <w:t>Raukeavat määrärahat</w:t>
            </w:r>
          </w:p>
        </w:tc>
      </w:tr>
      <w:tr>
        <w:trPr>
          <w:trHeight w:val="340"/>
        </w:trPr>
        <w:tc>
          <w:tcPr>
            <w:tcW w:w="2022"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Toimielin</w:t>
            </w:r>
          </w:p>
        </w:tc>
        <w:tc>
          <w:tcPr>
            <w:tcW w:w="1263" w:type="dxa"/>
            <w:vMerge/>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b/>
                <w:noProof/>
                <w:color w:val="FFFFFF"/>
                <w:sz w:val="16"/>
              </w:rPr>
            </w:pPr>
          </w:p>
        </w:tc>
        <w:tc>
          <w:tcPr>
            <w:tcW w:w="1032"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FFFFFF"/>
                <w:sz w:val="16"/>
              </w:rPr>
            </w:pPr>
            <w:r>
              <w:rPr>
                <w:rFonts w:ascii="Verdana" w:hAnsi="Verdana"/>
                <w:noProof/>
                <w:color w:val="FFFFFF"/>
                <w:sz w:val="16"/>
              </w:rPr>
              <w:t>Lopullisista hyväksy</w:t>
            </w:r>
            <w:r>
              <w:rPr>
                <w:rFonts w:ascii="Verdana" w:hAnsi="Verdana"/>
                <w:noProof/>
                <w:color w:val="FFFFFF"/>
                <w:sz w:val="16"/>
              </w:rPr>
              <w:softHyphen/>
              <w:t>tyistä määrä</w:t>
            </w:r>
            <w:r>
              <w:rPr>
                <w:rFonts w:ascii="Verdana" w:hAnsi="Verdana"/>
                <w:noProof/>
                <w:color w:val="FFFFFF"/>
                <w:sz w:val="16"/>
              </w:rPr>
              <w:softHyphen/>
              <w:t>rahoista</w:t>
            </w:r>
          </w:p>
        </w:tc>
        <w:tc>
          <w:tcPr>
            <w:tcW w:w="988"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FFFFFF"/>
                <w:sz w:val="16"/>
              </w:rPr>
            </w:pPr>
            <w:r>
              <w:rPr>
                <w:rFonts w:ascii="Verdana" w:hAnsi="Verdana"/>
                <w:noProof/>
                <w:color w:val="FFFFFF"/>
                <w:sz w:val="16"/>
              </w:rPr>
              <w:t>Siirretyis</w:t>
            </w:r>
            <w:r>
              <w:rPr>
                <w:rFonts w:ascii="Verdana" w:hAnsi="Verdana"/>
                <w:noProof/>
                <w:color w:val="FFFFFF"/>
                <w:sz w:val="16"/>
              </w:rPr>
              <w:softHyphen/>
              <w:t>tä määrä</w:t>
            </w:r>
            <w:r>
              <w:rPr>
                <w:rFonts w:ascii="Verdana" w:hAnsi="Verdana"/>
                <w:noProof/>
                <w:color w:val="FFFFFF"/>
                <w:sz w:val="16"/>
              </w:rPr>
              <w:softHyphen/>
              <w:t>rahoista</w:t>
            </w:r>
          </w:p>
        </w:tc>
        <w:tc>
          <w:tcPr>
            <w:tcW w:w="992"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FFFFFF"/>
                <w:sz w:val="16"/>
              </w:rPr>
            </w:pPr>
            <w:r>
              <w:rPr>
                <w:rFonts w:ascii="Verdana" w:hAnsi="Verdana"/>
                <w:noProof/>
                <w:color w:val="FFFFFF"/>
                <w:sz w:val="16"/>
              </w:rPr>
              <w:t>Käyttö</w:t>
            </w:r>
            <w:r>
              <w:rPr>
                <w:rFonts w:ascii="Verdana" w:hAnsi="Verdana"/>
                <w:noProof/>
                <w:color w:val="FFFFFF"/>
                <w:sz w:val="16"/>
              </w:rPr>
              <w:softHyphen/>
              <w:t>tark. sidotuista tuloista</w:t>
            </w:r>
          </w:p>
        </w:tc>
        <w:tc>
          <w:tcPr>
            <w:tcW w:w="993"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FFFFFF"/>
                <w:sz w:val="16"/>
              </w:rPr>
            </w:pPr>
            <w:r>
              <w:rPr>
                <w:rFonts w:ascii="Verdana" w:hAnsi="Verdana"/>
                <w:noProof/>
                <w:color w:val="FFFFFF"/>
                <w:sz w:val="16"/>
              </w:rPr>
              <w:t>Yhteensä</w:t>
            </w:r>
          </w:p>
        </w:tc>
        <w:tc>
          <w:tcPr>
            <w:tcW w:w="679"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FFFFFF"/>
                <w:sz w:val="16"/>
              </w:rPr>
            </w:pPr>
            <w:r>
              <w:rPr>
                <w:rFonts w:ascii="Verdana" w:hAnsi="Verdana"/>
                <w:noProof/>
                <w:color w:val="FFFFFF"/>
                <w:sz w:val="16"/>
              </w:rPr>
              <w:t>%</w:t>
            </w:r>
          </w:p>
        </w:tc>
        <w:tc>
          <w:tcPr>
            <w:tcW w:w="913"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FFFFFF"/>
                <w:sz w:val="16"/>
              </w:rPr>
            </w:pPr>
            <w:r>
              <w:rPr>
                <w:rFonts w:ascii="Verdana" w:hAnsi="Verdana"/>
                <w:noProof/>
                <w:color w:val="FFFFFF"/>
                <w:sz w:val="16"/>
              </w:rPr>
              <w:t>Käyttö</w:t>
            </w:r>
            <w:r>
              <w:rPr>
                <w:rFonts w:ascii="Verdana" w:hAnsi="Verdana"/>
                <w:noProof/>
                <w:color w:val="FFFFFF"/>
                <w:sz w:val="16"/>
              </w:rPr>
              <w:softHyphen/>
              <w:t>tark. sidotut tulot</w:t>
            </w:r>
          </w:p>
        </w:tc>
        <w:tc>
          <w:tcPr>
            <w:tcW w:w="913"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FFFFFF"/>
                <w:sz w:val="16"/>
              </w:rPr>
            </w:pPr>
            <w:r>
              <w:rPr>
                <w:rFonts w:ascii="Verdana" w:hAnsi="Verdana"/>
                <w:noProof/>
                <w:color w:val="FFFFFF"/>
                <w:sz w:val="16"/>
              </w:rPr>
              <w:t>Päätök</w:t>
            </w:r>
            <w:r>
              <w:rPr>
                <w:rFonts w:ascii="Verdana" w:hAnsi="Verdana"/>
                <w:noProof/>
                <w:color w:val="FFFFFF"/>
                <w:sz w:val="16"/>
              </w:rPr>
              <w:softHyphen/>
              <w:t>sellä siirretyt</w:t>
            </w:r>
          </w:p>
        </w:tc>
        <w:tc>
          <w:tcPr>
            <w:tcW w:w="913"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FFFFFF"/>
                <w:sz w:val="16"/>
              </w:rPr>
            </w:pPr>
            <w:r>
              <w:rPr>
                <w:rFonts w:ascii="Verdana" w:hAnsi="Verdana"/>
                <w:noProof/>
                <w:color w:val="FFFFFF"/>
                <w:sz w:val="16"/>
              </w:rPr>
              <w:t>Yhteensä</w:t>
            </w:r>
          </w:p>
        </w:tc>
        <w:tc>
          <w:tcPr>
            <w:tcW w:w="913"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FFFFFF"/>
                <w:sz w:val="16"/>
              </w:rPr>
            </w:pPr>
            <w:r>
              <w:rPr>
                <w:rFonts w:ascii="Verdana" w:hAnsi="Verdana"/>
                <w:noProof/>
                <w:color w:val="FFFFFF"/>
                <w:sz w:val="16"/>
              </w:rPr>
              <w:t>Lopulli</w:t>
            </w:r>
            <w:r>
              <w:rPr>
                <w:rFonts w:ascii="Verdana" w:hAnsi="Verdana"/>
                <w:noProof/>
                <w:color w:val="FFFFFF"/>
                <w:sz w:val="16"/>
              </w:rPr>
              <w:softHyphen/>
              <w:t>sista hyväksy</w:t>
            </w:r>
            <w:r>
              <w:rPr>
                <w:rFonts w:ascii="Verdana" w:hAnsi="Verdana"/>
                <w:noProof/>
                <w:color w:val="FFFFFF"/>
                <w:sz w:val="16"/>
              </w:rPr>
              <w:softHyphen/>
              <w:t>tyistä määrä</w:t>
            </w:r>
            <w:r>
              <w:rPr>
                <w:rFonts w:ascii="Verdana" w:hAnsi="Verdana"/>
                <w:noProof/>
                <w:color w:val="FFFFFF"/>
                <w:sz w:val="16"/>
              </w:rPr>
              <w:softHyphen/>
              <w:t>rahoista</w:t>
            </w:r>
          </w:p>
        </w:tc>
        <w:tc>
          <w:tcPr>
            <w:tcW w:w="786"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FFFFFF"/>
                <w:sz w:val="16"/>
              </w:rPr>
            </w:pPr>
            <w:r>
              <w:rPr>
                <w:rFonts w:ascii="Verdana" w:hAnsi="Verdana"/>
                <w:noProof/>
                <w:color w:val="FFFFFF"/>
                <w:sz w:val="16"/>
              </w:rPr>
              <w:t>Siirre</w:t>
            </w:r>
            <w:r>
              <w:rPr>
                <w:rFonts w:ascii="Verdana" w:hAnsi="Verdana"/>
                <w:noProof/>
                <w:color w:val="FFFFFF"/>
                <w:sz w:val="16"/>
              </w:rPr>
              <w:softHyphen/>
              <w:t>tyistä määrä</w:t>
            </w:r>
            <w:r>
              <w:rPr>
                <w:rFonts w:ascii="Verdana" w:hAnsi="Verdana"/>
                <w:noProof/>
                <w:color w:val="FFFFFF"/>
                <w:sz w:val="16"/>
              </w:rPr>
              <w:softHyphen/>
              <w:t>rahoista</w:t>
            </w:r>
          </w:p>
        </w:tc>
        <w:tc>
          <w:tcPr>
            <w:tcW w:w="978"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FFFFFF"/>
                <w:sz w:val="16"/>
              </w:rPr>
            </w:pPr>
            <w:r>
              <w:rPr>
                <w:rFonts w:ascii="Verdana" w:hAnsi="Verdana"/>
                <w:noProof/>
                <w:color w:val="FFFFFF"/>
                <w:sz w:val="16"/>
              </w:rPr>
              <w:t>Käyttö</w:t>
            </w:r>
            <w:r>
              <w:rPr>
                <w:rFonts w:ascii="Verdana" w:hAnsi="Verdana"/>
                <w:noProof/>
                <w:color w:val="FFFFFF"/>
                <w:sz w:val="16"/>
              </w:rPr>
              <w:softHyphen/>
              <w:t>tark. sidotuista tuloista</w:t>
            </w:r>
          </w:p>
        </w:tc>
        <w:tc>
          <w:tcPr>
            <w:tcW w:w="1013"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FFFFFF"/>
                <w:sz w:val="16"/>
              </w:rPr>
            </w:pPr>
            <w:r>
              <w:rPr>
                <w:rFonts w:ascii="Verdana" w:hAnsi="Verdana"/>
                <w:noProof/>
                <w:color w:val="FFFFFF"/>
                <w:sz w:val="16"/>
              </w:rPr>
              <w:t>Yhteensä</w:t>
            </w:r>
          </w:p>
        </w:tc>
      </w:tr>
      <w:tr>
        <w:trPr>
          <w:trHeight w:val="340"/>
        </w:trPr>
        <w:tc>
          <w:tcPr>
            <w:tcW w:w="2022"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p>
        </w:tc>
        <w:tc>
          <w:tcPr>
            <w:tcW w:w="1263"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1</w:t>
            </w:r>
          </w:p>
        </w:tc>
        <w:tc>
          <w:tcPr>
            <w:tcW w:w="1032"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2</w:t>
            </w:r>
          </w:p>
        </w:tc>
        <w:tc>
          <w:tcPr>
            <w:tcW w:w="988"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3</w:t>
            </w:r>
          </w:p>
        </w:tc>
        <w:tc>
          <w:tcPr>
            <w:tcW w:w="992" w:type="dxa"/>
            <w:gridSpan w:val="2"/>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4</w:t>
            </w:r>
          </w:p>
        </w:tc>
        <w:tc>
          <w:tcPr>
            <w:tcW w:w="759"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5=2+3+4</w:t>
            </w:r>
          </w:p>
        </w:tc>
        <w:tc>
          <w:tcPr>
            <w:tcW w:w="913" w:type="dxa"/>
            <w:gridSpan w:val="2"/>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6=5/1</w:t>
            </w:r>
          </w:p>
        </w:tc>
        <w:tc>
          <w:tcPr>
            <w:tcW w:w="913"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7</w:t>
            </w:r>
          </w:p>
        </w:tc>
        <w:tc>
          <w:tcPr>
            <w:tcW w:w="913"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8</w:t>
            </w:r>
          </w:p>
        </w:tc>
        <w:tc>
          <w:tcPr>
            <w:tcW w:w="913"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9=7+8</w:t>
            </w:r>
          </w:p>
        </w:tc>
        <w:tc>
          <w:tcPr>
            <w:tcW w:w="913"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10</w:t>
            </w:r>
          </w:p>
        </w:tc>
        <w:tc>
          <w:tcPr>
            <w:tcW w:w="786"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11</w:t>
            </w:r>
          </w:p>
        </w:tc>
        <w:tc>
          <w:tcPr>
            <w:tcW w:w="978" w:type="dxa"/>
            <w:gridSpan w:val="2"/>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12</w:t>
            </w:r>
          </w:p>
        </w:tc>
        <w:tc>
          <w:tcPr>
            <w:tcW w:w="1013"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13=10+11+12</w:t>
            </w:r>
          </w:p>
        </w:tc>
      </w:tr>
      <w:tr>
        <w:trPr>
          <w:trHeight w:val="340"/>
        </w:trPr>
        <w:tc>
          <w:tcPr>
            <w:tcW w:w="2022"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r>
              <w:rPr>
                <w:rFonts w:ascii="Verdana" w:hAnsi="Verdana"/>
                <w:noProof/>
                <w:color w:val="000000"/>
                <w:sz w:val="16"/>
              </w:rPr>
              <w:t>Euroopan parlamentti</w:t>
            </w:r>
          </w:p>
        </w:tc>
        <w:tc>
          <w:tcPr>
            <w:tcW w:w="126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2 031</w:t>
            </w:r>
          </w:p>
        </w:tc>
        <w:tc>
          <w:tcPr>
            <w:tcW w:w="103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1 934</w:t>
            </w:r>
          </w:p>
        </w:tc>
        <w:tc>
          <w:tcPr>
            <w:tcW w:w="988"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56</w:t>
            </w:r>
          </w:p>
        </w:tc>
        <w:tc>
          <w:tcPr>
            <w:tcW w:w="759"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1 993</w:t>
            </w:r>
          </w:p>
        </w:tc>
        <w:tc>
          <w:tcPr>
            <w:tcW w:w="913" w:type="dxa"/>
            <w:gridSpan w:val="2"/>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22</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22</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786"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w:t>
            </w:r>
          </w:p>
        </w:tc>
        <w:tc>
          <w:tcPr>
            <w:tcW w:w="978" w:type="dxa"/>
            <w:gridSpan w:val="2"/>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16</w:t>
            </w:r>
          </w:p>
        </w:tc>
      </w:tr>
      <w:tr>
        <w:trPr>
          <w:trHeight w:val="340"/>
        </w:trPr>
        <w:tc>
          <w:tcPr>
            <w:tcW w:w="2022"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r>
              <w:rPr>
                <w:rFonts w:ascii="Verdana" w:hAnsi="Verdana"/>
                <w:noProof/>
                <w:color w:val="000000"/>
                <w:sz w:val="16"/>
              </w:rPr>
              <w:t>Eurooppa-neuvosto ja neuvosto</w:t>
            </w:r>
          </w:p>
        </w:tc>
        <w:tc>
          <w:tcPr>
            <w:tcW w:w="126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629</w:t>
            </w:r>
          </w:p>
        </w:tc>
        <w:tc>
          <w:tcPr>
            <w:tcW w:w="103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527</w:t>
            </w:r>
          </w:p>
        </w:tc>
        <w:tc>
          <w:tcPr>
            <w:tcW w:w="988"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24</w:t>
            </w:r>
          </w:p>
        </w:tc>
        <w:tc>
          <w:tcPr>
            <w:tcW w:w="759"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555</w:t>
            </w:r>
          </w:p>
        </w:tc>
        <w:tc>
          <w:tcPr>
            <w:tcW w:w="913" w:type="dxa"/>
            <w:gridSpan w:val="2"/>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88 %</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23</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23</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46</w:t>
            </w:r>
          </w:p>
        </w:tc>
        <w:tc>
          <w:tcPr>
            <w:tcW w:w="786"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978" w:type="dxa"/>
            <w:gridSpan w:val="2"/>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51</w:t>
            </w:r>
          </w:p>
        </w:tc>
      </w:tr>
      <w:tr>
        <w:trPr>
          <w:trHeight w:val="340"/>
        </w:trPr>
        <w:tc>
          <w:tcPr>
            <w:tcW w:w="2022"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r>
              <w:rPr>
                <w:rFonts w:ascii="Verdana" w:hAnsi="Verdana"/>
                <w:noProof/>
                <w:color w:val="000000"/>
                <w:sz w:val="16"/>
              </w:rPr>
              <w:t>Komissio</w:t>
            </w:r>
          </w:p>
        </w:tc>
        <w:tc>
          <w:tcPr>
            <w:tcW w:w="126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174 003</w:t>
            </w:r>
          </w:p>
        </w:tc>
        <w:tc>
          <w:tcPr>
            <w:tcW w:w="103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155 941</w:t>
            </w:r>
          </w:p>
        </w:tc>
        <w:tc>
          <w:tcPr>
            <w:tcW w:w="988"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866</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12 051</w:t>
            </w:r>
          </w:p>
        </w:tc>
        <w:tc>
          <w:tcPr>
            <w:tcW w:w="759"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168 859</w:t>
            </w:r>
          </w:p>
        </w:tc>
        <w:tc>
          <w:tcPr>
            <w:tcW w:w="913" w:type="dxa"/>
            <w:gridSpan w:val="2"/>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4 386</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525</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4 911</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215</w:t>
            </w:r>
          </w:p>
        </w:tc>
        <w:tc>
          <w:tcPr>
            <w:tcW w:w="786"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18</w:t>
            </w:r>
          </w:p>
        </w:tc>
        <w:tc>
          <w:tcPr>
            <w:tcW w:w="978" w:type="dxa"/>
            <w:gridSpan w:val="2"/>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233</w:t>
            </w:r>
          </w:p>
        </w:tc>
      </w:tr>
      <w:tr>
        <w:trPr>
          <w:trHeight w:val="340"/>
        </w:trPr>
        <w:tc>
          <w:tcPr>
            <w:tcW w:w="2022"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r>
              <w:rPr>
                <w:rFonts w:ascii="Verdana" w:hAnsi="Verdana"/>
                <w:noProof/>
                <w:color w:val="000000"/>
                <w:sz w:val="16"/>
              </w:rPr>
              <w:t>Unionin tuomioistuin</w:t>
            </w:r>
          </w:p>
        </w:tc>
        <w:tc>
          <w:tcPr>
            <w:tcW w:w="126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411</w:t>
            </w:r>
          </w:p>
        </w:tc>
        <w:tc>
          <w:tcPr>
            <w:tcW w:w="103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407</w:t>
            </w:r>
          </w:p>
        </w:tc>
        <w:tc>
          <w:tcPr>
            <w:tcW w:w="988"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59"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407</w:t>
            </w:r>
          </w:p>
        </w:tc>
        <w:tc>
          <w:tcPr>
            <w:tcW w:w="913" w:type="dxa"/>
            <w:gridSpan w:val="2"/>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786"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78" w:type="dxa"/>
            <w:gridSpan w:val="2"/>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3</w:t>
            </w:r>
          </w:p>
        </w:tc>
      </w:tr>
      <w:tr>
        <w:trPr>
          <w:trHeight w:val="340"/>
        </w:trPr>
        <w:tc>
          <w:tcPr>
            <w:tcW w:w="2022"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r>
              <w:rPr>
                <w:rFonts w:ascii="Verdana" w:hAnsi="Verdana"/>
                <w:noProof/>
                <w:color w:val="000000"/>
                <w:sz w:val="16"/>
              </w:rPr>
              <w:t>Tilintarkastustuomioistuin</w:t>
            </w:r>
          </w:p>
        </w:tc>
        <w:tc>
          <w:tcPr>
            <w:tcW w:w="126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146</w:t>
            </w:r>
          </w:p>
        </w:tc>
        <w:tc>
          <w:tcPr>
            <w:tcW w:w="103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140</w:t>
            </w:r>
          </w:p>
        </w:tc>
        <w:tc>
          <w:tcPr>
            <w:tcW w:w="988"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59"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141</w:t>
            </w:r>
          </w:p>
        </w:tc>
        <w:tc>
          <w:tcPr>
            <w:tcW w:w="913" w:type="dxa"/>
            <w:gridSpan w:val="2"/>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96 %</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786"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78" w:type="dxa"/>
            <w:gridSpan w:val="2"/>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6</w:t>
            </w:r>
          </w:p>
        </w:tc>
      </w:tr>
      <w:tr>
        <w:trPr>
          <w:trHeight w:val="340"/>
        </w:trPr>
        <w:tc>
          <w:tcPr>
            <w:tcW w:w="2022"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r>
              <w:rPr>
                <w:rFonts w:ascii="Verdana" w:hAnsi="Verdana"/>
                <w:noProof/>
                <w:color w:val="000000"/>
                <w:sz w:val="16"/>
              </w:rPr>
              <w:t>Talous- ja sosiaalikomitea</w:t>
            </w:r>
          </w:p>
        </w:tc>
        <w:tc>
          <w:tcPr>
            <w:tcW w:w="126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140</w:t>
            </w:r>
          </w:p>
        </w:tc>
        <w:tc>
          <w:tcPr>
            <w:tcW w:w="103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134</w:t>
            </w:r>
          </w:p>
        </w:tc>
        <w:tc>
          <w:tcPr>
            <w:tcW w:w="988"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759"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138</w:t>
            </w:r>
          </w:p>
        </w:tc>
        <w:tc>
          <w:tcPr>
            <w:tcW w:w="913" w:type="dxa"/>
            <w:gridSpan w:val="2"/>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786"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78" w:type="dxa"/>
            <w:gridSpan w:val="2"/>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340"/>
        </w:trPr>
        <w:tc>
          <w:tcPr>
            <w:tcW w:w="2022"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r>
              <w:rPr>
                <w:rFonts w:ascii="Verdana" w:hAnsi="Verdana"/>
                <w:noProof/>
                <w:color w:val="000000"/>
                <w:sz w:val="16"/>
              </w:rPr>
              <w:t>Alueiden komitea</w:t>
            </w:r>
          </w:p>
        </w:tc>
        <w:tc>
          <w:tcPr>
            <w:tcW w:w="126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98</w:t>
            </w:r>
          </w:p>
        </w:tc>
        <w:tc>
          <w:tcPr>
            <w:tcW w:w="103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95</w:t>
            </w:r>
          </w:p>
        </w:tc>
        <w:tc>
          <w:tcPr>
            <w:tcW w:w="988"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759"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97</w:t>
            </w:r>
          </w:p>
        </w:tc>
        <w:tc>
          <w:tcPr>
            <w:tcW w:w="913" w:type="dxa"/>
            <w:gridSpan w:val="2"/>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86"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78" w:type="dxa"/>
            <w:gridSpan w:val="2"/>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40"/>
        </w:trPr>
        <w:tc>
          <w:tcPr>
            <w:tcW w:w="2022"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r>
              <w:rPr>
                <w:rFonts w:ascii="Verdana" w:hAnsi="Verdana"/>
                <w:noProof/>
                <w:color w:val="000000"/>
                <w:sz w:val="16"/>
              </w:rPr>
              <w:t>Oikeusasiamies</w:t>
            </w:r>
          </w:p>
        </w:tc>
        <w:tc>
          <w:tcPr>
            <w:tcW w:w="126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11</w:t>
            </w:r>
          </w:p>
        </w:tc>
        <w:tc>
          <w:tcPr>
            <w:tcW w:w="103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10</w:t>
            </w:r>
          </w:p>
        </w:tc>
        <w:tc>
          <w:tcPr>
            <w:tcW w:w="988"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759"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10</w:t>
            </w:r>
          </w:p>
        </w:tc>
        <w:tc>
          <w:tcPr>
            <w:tcW w:w="913" w:type="dxa"/>
            <w:gridSpan w:val="2"/>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95 %</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86"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78" w:type="dxa"/>
            <w:gridSpan w:val="2"/>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469"/>
        </w:trPr>
        <w:tc>
          <w:tcPr>
            <w:tcW w:w="2022"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r>
              <w:rPr>
                <w:rFonts w:ascii="Verdana" w:hAnsi="Verdana"/>
                <w:noProof/>
                <w:color w:val="000000"/>
                <w:sz w:val="16"/>
              </w:rPr>
              <w:t>Euroopan tietosuojavaltuutettu</w:t>
            </w:r>
          </w:p>
        </w:tc>
        <w:tc>
          <w:tcPr>
            <w:tcW w:w="126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14</w:t>
            </w:r>
          </w:p>
        </w:tc>
        <w:tc>
          <w:tcPr>
            <w:tcW w:w="103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14</w:t>
            </w:r>
          </w:p>
        </w:tc>
        <w:tc>
          <w:tcPr>
            <w:tcW w:w="988"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759"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14</w:t>
            </w:r>
          </w:p>
        </w:tc>
        <w:tc>
          <w:tcPr>
            <w:tcW w:w="913" w:type="dxa"/>
            <w:gridSpan w:val="2"/>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94 %</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86"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78" w:type="dxa"/>
            <w:gridSpan w:val="2"/>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40"/>
        </w:trPr>
        <w:tc>
          <w:tcPr>
            <w:tcW w:w="2022"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r>
              <w:rPr>
                <w:rFonts w:ascii="Verdana" w:hAnsi="Verdana"/>
                <w:noProof/>
                <w:color w:val="000000"/>
                <w:sz w:val="16"/>
              </w:rPr>
              <w:t>Euroopan ulkosuhdehallinto</w:t>
            </w:r>
          </w:p>
        </w:tc>
        <w:tc>
          <w:tcPr>
            <w:tcW w:w="126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984</w:t>
            </w:r>
          </w:p>
        </w:tc>
        <w:tc>
          <w:tcPr>
            <w:tcW w:w="103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678</w:t>
            </w:r>
          </w:p>
        </w:tc>
        <w:tc>
          <w:tcPr>
            <w:tcW w:w="988"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247</w:t>
            </w:r>
          </w:p>
        </w:tc>
        <w:tc>
          <w:tcPr>
            <w:tcW w:w="759"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925</w:t>
            </w:r>
          </w:p>
        </w:tc>
        <w:tc>
          <w:tcPr>
            <w:tcW w:w="913" w:type="dxa"/>
            <w:gridSpan w:val="2"/>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94 %</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59</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59</w:t>
            </w:r>
          </w:p>
        </w:tc>
        <w:tc>
          <w:tcPr>
            <w:tcW w:w="9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86"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78" w:type="dxa"/>
            <w:gridSpan w:val="2"/>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1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40"/>
        </w:trPr>
        <w:tc>
          <w:tcPr>
            <w:tcW w:w="2022"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2Commitments"/>
              <w:rPr>
                <w:rFonts w:ascii="Verdana" w:eastAsia="Times New Roman" w:hAnsi="Verdana" w:cs="Verdana"/>
                <w:b/>
                <w:noProof/>
                <w:color w:val="000000"/>
                <w:sz w:val="16"/>
              </w:rPr>
            </w:pPr>
            <w:r>
              <w:rPr>
                <w:rFonts w:ascii="Verdana" w:hAnsi="Verdana"/>
                <w:b/>
                <w:noProof/>
                <w:color w:val="000000"/>
                <w:sz w:val="16"/>
              </w:rPr>
              <w:t>Yhteensä</w:t>
            </w:r>
          </w:p>
        </w:tc>
        <w:tc>
          <w:tcPr>
            <w:tcW w:w="1263"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b/>
                <w:noProof/>
                <w:color w:val="000000"/>
                <w:sz w:val="16"/>
              </w:rPr>
            </w:pPr>
            <w:r>
              <w:rPr>
                <w:rFonts w:ascii="Verdana" w:hAnsi="Verdana"/>
                <w:b/>
                <w:noProof/>
                <w:color w:val="000000"/>
                <w:sz w:val="16"/>
              </w:rPr>
              <w:t>178 468</w:t>
            </w:r>
          </w:p>
        </w:tc>
        <w:tc>
          <w:tcPr>
            <w:tcW w:w="1032"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b/>
                <w:noProof/>
                <w:color w:val="000000"/>
                <w:sz w:val="16"/>
              </w:rPr>
            </w:pPr>
            <w:r>
              <w:rPr>
                <w:rFonts w:ascii="Verdana" w:hAnsi="Verdana"/>
                <w:b/>
                <w:noProof/>
                <w:color w:val="000000"/>
                <w:sz w:val="16"/>
              </w:rPr>
              <w:t>159 881</w:t>
            </w:r>
          </w:p>
        </w:tc>
        <w:tc>
          <w:tcPr>
            <w:tcW w:w="988"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b/>
                <w:noProof/>
                <w:color w:val="000000"/>
                <w:sz w:val="16"/>
              </w:rPr>
            </w:pPr>
            <w:r>
              <w:rPr>
                <w:rFonts w:ascii="Verdana" w:hAnsi="Verdana"/>
                <w:b/>
                <w:noProof/>
                <w:color w:val="000000"/>
                <w:sz w:val="16"/>
              </w:rPr>
              <w:t xml:space="preserve"> 873</w:t>
            </w:r>
          </w:p>
        </w:tc>
        <w:tc>
          <w:tcPr>
            <w:tcW w:w="992"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b/>
                <w:noProof/>
                <w:color w:val="000000"/>
                <w:sz w:val="16"/>
              </w:rPr>
            </w:pPr>
            <w:r>
              <w:rPr>
                <w:rFonts w:ascii="Verdana" w:hAnsi="Verdana"/>
                <w:b/>
                <w:noProof/>
                <w:color w:val="000000"/>
                <w:sz w:val="16"/>
              </w:rPr>
              <w:t>12 385</w:t>
            </w:r>
          </w:p>
        </w:tc>
        <w:tc>
          <w:tcPr>
            <w:tcW w:w="759"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b/>
                <w:noProof/>
                <w:color w:val="000000"/>
                <w:sz w:val="16"/>
              </w:rPr>
            </w:pPr>
            <w:r>
              <w:rPr>
                <w:rFonts w:ascii="Verdana" w:hAnsi="Verdana"/>
                <w:b/>
                <w:noProof/>
                <w:color w:val="000000"/>
                <w:sz w:val="16"/>
              </w:rPr>
              <w:t>173 139</w:t>
            </w:r>
          </w:p>
        </w:tc>
        <w:tc>
          <w:tcPr>
            <w:tcW w:w="913"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b/>
                <w:noProof/>
                <w:color w:val="000000"/>
                <w:sz w:val="16"/>
              </w:rPr>
            </w:pPr>
            <w:r>
              <w:rPr>
                <w:rFonts w:ascii="Verdana" w:hAnsi="Verdana"/>
                <w:b/>
                <w:noProof/>
                <w:color w:val="000000"/>
                <w:sz w:val="16"/>
              </w:rPr>
              <w:t>97 %</w:t>
            </w:r>
          </w:p>
        </w:tc>
        <w:tc>
          <w:tcPr>
            <w:tcW w:w="913"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b/>
                <w:noProof/>
                <w:color w:val="000000"/>
                <w:sz w:val="16"/>
              </w:rPr>
            </w:pPr>
            <w:r>
              <w:rPr>
                <w:rFonts w:ascii="Verdana" w:hAnsi="Verdana"/>
                <w:b/>
                <w:noProof/>
                <w:color w:val="000000"/>
                <w:sz w:val="16"/>
              </w:rPr>
              <w:t>4 491</w:t>
            </w:r>
          </w:p>
        </w:tc>
        <w:tc>
          <w:tcPr>
            <w:tcW w:w="913"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b/>
                <w:noProof/>
                <w:color w:val="000000"/>
                <w:sz w:val="16"/>
              </w:rPr>
            </w:pPr>
            <w:r>
              <w:rPr>
                <w:rFonts w:ascii="Verdana" w:hAnsi="Verdana"/>
                <w:b/>
                <w:noProof/>
                <w:color w:val="000000"/>
                <w:sz w:val="16"/>
              </w:rPr>
              <w:t xml:space="preserve"> 525</w:t>
            </w:r>
          </w:p>
        </w:tc>
        <w:tc>
          <w:tcPr>
            <w:tcW w:w="913"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b/>
                <w:noProof/>
                <w:color w:val="000000"/>
                <w:sz w:val="16"/>
              </w:rPr>
            </w:pPr>
            <w:r>
              <w:rPr>
                <w:rFonts w:ascii="Verdana" w:hAnsi="Verdana"/>
                <w:b/>
                <w:noProof/>
                <w:color w:val="000000"/>
                <w:sz w:val="16"/>
              </w:rPr>
              <w:t>5 015</w:t>
            </w:r>
          </w:p>
        </w:tc>
        <w:tc>
          <w:tcPr>
            <w:tcW w:w="913"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b/>
                <w:noProof/>
                <w:color w:val="000000"/>
                <w:sz w:val="16"/>
              </w:rPr>
            </w:pPr>
            <w:r>
              <w:rPr>
                <w:rFonts w:ascii="Verdana" w:hAnsi="Verdana"/>
                <w:b/>
                <w:noProof/>
                <w:color w:val="000000"/>
                <w:sz w:val="16"/>
              </w:rPr>
              <w:t xml:space="preserve"> 291</w:t>
            </w:r>
          </w:p>
        </w:tc>
        <w:tc>
          <w:tcPr>
            <w:tcW w:w="786"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b/>
                <w:noProof/>
                <w:color w:val="000000"/>
                <w:sz w:val="16"/>
              </w:rPr>
            </w:pPr>
            <w:r>
              <w:rPr>
                <w:rFonts w:ascii="Verdana" w:hAnsi="Verdana"/>
                <w:b/>
                <w:noProof/>
                <w:color w:val="000000"/>
                <w:sz w:val="16"/>
              </w:rPr>
              <w:t xml:space="preserve"> 23</w:t>
            </w:r>
          </w:p>
        </w:tc>
        <w:tc>
          <w:tcPr>
            <w:tcW w:w="978"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b/>
                <w:noProof/>
                <w:color w:val="000000"/>
                <w:sz w:val="16"/>
              </w:rPr>
            </w:pPr>
            <w:r>
              <w:rPr>
                <w:rFonts w:ascii="Verdana" w:hAnsi="Verdana"/>
                <w:b/>
                <w:noProof/>
                <w:color w:val="000000"/>
                <w:sz w:val="16"/>
              </w:rPr>
              <w:t xml:space="preserve"> 0</w:t>
            </w:r>
          </w:p>
        </w:tc>
        <w:tc>
          <w:tcPr>
            <w:tcW w:w="1013"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b/>
                <w:noProof/>
                <w:color w:val="000000"/>
                <w:sz w:val="16"/>
              </w:rPr>
            </w:pPr>
            <w:r>
              <w:rPr>
                <w:rFonts w:ascii="Verdana" w:hAnsi="Verdana"/>
                <w:b/>
                <w:noProof/>
                <w:color w:val="000000"/>
                <w:sz w:val="16"/>
              </w:rPr>
              <w:t xml:space="preserve"> 314</w:t>
            </w:r>
          </w:p>
        </w:tc>
      </w:tr>
    </w:tbl>
    <w:p>
      <w:pPr>
        <w:pStyle w:val="Textstand-alone"/>
      </w:pPr>
    </w:p>
    <w:p>
      <w:pPr>
        <w:pStyle w:val="Textstand-alone"/>
        <w:sectPr>
          <w:headerReference w:type="even" r:id="rId521"/>
          <w:headerReference w:type="default" r:id="rId522"/>
          <w:footerReference w:type="even" r:id="rId523"/>
          <w:footerReference w:type="default" r:id="rId524"/>
          <w:headerReference w:type="first" r:id="rId525"/>
          <w:footerReference w:type="first" r:id="rId526"/>
          <w:type w:val="nextColumn"/>
          <w:pgSz w:w="16840" w:h="11900" w:orient="landscape"/>
          <w:pgMar w:top="1134" w:right="1134" w:bottom="1134" w:left="1134" w:header="720" w:footer="720" w:gutter="0"/>
          <w:cols w:space="720"/>
        </w:sectPr>
      </w:pPr>
      <w:r>
        <w:t xml:space="preserve">       </w:t>
      </w:r>
    </w:p>
    <w:p>
      <w:pPr>
        <w:pStyle w:val="HEADER2PartBUDG"/>
        <w:rPr>
          <w:noProof/>
        </w:rPr>
      </w:pPr>
      <w:bookmarkStart w:id="360" w:name="_Toc11939564"/>
      <w:bookmarkStart w:id="361" w:name="_Toc17887589"/>
      <w:r>
        <w:rPr>
          <w:noProof/>
        </w:rPr>
        <w:t>MAKSUMÄÄRÄRAHOJEN TOTEUTUMINEN</w:t>
      </w:r>
      <w:bookmarkEnd w:id="360"/>
      <w:bookmarkEnd w:id="361"/>
      <w:r>
        <w:rPr>
          <w:noProof/>
        </w:rPr>
        <w:t xml:space="preserve"> </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9"/>
        <w:gridCol w:w="927"/>
        <w:gridCol w:w="982"/>
        <w:gridCol w:w="729"/>
        <w:gridCol w:w="121"/>
        <w:gridCol w:w="734"/>
        <w:gridCol w:w="258"/>
        <w:gridCol w:w="709"/>
        <w:gridCol w:w="284"/>
        <w:gridCol w:w="345"/>
        <w:gridCol w:w="970"/>
        <w:gridCol w:w="854"/>
        <w:gridCol w:w="854"/>
        <w:gridCol w:w="946"/>
        <w:gridCol w:w="762"/>
        <w:gridCol w:w="230"/>
        <w:gridCol w:w="469"/>
        <w:gridCol w:w="381"/>
        <w:gridCol w:w="446"/>
        <w:gridCol w:w="547"/>
        <w:gridCol w:w="992"/>
      </w:tblGrid>
      <w:tr>
        <w:trPr>
          <w:trHeight w:val="181"/>
        </w:trPr>
        <w:tc>
          <w:tcPr>
            <w:tcW w:w="1979"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bookmarkStart w:id="362" w:name="DOC_TBL00116_1_1"/>
            <w:bookmarkEnd w:id="362"/>
          </w:p>
        </w:tc>
        <w:tc>
          <w:tcPr>
            <w:tcW w:w="927"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p>
        </w:tc>
        <w:tc>
          <w:tcPr>
            <w:tcW w:w="982"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p>
        </w:tc>
        <w:tc>
          <w:tcPr>
            <w:tcW w:w="729"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p>
        </w:tc>
        <w:tc>
          <w:tcPr>
            <w:tcW w:w="855"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p>
        </w:tc>
        <w:tc>
          <w:tcPr>
            <w:tcW w:w="967"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p>
        </w:tc>
        <w:tc>
          <w:tcPr>
            <w:tcW w:w="629"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p>
        </w:tc>
        <w:tc>
          <w:tcPr>
            <w:tcW w:w="970"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p>
        </w:tc>
        <w:tc>
          <w:tcPr>
            <w:tcW w:w="946"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p>
        </w:tc>
        <w:tc>
          <w:tcPr>
            <w:tcW w:w="762"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p>
        </w:tc>
        <w:tc>
          <w:tcPr>
            <w:tcW w:w="699"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p>
        </w:tc>
        <w:tc>
          <w:tcPr>
            <w:tcW w:w="827"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p>
        </w:tc>
        <w:tc>
          <w:tcPr>
            <w:tcW w:w="1539"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i/>
                <w:noProof/>
                <w:color w:val="000000"/>
                <w:sz w:val="16"/>
              </w:rPr>
            </w:pPr>
            <w:r>
              <w:rPr>
                <w:rFonts w:ascii="Verdana" w:hAnsi="Verdana"/>
                <w:i/>
                <w:noProof/>
                <w:color w:val="000000"/>
                <w:sz w:val="16"/>
              </w:rPr>
              <w:t>milj. euroa</w:t>
            </w:r>
          </w:p>
        </w:tc>
      </w:tr>
      <w:tr>
        <w:trPr>
          <w:trHeight w:val="340"/>
        </w:trPr>
        <w:tc>
          <w:tcPr>
            <w:tcW w:w="1979"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p>
        </w:tc>
        <w:tc>
          <w:tcPr>
            <w:tcW w:w="927" w:type="dxa"/>
            <w:vMerge w:val="restart"/>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right"/>
              <w:rPr>
                <w:rFonts w:ascii="Verdana" w:eastAsia="Times New Roman" w:hAnsi="Verdana" w:cs="Verdana"/>
                <w:b/>
                <w:noProof/>
                <w:color w:val="FFFFFF"/>
                <w:sz w:val="16"/>
              </w:rPr>
            </w:pPr>
            <w:r>
              <w:rPr>
                <w:rFonts w:ascii="Verdana" w:hAnsi="Verdana"/>
                <w:b/>
                <w:noProof/>
                <w:color w:val="FFFFFF"/>
                <w:sz w:val="16"/>
              </w:rPr>
              <w:t>Käytet</w:t>
            </w:r>
            <w:r>
              <w:rPr>
                <w:rFonts w:ascii="Verdana" w:hAnsi="Verdana"/>
                <w:b/>
                <w:noProof/>
                <w:color w:val="FFFFFF"/>
                <w:sz w:val="16"/>
              </w:rPr>
              <w:softHyphen/>
              <w:t>tävissä olevat</w:t>
            </w:r>
          </w:p>
          <w:p>
            <w:pPr>
              <w:pStyle w:val="DMETW14863BIPInstitutions3Payments"/>
              <w:jc w:val="right"/>
              <w:rPr>
                <w:rFonts w:ascii="Verdana" w:eastAsia="Times New Roman" w:hAnsi="Verdana" w:cs="Verdana"/>
                <w:b/>
                <w:noProof/>
                <w:color w:val="FFFFFF"/>
                <w:sz w:val="16"/>
              </w:rPr>
            </w:pPr>
            <w:r>
              <w:rPr>
                <w:rFonts w:ascii="Verdana" w:hAnsi="Verdana"/>
                <w:b/>
                <w:noProof/>
                <w:color w:val="FFFFFF"/>
                <w:sz w:val="16"/>
              </w:rPr>
              <w:t>määrä</w:t>
            </w:r>
            <w:r>
              <w:rPr>
                <w:rFonts w:ascii="Verdana" w:hAnsi="Verdana"/>
                <w:b/>
                <w:noProof/>
                <w:color w:val="FFFFFF"/>
                <w:sz w:val="16"/>
              </w:rPr>
              <w:softHyphen/>
              <w:t>rahat</w:t>
            </w:r>
          </w:p>
          <w:p>
            <w:pPr>
              <w:pStyle w:val="DMETW14863BIPInstitutions3Payments"/>
              <w:jc w:val="right"/>
              <w:rPr>
                <w:rFonts w:ascii="Verdana" w:eastAsia="Times New Roman" w:hAnsi="Verdana" w:cs="Verdana"/>
                <w:b/>
                <w:noProof/>
                <w:color w:val="FFFFFF"/>
                <w:sz w:val="16"/>
              </w:rPr>
            </w:pPr>
            <w:r>
              <w:rPr>
                <w:rFonts w:ascii="Verdana" w:hAnsi="Verdana"/>
                <w:b/>
                <w:noProof/>
                <w:color w:val="FFFFFF"/>
                <w:sz w:val="16"/>
              </w:rPr>
              <w:t>yhteen</w:t>
            </w:r>
            <w:r>
              <w:rPr>
                <w:rFonts w:ascii="Verdana" w:hAnsi="Verdana"/>
                <w:b/>
                <w:noProof/>
                <w:color w:val="FFFFFF"/>
                <w:sz w:val="16"/>
              </w:rPr>
              <w:softHyphen/>
              <w:t>sä</w:t>
            </w:r>
          </w:p>
        </w:tc>
        <w:tc>
          <w:tcPr>
            <w:tcW w:w="4162" w:type="dxa"/>
            <w:gridSpan w:val="8"/>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b/>
                <w:noProof/>
                <w:color w:val="FFFFFF"/>
                <w:sz w:val="16"/>
              </w:rPr>
            </w:pPr>
            <w:r>
              <w:rPr>
                <w:rFonts w:ascii="Verdana" w:hAnsi="Verdana"/>
                <w:b/>
                <w:noProof/>
                <w:color w:val="FFFFFF"/>
                <w:sz w:val="16"/>
              </w:rPr>
              <w:t>Suoritetut maksut</w:t>
            </w:r>
          </w:p>
        </w:tc>
        <w:tc>
          <w:tcPr>
            <w:tcW w:w="3624" w:type="dxa"/>
            <w:gridSpan w:val="4"/>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b/>
                <w:noProof/>
                <w:color w:val="FFFFFF"/>
                <w:sz w:val="16"/>
              </w:rPr>
            </w:pPr>
            <w:r>
              <w:rPr>
                <w:rFonts w:ascii="Verdana" w:hAnsi="Verdana"/>
                <w:b/>
                <w:noProof/>
                <w:color w:val="FFFFFF"/>
                <w:sz w:val="16"/>
              </w:rPr>
              <w:t>Vuodelle 2019 siirretyt määrärahat</w:t>
            </w:r>
          </w:p>
        </w:tc>
        <w:tc>
          <w:tcPr>
            <w:tcW w:w="3827" w:type="dxa"/>
            <w:gridSpan w:val="7"/>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b/>
                <w:noProof/>
                <w:color w:val="FFFFFF"/>
                <w:sz w:val="16"/>
              </w:rPr>
            </w:pPr>
            <w:r>
              <w:rPr>
                <w:rFonts w:ascii="Verdana" w:hAnsi="Verdana"/>
                <w:b/>
                <w:noProof/>
                <w:color w:val="FFFFFF"/>
                <w:sz w:val="16"/>
              </w:rPr>
              <w:t>Raukeavat määrärahat</w:t>
            </w:r>
          </w:p>
        </w:tc>
      </w:tr>
      <w:tr>
        <w:trPr>
          <w:trHeight w:val="340"/>
        </w:trPr>
        <w:tc>
          <w:tcPr>
            <w:tcW w:w="1979"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Toimielin</w:t>
            </w:r>
          </w:p>
        </w:tc>
        <w:tc>
          <w:tcPr>
            <w:tcW w:w="927" w:type="dxa"/>
            <w:vMerge/>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b/>
                <w:noProof/>
                <w:color w:val="FFFFFF"/>
                <w:sz w:val="16"/>
              </w:rPr>
            </w:pPr>
          </w:p>
        </w:tc>
        <w:tc>
          <w:tcPr>
            <w:tcW w:w="982"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FFFFFF"/>
                <w:sz w:val="16"/>
              </w:rPr>
            </w:pPr>
            <w:r>
              <w:rPr>
                <w:rFonts w:ascii="Verdana" w:hAnsi="Verdana"/>
                <w:noProof/>
                <w:color w:val="FFFFFF"/>
                <w:sz w:val="16"/>
              </w:rPr>
              <w:t>Lopulli</w:t>
            </w:r>
            <w:r>
              <w:rPr>
                <w:rFonts w:ascii="Verdana" w:hAnsi="Verdana"/>
                <w:noProof/>
                <w:color w:val="FFFFFF"/>
                <w:sz w:val="16"/>
              </w:rPr>
              <w:softHyphen/>
              <w:t>sista</w:t>
            </w:r>
          </w:p>
          <w:p>
            <w:pPr>
              <w:pStyle w:val="DMETW14863BIPInstitutions3Payments"/>
              <w:jc w:val="right"/>
              <w:rPr>
                <w:rFonts w:ascii="Verdana" w:eastAsia="Times New Roman" w:hAnsi="Verdana" w:cs="Verdana"/>
                <w:noProof/>
                <w:color w:val="FFFFFF"/>
                <w:sz w:val="16"/>
              </w:rPr>
            </w:pPr>
            <w:r>
              <w:rPr>
                <w:rFonts w:ascii="Verdana" w:hAnsi="Verdana"/>
                <w:noProof/>
                <w:color w:val="FFFFFF"/>
                <w:sz w:val="16"/>
              </w:rPr>
              <w:t>hyväksy-</w:t>
            </w:r>
          </w:p>
          <w:p>
            <w:pPr>
              <w:pStyle w:val="DMETW14863BIPInstitutions3Payments"/>
              <w:jc w:val="right"/>
              <w:rPr>
                <w:rFonts w:ascii="Verdana" w:eastAsia="Times New Roman" w:hAnsi="Verdana" w:cs="Verdana"/>
                <w:noProof/>
                <w:color w:val="FFFFFF"/>
                <w:sz w:val="16"/>
              </w:rPr>
            </w:pPr>
            <w:r>
              <w:rPr>
                <w:rFonts w:ascii="Verdana" w:hAnsi="Verdana"/>
                <w:noProof/>
                <w:color w:val="FFFFFF"/>
                <w:sz w:val="16"/>
              </w:rPr>
              <w:t>tyistä</w:t>
            </w:r>
          </w:p>
          <w:p>
            <w:pPr>
              <w:pStyle w:val="DMETW14863BIPInstitutions3Payments"/>
              <w:jc w:val="right"/>
              <w:rPr>
                <w:rFonts w:ascii="Verdana" w:eastAsia="Times New Roman" w:hAnsi="Verdana" w:cs="Verdana"/>
                <w:noProof/>
                <w:color w:val="FFFFFF"/>
                <w:sz w:val="16"/>
              </w:rPr>
            </w:pPr>
            <w:r>
              <w:rPr>
                <w:rFonts w:ascii="Verdana" w:hAnsi="Verdana"/>
                <w:noProof/>
                <w:color w:val="FFFFFF"/>
                <w:sz w:val="16"/>
              </w:rPr>
              <w:t>määrä</w:t>
            </w:r>
            <w:r>
              <w:rPr>
                <w:rFonts w:ascii="Verdana" w:hAnsi="Verdana"/>
                <w:noProof/>
                <w:color w:val="FFFFFF"/>
                <w:sz w:val="16"/>
              </w:rPr>
              <w:softHyphen/>
              <w:t>rahoista</w:t>
            </w:r>
          </w:p>
        </w:tc>
        <w:tc>
          <w:tcPr>
            <w:tcW w:w="850"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FFFFFF"/>
                <w:sz w:val="16"/>
              </w:rPr>
            </w:pPr>
            <w:r>
              <w:rPr>
                <w:rFonts w:ascii="Verdana" w:hAnsi="Verdana"/>
                <w:noProof/>
                <w:color w:val="FFFFFF"/>
                <w:sz w:val="16"/>
              </w:rPr>
              <w:t>Siirre</w:t>
            </w:r>
            <w:r>
              <w:rPr>
                <w:rFonts w:ascii="Verdana" w:hAnsi="Verdana"/>
                <w:noProof/>
                <w:color w:val="FFFFFF"/>
                <w:sz w:val="16"/>
              </w:rPr>
              <w:softHyphen/>
              <w:t>tyistä</w:t>
            </w:r>
          </w:p>
          <w:p>
            <w:pPr>
              <w:pStyle w:val="DMETW14863BIPInstitutions3Payments"/>
              <w:jc w:val="right"/>
              <w:rPr>
                <w:rFonts w:ascii="Verdana" w:eastAsia="Times New Roman" w:hAnsi="Verdana" w:cs="Verdana"/>
                <w:noProof/>
                <w:color w:val="FFFFFF"/>
                <w:sz w:val="16"/>
              </w:rPr>
            </w:pPr>
            <w:r>
              <w:rPr>
                <w:rFonts w:ascii="Verdana" w:hAnsi="Verdana"/>
                <w:noProof/>
                <w:color w:val="FFFFFF"/>
                <w:sz w:val="16"/>
              </w:rPr>
              <w:t>määrä-</w:t>
            </w:r>
          </w:p>
          <w:p>
            <w:pPr>
              <w:pStyle w:val="DMETW14863BIPInstitutions3Payments"/>
              <w:jc w:val="right"/>
              <w:rPr>
                <w:rFonts w:ascii="Verdana" w:eastAsia="Times New Roman" w:hAnsi="Verdana" w:cs="Verdana"/>
                <w:noProof/>
                <w:color w:val="FFFFFF"/>
                <w:sz w:val="16"/>
              </w:rPr>
            </w:pPr>
            <w:r>
              <w:rPr>
                <w:rFonts w:ascii="Verdana" w:hAnsi="Verdana"/>
                <w:noProof/>
                <w:color w:val="FFFFFF"/>
                <w:sz w:val="16"/>
              </w:rPr>
              <w:t>rahoista</w:t>
            </w:r>
          </w:p>
        </w:tc>
        <w:tc>
          <w:tcPr>
            <w:tcW w:w="992"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FFFFFF"/>
                <w:sz w:val="16"/>
              </w:rPr>
            </w:pPr>
            <w:r>
              <w:rPr>
                <w:rFonts w:ascii="Verdana" w:hAnsi="Verdana"/>
                <w:noProof/>
                <w:color w:val="FFFFFF"/>
                <w:sz w:val="16"/>
              </w:rPr>
              <w:t>Käyttö</w:t>
            </w:r>
            <w:r>
              <w:rPr>
                <w:rFonts w:ascii="Verdana" w:hAnsi="Verdana"/>
                <w:noProof/>
                <w:color w:val="FFFFFF"/>
                <w:sz w:val="16"/>
              </w:rPr>
              <w:softHyphen/>
              <w:t>tark.</w:t>
            </w:r>
          </w:p>
          <w:p>
            <w:pPr>
              <w:pStyle w:val="DMETW14863BIPInstitutions3Payments"/>
              <w:jc w:val="right"/>
              <w:rPr>
                <w:rFonts w:ascii="Verdana" w:eastAsia="Times New Roman" w:hAnsi="Verdana" w:cs="Verdana"/>
                <w:noProof/>
                <w:color w:val="FFFFFF"/>
                <w:sz w:val="16"/>
              </w:rPr>
            </w:pPr>
            <w:r>
              <w:rPr>
                <w:rFonts w:ascii="Verdana" w:hAnsi="Verdana"/>
                <w:noProof/>
                <w:color w:val="FFFFFF"/>
                <w:sz w:val="16"/>
              </w:rPr>
              <w:t>sidotuista</w:t>
            </w:r>
          </w:p>
          <w:p>
            <w:pPr>
              <w:pStyle w:val="DMETW14863BIPInstitutions3Payments"/>
              <w:jc w:val="right"/>
              <w:rPr>
                <w:rFonts w:ascii="Verdana" w:eastAsia="Times New Roman" w:hAnsi="Verdana" w:cs="Verdana"/>
                <w:noProof/>
                <w:color w:val="FFFFFF"/>
                <w:sz w:val="16"/>
              </w:rPr>
            </w:pPr>
            <w:r>
              <w:rPr>
                <w:rFonts w:ascii="Verdana" w:hAnsi="Verdana"/>
                <w:noProof/>
                <w:color w:val="FFFFFF"/>
                <w:sz w:val="16"/>
              </w:rPr>
              <w:t>tuloista</w:t>
            </w:r>
          </w:p>
        </w:tc>
        <w:tc>
          <w:tcPr>
            <w:tcW w:w="993"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FFFFFF"/>
                <w:sz w:val="16"/>
              </w:rPr>
            </w:pPr>
            <w:r>
              <w:rPr>
                <w:rFonts w:ascii="Verdana" w:hAnsi="Verdana"/>
                <w:noProof/>
                <w:color w:val="FFFFFF"/>
                <w:sz w:val="16"/>
              </w:rPr>
              <w:t>Yhteensä</w:t>
            </w:r>
          </w:p>
        </w:tc>
        <w:tc>
          <w:tcPr>
            <w:tcW w:w="345"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FFFFFF"/>
                <w:sz w:val="16"/>
              </w:rPr>
            </w:pPr>
            <w:r>
              <w:rPr>
                <w:rFonts w:ascii="Verdana" w:hAnsi="Verdana"/>
                <w:noProof/>
                <w:color w:val="FFFFFF"/>
                <w:sz w:val="16"/>
              </w:rPr>
              <w:t>%</w:t>
            </w:r>
          </w:p>
        </w:tc>
        <w:tc>
          <w:tcPr>
            <w:tcW w:w="970"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FFFFFF"/>
                <w:sz w:val="16"/>
              </w:rPr>
            </w:pPr>
            <w:r>
              <w:rPr>
                <w:rFonts w:ascii="Verdana" w:hAnsi="Verdana"/>
                <w:noProof/>
                <w:color w:val="FFFFFF"/>
                <w:sz w:val="16"/>
              </w:rPr>
              <w:t>Auto</w:t>
            </w:r>
            <w:r>
              <w:rPr>
                <w:rFonts w:ascii="Verdana" w:hAnsi="Verdana"/>
                <w:noProof/>
                <w:color w:val="FFFFFF"/>
                <w:sz w:val="16"/>
              </w:rPr>
              <w:softHyphen/>
              <w:t>maatti</w:t>
            </w:r>
            <w:r>
              <w:rPr>
                <w:rFonts w:ascii="Verdana" w:hAnsi="Verdana"/>
                <w:noProof/>
                <w:color w:val="FFFFFF"/>
                <w:sz w:val="16"/>
              </w:rPr>
              <w:softHyphen/>
              <w:t>sesti siirtyneet</w:t>
            </w:r>
          </w:p>
        </w:tc>
        <w:tc>
          <w:tcPr>
            <w:tcW w:w="854"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FFFFFF"/>
                <w:sz w:val="16"/>
              </w:rPr>
            </w:pPr>
            <w:r>
              <w:rPr>
                <w:rFonts w:ascii="Verdana" w:hAnsi="Verdana"/>
                <w:noProof/>
                <w:color w:val="FFFFFF"/>
                <w:sz w:val="16"/>
              </w:rPr>
              <w:t>Päätök</w:t>
            </w:r>
            <w:r>
              <w:rPr>
                <w:rFonts w:ascii="Verdana" w:hAnsi="Verdana"/>
                <w:noProof/>
                <w:color w:val="FFFFFF"/>
                <w:sz w:val="16"/>
              </w:rPr>
              <w:softHyphen/>
              <w:t>sellä</w:t>
            </w:r>
          </w:p>
          <w:p>
            <w:pPr>
              <w:pStyle w:val="DMETW14863BIPInstitutions3Payments"/>
              <w:jc w:val="right"/>
              <w:rPr>
                <w:rFonts w:ascii="Verdana" w:eastAsia="Times New Roman" w:hAnsi="Verdana" w:cs="Verdana"/>
                <w:noProof/>
                <w:color w:val="FFFFFF"/>
                <w:sz w:val="16"/>
              </w:rPr>
            </w:pPr>
            <w:r>
              <w:rPr>
                <w:rFonts w:ascii="Verdana" w:hAnsi="Verdana"/>
                <w:noProof/>
                <w:color w:val="FFFFFF"/>
                <w:sz w:val="16"/>
              </w:rPr>
              <w:t>siirretyt</w:t>
            </w:r>
          </w:p>
        </w:tc>
        <w:tc>
          <w:tcPr>
            <w:tcW w:w="854"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FFFFFF"/>
                <w:sz w:val="16"/>
              </w:rPr>
            </w:pPr>
            <w:r>
              <w:rPr>
                <w:rFonts w:ascii="Verdana" w:hAnsi="Verdana"/>
                <w:noProof/>
                <w:color w:val="FFFFFF"/>
                <w:sz w:val="16"/>
              </w:rPr>
              <w:t>Käyttö</w:t>
            </w:r>
            <w:r>
              <w:rPr>
                <w:rFonts w:ascii="Verdana" w:hAnsi="Verdana"/>
                <w:noProof/>
                <w:color w:val="FFFFFF"/>
                <w:sz w:val="16"/>
              </w:rPr>
              <w:softHyphen/>
              <w:t>tark. sidotut tulot</w:t>
            </w:r>
          </w:p>
        </w:tc>
        <w:tc>
          <w:tcPr>
            <w:tcW w:w="946"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FFFFFF"/>
                <w:sz w:val="16"/>
              </w:rPr>
            </w:pPr>
            <w:r>
              <w:rPr>
                <w:rFonts w:ascii="Verdana" w:hAnsi="Verdana"/>
                <w:noProof/>
                <w:color w:val="FFFFFF"/>
                <w:sz w:val="16"/>
              </w:rPr>
              <w:t>Yhteensä</w:t>
            </w:r>
          </w:p>
        </w:tc>
        <w:tc>
          <w:tcPr>
            <w:tcW w:w="992"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FFFFFF"/>
                <w:sz w:val="16"/>
              </w:rPr>
            </w:pPr>
            <w:r>
              <w:rPr>
                <w:rFonts w:ascii="Verdana" w:hAnsi="Verdana"/>
                <w:noProof/>
                <w:color w:val="FFFFFF"/>
                <w:sz w:val="16"/>
              </w:rPr>
              <w:t>Lopulli</w:t>
            </w:r>
            <w:r>
              <w:rPr>
                <w:rFonts w:ascii="Verdana" w:hAnsi="Verdana"/>
                <w:noProof/>
                <w:color w:val="FFFFFF"/>
                <w:sz w:val="16"/>
              </w:rPr>
              <w:softHyphen/>
              <w:t>sista</w:t>
            </w:r>
          </w:p>
          <w:p>
            <w:pPr>
              <w:pStyle w:val="DMETW14863BIPInstitutions3Payments"/>
              <w:jc w:val="right"/>
              <w:rPr>
                <w:rFonts w:ascii="Verdana" w:eastAsia="Times New Roman" w:hAnsi="Verdana" w:cs="Verdana"/>
                <w:noProof/>
                <w:color w:val="FFFFFF"/>
                <w:sz w:val="16"/>
              </w:rPr>
            </w:pPr>
            <w:r>
              <w:rPr>
                <w:rFonts w:ascii="Verdana" w:hAnsi="Verdana"/>
                <w:noProof/>
                <w:color w:val="FFFFFF"/>
                <w:sz w:val="16"/>
              </w:rPr>
              <w:t>hyväksy-tyistä</w:t>
            </w:r>
          </w:p>
          <w:p>
            <w:pPr>
              <w:pStyle w:val="DMETW14863BIPInstitutions3Payments"/>
              <w:jc w:val="right"/>
              <w:rPr>
                <w:rFonts w:ascii="Verdana" w:eastAsia="Times New Roman" w:hAnsi="Verdana" w:cs="Verdana"/>
                <w:noProof/>
                <w:color w:val="FFFFFF"/>
                <w:sz w:val="16"/>
              </w:rPr>
            </w:pPr>
            <w:r>
              <w:rPr>
                <w:rFonts w:ascii="Verdana" w:hAnsi="Verdana"/>
                <w:noProof/>
                <w:color w:val="FFFFFF"/>
                <w:sz w:val="16"/>
              </w:rPr>
              <w:t>määrä</w:t>
            </w:r>
            <w:r>
              <w:rPr>
                <w:rFonts w:ascii="Verdana" w:hAnsi="Verdana"/>
                <w:noProof/>
                <w:color w:val="FFFFFF"/>
                <w:sz w:val="16"/>
              </w:rPr>
              <w:softHyphen/>
              <w:t>rahoista</w:t>
            </w:r>
          </w:p>
        </w:tc>
        <w:tc>
          <w:tcPr>
            <w:tcW w:w="850"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FFFFFF"/>
                <w:sz w:val="16"/>
              </w:rPr>
            </w:pPr>
            <w:r>
              <w:rPr>
                <w:rFonts w:ascii="Verdana" w:hAnsi="Verdana"/>
                <w:noProof/>
                <w:color w:val="FFFFFF"/>
                <w:sz w:val="16"/>
              </w:rPr>
              <w:t>Siirre</w:t>
            </w:r>
            <w:r>
              <w:rPr>
                <w:rFonts w:ascii="Verdana" w:hAnsi="Verdana"/>
                <w:noProof/>
                <w:color w:val="FFFFFF"/>
                <w:sz w:val="16"/>
              </w:rPr>
              <w:softHyphen/>
              <w:t>tyistä</w:t>
            </w:r>
          </w:p>
          <w:p>
            <w:pPr>
              <w:pStyle w:val="DMETW14863BIPInstitutions3Payments"/>
              <w:jc w:val="right"/>
              <w:rPr>
                <w:rFonts w:ascii="Verdana" w:eastAsia="Times New Roman" w:hAnsi="Verdana" w:cs="Verdana"/>
                <w:noProof/>
                <w:color w:val="FFFFFF"/>
                <w:sz w:val="16"/>
              </w:rPr>
            </w:pPr>
            <w:r>
              <w:rPr>
                <w:rFonts w:ascii="Verdana" w:hAnsi="Verdana"/>
                <w:noProof/>
                <w:color w:val="FFFFFF"/>
                <w:sz w:val="16"/>
              </w:rPr>
              <w:t>määrä</w:t>
            </w:r>
            <w:r>
              <w:rPr>
                <w:rFonts w:ascii="Verdana" w:hAnsi="Verdana"/>
                <w:noProof/>
                <w:color w:val="FFFFFF"/>
                <w:sz w:val="16"/>
              </w:rPr>
              <w:softHyphen/>
            </w:r>
          </w:p>
          <w:p>
            <w:pPr>
              <w:pStyle w:val="DMETW14863BIPInstitutions3Payments"/>
              <w:jc w:val="right"/>
              <w:rPr>
                <w:rFonts w:ascii="Verdana" w:eastAsia="Times New Roman" w:hAnsi="Verdana" w:cs="Verdana"/>
                <w:noProof/>
                <w:color w:val="FFFFFF"/>
                <w:sz w:val="16"/>
              </w:rPr>
            </w:pPr>
            <w:r>
              <w:rPr>
                <w:rFonts w:ascii="Verdana" w:hAnsi="Verdana"/>
                <w:noProof/>
                <w:color w:val="FFFFFF"/>
                <w:sz w:val="16"/>
              </w:rPr>
              <w:t>rahoista</w:t>
            </w:r>
          </w:p>
        </w:tc>
        <w:tc>
          <w:tcPr>
            <w:tcW w:w="993"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FFFFFF"/>
                <w:sz w:val="16"/>
              </w:rPr>
            </w:pPr>
            <w:r>
              <w:rPr>
                <w:rFonts w:ascii="Verdana" w:hAnsi="Verdana"/>
                <w:noProof/>
                <w:color w:val="FFFFFF"/>
                <w:sz w:val="16"/>
              </w:rPr>
              <w:t>Käyttö</w:t>
            </w:r>
            <w:r>
              <w:rPr>
                <w:rFonts w:ascii="Verdana" w:hAnsi="Verdana"/>
                <w:noProof/>
                <w:color w:val="FFFFFF"/>
                <w:sz w:val="16"/>
              </w:rPr>
              <w:softHyphen/>
              <w:t>tark.</w:t>
            </w:r>
          </w:p>
          <w:p>
            <w:pPr>
              <w:pStyle w:val="DMETW14863BIPInstitutions3Payments"/>
              <w:jc w:val="right"/>
              <w:rPr>
                <w:rFonts w:ascii="Verdana" w:eastAsia="Times New Roman" w:hAnsi="Verdana" w:cs="Verdana"/>
                <w:noProof/>
                <w:color w:val="FFFFFF"/>
                <w:sz w:val="16"/>
              </w:rPr>
            </w:pPr>
            <w:r>
              <w:rPr>
                <w:rFonts w:ascii="Verdana" w:hAnsi="Verdana"/>
                <w:noProof/>
                <w:color w:val="FFFFFF"/>
                <w:sz w:val="16"/>
              </w:rPr>
              <w:t>sidotuista tuloista</w:t>
            </w:r>
          </w:p>
        </w:tc>
        <w:tc>
          <w:tcPr>
            <w:tcW w:w="992"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FFFFFF"/>
                <w:sz w:val="16"/>
              </w:rPr>
            </w:pPr>
            <w:r>
              <w:rPr>
                <w:rFonts w:ascii="Verdana" w:hAnsi="Verdana"/>
                <w:noProof/>
                <w:color w:val="FFFFFF"/>
                <w:sz w:val="16"/>
              </w:rPr>
              <w:t>Yhteensä</w:t>
            </w:r>
          </w:p>
        </w:tc>
      </w:tr>
      <w:tr>
        <w:trPr>
          <w:trHeight w:val="340"/>
        </w:trPr>
        <w:tc>
          <w:tcPr>
            <w:tcW w:w="1979"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p>
        </w:tc>
        <w:tc>
          <w:tcPr>
            <w:tcW w:w="927"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1</w:t>
            </w:r>
          </w:p>
        </w:tc>
        <w:tc>
          <w:tcPr>
            <w:tcW w:w="982"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2</w:t>
            </w:r>
          </w:p>
        </w:tc>
        <w:tc>
          <w:tcPr>
            <w:tcW w:w="850" w:type="dxa"/>
            <w:gridSpan w:val="2"/>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3</w:t>
            </w:r>
          </w:p>
        </w:tc>
        <w:tc>
          <w:tcPr>
            <w:tcW w:w="992" w:type="dxa"/>
            <w:gridSpan w:val="2"/>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4</w:t>
            </w:r>
          </w:p>
        </w:tc>
        <w:tc>
          <w:tcPr>
            <w:tcW w:w="709"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5=2+3+4</w:t>
            </w:r>
          </w:p>
        </w:tc>
        <w:tc>
          <w:tcPr>
            <w:tcW w:w="629" w:type="dxa"/>
            <w:gridSpan w:val="2"/>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6=5/1</w:t>
            </w:r>
          </w:p>
        </w:tc>
        <w:tc>
          <w:tcPr>
            <w:tcW w:w="970"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7</w:t>
            </w:r>
          </w:p>
        </w:tc>
        <w:tc>
          <w:tcPr>
            <w:tcW w:w="854"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8</w:t>
            </w:r>
          </w:p>
        </w:tc>
        <w:tc>
          <w:tcPr>
            <w:tcW w:w="854"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9</w:t>
            </w:r>
          </w:p>
        </w:tc>
        <w:tc>
          <w:tcPr>
            <w:tcW w:w="946"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10=7+8+9</w:t>
            </w:r>
          </w:p>
        </w:tc>
        <w:tc>
          <w:tcPr>
            <w:tcW w:w="992" w:type="dxa"/>
            <w:gridSpan w:val="2"/>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11</w:t>
            </w:r>
          </w:p>
        </w:tc>
        <w:tc>
          <w:tcPr>
            <w:tcW w:w="850" w:type="dxa"/>
            <w:gridSpan w:val="2"/>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12</w:t>
            </w:r>
          </w:p>
        </w:tc>
        <w:tc>
          <w:tcPr>
            <w:tcW w:w="993" w:type="dxa"/>
            <w:gridSpan w:val="2"/>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13</w:t>
            </w:r>
          </w:p>
        </w:tc>
        <w:tc>
          <w:tcPr>
            <w:tcW w:w="992"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14</w:t>
            </w:r>
          </w:p>
        </w:tc>
      </w:tr>
      <w:tr>
        <w:trPr>
          <w:trHeight w:val="340"/>
        </w:trPr>
        <w:tc>
          <w:tcPr>
            <w:tcW w:w="1979"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r>
              <w:rPr>
                <w:rFonts w:ascii="Verdana" w:hAnsi="Verdana"/>
                <w:noProof/>
                <w:color w:val="000000"/>
                <w:sz w:val="16"/>
              </w:rPr>
              <w:t>Euroopan parlamentti</w:t>
            </w:r>
          </w:p>
        </w:tc>
        <w:tc>
          <w:tcPr>
            <w:tcW w:w="92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2 321</w:t>
            </w:r>
          </w:p>
        </w:tc>
        <w:tc>
          <w:tcPr>
            <w:tcW w:w="982"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1 637</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268</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28</w:t>
            </w:r>
          </w:p>
        </w:tc>
        <w:tc>
          <w:tcPr>
            <w:tcW w:w="70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1 933</w:t>
            </w:r>
          </w:p>
        </w:tc>
        <w:tc>
          <w:tcPr>
            <w:tcW w:w="629"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83 %</w:t>
            </w:r>
          </w:p>
        </w:tc>
        <w:tc>
          <w:tcPr>
            <w:tcW w:w="970"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298</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0</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50</w:t>
            </w:r>
          </w:p>
        </w:tc>
        <w:tc>
          <w:tcPr>
            <w:tcW w:w="946"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347</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24</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41</w:t>
            </w:r>
          </w:p>
        </w:tc>
      </w:tr>
      <w:tr>
        <w:trPr>
          <w:trHeight w:val="340"/>
        </w:trPr>
        <w:tc>
          <w:tcPr>
            <w:tcW w:w="1979"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r>
              <w:rPr>
                <w:rFonts w:ascii="Verdana" w:hAnsi="Verdana"/>
                <w:noProof/>
                <w:color w:val="000000"/>
                <w:sz w:val="16"/>
              </w:rPr>
              <w:t>Eurooppa-neuvosto ja neuvosto</w:t>
            </w:r>
          </w:p>
        </w:tc>
        <w:tc>
          <w:tcPr>
            <w:tcW w:w="92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681</w:t>
            </w:r>
          </w:p>
        </w:tc>
        <w:tc>
          <w:tcPr>
            <w:tcW w:w="982"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470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43</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23</w:t>
            </w:r>
          </w:p>
        </w:tc>
        <w:tc>
          <w:tcPr>
            <w:tcW w:w="70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536</w:t>
            </w:r>
          </w:p>
        </w:tc>
        <w:tc>
          <w:tcPr>
            <w:tcW w:w="629"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79 %</w:t>
            </w:r>
          </w:p>
        </w:tc>
        <w:tc>
          <w:tcPr>
            <w:tcW w:w="970"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61</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0</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24</w:t>
            </w:r>
          </w:p>
        </w:tc>
        <w:tc>
          <w:tcPr>
            <w:tcW w:w="946"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84</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46</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14</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60</w:t>
            </w:r>
          </w:p>
        </w:tc>
      </w:tr>
      <w:tr>
        <w:trPr>
          <w:trHeight w:val="340"/>
        </w:trPr>
        <w:tc>
          <w:tcPr>
            <w:tcW w:w="1979"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r>
              <w:rPr>
                <w:rFonts w:ascii="Verdana" w:hAnsi="Verdana"/>
                <w:noProof/>
                <w:color w:val="000000"/>
                <w:sz w:val="16"/>
              </w:rPr>
              <w:t>Komissio</w:t>
            </w:r>
          </w:p>
        </w:tc>
        <w:tc>
          <w:tcPr>
            <w:tcW w:w="92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161 390</w:t>
            </w:r>
          </w:p>
        </w:tc>
        <w:tc>
          <w:tcPr>
            <w:tcW w:w="982"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139 260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1 394</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11 879</w:t>
            </w:r>
          </w:p>
        </w:tc>
        <w:tc>
          <w:tcPr>
            <w:tcW w:w="70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152 533</w:t>
            </w:r>
          </w:p>
        </w:tc>
        <w:tc>
          <w:tcPr>
            <w:tcW w:w="629"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95 %</w:t>
            </w:r>
          </w:p>
        </w:tc>
        <w:tc>
          <w:tcPr>
            <w:tcW w:w="970"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706</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465</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7 294</w:t>
            </w:r>
          </w:p>
        </w:tc>
        <w:tc>
          <w:tcPr>
            <w:tcW w:w="946"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8 465</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322</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68</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2"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392</w:t>
            </w:r>
          </w:p>
        </w:tc>
      </w:tr>
      <w:tr>
        <w:trPr>
          <w:trHeight w:val="340"/>
        </w:trPr>
        <w:tc>
          <w:tcPr>
            <w:tcW w:w="1979"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r>
              <w:rPr>
                <w:rFonts w:ascii="Verdana" w:hAnsi="Verdana"/>
                <w:noProof/>
                <w:color w:val="000000"/>
                <w:sz w:val="16"/>
              </w:rPr>
              <w:t>Unionin tuomioistuin</w:t>
            </w:r>
          </w:p>
        </w:tc>
        <w:tc>
          <w:tcPr>
            <w:tcW w:w="92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432</w:t>
            </w:r>
          </w:p>
        </w:tc>
        <w:tc>
          <w:tcPr>
            <w:tcW w:w="982"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386</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18</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0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404</w:t>
            </w:r>
          </w:p>
        </w:tc>
        <w:tc>
          <w:tcPr>
            <w:tcW w:w="629"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94 %</w:t>
            </w:r>
          </w:p>
        </w:tc>
        <w:tc>
          <w:tcPr>
            <w:tcW w:w="970"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21</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0</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46"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22</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6</w:t>
            </w:r>
          </w:p>
        </w:tc>
      </w:tr>
      <w:tr>
        <w:trPr>
          <w:trHeight w:val="340"/>
        </w:trPr>
        <w:tc>
          <w:tcPr>
            <w:tcW w:w="1979"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r>
              <w:rPr>
                <w:rFonts w:ascii="Verdana" w:hAnsi="Verdana"/>
                <w:noProof/>
                <w:color w:val="000000"/>
                <w:sz w:val="16"/>
              </w:rPr>
              <w:t>Tilintarkastustuomio-istuin</w:t>
            </w:r>
          </w:p>
        </w:tc>
        <w:tc>
          <w:tcPr>
            <w:tcW w:w="92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154</w:t>
            </w:r>
          </w:p>
        </w:tc>
        <w:tc>
          <w:tcPr>
            <w:tcW w:w="982"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133</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7</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0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140</w:t>
            </w:r>
          </w:p>
        </w:tc>
        <w:tc>
          <w:tcPr>
            <w:tcW w:w="629"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91 %</w:t>
            </w:r>
          </w:p>
        </w:tc>
        <w:tc>
          <w:tcPr>
            <w:tcW w:w="970"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7</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0</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46"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6</w:t>
            </w:r>
          </w:p>
        </w:tc>
      </w:tr>
      <w:tr>
        <w:trPr>
          <w:trHeight w:val="340"/>
        </w:trPr>
        <w:tc>
          <w:tcPr>
            <w:tcW w:w="1979"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r>
              <w:rPr>
                <w:rFonts w:ascii="Verdana" w:hAnsi="Verdana"/>
                <w:noProof/>
                <w:color w:val="000000"/>
                <w:sz w:val="16"/>
              </w:rPr>
              <w:t>Talous- ja sosiaalikomitea</w:t>
            </w:r>
          </w:p>
        </w:tc>
        <w:tc>
          <w:tcPr>
            <w:tcW w:w="92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150</w:t>
            </w:r>
          </w:p>
        </w:tc>
        <w:tc>
          <w:tcPr>
            <w:tcW w:w="982"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126</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70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137</w:t>
            </w:r>
          </w:p>
        </w:tc>
        <w:tc>
          <w:tcPr>
            <w:tcW w:w="629"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91 %</w:t>
            </w:r>
          </w:p>
        </w:tc>
        <w:tc>
          <w:tcPr>
            <w:tcW w:w="970"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0</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46"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4</w:t>
            </w:r>
          </w:p>
        </w:tc>
      </w:tr>
      <w:tr>
        <w:trPr>
          <w:trHeight w:val="340"/>
        </w:trPr>
        <w:tc>
          <w:tcPr>
            <w:tcW w:w="1979"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r>
              <w:rPr>
                <w:rFonts w:ascii="Verdana" w:hAnsi="Verdana"/>
                <w:noProof/>
                <w:color w:val="000000"/>
                <w:sz w:val="16"/>
              </w:rPr>
              <w:t>Alueiden komitea</w:t>
            </w:r>
          </w:p>
        </w:tc>
        <w:tc>
          <w:tcPr>
            <w:tcW w:w="92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108</w:t>
            </w:r>
          </w:p>
        </w:tc>
        <w:tc>
          <w:tcPr>
            <w:tcW w:w="982"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87</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0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96</w:t>
            </w:r>
          </w:p>
        </w:tc>
        <w:tc>
          <w:tcPr>
            <w:tcW w:w="629"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90 %</w:t>
            </w:r>
          </w:p>
        </w:tc>
        <w:tc>
          <w:tcPr>
            <w:tcW w:w="970"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0</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46"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340"/>
        </w:trPr>
        <w:tc>
          <w:tcPr>
            <w:tcW w:w="1979"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r>
              <w:rPr>
                <w:rFonts w:ascii="Verdana" w:hAnsi="Verdana"/>
                <w:noProof/>
                <w:color w:val="000000"/>
                <w:sz w:val="16"/>
              </w:rPr>
              <w:t>Oikeusasiamies</w:t>
            </w:r>
          </w:p>
        </w:tc>
        <w:tc>
          <w:tcPr>
            <w:tcW w:w="92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12</w:t>
            </w:r>
          </w:p>
        </w:tc>
        <w:tc>
          <w:tcPr>
            <w:tcW w:w="982"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10</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0</w:t>
            </w:r>
          </w:p>
        </w:tc>
        <w:tc>
          <w:tcPr>
            <w:tcW w:w="70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11</w:t>
            </w:r>
          </w:p>
        </w:tc>
        <w:tc>
          <w:tcPr>
            <w:tcW w:w="629"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91 %</w:t>
            </w:r>
          </w:p>
        </w:tc>
        <w:tc>
          <w:tcPr>
            <w:tcW w:w="970"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0</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0</w:t>
            </w:r>
          </w:p>
        </w:tc>
        <w:tc>
          <w:tcPr>
            <w:tcW w:w="946"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485"/>
        </w:trPr>
        <w:tc>
          <w:tcPr>
            <w:tcW w:w="1979"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r>
              <w:rPr>
                <w:rFonts w:ascii="Verdana" w:hAnsi="Verdana"/>
                <w:noProof/>
                <w:color w:val="000000"/>
                <w:sz w:val="16"/>
              </w:rPr>
              <w:t>Euroopan tietosuojavaltuutettu</w:t>
            </w:r>
          </w:p>
        </w:tc>
        <w:tc>
          <w:tcPr>
            <w:tcW w:w="92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982"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11</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0</w:t>
            </w:r>
          </w:p>
        </w:tc>
        <w:tc>
          <w:tcPr>
            <w:tcW w:w="70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12</w:t>
            </w:r>
          </w:p>
        </w:tc>
        <w:tc>
          <w:tcPr>
            <w:tcW w:w="629"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75 %</w:t>
            </w:r>
          </w:p>
        </w:tc>
        <w:tc>
          <w:tcPr>
            <w:tcW w:w="970"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0</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0</w:t>
            </w:r>
          </w:p>
        </w:tc>
        <w:tc>
          <w:tcPr>
            <w:tcW w:w="946"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340"/>
        </w:trPr>
        <w:tc>
          <w:tcPr>
            <w:tcW w:w="1979"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r>
              <w:rPr>
                <w:rFonts w:ascii="Verdana" w:hAnsi="Verdana"/>
                <w:noProof/>
                <w:color w:val="000000"/>
                <w:sz w:val="16"/>
              </w:rPr>
              <w:t>Euroopan ulkosuhdehallinto</w:t>
            </w:r>
          </w:p>
        </w:tc>
        <w:tc>
          <w:tcPr>
            <w:tcW w:w="92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1 090</w:t>
            </w:r>
          </w:p>
        </w:tc>
        <w:tc>
          <w:tcPr>
            <w:tcW w:w="982"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575</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93</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202</w:t>
            </w:r>
          </w:p>
        </w:tc>
        <w:tc>
          <w:tcPr>
            <w:tcW w:w="70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870</w:t>
            </w:r>
          </w:p>
        </w:tc>
        <w:tc>
          <w:tcPr>
            <w:tcW w:w="629"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80 %</w:t>
            </w:r>
          </w:p>
        </w:tc>
        <w:tc>
          <w:tcPr>
            <w:tcW w:w="970"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102</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0</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105</w:t>
            </w:r>
          </w:p>
        </w:tc>
        <w:tc>
          <w:tcPr>
            <w:tcW w:w="946"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208</w:t>
            </w:r>
          </w:p>
        </w:tc>
        <w:tc>
          <w:tcPr>
            <w:tcW w:w="992"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11</w:t>
            </w:r>
          </w:p>
        </w:tc>
        <w:tc>
          <w:tcPr>
            <w:tcW w:w="993" w:type="dxa"/>
            <w:gridSpan w:val="2"/>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12</w:t>
            </w:r>
          </w:p>
        </w:tc>
      </w:tr>
      <w:tr>
        <w:trPr>
          <w:trHeight w:val="340"/>
        </w:trPr>
        <w:tc>
          <w:tcPr>
            <w:tcW w:w="1979"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3Payments"/>
              <w:rPr>
                <w:rFonts w:ascii="Verdana" w:eastAsia="Times New Roman" w:hAnsi="Verdana" w:cs="Verdana"/>
                <w:b/>
                <w:noProof/>
                <w:color w:val="000000"/>
                <w:sz w:val="16"/>
              </w:rPr>
            </w:pPr>
            <w:r>
              <w:rPr>
                <w:rFonts w:ascii="Verdana" w:hAnsi="Verdana"/>
                <w:b/>
                <w:noProof/>
                <w:color w:val="000000"/>
                <w:sz w:val="16"/>
              </w:rPr>
              <w:t>Yhteensä</w:t>
            </w:r>
          </w:p>
        </w:tc>
        <w:tc>
          <w:tcPr>
            <w:tcW w:w="927"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3Payments"/>
              <w:jc w:val="right"/>
              <w:rPr>
                <w:rFonts w:ascii="Verdana" w:eastAsia="Times New Roman" w:hAnsi="Verdana" w:cs="Verdana"/>
                <w:b/>
                <w:noProof/>
                <w:color w:val="000000"/>
                <w:sz w:val="16"/>
              </w:rPr>
            </w:pPr>
            <w:r>
              <w:rPr>
                <w:rFonts w:ascii="Verdana" w:hAnsi="Verdana"/>
                <w:b/>
                <w:noProof/>
                <w:color w:val="000000"/>
                <w:sz w:val="16"/>
              </w:rPr>
              <w:t>166 353</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3Payments"/>
              <w:jc w:val="right"/>
              <w:rPr>
                <w:rFonts w:ascii="Verdana" w:eastAsia="Times New Roman" w:hAnsi="Verdana" w:cs="Verdana"/>
                <w:b/>
                <w:noProof/>
                <w:color w:val="000000"/>
                <w:sz w:val="16"/>
              </w:rPr>
            </w:pPr>
            <w:r>
              <w:rPr>
                <w:rFonts w:ascii="Verdana" w:hAnsi="Verdana"/>
                <w:b/>
                <w:noProof/>
                <w:color w:val="000000"/>
                <w:sz w:val="16"/>
              </w:rPr>
              <w:t>142 695</w:t>
            </w:r>
          </w:p>
        </w:tc>
        <w:tc>
          <w:tcPr>
            <w:tcW w:w="850"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3Payments"/>
              <w:jc w:val="right"/>
              <w:rPr>
                <w:rFonts w:ascii="Verdana" w:eastAsia="Times New Roman" w:hAnsi="Verdana" w:cs="Verdana"/>
                <w:b/>
                <w:noProof/>
                <w:color w:val="000000"/>
                <w:sz w:val="16"/>
              </w:rPr>
            </w:pPr>
            <w:r>
              <w:rPr>
                <w:rFonts w:ascii="Verdana" w:hAnsi="Verdana"/>
                <w:b/>
                <w:noProof/>
                <w:color w:val="000000"/>
                <w:sz w:val="16"/>
              </w:rPr>
              <w:t>1 840</w:t>
            </w:r>
          </w:p>
        </w:tc>
        <w:tc>
          <w:tcPr>
            <w:tcW w:w="992"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3Payments"/>
              <w:jc w:val="right"/>
              <w:rPr>
                <w:rFonts w:ascii="Verdana" w:eastAsia="Times New Roman" w:hAnsi="Verdana" w:cs="Verdana"/>
                <w:b/>
                <w:noProof/>
                <w:color w:val="000000"/>
                <w:sz w:val="16"/>
              </w:rPr>
            </w:pPr>
            <w:r>
              <w:rPr>
                <w:rFonts w:ascii="Verdana" w:hAnsi="Verdana"/>
                <w:b/>
                <w:noProof/>
                <w:color w:val="000000"/>
                <w:sz w:val="16"/>
              </w:rPr>
              <w:t>12 138</w:t>
            </w:r>
          </w:p>
        </w:tc>
        <w:tc>
          <w:tcPr>
            <w:tcW w:w="709"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3Payments"/>
              <w:jc w:val="right"/>
              <w:rPr>
                <w:rFonts w:ascii="Verdana" w:eastAsia="Times New Roman" w:hAnsi="Verdana" w:cs="Verdana"/>
                <w:b/>
                <w:noProof/>
                <w:color w:val="000000"/>
                <w:sz w:val="16"/>
              </w:rPr>
            </w:pPr>
            <w:r>
              <w:rPr>
                <w:rFonts w:ascii="Verdana" w:hAnsi="Verdana"/>
                <w:b/>
                <w:noProof/>
                <w:color w:val="000000"/>
                <w:sz w:val="16"/>
              </w:rPr>
              <w:t>156 673</w:t>
            </w:r>
          </w:p>
        </w:tc>
        <w:tc>
          <w:tcPr>
            <w:tcW w:w="629"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3Payments"/>
              <w:jc w:val="right"/>
              <w:rPr>
                <w:rFonts w:ascii="Verdana" w:eastAsia="Times New Roman" w:hAnsi="Verdana" w:cs="Verdana"/>
                <w:b/>
                <w:noProof/>
                <w:color w:val="000000"/>
                <w:sz w:val="16"/>
              </w:rPr>
            </w:pPr>
            <w:r>
              <w:rPr>
                <w:rFonts w:ascii="Verdana" w:hAnsi="Verdana"/>
                <w:b/>
                <w:noProof/>
                <w:color w:val="000000"/>
                <w:sz w:val="16"/>
              </w:rPr>
              <w:t>94 %</w:t>
            </w:r>
          </w:p>
        </w:tc>
        <w:tc>
          <w:tcPr>
            <w:tcW w:w="970"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3Payments"/>
              <w:jc w:val="right"/>
              <w:rPr>
                <w:rFonts w:ascii="Verdana" w:eastAsia="Times New Roman" w:hAnsi="Verdana" w:cs="Verdana"/>
                <w:b/>
                <w:noProof/>
                <w:color w:val="000000"/>
                <w:sz w:val="16"/>
              </w:rPr>
            </w:pPr>
            <w:r>
              <w:rPr>
                <w:rFonts w:ascii="Verdana" w:hAnsi="Verdana"/>
                <w:b/>
                <w:noProof/>
                <w:color w:val="000000"/>
                <w:sz w:val="16"/>
              </w:rPr>
              <w:t>1 214</w:t>
            </w:r>
          </w:p>
        </w:tc>
        <w:tc>
          <w:tcPr>
            <w:tcW w:w="854"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3Payments"/>
              <w:jc w:val="right"/>
              <w:rPr>
                <w:rFonts w:ascii="Verdana" w:eastAsia="Times New Roman" w:hAnsi="Verdana" w:cs="Verdana"/>
                <w:b/>
                <w:noProof/>
                <w:color w:val="000000"/>
                <w:sz w:val="16"/>
              </w:rPr>
            </w:pPr>
            <w:r>
              <w:rPr>
                <w:rFonts w:ascii="Verdana" w:hAnsi="Verdana"/>
                <w:b/>
                <w:noProof/>
                <w:color w:val="000000"/>
                <w:sz w:val="16"/>
              </w:rPr>
              <w:t xml:space="preserve"> 465</w:t>
            </w:r>
          </w:p>
        </w:tc>
        <w:tc>
          <w:tcPr>
            <w:tcW w:w="854"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3Payments"/>
              <w:jc w:val="right"/>
              <w:rPr>
                <w:rFonts w:ascii="Verdana" w:eastAsia="Times New Roman" w:hAnsi="Verdana" w:cs="Verdana"/>
                <w:b/>
                <w:noProof/>
                <w:color w:val="000000"/>
                <w:sz w:val="16"/>
              </w:rPr>
            </w:pPr>
            <w:r>
              <w:rPr>
                <w:rFonts w:ascii="Verdana" w:hAnsi="Verdana"/>
                <w:b/>
                <w:noProof/>
                <w:color w:val="000000"/>
                <w:sz w:val="16"/>
              </w:rPr>
              <w:t>7 475</w:t>
            </w:r>
          </w:p>
        </w:tc>
        <w:tc>
          <w:tcPr>
            <w:tcW w:w="946"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3Payments"/>
              <w:jc w:val="right"/>
              <w:rPr>
                <w:rFonts w:ascii="Verdana" w:eastAsia="Times New Roman" w:hAnsi="Verdana" w:cs="Verdana"/>
                <w:b/>
                <w:noProof/>
                <w:color w:val="000000"/>
                <w:sz w:val="16"/>
              </w:rPr>
            </w:pPr>
            <w:r>
              <w:rPr>
                <w:rFonts w:ascii="Verdana" w:hAnsi="Verdana"/>
                <w:b/>
                <w:noProof/>
                <w:color w:val="000000"/>
                <w:sz w:val="16"/>
              </w:rPr>
              <w:t>9 154</w:t>
            </w:r>
          </w:p>
        </w:tc>
        <w:tc>
          <w:tcPr>
            <w:tcW w:w="992"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3Payments"/>
              <w:jc w:val="right"/>
              <w:rPr>
                <w:rFonts w:ascii="Verdana" w:eastAsia="Times New Roman" w:hAnsi="Verdana" w:cs="Verdana"/>
                <w:b/>
                <w:noProof/>
                <w:color w:val="000000"/>
                <w:sz w:val="16"/>
              </w:rPr>
            </w:pPr>
            <w:r>
              <w:rPr>
                <w:rFonts w:ascii="Verdana" w:hAnsi="Verdana"/>
                <w:b/>
                <w:noProof/>
                <w:color w:val="000000"/>
                <w:sz w:val="16"/>
              </w:rPr>
              <w:t xml:space="preserve"> 398</w:t>
            </w:r>
          </w:p>
        </w:tc>
        <w:tc>
          <w:tcPr>
            <w:tcW w:w="850"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3Payments"/>
              <w:jc w:val="right"/>
              <w:rPr>
                <w:rFonts w:ascii="Verdana" w:eastAsia="Times New Roman" w:hAnsi="Verdana" w:cs="Verdana"/>
                <w:b/>
                <w:noProof/>
                <w:color w:val="000000"/>
                <w:sz w:val="16"/>
              </w:rPr>
            </w:pPr>
            <w:r>
              <w:rPr>
                <w:rFonts w:ascii="Verdana" w:hAnsi="Verdana"/>
                <w:b/>
                <w:noProof/>
                <w:color w:val="000000"/>
                <w:sz w:val="16"/>
              </w:rPr>
              <w:t xml:space="preserve"> 126</w:t>
            </w:r>
          </w:p>
        </w:tc>
        <w:tc>
          <w:tcPr>
            <w:tcW w:w="993" w:type="dxa"/>
            <w:gridSpan w:val="2"/>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3Payments"/>
              <w:jc w:val="right"/>
              <w:rPr>
                <w:rFonts w:ascii="Verdana" w:eastAsia="Times New Roman" w:hAnsi="Verdana" w:cs="Verdana"/>
                <w:b/>
                <w:noProof/>
                <w:color w:val="000000"/>
                <w:sz w:val="16"/>
              </w:rPr>
            </w:pPr>
            <w:r>
              <w:rPr>
                <w:rFonts w:ascii="Verdana" w:hAnsi="Verdana"/>
                <w:b/>
                <w:noProof/>
                <w:color w:val="000000"/>
                <w:sz w:val="16"/>
              </w:rPr>
              <w:t xml:space="preserve"> 2</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3Payments"/>
              <w:jc w:val="right"/>
              <w:rPr>
                <w:rFonts w:ascii="Verdana" w:eastAsia="Times New Roman" w:hAnsi="Verdana" w:cs="Verdana"/>
                <w:b/>
                <w:noProof/>
                <w:color w:val="000000"/>
                <w:sz w:val="16"/>
              </w:rPr>
            </w:pPr>
            <w:r>
              <w:rPr>
                <w:rFonts w:ascii="Verdana" w:hAnsi="Verdana"/>
                <w:b/>
                <w:noProof/>
                <w:color w:val="000000"/>
                <w:sz w:val="16"/>
              </w:rPr>
              <w:t xml:space="preserve"> 526</w:t>
            </w:r>
          </w:p>
        </w:tc>
      </w:tr>
    </w:tbl>
    <w:p>
      <w:pPr>
        <w:pStyle w:val="DGTextstand-alone"/>
      </w:pPr>
    </w:p>
    <w:bookmarkEnd w:id="351"/>
    <w:p>
      <w:pPr>
        <w:pStyle w:val="DGTextstand-alone"/>
        <w:sectPr>
          <w:headerReference w:type="even" r:id="rId527"/>
          <w:headerReference w:type="default" r:id="rId528"/>
          <w:footerReference w:type="even" r:id="rId529"/>
          <w:footerReference w:type="default" r:id="rId530"/>
          <w:headerReference w:type="first" r:id="rId531"/>
          <w:footerReference w:type="first" r:id="rId532"/>
          <w:type w:val="nextColumn"/>
          <w:pgSz w:w="16840" w:h="11907" w:orient="landscape" w:code="9"/>
          <w:pgMar w:top="1134" w:right="1134" w:bottom="1134" w:left="1134" w:header="709" w:footer="709" w:gutter="0"/>
          <w:cols w:space="708"/>
          <w:docGrid w:linePitch="360"/>
        </w:sectPr>
      </w:pPr>
    </w:p>
    <w:p>
      <w:pPr>
        <w:pStyle w:val="HEADER1PartBUDG"/>
        <w:rPr>
          <w:noProof/>
        </w:rPr>
      </w:pPr>
      <w:bookmarkStart w:id="363" w:name="_DMBM_14877"/>
      <w:r>
        <w:rPr>
          <w:noProof/>
        </w:rPr>
        <w:t xml:space="preserve"> </w:t>
      </w:r>
      <w:bookmarkStart w:id="364" w:name="_Toc11939565"/>
      <w:bookmarkStart w:id="365" w:name="_Toc17887590"/>
      <w:r>
        <w:rPr>
          <w:noProof/>
        </w:rPr>
        <w:t>ERILLISVIRASTOJEN TALOUSARVIOIDEN TOTEUTTAMINEN</w:t>
      </w:r>
      <w:bookmarkEnd w:id="364"/>
      <w:bookmarkEnd w:id="365"/>
    </w:p>
    <w:p>
      <w:pPr>
        <w:pStyle w:val="DGTextstand-alone"/>
      </w:pPr>
      <w:r>
        <w:t>Jäljempänä olevissa kertomuksissa esitetään virastojen tulot ja menot. Kertomukset kattavat sekä erillisvirastot (perinteiset virastot) että toimeenpanovirastot.</w:t>
      </w:r>
    </w:p>
    <w:p>
      <w:pPr>
        <w:pStyle w:val="DGTextstand-alone"/>
      </w:pPr>
      <w:r>
        <w:t>Virastojen tuloja ja menoja ei konsolidoida EU:n talousarvioon. Komission avustus sisältyy EU:n talousarvioon.</w:t>
      </w:r>
    </w:p>
    <w:p>
      <w:pPr>
        <w:pStyle w:val="DGTextstand-alone"/>
      </w:pPr>
      <w:r>
        <w:t>Virastojen muita tulo- ja menolähteitä ei lisätä EU:n talousarvion tilinpäätökseen. Kukin virasto esittää oman tilinpäätöksensä. Jäljempänä olevissa taulukoissa esitetyt tiedot antavat yleisen taloudellisen kuvan näistä EU:n elimistä.</w:t>
      </w:r>
    </w:p>
    <w:p>
      <w:pPr>
        <w:pStyle w:val="HEADER2PartBUDG"/>
        <w:rPr>
          <w:noProof/>
        </w:rPr>
      </w:pPr>
      <w:bookmarkStart w:id="366" w:name="_Toc11939566"/>
      <w:bookmarkStart w:id="367" w:name="_Toc17887591"/>
      <w:r>
        <w:rPr>
          <w:noProof/>
        </w:rPr>
        <w:t>TALOUSARVIOTULOT</w:t>
      </w:r>
      <w:bookmarkEnd w:id="366"/>
      <w:bookmarkEnd w:id="367"/>
      <w:r>
        <w:rPr>
          <w:noProo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9"/>
        <w:gridCol w:w="1103"/>
        <w:gridCol w:w="1103"/>
        <w:gridCol w:w="1107"/>
      </w:tblGrid>
      <w:tr>
        <w:trPr>
          <w:trHeight w:val="340"/>
          <w:tblHeader/>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bookmarkStart w:id="368" w:name="DOC_TBL00117_1_1"/>
            <w:bookmarkEnd w:id="368"/>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i/>
                <w:noProof/>
                <w:color w:val="000000"/>
                <w:sz w:val="16"/>
              </w:rPr>
            </w:pPr>
            <w:r>
              <w:rPr>
                <w:rFonts w:ascii="Verdana" w:hAnsi="Verdana"/>
                <w:i/>
                <w:noProof/>
                <w:color w:val="000000"/>
                <w:sz w:val="16"/>
              </w:rPr>
              <w:t>milj. euroa</w:t>
            </w:r>
          </w:p>
        </w:tc>
      </w:tr>
      <w:tr>
        <w:trPr>
          <w:trHeight w:val="340"/>
          <w:tblHeader/>
        </w:trPr>
        <w:tc>
          <w:tcPr>
            <w:tcW w:w="1320"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1Revenue"/>
              <w:jc w:val="center"/>
              <w:rPr>
                <w:rFonts w:ascii="Verdana" w:eastAsia="Verdana" w:hAnsi="Verdana" w:cs="Verdana"/>
                <w:noProof/>
                <w:color w:val="FFFFFF"/>
                <w:sz w:val="16"/>
              </w:rPr>
            </w:pPr>
            <w:r>
              <w:rPr>
                <w:rFonts w:ascii="Verdana" w:hAnsi="Verdana"/>
                <w:noProof/>
                <w:color w:val="FFFFFF"/>
                <w:sz w:val="16"/>
              </w:rPr>
              <w:t>Virasto</w:t>
            </w:r>
          </w:p>
        </w:tc>
        <w:tc>
          <w:tcPr>
            <w:tcW w:w="226"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1Revenue"/>
              <w:jc w:val="right"/>
              <w:rPr>
                <w:rFonts w:ascii="Verdana" w:eastAsia="Verdana" w:hAnsi="Verdana" w:cs="Verdana"/>
                <w:noProof/>
                <w:color w:val="FFFFFF"/>
                <w:sz w:val="16"/>
              </w:rPr>
            </w:pPr>
            <w:r>
              <w:rPr>
                <w:rFonts w:ascii="Verdana" w:hAnsi="Verdana"/>
                <w:noProof/>
                <w:color w:val="FFFFFF"/>
                <w:sz w:val="16"/>
              </w:rPr>
              <w:t>Rahoitus komission toiminta</w:t>
            </w:r>
            <w:r>
              <w:rPr>
                <w:rFonts w:ascii="Verdana" w:hAnsi="Verdana"/>
                <w:noProof/>
                <w:color w:val="FFFFFF"/>
                <w:sz w:val="16"/>
              </w:rPr>
              <w:softHyphen/>
              <w:t>lohkosta</w:t>
            </w:r>
          </w:p>
        </w:tc>
        <w:tc>
          <w:tcPr>
            <w:tcW w:w="226"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1Revenue"/>
              <w:jc w:val="right"/>
              <w:rPr>
                <w:rFonts w:ascii="Verdana" w:eastAsia="Verdana" w:hAnsi="Verdana" w:cs="Verdana"/>
                <w:noProof/>
                <w:color w:val="FFFFFF"/>
                <w:sz w:val="16"/>
              </w:rPr>
            </w:pPr>
            <w:r>
              <w:rPr>
                <w:rFonts w:ascii="Verdana" w:hAnsi="Verdana"/>
                <w:noProof/>
                <w:color w:val="FFFFFF"/>
                <w:sz w:val="16"/>
              </w:rPr>
              <w:t>Lopullinen hyväksytty talousarvio</w:t>
            </w:r>
          </w:p>
        </w:tc>
        <w:tc>
          <w:tcPr>
            <w:tcW w:w="227"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1Revenue"/>
              <w:jc w:val="right"/>
              <w:rPr>
                <w:rFonts w:ascii="Verdana" w:eastAsia="Verdana" w:hAnsi="Verdana" w:cs="Verdana"/>
                <w:noProof/>
                <w:color w:val="FFFFFF"/>
                <w:sz w:val="16"/>
              </w:rPr>
            </w:pPr>
            <w:r>
              <w:rPr>
                <w:rFonts w:ascii="Verdana" w:hAnsi="Verdana"/>
                <w:noProof/>
                <w:color w:val="FFFFFF"/>
                <w:sz w:val="16"/>
              </w:rPr>
              <w:t>Toteutuneet tulot</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Energia-alan sääntelyviranomaisten yhteistyövirasto (ACER)</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6</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14</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14</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Euroopan sähköisen viestinnän sääntelyviranomaisten yhteistyöelin (BEREC)</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9</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4</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4</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Yhteisön kasvilajikevirasto (CPVO)</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17</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17</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18</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Kuluttaja-, terveys-, maatalous- ja elintarvikeasioiden toimeenpanovirasto (Chafea)</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17</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11</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11</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Koulutuksen, audiovisuaalialan ja kulttuurin toimeenpanovirasto (EACEA)</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15</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50</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50</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Euroopan työterveys- ja työturvallisuusvirasto (EU-OSHA)</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4</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15</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15</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Vapauden, turvallisuuden ja oikeuden alueen laaja-alaisten tietojärjestelmien operatiivisesta hallinnoinnista vastaava eurooppalainen virasto (eu-LISA)</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18</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94</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97</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Euroopan turvapaikka-asioiden tukivirasto (EASO)</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18</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98</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98</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Euroopan lentoturvallisuusvirasto (EASA)</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6</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198</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155</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Euroopan pankkiviranomainen (EPV)</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12</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43</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44</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Euroopan raja- ja merivartiovirasto (Frontex)</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18</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289</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306</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 xml:space="preserve">Euroopan tautienehkäisy- ja </w:t>
            </w:r>
            <w:r>
              <w:rPr>
                <w:noProof/>
              </w:rPr>
              <w:noBreakHyphen/>
            </w:r>
            <w:r>
              <w:rPr>
                <w:rFonts w:ascii="Verdana" w:hAnsi="Verdana"/>
                <w:noProof/>
                <w:color w:val="000000"/>
                <w:sz w:val="16"/>
              </w:rPr>
              <w:t>valvontakeskus (ECDC)</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17</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58</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58</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Euroopan ammatillisen koulutuksen kehittämiskeskus (Cedefop)</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15</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18</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18</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Euroopan kemikaalivirasto (ECHA)</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2</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119</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121</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Euroopan ympäristökeskus (EYK)</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7</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66</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66</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Euroopan kalastuksenvalvontavirasto (EFCA)</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11</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17</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17</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 xml:space="preserve">Euroopan elintarviketurvallisuusviranomainen (EFSA) </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17</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80</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80</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Euroopan elin- ja työolojen kehittämissäätiö (Eurofound)</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4</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21</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21</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Euroopan GNSS-virasto</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6</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33</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746</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Euroopan tasa-arvoinstituutti (EIGE)</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4</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8</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8</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Euroopan innovaatio- ja teknologiainstituutti (EIT)</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15</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370</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345</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Euroopan vakuutus- ja lisäeläkeviranomainen (EIOPA)</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12</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25</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25</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Euroopan meriturvallisuusvirasto (EMSA)</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6</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77</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103</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Euroopan lääkevirasto (EMA)</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2</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338</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317</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Euroopan huumausaineiden ja niiden väärinkäytön seurantakeskus (EMCDDA)</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18</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16</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16</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Euroopan poliisivirasto</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18</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137</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137</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Euroopan tutkimusneuvoston toimeenpanovirasto (ERCEA)</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8</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49</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49</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Euroopan arvopaperimarkkinaviranomainen (ESMA)</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12</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44</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44</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Euroopan koulutussäätiö (ETF)</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15</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20</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20</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Euroopan unionin perusoikeusvirasto (FRA)</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18</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23</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23</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Euroopan unionin lainvalvontakoulutusvirasto (CEPOL)</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18</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9</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14</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Euroopan unionin verkko- ja tietoturvavirasto (ENISA)</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9</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11</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12</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Euroopan unionin rautatievirasto</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6</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29</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29</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Euroopan unionin teollisoikeuksien virasto (EUIPO)</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12</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403</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245</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Euroopan oikeudellisen yhteistyön yksikkö (Eurojust)</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33</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38</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38</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Pienistä ja keskisuurista yrityksistä vastaava toimeenpanovirasto (EASME)</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6</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44</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44</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ITER-yhteisyritys (Fusion for Energy)</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8</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795</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831</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Innovoinnin ja verkkojen toimeenpanovirasto (INEA)</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6</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27</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27</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Tutkimuksen toimeenpanovirasto (REA)</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8</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70</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70</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Euroopan unionin elinten käännöskeskus</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15</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47</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41</w:t>
            </w:r>
          </w:p>
        </w:tc>
      </w:tr>
      <w:tr>
        <w:trPr>
          <w:trHeight w:val="340"/>
        </w:trPr>
        <w:tc>
          <w:tcPr>
            <w:tcW w:w="1320" w:type="dxa"/>
            <w:tcBorders>
              <w:top w:val="nil"/>
              <w:left w:val="nil"/>
              <w:bottom w:val="nil"/>
              <w:right w:val="nil"/>
              <w:tl2br w:val="nil"/>
              <w:tr2bl w:val="nil"/>
            </w:tcBorders>
            <w:shd w:val="solid" w:color="CCE1EA" w:fill="FFFFFF"/>
            <w:tcMar>
              <w:left w:w="60" w:type="dxa"/>
              <w:right w:w="60" w:type="dxa"/>
            </w:tcMar>
            <w:vAlign w:val="center"/>
          </w:tcPr>
          <w:p>
            <w:pPr>
              <w:pStyle w:val="DMETW14863BIPAgencies1Revenue"/>
              <w:rPr>
                <w:rFonts w:ascii="Verdana" w:eastAsia="Verdana" w:hAnsi="Verdana" w:cs="Verdana"/>
                <w:b/>
                <w:noProof/>
                <w:color w:val="000000"/>
                <w:sz w:val="16"/>
              </w:rPr>
            </w:pPr>
            <w:r>
              <w:rPr>
                <w:rFonts w:ascii="Verdana" w:hAnsi="Verdana"/>
                <w:b/>
                <w:noProof/>
                <w:color w:val="000000"/>
                <w:sz w:val="16"/>
              </w:rPr>
              <w:t>Yhteensä</w:t>
            </w:r>
          </w:p>
        </w:tc>
        <w:tc>
          <w:tcPr>
            <w:tcW w:w="226" w:type="dxa"/>
            <w:tcBorders>
              <w:top w:val="nil"/>
              <w:left w:val="nil"/>
              <w:bottom w:val="nil"/>
              <w:right w:val="nil"/>
              <w:tl2br w:val="nil"/>
              <w:tr2bl w:val="nil"/>
            </w:tcBorders>
            <w:shd w:val="solid" w:color="CCE1EA" w:fill="FFFFFF"/>
            <w:tcMar>
              <w:left w:w="60" w:type="dxa"/>
              <w:right w:w="60" w:type="dxa"/>
            </w:tcMar>
            <w:vAlign w:val="center"/>
          </w:tcPr>
          <w:p>
            <w:pPr>
              <w:pStyle w:val="DMETW14863BIPAgencies1Revenue"/>
              <w:rPr>
                <w:rFonts w:ascii="Verdana" w:eastAsia="Verdana" w:hAnsi="Verdana" w:cs="Verdana"/>
                <w:b/>
                <w:noProof/>
                <w:color w:val="000000"/>
                <w:sz w:val="16"/>
              </w:rPr>
            </w:pPr>
          </w:p>
        </w:tc>
        <w:tc>
          <w:tcPr>
            <w:tcW w:w="226" w:type="dxa"/>
            <w:tcBorders>
              <w:top w:val="nil"/>
              <w:left w:val="nil"/>
              <w:bottom w:val="nil"/>
              <w:right w:val="nil"/>
              <w:tl2br w:val="nil"/>
              <w:tr2bl w:val="nil"/>
            </w:tcBorders>
            <w:shd w:val="solid" w:color="CCE1EA" w:fill="FFFFFF"/>
            <w:tcMar>
              <w:left w:w="60" w:type="dxa"/>
              <w:right w:w="60" w:type="dxa"/>
            </w:tcMar>
            <w:vAlign w:val="center"/>
          </w:tcPr>
          <w:p>
            <w:pPr>
              <w:pStyle w:val="DMETW14863BIPAgencies1Revenue"/>
              <w:jc w:val="right"/>
              <w:rPr>
                <w:rFonts w:ascii="Verdana" w:eastAsia="Verdana" w:hAnsi="Verdana" w:cs="Verdana"/>
                <w:b/>
                <w:noProof/>
                <w:color w:val="000000"/>
                <w:sz w:val="16"/>
              </w:rPr>
            </w:pPr>
            <w:r>
              <w:rPr>
                <w:rFonts w:ascii="Verdana" w:hAnsi="Verdana"/>
                <w:b/>
                <w:noProof/>
                <w:color w:val="000000"/>
                <w:sz w:val="16"/>
              </w:rPr>
              <w:t>3 822</w:t>
            </w:r>
          </w:p>
        </w:tc>
        <w:tc>
          <w:tcPr>
            <w:tcW w:w="227" w:type="dxa"/>
            <w:tcBorders>
              <w:top w:val="nil"/>
              <w:left w:val="nil"/>
              <w:bottom w:val="nil"/>
              <w:right w:val="nil"/>
              <w:tl2br w:val="nil"/>
              <w:tr2bl w:val="nil"/>
            </w:tcBorders>
            <w:shd w:val="solid" w:color="CCE1EA" w:fill="FFFFFF"/>
            <w:tcMar>
              <w:left w:w="60" w:type="dxa"/>
              <w:right w:w="60" w:type="dxa"/>
            </w:tcMar>
            <w:vAlign w:val="center"/>
          </w:tcPr>
          <w:p>
            <w:pPr>
              <w:pStyle w:val="DMETW14863BIPAgencies1Revenue"/>
              <w:jc w:val="right"/>
              <w:rPr>
                <w:rFonts w:ascii="Verdana" w:eastAsia="Verdana" w:hAnsi="Verdana" w:cs="Verdana"/>
                <w:b/>
                <w:noProof/>
                <w:color w:val="000000"/>
                <w:sz w:val="16"/>
              </w:rPr>
            </w:pPr>
            <w:r>
              <w:rPr>
                <w:rFonts w:ascii="Verdana" w:hAnsi="Verdana"/>
                <w:b/>
                <w:noProof/>
                <w:color w:val="000000"/>
                <w:sz w:val="16"/>
              </w:rPr>
              <w:t>4 377</w:t>
            </w:r>
          </w:p>
        </w:tc>
      </w:tr>
    </w:tbl>
    <w:p>
      <w:pPr>
        <w:pStyle w:val="DGTextstand-alone"/>
      </w:pPr>
    </w:p>
    <w:p>
      <w:pPr>
        <w:pStyle w:val="DGTextstand-alone"/>
      </w:pPr>
    </w:p>
    <w:tbl>
      <w:tblPr>
        <w:tblW w:w="6031"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5"/>
        <w:gridCol w:w="1125"/>
        <w:gridCol w:w="1231"/>
      </w:tblGrid>
      <w:tr>
        <w:trPr>
          <w:trHeight w:val="340"/>
        </w:trPr>
        <w:tc>
          <w:tcPr>
            <w:tcW w:w="3675" w:type="dxa"/>
            <w:tcBorders>
              <w:top w:val="nil"/>
              <w:left w:val="nil"/>
              <w:bottom w:val="nil"/>
              <w:right w:val="nil"/>
              <w:tl2br w:val="nil"/>
              <w:tr2bl w:val="nil"/>
            </w:tcBorders>
            <w:shd w:val="clear" w:color="auto" w:fill="auto"/>
            <w:tcMar>
              <w:left w:w="60" w:type="dxa"/>
              <w:right w:w="60" w:type="dxa"/>
            </w:tcMar>
            <w:vAlign w:val="center"/>
          </w:tcPr>
          <w:p>
            <w:pPr>
              <w:pStyle w:val="DMETW14863BIPAgencies2TypeofRevenue"/>
              <w:rPr>
                <w:rFonts w:ascii="Verdana" w:eastAsia="Verdana" w:hAnsi="Verdana" w:cs="Verdana"/>
                <w:noProof/>
                <w:color w:val="000000"/>
                <w:sz w:val="16"/>
              </w:rPr>
            </w:pPr>
            <w:bookmarkStart w:id="369" w:name="DOC_TBL00118_1_1"/>
            <w:bookmarkEnd w:id="369"/>
          </w:p>
        </w:tc>
        <w:tc>
          <w:tcPr>
            <w:tcW w:w="1125" w:type="dxa"/>
            <w:tcBorders>
              <w:top w:val="nil"/>
              <w:left w:val="nil"/>
              <w:bottom w:val="nil"/>
              <w:right w:val="nil"/>
              <w:tl2br w:val="nil"/>
              <w:tr2bl w:val="nil"/>
            </w:tcBorders>
            <w:shd w:val="clear" w:color="auto" w:fill="auto"/>
            <w:tcMar>
              <w:left w:w="60" w:type="dxa"/>
              <w:right w:w="60" w:type="dxa"/>
            </w:tcMar>
            <w:vAlign w:val="center"/>
          </w:tcPr>
          <w:p>
            <w:pPr>
              <w:pStyle w:val="DMETW14863BIPAgencies2TypeofRevenue"/>
              <w:rPr>
                <w:rFonts w:ascii="Verdana" w:eastAsia="Verdana" w:hAnsi="Verdana" w:cs="Verdana"/>
                <w:noProof/>
                <w:color w:val="000000"/>
                <w:sz w:val="16"/>
              </w:rPr>
            </w:pPr>
          </w:p>
        </w:tc>
        <w:tc>
          <w:tcPr>
            <w:tcW w:w="1231" w:type="dxa"/>
            <w:tcBorders>
              <w:top w:val="nil"/>
              <w:left w:val="nil"/>
              <w:bottom w:val="nil"/>
              <w:right w:val="nil"/>
              <w:tl2br w:val="nil"/>
              <w:tr2bl w:val="nil"/>
            </w:tcBorders>
            <w:shd w:val="clear" w:color="auto" w:fill="auto"/>
            <w:tcMar>
              <w:left w:w="60" w:type="dxa"/>
              <w:right w:w="60" w:type="dxa"/>
            </w:tcMar>
            <w:vAlign w:val="center"/>
          </w:tcPr>
          <w:p>
            <w:pPr>
              <w:pStyle w:val="DMETW14863BIPAgencies2TypeofRevenue"/>
              <w:jc w:val="right"/>
              <w:rPr>
                <w:rFonts w:ascii="Verdana" w:eastAsia="Verdana" w:hAnsi="Verdana" w:cs="Verdana"/>
                <w:i/>
                <w:noProof/>
                <w:color w:val="000000"/>
                <w:sz w:val="16"/>
              </w:rPr>
            </w:pPr>
            <w:r>
              <w:rPr>
                <w:rFonts w:ascii="Verdana" w:hAnsi="Verdana"/>
                <w:i/>
                <w:noProof/>
                <w:color w:val="000000"/>
                <w:sz w:val="16"/>
              </w:rPr>
              <w:t>milj. euroa</w:t>
            </w:r>
          </w:p>
        </w:tc>
      </w:tr>
      <w:tr>
        <w:trPr>
          <w:trHeight w:val="340"/>
        </w:trPr>
        <w:tc>
          <w:tcPr>
            <w:tcW w:w="3675"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2TypeofRevenue"/>
              <w:jc w:val="center"/>
              <w:rPr>
                <w:rFonts w:ascii="Verdana" w:eastAsia="Verdana" w:hAnsi="Verdana" w:cs="Verdana"/>
                <w:noProof/>
                <w:color w:val="FFFFFF"/>
                <w:sz w:val="16"/>
              </w:rPr>
            </w:pPr>
            <w:r>
              <w:rPr>
                <w:rFonts w:ascii="Verdana" w:hAnsi="Verdana"/>
                <w:noProof/>
                <w:color w:val="FFFFFF"/>
                <w:sz w:val="16"/>
              </w:rPr>
              <w:t>Tulolaji</w:t>
            </w:r>
          </w:p>
        </w:tc>
        <w:tc>
          <w:tcPr>
            <w:tcW w:w="1125"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2TypeofRevenue"/>
              <w:jc w:val="right"/>
              <w:rPr>
                <w:rFonts w:ascii="Verdana" w:eastAsia="Verdana" w:hAnsi="Verdana" w:cs="Verdana"/>
                <w:noProof/>
                <w:color w:val="FFFFFF"/>
                <w:sz w:val="16"/>
              </w:rPr>
            </w:pPr>
            <w:r>
              <w:rPr>
                <w:rFonts w:ascii="Verdana" w:hAnsi="Verdana"/>
                <w:noProof/>
                <w:color w:val="FFFFFF"/>
                <w:sz w:val="16"/>
              </w:rPr>
              <w:t>Lopullinen hyväksytty talousarvio</w:t>
            </w:r>
          </w:p>
        </w:tc>
        <w:tc>
          <w:tcPr>
            <w:tcW w:w="1231"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2TypeofRevenue"/>
              <w:jc w:val="right"/>
              <w:rPr>
                <w:rFonts w:ascii="Verdana" w:eastAsia="Verdana" w:hAnsi="Verdana" w:cs="Verdana"/>
                <w:noProof/>
                <w:color w:val="FFFFFF"/>
                <w:sz w:val="16"/>
              </w:rPr>
            </w:pPr>
            <w:r>
              <w:rPr>
                <w:rFonts w:ascii="Verdana" w:hAnsi="Verdana"/>
                <w:noProof/>
                <w:color w:val="FFFFFF"/>
                <w:sz w:val="16"/>
              </w:rPr>
              <w:t>Toteutuneet tulot</w:t>
            </w:r>
          </w:p>
        </w:tc>
      </w:tr>
      <w:tr>
        <w:trPr>
          <w:trHeight w:val="340"/>
        </w:trPr>
        <w:tc>
          <w:tcPr>
            <w:tcW w:w="3675" w:type="dxa"/>
            <w:tcBorders>
              <w:top w:val="nil"/>
              <w:left w:val="nil"/>
              <w:bottom w:val="nil"/>
              <w:right w:val="nil"/>
              <w:tl2br w:val="nil"/>
              <w:tr2bl w:val="nil"/>
            </w:tcBorders>
            <w:shd w:val="clear" w:color="auto" w:fill="auto"/>
            <w:tcMar>
              <w:left w:w="60" w:type="dxa"/>
              <w:right w:w="60" w:type="dxa"/>
            </w:tcMar>
            <w:vAlign w:val="center"/>
          </w:tcPr>
          <w:p>
            <w:pPr>
              <w:pStyle w:val="DMETW14863BIPAgencies2TypeofRevenue"/>
              <w:rPr>
                <w:rFonts w:ascii="Verdana" w:eastAsia="Verdana" w:hAnsi="Verdana" w:cs="Verdana"/>
                <w:noProof/>
                <w:color w:val="000000"/>
                <w:sz w:val="16"/>
              </w:rPr>
            </w:pPr>
            <w:r>
              <w:rPr>
                <w:rFonts w:ascii="Verdana" w:hAnsi="Verdana"/>
                <w:noProof/>
                <w:color w:val="000000"/>
                <w:sz w:val="16"/>
              </w:rPr>
              <w:t>Euroopan komission avustus</w:t>
            </w:r>
          </w:p>
        </w:tc>
        <w:tc>
          <w:tcPr>
            <w:tcW w:w="1125" w:type="dxa"/>
            <w:tcBorders>
              <w:top w:val="nil"/>
              <w:left w:val="nil"/>
              <w:bottom w:val="nil"/>
              <w:right w:val="nil"/>
              <w:tl2br w:val="nil"/>
              <w:tr2bl w:val="nil"/>
            </w:tcBorders>
            <w:shd w:val="clear" w:color="auto" w:fill="auto"/>
            <w:tcMar>
              <w:left w:w="60" w:type="dxa"/>
              <w:right w:w="60" w:type="dxa"/>
            </w:tcMar>
            <w:vAlign w:val="center"/>
          </w:tcPr>
          <w:p>
            <w:pPr>
              <w:pStyle w:val="DMETW14863BIPAgencies2TypeofRevenue"/>
              <w:jc w:val="right"/>
              <w:rPr>
                <w:rFonts w:ascii="Verdana" w:eastAsia="Verdana" w:hAnsi="Verdana" w:cs="Verdana"/>
                <w:noProof/>
                <w:color w:val="000000"/>
                <w:sz w:val="16"/>
              </w:rPr>
            </w:pPr>
            <w:r>
              <w:rPr>
                <w:rFonts w:ascii="Verdana" w:hAnsi="Verdana"/>
                <w:noProof/>
                <w:color w:val="000000"/>
                <w:sz w:val="16"/>
              </w:rPr>
              <w:t>1 424</w:t>
            </w:r>
          </w:p>
        </w:tc>
        <w:tc>
          <w:tcPr>
            <w:tcW w:w="1231" w:type="dxa"/>
            <w:tcBorders>
              <w:top w:val="nil"/>
              <w:left w:val="nil"/>
              <w:bottom w:val="nil"/>
              <w:right w:val="nil"/>
              <w:tl2br w:val="nil"/>
              <w:tr2bl w:val="nil"/>
            </w:tcBorders>
            <w:shd w:val="clear" w:color="auto" w:fill="auto"/>
            <w:tcMar>
              <w:left w:w="60" w:type="dxa"/>
              <w:right w:w="60" w:type="dxa"/>
            </w:tcMar>
            <w:vAlign w:val="center"/>
          </w:tcPr>
          <w:p>
            <w:pPr>
              <w:pStyle w:val="DMETW14863BIPAgencies2TypeofRevenue"/>
              <w:jc w:val="right"/>
              <w:rPr>
                <w:rFonts w:ascii="Verdana" w:eastAsia="Verdana" w:hAnsi="Verdana" w:cs="Verdana"/>
                <w:noProof/>
                <w:color w:val="000000"/>
                <w:sz w:val="16"/>
              </w:rPr>
            </w:pPr>
            <w:r>
              <w:rPr>
                <w:rFonts w:ascii="Verdana" w:hAnsi="Verdana"/>
                <w:noProof/>
                <w:color w:val="000000"/>
                <w:sz w:val="16"/>
              </w:rPr>
              <w:t>1 425</w:t>
            </w:r>
          </w:p>
        </w:tc>
      </w:tr>
      <w:tr>
        <w:trPr>
          <w:trHeight w:val="340"/>
        </w:trPr>
        <w:tc>
          <w:tcPr>
            <w:tcW w:w="3675" w:type="dxa"/>
            <w:tcBorders>
              <w:top w:val="nil"/>
              <w:left w:val="nil"/>
              <w:bottom w:val="nil"/>
              <w:right w:val="nil"/>
              <w:tl2br w:val="nil"/>
              <w:tr2bl w:val="nil"/>
            </w:tcBorders>
            <w:shd w:val="clear" w:color="auto" w:fill="auto"/>
            <w:tcMar>
              <w:left w:w="60" w:type="dxa"/>
              <w:right w:w="60" w:type="dxa"/>
            </w:tcMar>
            <w:vAlign w:val="center"/>
          </w:tcPr>
          <w:p>
            <w:pPr>
              <w:pStyle w:val="DMETW14863BIPAgencies2TypeofRevenue"/>
              <w:rPr>
                <w:rFonts w:ascii="Verdana" w:eastAsia="Verdana" w:hAnsi="Verdana" w:cs="Verdana"/>
                <w:noProof/>
                <w:color w:val="000000"/>
                <w:sz w:val="16"/>
              </w:rPr>
            </w:pPr>
            <w:r>
              <w:rPr>
                <w:rFonts w:ascii="Verdana" w:hAnsi="Verdana"/>
                <w:noProof/>
                <w:color w:val="000000"/>
                <w:sz w:val="16"/>
              </w:rPr>
              <w:t>Maksutulot</w:t>
            </w:r>
          </w:p>
        </w:tc>
        <w:tc>
          <w:tcPr>
            <w:tcW w:w="1125" w:type="dxa"/>
            <w:tcBorders>
              <w:top w:val="nil"/>
              <w:left w:val="nil"/>
              <w:bottom w:val="nil"/>
              <w:right w:val="nil"/>
              <w:tl2br w:val="nil"/>
              <w:tr2bl w:val="nil"/>
            </w:tcBorders>
            <w:shd w:val="clear" w:color="auto" w:fill="auto"/>
            <w:tcMar>
              <w:left w:w="60" w:type="dxa"/>
              <w:right w:w="60" w:type="dxa"/>
            </w:tcMar>
            <w:vAlign w:val="center"/>
          </w:tcPr>
          <w:p>
            <w:pPr>
              <w:pStyle w:val="DMETW14863BIPAgencies2TypeofRevenue"/>
              <w:jc w:val="right"/>
              <w:rPr>
                <w:rFonts w:ascii="Verdana" w:eastAsia="Verdana" w:hAnsi="Verdana" w:cs="Verdana"/>
                <w:noProof/>
                <w:color w:val="000000"/>
                <w:sz w:val="16"/>
              </w:rPr>
            </w:pPr>
            <w:r>
              <w:rPr>
                <w:rFonts w:ascii="Verdana" w:hAnsi="Verdana"/>
                <w:noProof/>
                <w:color w:val="000000"/>
                <w:sz w:val="16"/>
              </w:rPr>
              <w:t xml:space="preserve"> 746</w:t>
            </w:r>
          </w:p>
        </w:tc>
        <w:tc>
          <w:tcPr>
            <w:tcW w:w="1231" w:type="dxa"/>
            <w:tcBorders>
              <w:top w:val="nil"/>
              <w:left w:val="nil"/>
              <w:bottom w:val="nil"/>
              <w:right w:val="nil"/>
              <w:tl2br w:val="nil"/>
              <w:tr2bl w:val="nil"/>
            </w:tcBorders>
            <w:shd w:val="clear" w:color="auto" w:fill="auto"/>
            <w:tcMar>
              <w:left w:w="60" w:type="dxa"/>
              <w:right w:w="60" w:type="dxa"/>
            </w:tcMar>
            <w:vAlign w:val="center"/>
          </w:tcPr>
          <w:p>
            <w:pPr>
              <w:pStyle w:val="DMETW14863BIPAgencies2TypeofRevenue"/>
              <w:jc w:val="right"/>
              <w:rPr>
                <w:rFonts w:ascii="Verdana" w:eastAsia="Verdana" w:hAnsi="Verdana" w:cs="Verdana"/>
                <w:noProof/>
                <w:color w:val="000000"/>
                <w:sz w:val="16"/>
              </w:rPr>
            </w:pPr>
            <w:r>
              <w:rPr>
                <w:rFonts w:ascii="Verdana" w:hAnsi="Verdana"/>
                <w:noProof/>
                <w:color w:val="000000"/>
                <w:sz w:val="16"/>
              </w:rPr>
              <w:t xml:space="preserve"> 726</w:t>
            </w:r>
          </w:p>
        </w:tc>
      </w:tr>
      <w:tr>
        <w:trPr>
          <w:trHeight w:val="340"/>
        </w:trPr>
        <w:tc>
          <w:tcPr>
            <w:tcW w:w="3675" w:type="dxa"/>
            <w:tcBorders>
              <w:top w:val="nil"/>
              <w:left w:val="nil"/>
              <w:bottom w:val="nil"/>
              <w:right w:val="nil"/>
              <w:tl2br w:val="nil"/>
              <w:tr2bl w:val="nil"/>
            </w:tcBorders>
            <w:shd w:val="clear" w:color="auto" w:fill="auto"/>
            <w:tcMar>
              <w:left w:w="60" w:type="dxa"/>
              <w:right w:w="60" w:type="dxa"/>
            </w:tcMar>
            <w:vAlign w:val="center"/>
          </w:tcPr>
          <w:p>
            <w:pPr>
              <w:pStyle w:val="DMETW14863BIPAgencies2TypeofRevenue"/>
              <w:rPr>
                <w:rFonts w:ascii="Verdana" w:eastAsia="Verdana" w:hAnsi="Verdana" w:cs="Verdana"/>
                <w:noProof/>
                <w:color w:val="000000"/>
                <w:sz w:val="16"/>
              </w:rPr>
            </w:pPr>
            <w:r>
              <w:rPr>
                <w:rFonts w:ascii="Verdana" w:hAnsi="Verdana"/>
                <w:noProof/>
                <w:color w:val="000000"/>
                <w:sz w:val="16"/>
              </w:rPr>
              <w:t>Muut tulot</w:t>
            </w:r>
          </w:p>
        </w:tc>
        <w:tc>
          <w:tcPr>
            <w:tcW w:w="1125" w:type="dxa"/>
            <w:tcBorders>
              <w:top w:val="nil"/>
              <w:left w:val="nil"/>
              <w:bottom w:val="nil"/>
              <w:right w:val="nil"/>
              <w:tl2br w:val="nil"/>
              <w:tr2bl w:val="nil"/>
            </w:tcBorders>
            <w:shd w:val="clear" w:color="auto" w:fill="auto"/>
            <w:tcMar>
              <w:left w:w="60" w:type="dxa"/>
              <w:right w:w="60" w:type="dxa"/>
            </w:tcMar>
            <w:vAlign w:val="center"/>
          </w:tcPr>
          <w:p>
            <w:pPr>
              <w:pStyle w:val="DMETW14863BIPAgencies2TypeofRevenue"/>
              <w:jc w:val="right"/>
              <w:rPr>
                <w:rFonts w:ascii="Verdana" w:eastAsia="Verdana" w:hAnsi="Verdana" w:cs="Verdana"/>
                <w:noProof/>
                <w:color w:val="000000"/>
                <w:sz w:val="16"/>
              </w:rPr>
            </w:pPr>
            <w:r>
              <w:rPr>
                <w:rFonts w:ascii="Verdana" w:hAnsi="Verdana"/>
                <w:noProof/>
                <w:color w:val="000000"/>
                <w:sz w:val="16"/>
              </w:rPr>
              <w:t>1 652</w:t>
            </w:r>
          </w:p>
        </w:tc>
        <w:tc>
          <w:tcPr>
            <w:tcW w:w="1231" w:type="dxa"/>
            <w:tcBorders>
              <w:top w:val="nil"/>
              <w:left w:val="nil"/>
              <w:bottom w:val="nil"/>
              <w:right w:val="nil"/>
              <w:tl2br w:val="nil"/>
              <w:tr2bl w:val="nil"/>
            </w:tcBorders>
            <w:shd w:val="clear" w:color="auto" w:fill="auto"/>
            <w:tcMar>
              <w:left w:w="60" w:type="dxa"/>
              <w:right w:w="60" w:type="dxa"/>
            </w:tcMar>
            <w:vAlign w:val="center"/>
          </w:tcPr>
          <w:p>
            <w:pPr>
              <w:pStyle w:val="DMETW14863BIPAgencies2TypeofRevenue"/>
              <w:jc w:val="right"/>
              <w:rPr>
                <w:rFonts w:ascii="Verdana" w:eastAsia="Verdana" w:hAnsi="Verdana" w:cs="Verdana"/>
                <w:noProof/>
                <w:color w:val="000000"/>
                <w:sz w:val="16"/>
              </w:rPr>
            </w:pPr>
            <w:r>
              <w:rPr>
                <w:rFonts w:ascii="Verdana" w:hAnsi="Verdana"/>
                <w:noProof/>
                <w:color w:val="000000"/>
                <w:sz w:val="16"/>
              </w:rPr>
              <w:t>2 226</w:t>
            </w:r>
          </w:p>
        </w:tc>
      </w:tr>
      <w:tr>
        <w:trPr>
          <w:trHeight w:val="340"/>
        </w:trPr>
        <w:tc>
          <w:tcPr>
            <w:tcW w:w="3675" w:type="dxa"/>
            <w:tcBorders>
              <w:top w:val="nil"/>
              <w:left w:val="nil"/>
              <w:bottom w:val="nil"/>
              <w:right w:val="nil"/>
              <w:tl2br w:val="nil"/>
              <w:tr2bl w:val="nil"/>
            </w:tcBorders>
            <w:shd w:val="solid" w:color="CCE1EA" w:fill="FFFFFF"/>
            <w:tcMar>
              <w:left w:w="60" w:type="dxa"/>
              <w:right w:w="60" w:type="dxa"/>
            </w:tcMar>
            <w:vAlign w:val="center"/>
          </w:tcPr>
          <w:p>
            <w:pPr>
              <w:pStyle w:val="DMETW14863BIPAgencies2TypeofRevenue"/>
              <w:rPr>
                <w:rFonts w:ascii="Verdana" w:eastAsia="Verdana" w:hAnsi="Verdana" w:cs="Verdana"/>
                <w:b/>
                <w:noProof/>
                <w:color w:val="000000"/>
                <w:sz w:val="16"/>
              </w:rPr>
            </w:pPr>
            <w:r>
              <w:rPr>
                <w:rFonts w:ascii="Verdana" w:hAnsi="Verdana"/>
                <w:b/>
                <w:noProof/>
                <w:color w:val="000000"/>
                <w:sz w:val="16"/>
              </w:rPr>
              <w:t>Yhteensä</w:t>
            </w:r>
          </w:p>
        </w:tc>
        <w:tc>
          <w:tcPr>
            <w:tcW w:w="1125" w:type="dxa"/>
            <w:tcBorders>
              <w:top w:val="nil"/>
              <w:left w:val="nil"/>
              <w:bottom w:val="nil"/>
              <w:right w:val="nil"/>
              <w:tl2br w:val="nil"/>
              <w:tr2bl w:val="nil"/>
            </w:tcBorders>
            <w:shd w:val="solid" w:color="CCE1EA" w:fill="FFFFFF"/>
            <w:tcMar>
              <w:left w:w="60" w:type="dxa"/>
              <w:right w:w="60" w:type="dxa"/>
            </w:tcMar>
            <w:vAlign w:val="center"/>
          </w:tcPr>
          <w:p>
            <w:pPr>
              <w:pStyle w:val="DMETW14863BIPAgencies2TypeofRevenue"/>
              <w:jc w:val="right"/>
              <w:rPr>
                <w:rFonts w:ascii="Verdana" w:eastAsia="Verdana" w:hAnsi="Verdana" w:cs="Verdana"/>
                <w:b/>
                <w:noProof/>
                <w:color w:val="000000"/>
                <w:sz w:val="16"/>
              </w:rPr>
            </w:pPr>
            <w:r>
              <w:rPr>
                <w:rFonts w:ascii="Verdana" w:hAnsi="Verdana"/>
                <w:b/>
                <w:noProof/>
                <w:color w:val="000000"/>
                <w:sz w:val="16"/>
              </w:rPr>
              <w:t>3 822</w:t>
            </w:r>
          </w:p>
        </w:tc>
        <w:tc>
          <w:tcPr>
            <w:tcW w:w="1231" w:type="dxa"/>
            <w:tcBorders>
              <w:top w:val="nil"/>
              <w:left w:val="nil"/>
              <w:bottom w:val="nil"/>
              <w:right w:val="nil"/>
              <w:tl2br w:val="nil"/>
              <w:tr2bl w:val="nil"/>
            </w:tcBorders>
            <w:shd w:val="solid" w:color="CCE1EA" w:fill="FFFFFF"/>
            <w:tcMar>
              <w:left w:w="60" w:type="dxa"/>
              <w:right w:w="60" w:type="dxa"/>
            </w:tcMar>
            <w:vAlign w:val="center"/>
          </w:tcPr>
          <w:p>
            <w:pPr>
              <w:pStyle w:val="DMETW14863BIPAgencies2TypeofRevenue"/>
              <w:jc w:val="right"/>
              <w:rPr>
                <w:rFonts w:ascii="Verdana" w:eastAsia="Verdana" w:hAnsi="Verdana" w:cs="Verdana"/>
                <w:b/>
                <w:noProof/>
                <w:color w:val="000000"/>
                <w:sz w:val="16"/>
              </w:rPr>
            </w:pPr>
            <w:r>
              <w:rPr>
                <w:rFonts w:ascii="Verdana" w:hAnsi="Verdana"/>
                <w:b/>
                <w:noProof/>
                <w:color w:val="000000"/>
                <w:sz w:val="16"/>
              </w:rPr>
              <w:t>4 377</w:t>
            </w:r>
          </w:p>
        </w:tc>
      </w:tr>
    </w:tbl>
    <w:p>
      <w:pPr>
        <w:pStyle w:val="DGTextstand-alone"/>
      </w:pPr>
    </w:p>
    <w:p>
      <w:pPr>
        <w:pStyle w:val="DGTextstand-alone"/>
      </w:pPr>
      <w:r>
        <w:br w:type="page"/>
      </w:r>
    </w:p>
    <w:p>
      <w:pPr>
        <w:pStyle w:val="HEADER2PartBUDG"/>
        <w:rPr>
          <w:noProof/>
        </w:rPr>
      </w:pPr>
      <w:bookmarkStart w:id="370" w:name="_Toc11939567"/>
      <w:bookmarkStart w:id="371" w:name="_Toc17887592"/>
      <w:r>
        <w:rPr>
          <w:noProof/>
        </w:rPr>
        <w:t>MAKSUSITOUMUS- JA MAKSUMÄÄRÄRAHAT VIRASTOITTAIN</w:t>
      </w:r>
      <w:bookmarkEnd w:id="370"/>
      <w:bookmarkEnd w:id="371"/>
      <w:r>
        <w:rPr>
          <w:noProo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9"/>
        <w:gridCol w:w="1034"/>
        <w:gridCol w:w="1043"/>
        <w:gridCol w:w="1043"/>
        <w:gridCol w:w="1043"/>
      </w:tblGrid>
      <w:tr>
        <w:trPr>
          <w:trHeight w:val="340"/>
          <w:tblHeader/>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bookmarkStart w:id="372" w:name="DOC_TBL00119_1_1"/>
            <w:bookmarkEnd w:id="372"/>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i/>
                <w:noProof/>
                <w:color w:val="000000"/>
                <w:sz w:val="16"/>
              </w:rPr>
            </w:pPr>
            <w:r>
              <w:rPr>
                <w:rFonts w:ascii="Verdana" w:hAnsi="Verdana"/>
                <w:i/>
                <w:noProof/>
                <w:color w:val="000000"/>
                <w:sz w:val="16"/>
              </w:rPr>
              <w:t>milj. euroa</w:t>
            </w:r>
          </w:p>
        </w:tc>
      </w:tr>
      <w:tr>
        <w:trPr>
          <w:trHeight w:val="340"/>
          <w:tblHeader/>
        </w:trPr>
        <w:tc>
          <w:tcPr>
            <w:tcW w:w="5589"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3CommitmentsPayments"/>
              <w:jc w:val="center"/>
              <w:rPr>
                <w:rFonts w:ascii="Verdana" w:eastAsia="Verdana" w:hAnsi="Verdana" w:cs="Verdana"/>
                <w:noProof/>
                <w:color w:val="FFFFFF"/>
                <w:sz w:val="16"/>
              </w:rPr>
            </w:pPr>
          </w:p>
        </w:tc>
        <w:tc>
          <w:tcPr>
            <w:tcW w:w="2077"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4863BIPAgencies3CommitmentsPayments"/>
              <w:jc w:val="center"/>
              <w:rPr>
                <w:rFonts w:ascii="Verdana" w:eastAsia="Verdana" w:hAnsi="Verdana" w:cs="Verdana"/>
                <w:b/>
                <w:noProof/>
                <w:color w:val="FFFFFF"/>
                <w:sz w:val="16"/>
              </w:rPr>
            </w:pPr>
            <w:r>
              <w:rPr>
                <w:rFonts w:ascii="Verdana" w:hAnsi="Verdana"/>
                <w:b/>
                <w:noProof/>
                <w:color w:val="FFFFFF"/>
                <w:sz w:val="16"/>
              </w:rPr>
              <w:t>Maksusitoumus</w:t>
            </w:r>
            <w:r>
              <w:rPr>
                <w:rFonts w:ascii="Verdana" w:hAnsi="Verdana"/>
                <w:b/>
                <w:noProof/>
                <w:color w:val="FFFFFF"/>
                <w:sz w:val="16"/>
              </w:rPr>
              <w:softHyphen/>
              <w:t>määrärahat</w:t>
            </w:r>
          </w:p>
        </w:tc>
        <w:tc>
          <w:tcPr>
            <w:tcW w:w="2086"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4863BIPAgencies3CommitmentsPayments"/>
              <w:jc w:val="center"/>
              <w:rPr>
                <w:rFonts w:ascii="Verdana" w:eastAsia="Verdana" w:hAnsi="Verdana" w:cs="Verdana"/>
                <w:b/>
                <w:noProof/>
                <w:color w:val="FFFFFF"/>
                <w:sz w:val="16"/>
              </w:rPr>
            </w:pPr>
            <w:r>
              <w:rPr>
                <w:rFonts w:ascii="Verdana" w:hAnsi="Verdana"/>
                <w:b/>
                <w:noProof/>
                <w:color w:val="FFFFFF"/>
                <w:sz w:val="16"/>
              </w:rPr>
              <w:t>Maksumäärärahat</w:t>
            </w:r>
          </w:p>
        </w:tc>
      </w:tr>
      <w:tr>
        <w:trPr>
          <w:trHeight w:val="340"/>
          <w:tblHeader/>
        </w:trPr>
        <w:tc>
          <w:tcPr>
            <w:tcW w:w="5589"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3CommitmentsPayments"/>
              <w:jc w:val="center"/>
              <w:rPr>
                <w:rFonts w:ascii="Verdana" w:eastAsia="Verdana" w:hAnsi="Verdana" w:cs="Verdana"/>
                <w:noProof/>
                <w:color w:val="FFFFFF"/>
                <w:sz w:val="16"/>
              </w:rPr>
            </w:pPr>
            <w:r>
              <w:rPr>
                <w:rFonts w:ascii="Verdana" w:hAnsi="Verdana"/>
                <w:noProof/>
                <w:color w:val="FFFFFF"/>
                <w:sz w:val="16"/>
              </w:rPr>
              <w:t>Virasto</w:t>
            </w:r>
          </w:p>
        </w:tc>
        <w:tc>
          <w:tcPr>
            <w:tcW w:w="1034"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3CommitmentsPayments"/>
              <w:jc w:val="right"/>
              <w:rPr>
                <w:rFonts w:ascii="Verdana" w:eastAsia="Verdana" w:hAnsi="Verdana" w:cs="Verdana"/>
                <w:noProof/>
                <w:color w:val="FFFFFF"/>
                <w:sz w:val="16"/>
              </w:rPr>
            </w:pPr>
            <w:r>
              <w:rPr>
                <w:rFonts w:ascii="Verdana" w:hAnsi="Verdana"/>
                <w:noProof/>
                <w:color w:val="FFFFFF"/>
                <w:sz w:val="16"/>
              </w:rPr>
              <w:t>Käytettä</w:t>
            </w:r>
            <w:r>
              <w:rPr>
                <w:rFonts w:ascii="Verdana" w:hAnsi="Verdana"/>
                <w:noProof/>
                <w:color w:val="FFFFFF"/>
                <w:sz w:val="16"/>
              </w:rPr>
              <w:softHyphen/>
              <w:t>vissä olevat määrä</w:t>
            </w:r>
            <w:r>
              <w:rPr>
                <w:rFonts w:ascii="Verdana" w:hAnsi="Verdana"/>
                <w:noProof/>
                <w:color w:val="FFFFFF"/>
                <w:sz w:val="16"/>
              </w:rPr>
              <w:softHyphen/>
              <w:t>rahat yhteensä</w:t>
            </w:r>
          </w:p>
        </w:tc>
        <w:tc>
          <w:tcPr>
            <w:tcW w:w="1043"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3CommitmentsPayments"/>
              <w:jc w:val="right"/>
              <w:rPr>
                <w:rFonts w:ascii="Verdana" w:eastAsia="Verdana" w:hAnsi="Verdana" w:cs="Verdana"/>
                <w:noProof/>
                <w:color w:val="FFFFFF"/>
                <w:sz w:val="16"/>
              </w:rPr>
            </w:pPr>
            <w:r>
              <w:rPr>
                <w:rFonts w:ascii="Verdana" w:hAnsi="Verdana"/>
                <w:noProof/>
                <w:color w:val="FFFFFF"/>
                <w:sz w:val="16"/>
              </w:rPr>
              <w:t>Tehdyt sitou-mukset</w:t>
            </w:r>
          </w:p>
        </w:tc>
        <w:tc>
          <w:tcPr>
            <w:tcW w:w="1043"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3CommitmentsPayments"/>
              <w:jc w:val="right"/>
              <w:rPr>
                <w:rFonts w:ascii="Verdana" w:eastAsia="Verdana" w:hAnsi="Verdana" w:cs="Verdana"/>
                <w:noProof/>
                <w:color w:val="FFFFFF"/>
                <w:sz w:val="16"/>
              </w:rPr>
            </w:pPr>
            <w:r>
              <w:rPr>
                <w:rFonts w:ascii="Verdana" w:hAnsi="Verdana"/>
                <w:noProof/>
                <w:color w:val="FFFFFF"/>
                <w:sz w:val="16"/>
              </w:rPr>
              <w:t>Käytettä</w:t>
            </w:r>
            <w:r>
              <w:rPr>
                <w:rFonts w:ascii="Verdana" w:hAnsi="Verdana"/>
                <w:noProof/>
                <w:color w:val="FFFFFF"/>
                <w:sz w:val="16"/>
              </w:rPr>
              <w:softHyphen/>
              <w:t>vissä olevat määrä</w:t>
            </w:r>
            <w:r>
              <w:rPr>
                <w:rFonts w:ascii="Verdana" w:hAnsi="Verdana"/>
                <w:noProof/>
                <w:color w:val="FFFFFF"/>
                <w:sz w:val="16"/>
              </w:rPr>
              <w:softHyphen/>
              <w:t>rahat yhteensä</w:t>
            </w:r>
          </w:p>
        </w:tc>
        <w:tc>
          <w:tcPr>
            <w:tcW w:w="1043"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3CommitmentsPayments"/>
              <w:jc w:val="right"/>
              <w:rPr>
                <w:rFonts w:ascii="Verdana" w:eastAsia="Verdana" w:hAnsi="Verdana" w:cs="Verdana"/>
                <w:noProof/>
                <w:color w:val="FFFFFF"/>
                <w:sz w:val="16"/>
              </w:rPr>
            </w:pPr>
            <w:r>
              <w:rPr>
                <w:rFonts w:ascii="Verdana" w:hAnsi="Verdana"/>
                <w:noProof/>
                <w:color w:val="FFFFFF"/>
                <w:sz w:val="16"/>
              </w:rPr>
              <w:t>Suoritetut maksut</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Energia-alan sääntelyviranomaisten yhteistyövirasto (ACER)</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14</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13</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14</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Euroopan sähköisen viestinnän sääntelyviranomaisten yhteistyöelin (BEREC)</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5</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Yhteisön kasvilajikevirasto (CPVO)</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19</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18</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16</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Kuluttaja-, terveys-, maatalous- ja elintarvikeasioiden toimeenpanovirasto (Chafea)</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11</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10</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13</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10</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Koulutuksen, audiovisuaalialan ja kulttuurin toimeenpanovirasto (EACEA)</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50</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49</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56</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48</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Euroopan työterveys- ja työturvallisuusvirasto (EU-OSHA)</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16</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16</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20</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14</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Vapauden, turvallisuuden ja oikeuden alueen laaja-alaisten tietojärjestelmien operatiivisesta hallinnoinnista vastaava eurooppalainen virasto (eu-LISA)</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211</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154</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107</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94</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Euroopan turvapaikka-asioiden tukivirasto (EASO)</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103</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94</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106</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86</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Euroopan lentoturvallisuusvirasto (EASA)</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237</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179</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244</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151</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Euroopan pankkiviranomainen (EPV)</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44</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44</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47</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41</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Euroopan raja- ja merivartiovirasto (Frontex)</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318</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306</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406</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293</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 xml:space="preserve">Euroopan tautienehkäisy- ja </w:t>
            </w:r>
            <w:r>
              <w:rPr>
                <w:noProof/>
              </w:rPr>
              <w:noBreakHyphen/>
            </w:r>
            <w:r>
              <w:rPr>
                <w:rFonts w:ascii="Verdana" w:hAnsi="Verdana"/>
                <w:noProof/>
                <w:color w:val="000000"/>
                <w:sz w:val="16"/>
              </w:rPr>
              <w:t>valvontakeskus (ECDC)</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59</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58</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69</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57</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Euroopan ammatillisen koulutuksen kehittämiskeskus (Cedefop)</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18</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18</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19</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18</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Euroopan kemikaalivirasto (ECHA)</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121</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117</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133</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114</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Euroopan ympäristökeskus (EYK)</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97</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78</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102</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61</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Euroopan kalastuksenvalvontavirasto (EFCA)</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18</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22</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19</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 xml:space="preserve">Euroopan elintarviketurvallisuusviranomainen (EFSA) </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80</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80</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87</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80</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Euroopan elin- ja työolojen kehittämissäätiö (Eurofound)</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21</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21</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25</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21</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Euroopan GNSS-virasto</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3 522</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2 428</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1 270</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828</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Euroopan tasa-arvoinstituutti (EIGE)</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8</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8</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9</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8</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Euroopan innovaatio- ja teknologiainstituutti (EIT)</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459</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395</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380</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340</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Euroopan vakuutus- ja lisäeläkeviranomainen (EIOPA)</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25</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25</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28</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24</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Euroopan meriturvallisuusvirasto (EMSA)</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126</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114</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122</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91</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Euroopan lääkevirasto (EMA)</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344</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312</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392</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302</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Euroopan huumausaineiden ja niiden väärinkäytön seurantakeskus (EMCDDA)</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16</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16</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Euroopan poliisivirasto</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143</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132</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156</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129</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Euroopan tutkimusneuvoston toimeenpanovirasto (ERCEA)</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49</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49</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51</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48</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Euroopan arvopaperimarkkinaviranomainen (ESMA)</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46</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46</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51</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44</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Euroopan koulutussäätiö (ETF)</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20</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20</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21</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20</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Euroopan unionin perusoikeusvirasto (FRA)</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23</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23</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30</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23</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Euroopan unionin lainvalvontakoulutusvirasto (CEPOL)</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14</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13</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15</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11</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Euroopan unionin verkko- ja tietoturvavirasto (ENISA)</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12</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12</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13</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11</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Euroopan unionin rautatievirasto</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30</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30</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34</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30</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Euroopan unionin teollisoikeuksien virasto (EUIPO)</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422</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245</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445</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235</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Euroopan oikeudellisen yhteistyön yksikkö (Eurojust)</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40</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40</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47</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41</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Pienistä ja keskisuurista yrityksistä vastaava toimeenpanovirasto (EASME)</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44</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44</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49</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45</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ITER-yhteisyritys (Fusion for Energy)</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1 019</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1 008</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847</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814</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Innovoinnin ja verkkojen toimeenpanovirasto (INEA)</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27</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27</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28</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26</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Tutkimuksen toimeenpanovirasto (REA)</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70</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70</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73</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67</w:t>
            </w:r>
          </w:p>
        </w:tc>
      </w:tr>
      <w:tr>
        <w:trPr>
          <w:trHeight w:val="340"/>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Euroopan unionin elinten käännöskeskus</w:t>
            </w:r>
          </w:p>
        </w:tc>
        <w:tc>
          <w:tcPr>
            <w:tcW w:w="103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47</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45</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51</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45</w:t>
            </w:r>
          </w:p>
        </w:tc>
      </w:tr>
      <w:tr>
        <w:trPr>
          <w:trHeight w:val="340"/>
        </w:trPr>
        <w:tc>
          <w:tcPr>
            <w:tcW w:w="5589" w:type="dxa"/>
            <w:tcBorders>
              <w:top w:val="nil"/>
              <w:left w:val="nil"/>
              <w:bottom w:val="nil"/>
              <w:right w:val="nil"/>
              <w:tl2br w:val="nil"/>
              <w:tr2bl w:val="nil"/>
            </w:tcBorders>
            <w:shd w:val="solid" w:color="CCE1EA" w:fill="FFFFFF"/>
            <w:tcMar>
              <w:left w:w="60" w:type="dxa"/>
              <w:right w:w="60" w:type="dxa"/>
            </w:tcMar>
            <w:vAlign w:val="center"/>
          </w:tcPr>
          <w:p>
            <w:pPr>
              <w:pStyle w:val="DMETW14863BIPAgencies3CommitmentsPayments"/>
              <w:rPr>
                <w:rFonts w:ascii="Verdana" w:eastAsia="Verdana" w:hAnsi="Verdana" w:cs="Verdana"/>
                <w:b/>
                <w:noProof/>
                <w:color w:val="000000"/>
                <w:sz w:val="16"/>
              </w:rPr>
            </w:pPr>
            <w:r>
              <w:rPr>
                <w:rFonts w:ascii="Verdana" w:hAnsi="Verdana"/>
                <w:b/>
                <w:noProof/>
                <w:color w:val="000000"/>
                <w:sz w:val="16"/>
              </w:rPr>
              <w:t>Yhteensä</w:t>
            </w:r>
          </w:p>
        </w:tc>
        <w:tc>
          <w:tcPr>
            <w:tcW w:w="1034" w:type="dxa"/>
            <w:tcBorders>
              <w:top w:val="nil"/>
              <w:left w:val="nil"/>
              <w:bottom w:val="nil"/>
              <w:right w:val="nil"/>
              <w:tl2br w:val="nil"/>
              <w:tr2bl w:val="nil"/>
            </w:tcBorders>
            <w:shd w:val="solid" w:color="CCE1EA" w:fill="FFFFFF"/>
            <w:tcMar>
              <w:left w:w="60" w:type="dxa"/>
              <w:right w:w="60" w:type="dxa"/>
            </w:tcMar>
            <w:vAlign w:val="center"/>
          </w:tcPr>
          <w:p>
            <w:pPr>
              <w:pStyle w:val="DMETW14863BIPAgencies3CommitmentsPayments"/>
              <w:jc w:val="right"/>
              <w:rPr>
                <w:rFonts w:ascii="Verdana" w:eastAsia="Verdana" w:hAnsi="Verdana" w:cs="Verdana"/>
                <w:b/>
                <w:noProof/>
                <w:color w:val="000000"/>
                <w:sz w:val="16"/>
              </w:rPr>
            </w:pPr>
            <w:r>
              <w:rPr>
                <w:rFonts w:ascii="Verdana" w:hAnsi="Verdana"/>
                <w:b/>
                <w:noProof/>
                <w:color w:val="000000"/>
                <w:sz w:val="16"/>
              </w:rPr>
              <w:t>7 946</w:t>
            </w:r>
          </w:p>
        </w:tc>
        <w:tc>
          <w:tcPr>
            <w:tcW w:w="1043" w:type="dxa"/>
            <w:tcBorders>
              <w:top w:val="nil"/>
              <w:left w:val="nil"/>
              <w:bottom w:val="nil"/>
              <w:right w:val="nil"/>
              <w:tl2br w:val="nil"/>
              <w:tr2bl w:val="nil"/>
            </w:tcBorders>
            <w:shd w:val="solid" w:color="CCE1EA" w:fill="FFFFFF"/>
            <w:tcMar>
              <w:left w:w="60" w:type="dxa"/>
              <w:right w:w="60" w:type="dxa"/>
            </w:tcMar>
            <w:vAlign w:val="center"/>
          </w:tcPr>
          <w:p>
            <w:pPr>
              <w:pStyle w:val="DMETW14863BIPAgencies3CommitmentsPayments"/>
              <w:jc w:val="right"/>
              <w:rPr>
                <w:rFonts w:ascii="Verdana" w:eastAsia="Verdana" w:hAnsi="Verdana" w:cs="Verdana"/>
                <w:b/>
                <w:noProof/>
                <w:color w:val="000000"/>
                <w:sz w:val="16"/>
              </w:rPr>
            </w:pPr>
            <w:r>
              <w:rPr>
                <w:rFonts w:ascii="Verdana" w:hAnsi="Verdana"/>
                <w:b/>
                <w:noProof/>
                <w:color w:val="000000"/>
                <w:sz w:val="16"/>
              </w:rPr>
              <w:t>6 376</w:t>
            </w:r>
          </w:p>
        </w:tc>
        <w:tc>
          <w:tcPr>
            <w:tcW w:w="1043" w:type="dxa"/>
            <w:tcBorders>
              <w:top w:val="nil"/>
              <w:left w:val="nil"/>
              <w:bottom w:val="nil"/>
              <w:right w:val="nil"/>
              <w:tl2br w:val="nil"/>
              <w:tr2bl w:val="nil"/>
            </w:tcBorders>
            <w:shd w:val="solid" w:color="CCE1EA" w:fill="FFFFFF"/>
            <w:tcMar>
              <w:left w:w="60" w:type="dxa"/>
              <w:right w:w="60" w:type="dxa"/>
            </w:tcMar>
            <w:vAlign w:val="center"/>
          </w:tcPr>
          <w:p>
            <w:pPr>
              <w:pStyle w:val="DMETW14863BIPAgencies3CommitmentsPayments"/>
              <w:jc w:val="right"/>
              <w:rPr>
                <w:rFonts w:ascii="Verdana" w:eastAsia="Verdana" w:hAnsi="Verdana" w:cs="Verdana"/>
                <w:b/>
                <w:noProof/>
                <w:color w:val="000000"/>
                <w:sz w:val="16"/>
              </w:rPr>
            </w:pPr>
            <w:r>
              <w:rPr>
                <w:rFonts w:ascii="Verdana" w:hAnsi="Verdana"/>
                <w:b/>
                <w:noProof/>
                <w:color w:val="000000"/>
                <w:sz w:val="16"/>
              </w:rPr>
              <w:t>5 625</w:t>
            </w:r>
          </w:p>
        </w:tc>
        <w:tc>
          <w:tcPr>
            <w:tcW w:w="1043" w:type="dxa"/>
            <w:tcBorders>
              <w:top w:val="nil"/>
              <w:left w:val="nil"/>
              <w:bottom w:val="nil"/>
              <w:right w:val="nil"/>
              <w:tl2br w:val="nil"/>
              <w:tr2bl w:val="nil"/>
            </w:tcBorders>
            <w:shd w:val="solid" w:color="CCE1EA" w:fill="FFFFFF"/>
            <w:tcMar>
              <w:left w:w="60" w:type="dxa"/>
              <w:right w:w="60" w:type="dxa"/>
            </w:tcMar>
            <w:vAlign w:val="center"/>
          </w:tcPr>
          <w:p>
            <w:pPr>
              <w:pStyle w:val="DMETW14863BIPAgencies3CommitmentsPayments"/>
              <w:jc w:val="right"/>
              <w:rPr>
                <w:rFonts w:ascii="Verdana" w:eastAsia="Verdana" w:hAnsi="Verdana" w:cs="Verdana"/>
                <w:b/>
                <w:noProof/>
                <w:color w:val="000000"/>
                <w:sz w:val="16"/>
              </w:rPr>
            </w:pPr>
            <w:r>
              <w:rPr>
                <w:rFonts w:ascii="Verdana" w:hAnsi="Verdana"/>
                <w:b/>
                <w:noProof/>
                <w:color w:val="000000"/>
                <w:sz w:val="16"/>
              </w:rPr>
              <w:t>4 342</w:t>
            </w:r>
          </w:p>
        </w:tc>
      </w:tr>
    </w:tbl>
    <w:p>
      <w:pPr>
        <w:pStyle w:val="DGTextstand-alone"/>
      </w:pPr>
    </w:p>
    <w:tbl>
      <w:tblPr>
        <w:tblW w:w="792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0"/>
        <w:gridCol w:w="993"/>
        <w:gridCol w:w="467"/>
        <w:gridCol w:w="808"/>
        <w:gridCol w:w="1112"/>
        <w:gridCol w:w="1140"/>
      </w:tblGrid>
      <w:tr>
        <w:trPr>
          <w:trHeight w:val="340"/>
        </w:trPr>
        <w:tc>
          <w:tcPr>
            <w:tcW w:w="3400"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rPr>
                <w:rFonts w:ascii="Verdana" w:eastAsia="Verdana" w:hAnsi="Verdana" w:cs="Verdana"/>
                <w:noProof/>
                <w:color w:val="000000"/>
                <w:sz w:val="16"/>
              </w:rPr>
            </w:pPr>
            <w:bookmarkStart w:id="373" w:name="DOC_TBL00120_1_1"/>
            <w:bookmarkEnd w:id="373"/>
          </w:p>
        </w:tc>
        <w:tc>
          <w:tcPr>
            <w:tcW w:w="1460"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rPr>
                <w:rFonts w:ascii="Verdana" w:eastAsia="Verdana" w:hAnsi="Verdana" w:cs="Verdana"/>
                <w:noProof/>
                <w:color w:val="000000"/>
                <w:sz w:val="16"/>
              </w:rPr>
            </w:pPr>
          </w:p>
        </w:tc>
        <w:tc>
          <w:tcPr>
            <w:tcW w:w="808"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rPr>
                <w:rFonts w:ascii="Verdana" w:eastAsia="Verdana" w:hAnsi="Verdana" w:cs="Verdana"/>
                <w:noProof/>
                <w:color w:val="000000"/>
                <w:sz w:val="16"/>
              </w:rPr>
            </w:pPr>
          </w:p>
        </w:tc>
        <w:tc>
          <w:tcPr>
            <w:tcW w:w="1112"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rPr>
                <w:rFonts w:ascii="Verdana" w:eastAsia="Verdana" w:hAnsi="Verdana" w:cs="Verdana"/>
                <w:noProof/>
                <w:color w:val="000000"/>
                <w:sz w:val="16"/>
              </w:rPr>
            </w:pPr>
          </w:p>
        </w:tc>
        <w:tc>
          <w:tcPr>
            <w:tcW w:w="1140"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jc w:val="right"/>
              <w:rPr>
                <w:rFonts w:ascii="Verdana" w:eastAsia="Verdana" w:hAnsi="Verdana" w:cs="Verdana"/>
                <w:i/>
                <w:noProof/>
                <w:color w:val="000000"/>
                <w:sz w:val="16"/>
              </w:rPr>
            </w:pPr>
            <w:r>
              <w:rPr>
                <w:rFonts w:ascii="Verdana" w:hAnsi="Verdana"/>
                <w:i/>
                <w:noProof/>
                <w:color w:val="000000"/>
                <w:sz w:val="16"/>
              </w:rPr>
              <w:t>milj. euroa</w:t>
            </w:r>
          </w:p>
        </w:tc>
      </w:tr>
      <w:tr>
        <w:trPr>
          <w:trHeight w:val="544"/>
        </w:trPr>
        <w:tc>
          <w:tcPr>
            <w:tcW w:w="3400"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4TypeofExpenditure"/>
              <w:jc w:val="center"/>
              <w:rPr>
                <w:rFonts w:ascii="Verdana" w:eastAsia="Verdana" w:hAnsi="Verdana" w:cs="Verdana"/>
                <w:noProof/>
                <w:color w:val="FFFFFF"/>
                <w:sz w:val="16"/>
              </w:rPr>
            </w:pPr>
          </w:p>
        </w:tc>
        <w:tc>
          <w:tcPr>
            <w:tcW w:w="2268" w:type="dxa"/>
            <w:gridSpan w:val="3"/>
            <w:tcBorders>
              <w:top w:val="nil"/>
              <w:left w:val="nil"/>
              <w:bottom w:val="nil"/>
              <w:right w:val="nil"/>
              <w:tl2br w:val="nil"/>
              <w:tr2bl w:val="nil"/>
            </w:tcBorders>
            <w:shd w:val="solid" w:color="016794" w:fill="FFFFFF"/>
            <w:tcMar>
              <w:left w:w="60" w:type="dxa"/>
              <w:right w:w="60" w:type="dxa"/>
            </w:tcMar>
            <w:vAlign w:val="center"/>
          </w:tcPr>
          <w:p>
            <w:pPr>
              <w:pStyle w:val="DMETW14863BIPAgencies4TypeofExpenditure"/>
              <w:jc w:val="center"/>
              <w:rPr>
                <w:rFonts w:ascii="Verdana" w:eastAsia="Verdana" w:hAnsi="Verdana" w:cs="Verdana"/>
                <w:b/>
                <w:noProof/>
                <w:color w:val="FFFFFF"/>
                <w:sz w:val="16"/>
              </w:rPr>
            </w:pPr>
            <w:r>
              <w:rPr>
                <w:rFonts w:ascii="Verdana" w:hAnsi="Verdana"/>
                <w:b/>
                <w:noProof/>
                <w:color w:val="FFFFFF"/>
                <w:sz w:val="16"/>
              </w:rPr>
              <w:t>Maksusitoumus</w:t>
            </w:r>
            <w:r>
              <w:rPr>
                <w:rFonts w:ascii="Verdana" w:hAnsi="Verdana"/>
                <w:b/>
                <w:noProof/>
                <w:color w:val="FFFFFF"/>
                <w:sz w:val="16"/>
              </w:rPr>
              <w:softHyphen/>
              <w:t>määrärahat</w:t>
            </w:r>
          </w:p>
        </w:tc>
        <w:tc>
          <w:tcPr>
            <w:tcW w:w="2252"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4863BIPAgencies4TypeofExpenditure"/>
              <w:jc w:val="center"/>
              <w:rPr>
                <w:rFonts w:ascii="Verdana" w:eastAsia="Verdana" w:hAnsi="Verdana" w:cs="Verdana"/>
                <w:b/>
                <w:noProof/>
                <w:color w:val="FFFFFF"/>
                <w:sz w:val="16"/>
              </w:rPr>
            </w:pPr>
            <w:r>
              <w:rPr>
                <w:rFonts w:ascii="Verdana" w:hAnsi="Verdana"/>
                <w:b/>
                <w:noProof/>
                <w:color w:val="FFFFFF"/>
                <w:sz w:val="16"/>
              </w:rPr>
              <w:t>Maksumäärärahat</w:t>
            </w:r>
          </w:p>
        </w:tc>
      </w:tr>
      <w:tr>
        <w:trPr>
          <w:trHeight w:val="340"/>
        </w:trPr>
        <w:tc>
          <w:tcPr>
            <w:tcW w:w="3400"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4TypeofExpenditure"/>
              <w:jc w:val="center"/>
              <w:rPr>
                <w:rFonts w:ascii="Verdana" w:eastAsia="Verdana" w:hAnsi="Verdana" w:cs="Verdana"/>
                <w:noProof/>
                <w:color w:val="FFFFFF"/>
                <w:sz w:val="16"/>
              </w:rPr>
            </w:pPr>
            <w:r>
              <w:rPr>
                <w:rFonts w:ascii="Verdana" w:hAnsi="Verdana"/>
                <w:noProof/>
                <w:color w:val="FFFFFF"/>
                <w:sz w:val="16"/>
              </w:rPr>
              <w:t>Menolaji</w:t>
            </w:r>
          </w:p>
        </w:tc>
        <w:tc>
          <w:tcPr>
            <w:tcW w:w="993"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4TypeofExpenditure"/>
              <w:jc w:val="center"/>
              <w:rPr>
                <w:rFonts w:ascii="Verdana" w:eastAsia="Verdana" w:hAnsi="Verdana" w:cs="Verdana"/>
                <w:noProof/>
                <w:color w:val="FFFFFF"/>
                <w:sz w:val="16"/>
              </w:rPr>
            </w:pPr>
            <w:r>
              <w:rPr>
                <w:rFonts w:ascii="Verdana" w:hAnsi="Verdana"/>
                <w:noProof/>
                <w:color w:val="FFFFFF"/>
                <w:sz w:val="16"/>
              </w:rPr>
              <w:t>Käytettä-vissä olevat määrä</w:t>
            </w:r>
            <w:r>
              <w:rPr>
                <w:rFonts w:ascii="Verdana" w:hAnsi="Verdana"/>
                <w:noProof/>
                <w:color w:val="FFFFFF"/>
                <w:sz w:val="16"/>
              </w:rPr>
              <w:softHyphen/>
              <w:t>rahat yhteensä</w:t>
            </w:r>
          </w:p>
        </w:tc>
        <w:tc>
          <w:tcPr>
            <w:tcW w:w="1275"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4863BIPAgencies4TypeofExpenditure"/>
              <w:jc w:val="center"/>
              <w:rPr>
                <w:rFonts w:ascii="Verdana" w:hAnsi="Verdana"/>
                <w:noProof/>
                <w:color w:val="FFFFFF"/>
                <w:sz w:val="16"/>
              </w:rPr>
            </w:pPr>
            <w:r>
              <w:rPr>
                <w:rFonts w:ascii="Verdana" w:hAnsi="Verdana"/>
                <w:noProof/>
                <w:color w:val="FFFFFF"/>
                <w:sz w:val="16"/>
              </w:rPr>
              <w:t xml:space="preserve">Tehdyt </w:t>
            </w:r>
          </w:p>
          <w:p>
            <w:pPr>
              <w:pStyle w:val="DMETW14863BIPAgencies4TypeofExpenditure"/>
              <w:jc w:val="center"/>
              <w:rPr>
                <w:rFonts w:ascii="Verdana" w:eastAsia="Verdana" w:hAnsi="Verdana" w:cs="Verdana"/>
                <w:noProof/>
                <w:color w:val="FFFFFF"/>
                <w:sz w:val="16"/>
              </w:rPr>
            </w:pPr>
            <w:r>
              <w:rPr>
                <w:rFonts w:ascii="Verdana" w:hAnsi="Verdana"/>
                <w:noProof/>
                <w:color w:val="FFFFFF"/>
                <w:sz w:val="16"/>
              </w:rPr>
              <w:t>sitoumukset</w:t>
            </w:r>
          </w:p>
        </w:tc>
        <w:tc>
          <w:tcPr>
            <w:tcW w:w="1112"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4TypeofExpenditure"/>
              <w:jc w:val="center"/>
              <w:rPr>
                <w:rFonts w:ascii="Verdana" w:eastAsia="Verdana" w:hAnsi="Verdana" w:cs="Verdana"/>
                <w:noProof/>
                <w:color w:val="FFFFFF"/>
                <w:sz w:val="16"/>
              </w:rPr>
            </w:pPr>
            <w:r>
              <w:rPr>
                <w:rFonts w:ascii="Verdana" w:hAnsi="Verdana"/>
                <w:noProof/>
                <w:color w:val="FFFFFF"/>
                <w:sz w:val="16"/>
              </w:rPr>
              <w:t>Käytettä</w:t>
            </w:r>
            <w:r>
              <w:rPr>
                <w:rFonts w:ascii="Verdana" w:hAnsi="Verdana"/>
                <w:noProof/>
                <w:color w:val="FFFFFF"/>
                <w:sz w:val="16"/>
              </w:rPr>
              <w:softHyphen/>
              <w:t>vissä olevat määrärahat yhteensä</w:t>
            </w:r>
          </w:p>
        </w:tc>
        <w:tc>
          <w:tcPr>
            <w:tcW w:w="1140"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4TypeofExpenditure"/>
              <w:jc w:val="center"/>
              <w:rPr>
                <w:rFonts w:ascii="Verdana" w:eastAsia="Verdana" w:hAnsi="Verdana" w:cs="Verdana"/>
                <w:noProof/>
                <w:color w:val="FFFFFF"/>
                <w:sz w:val="16"/>
              </w:rPr>
            </w:pPr>
            <w:r>
              <w:rPr>
                <w:rFonts w:ascii="Verdana" w:hAnsi="Verdana"/>
                <w:noProof/>
                <w:color w:val="FFFFFF"/>
                <w:sz w:val="16"/>
              </w:rPr>
              <w:t>Suoritetut maksut</w:t>
            </w:r>
          </w:p>
        </w:tc>
      </w:tr>
      <w:tr>
        <w:trPr>
          <w:trHeight w:val="340"/>
        </w:trPr>
        <w:tc>
          <w:tcPr>
            <w:tcW w:w="3400"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rPr>
                <w:rFonts w:ascii="Verdana" w:eastAsia="Verdana" w:hAnsi="Verdana" w:cs="Verdana"/>
                <w:noProof/>
                <w:color w:val="000000"/>
                <w:sz w:val="16"/>
              </w:rPr>
            </w:pPr>
            <w:r>
              <w:rPr>
                <w:rFonts w:ascii="Verdana" w:hAnsi="Verdana"/>
                <w:noProof/>
                <w:color w:val="000000"/>
                <w:sz w:val="16"/>
              </w:rPr>
              <w:t>Hallintomenot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jc w:val="right"/>
              <w:rPr>
                <w:rFonts w:ascii="Verdana" w:eastAsia="Verdana" w:hAnsi="Verdana" w:cs="Verdana"/>
                <w:noProof/>
                <w:color w:val="000000"/>
                <w:sz w:val="16"/>
              </w:rPr>
            </w:pPr>
            <w:r>
              <w:rPr>
                <w:rFonts w:ascii="Verdana" w:hAnsi="Verdana"/>
                <w:noProof/>
                <w:color w:val="000000"/>
                <w:sz w:val="16"/>
              </w:rPr>
              <w:t xml:space="preserve"> 368</w:t>
            </w:r>
          </w:p>
        </w:tc>
        <w:tc>
          <w:tcPr>
            <w:tcW w:w="1275"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jc w:val="right"/>
              <w:rPr>
                <w:rFonts w:ascii="Verdana" w:eastAsia="Verdana" w:hAnsi="Verdana" w:cs="Verdana"/>
                <w:noProof/>
                <w:color w:val="000000"/>
                <w:sz w:val="16"/>
              </w:rPr>
            </w:pPr>
            <w:r>
              <w:rPr>
                <w:rFonts w:ascii="Verdana" w:hAnsi="Verdana"/>
                <w:noProof/>
                <w:color w:val="000000"/>
                <w:sz w:val="16"/>
              </w:rPr>
              <w:t xml:space="preserve"> 352</w:t>
            </w:r>
          </w:p>
        </w:tc>
        <w:tc>
          <w:tcPr>
            <w:tcW w:w="1112"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jc w:val="right"/>
              <w:rPr>
                <w:rFonts w:ascii="Verdana" w:eastAsia="Verdana" w:hAnsi="Verdana" w:cs="Verdana"/>
                <w:noProof/>
                <w:color w:val="000000"/>
                <w:sz w:val="16"/>
              </w:rPr>
            </w:pPr>
            <w:r>
              <w:rPr>
                <w:rFonts w:ascii="Verdana" w:hAnsi="Verdana"/>
                <w:noProof/>
                <w:color w:val="000000"/>
                <w:sz w:val="16"/>
              </w:rPr>
              <w:t xml:space="preserve"> 445</w:t>
            </w:r>
          </w:p>
        </w:tc>
        <w:tc>
          <w:tcPr>
            <w:tcW w:w="1140"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jc w:val="right"/>
              <w:rPr>
                <w:rFonts w:ascii="Verdana" w:eastAsia="Verdana" w:hAnsi="Verdana" w:cs="Verdana"/>
                <w:noProof/>
                <w:color w:val="000000"/>
                <w:sz w:val="16"/>
              </w:rPr>
            </w:pPr>
            <w:r>
              <w:rPr>
                <w:rFonts w:ascii="Verdana" w:hAnsi="Verdana"/>
                <w:noProof/>
                <w:color w:val="000000"/>
                <w:sz w:val="16"/>
              </w:rPr>
              <w:t xml:space="preserve"> 334</w:t>
            </w:r>
          </w:p>
        </w:tc>
      </w:tr>
      <w:tr>
        <w:trPr>
          <w:trHeight w:val="340"/>
        </w:trPr>
        <w:tc>
          <w:tcPr>
            <w:tcW w:w="3400"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rPr>
                <w:rFonts w:ascii="Verdana" w:eastAsia="Verdana" w:hAnsi="Verdana" w:cs="Verdana"/>
                <w:noProof/>
                <w:color w:val="000000"/>
                <w:sz w:val="16"/>
              </w:rPr>
            </w:pPr>
            <w:r>
              <w:rPr>
                <w:rFonts w:ascii="Verdana" w:hAnsi="Verdana"/>
                <w:noProof/>
                <w:color w:val="000000"/>
                <w:sz w:val="16"/>
              </w:rPr>
              <w:t>Henkilöstö</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jc w:val="right"/>
              <w:rPr>
                <w:rFonts w:ascii="Verdana" w:eastAsia="Verdana" w:hAnsi="Verdana" w:cs="Verdana"/>
                <w:noProof/>
                <w:color w:val="000000"/>
                <w:sz w:val="16"/>
              </w:rPr>
            </w:pPr>
            <w:r>
              <w:rPr>
                <w:rFonts w:ascii="Verdana" w:hAnsi="Verdana"/>
                <w:noProof/>
                <w:color w:val="000000"/>
                <w:sz w:val="16"/>
              </w:rPr>
              <w:t>1 220</w:t>
            </w:r>
          </w:p>
        </w:tc>
        <w:tc>
          <w:tcPr>
            <w:tcW w:w="1275"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jc w:val="right"/>
              <w:rPr>
                <w:rFonts w:ascii="Verdana" w:eastAsia="Verdana" w:hAnsi="Verdana" w:cs="Verdana"/>
                <w:noProof/>
                <w:color w:val="000000"/>
                <w:sz w:val="16"/>
              </w:rPr>
            </w:pPr>
            <w:r>
              <w:rPr>
                <w:rFonts w:ascii="Verdana" w:hAnsi="Verdana"/>
                <w:noProof/>
                <w:color w:val="000000"/>
                <w:sz w:val="16"/>
              </w:rPr>
              <w:t>1 188</w:t>
            </w:r>
          </w:p>
        </w:tc>
        <w:tc>
          <w:tcPr>
            <w:tcW w:w="1112"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jc w:val="right"/>
              <w:rPr>
                <w:rFonts w:ascii="Verdana" w:eastAsia="Verdana" w:hAnsi="Verdana" w:cs="Verdana"/>
                <w:noProof/>
                <w:color w:val="000000"/>
                <w:sz w:val="16"/>
              </w:rPr>
            </w:pPr>
            <w:r>
              <w:rPr>
                <w:rFonts w:ascii="Verdana" w:hAnsi="Verdana"/>
                <w:noProof/>
                <w:color w:val="000000"/>
                <w:sz w:val="16"/>
              </w:rPr>
              <w:t>1 236</w:t>
            </w:r>
          </w:p>
        </w:tc>
        <w:tc>
          <w:tcPr>
            <w:tcW w:w="1140"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jc w:val="right"/>
              <w:rPr>
                <w:rFonts w:ascii="Verdana" w:eastAsia="Verdana" w:hAnsi="Verdana" w:cs="Verdana"/>
                <w:noProof/>
                <w:color w:val="000000"/>
                <w:sz w:val="16"/>
              </w:rPr>
            </w:pPr>
            <w:r>
              <w:rPr>
                <w:rFonts w:ascii="Verdana" w:hAnsi="Verdana"/>
                <w:noProof/>
                <w:color w:val="000000"/>
                <w:sz w:val="16"/>
              </w:rPr>
              <w:t>1 181</w:t>
            </w:r>
          </w:p>
        </w:tc>
      </w:tr>
      <w:tr>
        <w:trPr>
          <w:trHeight w:val="340"/>
        </w:trPr>
        <w:tc>
          <w:tcPr>
            <w:tcW w:w="3400"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rPr>
                <w:rFonts w:ascii="Verdana" w:eastAsia="Verdana" w:hAnsi="Verdana" w:cs="Verdana"/>
                <w:noProof/>
                <w:color w:val="000000"/>
                <w:sz w:val="16"/>
              </w:rPr>
            </w:pPr>
            <w:r>
              <w:rPr>
                <w:rFonts w:ascii="Verdana" w:hAnsi="Verdana"/>
                <w:noProof/>
                <w:color w:val="000000"/>
                <w:sz w:val="16"/>
              </w:rPr>
              <w:t>Toimintamenot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jc w:val="right"/>
              <w:rPr>
                <w:rFonts w:ascii="Verdana" w:eastAsia="Verdana" w:hAnsi="Verdana" w:cs="Verdana"/>
                <w:noProof/>
                <w:color w:val="000000"/>
                <w:sz w:val="16"/>
              </w:rPr>
            </w:pPr>
            <w:r>
              <w:rPr>
                <w:rFonts w:ascii="Verdana" w:hAnsi="Verdana"/>
                <w:noProof/>
                <w:color w:val="000000"/>
                <w:sz w:val="16"/>
              </w:rPr>
              <w:t>6 358</w:t>
            </w:r>
          </w:p>
        </w:tc>
        <w:tc>
          <w:tcPr>
            <w:tcW w:w="1275" w:type="dxa"/>
            <w:gridSpan w:val="2"/>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jc w:val="right"/>
              <w:rPr>
                <w:rFonts w:ascii="Verdana" w:eastAsia="Verdana" w:hAnsi="Verdana" w:cs="Verdana"/>
                <w:noProof/>
                <w:color w:val="000000"/>
                <w:sz w:val="16"/>
              </w:rPr>
            </w:pPr>
            <w:r>
              <w:rPr>
                <w:rFonts w:ascii="Verdana" w:hAnsi="Verdana"/>
                <w:noProof/>
                <w:color w:val="000000"/>
                <w:sz w:val="16"/>
              </w:rPr>
              <w:t>4 836</w:t>
            </w:r>
          </w:p>
        </w:tc>
        <w:tc>
          <w:tcPr>
            <w:tcW w:w="1112"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jc w:val="right"/>
              <w:rPr>
                <w:rFonts w:ascii="Verdana" w:eastAsia="Verdana" w:hAnsi="Verdana" w:cs="Verdana"/>
                <w:noProof/>
                <w:color w:val="000000"/>
                <w:sz w:val="16"/>
              </w:rPr>
            </w:pPr>
            <w:r>
              <w:rPr>
                <w:rFonts w:ascii="Verdana" w:hAnsi="Verdana"/>
                <w:noProof/>
                <w:color w:val="000000"/>
                <w:sz w:val="16"/>
              </w:rPr>
              <w:t>3 944</w:t>
            </w:r>
          </w:p>
        </w:tc>
        <w:tc>
          <w:tcPr>
            <w:tcW w:w="1140"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jc w:val="right"/>
              <w:rPr>
                <w:rFonts w:ascii="Verdana" w:eastAsia="Verdana" w:hAnsi="Verdana" w:cs="Verdana"/>
                <w:noProof/>
                <w:color w:val="000000"/>
                <w:sz w:val="16"/>
              </w:rPr>
            </w:pPr>
            <w:r>
              <w:rPr>
                <w:rFonts w:ascii="Verdana" w:hAnsi="Verdana"/>
                <w:noProof/>
                <w:color w:val="000000"/>
                <w:sz w:val="16"/>
              </w:rPr>
              <w:t>2 826</w:t>
            </w:r>
          </w:p>
        </w:tc>
      </w:tr>
      <w:tr>
        <w:trPr>
          <w:trHeight w:val="340"/>
        </w:trPr>
        <w:tc>
          <w:tcPr>
            <w:tcW w:w="3400" w:type="dxa"/>
            <w:tcBorders>
              <w:top w:val="nil"/>
              <w:left w:val="nil"/>
              <w:bottom w:val="nil"/>
              <w:right w:val="nil"/>
              <w:tl2br w:val="nil"/>
              <w:tr2bl w:val="nil"/>
            </w:tcBorders>
            <w:shd w:val="solid" w:color="CCE1EA" w:fill="FFFFFF"/>
            <w:tcMar>
              <w:left w:w="60" w:type="dxa"/>
              <w:right w:w="60" w:type="dxa"/>
            </w:tcMar>
            <w:vAlign w:val="center"/>
          </w:tcPr>
          <w:p>
            <w:pPr>
              <w:pStyle w:val="DMETW14863BIPAgencies4TypeofExpenditure"/>
              <w:rPr>
                <w:rFonts w:ascii="Verdana" w:eastAsia="Verdana" w:hAnsi="Verdana" w:cs="Verdana"/>
                <w:b/>
                <w:noProof/>
                <w:color w:val="000000"/>
                <w:sz w:val="16"/>
              </w:rPr>
            </w:pPr>
            <w:r>
              <w:rPr>
                <w:rFonts w:ascii="Verdana" w:hAnsi="Verdana"/>
                <w:b/>
                <w:noProof/>
                <w:color w:val="000000"/>
                <w:sz w:val="16"/>
              </w:rPr>
              <w:t>Yhteensä</w:t>
            </w:r>
          </w:p>
        </w:tc>
        <w:tc>
          <w:tcPr>
            <w:tcW w:w="993" w:type="dxa"/>
            <w:tcBorders>
              <w:top w:val="nil"/>
              <w:left w:val="nil"/>
              <w:bottom w:val="nil"/>
              <w:right w:val="nil"/>
              <w:tl2br w:val="nil"/>
              <w:tr2bl w:val="nil"/>
            </w:tcBorders>
            <w:shd w:val="solid" w:color="CCE1EA" w:fill="FFFFFF"/>
            <w:tcMar>
              <w:left w:w="60" w:type="dxa"/>
              <w:right w:w="60" w:type="dxa"/>
            </w:tcMar>
            <w:vAlign w:val="center"/>
          </w:tcPr>
          <w:p>
            <w:pPr>
              <w:pStyle w:val="DMETW14863BIPAgencies4TypeofExpenditure"/>
              <w:jc w:val="right"/>
              <w:rPr>
                <w:rFonts w:ascii="Verdana" w:eastAsia="Verdana" w:hAnsi="Verdana" w:cs="Verdana"/>
                <w:b/>
                <w:noProof/>
                <w:color w:val="000000"/>
                <w:sz w:val="16"/>
              </w:rPr>
            </w:pPr>
            <w:r>
              <w:rPr>
                <w:rFonts w:ascii="Verdana" w:hAnsi="Verdana"/>
                <w:b/>
                <w:noProof/>
                <w:color w:val="000000"/>
                <w:sz w:val="16"/>
              </w:rPr>
              <w:t>7 946</w:t>
            </w:r>
          </w:p>
        </w:tc>
        <w:tc>
          <w:tcPr>
            <w:tcW w:w="1275" w:type="dxa"/>
            <w:gridSpan w:val="2"/>
            <w:tcBorders>
              <w:top w:val="nil"/>
              <w:left w:val="nil"/>
              <w:bottom w:val="nil"/>
              <w:right w:val="nil"/>
              <w:tl2br w:val="nil"/>
              <w:tr2bl w:val="nil"/>
            </w:tcBorders>
            <w:shd w:val="solid" w:color="CCE1EA" w:fill="FFFFFF"/>
            <w:tcMar>
              <w:left w:w="60" w:type="dxa"/>
              <w:right w:w="60" w:type="dxa"/>
            </w:tcMar>
            <w:vAlign w:val="center"/>
          </w:tcPr>
          <w:p>
            <w:pPr>
              <w:pStyle w:val="DMETW14863BIPAgencies4TypeofExpenditure"/>
              <w:jc w:val="right"/>
              <w:rPr>
                <w:rFonts w:ascii="Verdana" w:eastAsia="Verdana" w:hAnsi="Verdana" w:cs="Verdana"/>
                <w:b/>
                <w:noProof/>
                <w:color w:val="000000"/>
                <w:sz w:val="16"/>
              </w:rPr>
            </w:pPr>
            <w:r>
              <w:rPr>
                <w:rFonts w:ascii="Verdana" w:hAnsi="Verdana"/>
                <w:b/>
                <w:noProof/>
                <w:color w:val="000000"/>
                <w:sz w:val="16"/>
              </w:rPr>
              <w:t>6 376</w:t>
            </w:r>
          </w:p>
        </w:tc>
        <w:tc>
          <w:tcPr>
            <w:tcW w:w="1112" w:type="dxa"/>
            <w:tcBorders>
              <w:top w:val="nil"/>
              <w:left w:val="nil"/>
              <w:bottom w:val="nil"/>
              <w:right w:val="nil"/>
              <w:tl2br w:val="nil"/>
              <w:tr2bl w:val="nil"/>
            </w:tcBorders>
            <w:shd w:val="solid" w:color="CCE1EA" w:fill="FFFFFF"/>
            <w:tcMar>
              <w:left w:w="60" w:type="dxa"/>
              <w:right w:w="60" w:type="dxa"/>
            </w:tcMar>
            <w:vAlign w:val="center"/>
          </w:tcPr>
          <w:p>
            <w:pPr>
              <w:pStyle w:val="DMETW14863BIPAgencies4TypeofExpenditure"/>
              <w:jc w:val="right"/>
              <w:rPr>
                <w:rFonts w:ascii="Verdana" w:eastAsia="Verdana" w:hAnsi="Verdana" w:cs="Verdana"/>
                <w:b/>
                <w:noProof/>
                <w:color w:val="000000"/>
                <w:sz w:val="16"/>
              </w:rPr>
            </w:pPr>
            <w:r>
              <w:rPr>
                <w:rFonts w:ascii="Verdana" w:hAnsi="Verdana"/>
                <w:b/>
                <w:noProof/>
                <w:color w:val="000000"/>
                <w:sz w:val="16"/>
              </w:rPr>
              <w:t>5 625</w:t>
            </w:r>
          </w:p>
        </w:tc>
        <w:tc>
          <w:tcPr>
            <w:tcW w:w="1140" w:type="dxa"/>
            <w:tcBorders>
              <w:top w:val="nil"/>
              <w:left w:val="nil"/>
              <w:bottom w:val="nil"/>
              <w:right w:val="nil"/>
              <w:tl2br w:val="nil"/>
              <w:tr2bl w:val="nil"/>
            </w:tcBorders>
            <w:shd w:val="solid" w:color="CCE1EA" w:fill="FFFFFF"/>
            <w:tcMar>
              <w:left w:w="60" w:type="dxa"/>
              <w:right w:w="60" w:type="dxa"/>
            </w:tcMar>
            <w:vAlign w:val="center"/>
          </w:tcPr>
          <w:p>
            <w:pPr>
              <w:pStyle w:val="DMETW14863BIPAgencies4TypeofExpenditure"/>
              <w:jc w:val="right"/>
              <w:rPr>
                <w:rFonts w:ascii="Verdana" w:eastAsia="Verdana" w:hAnsi="Verdana" w:cs="Verdana"/>
                <w:b/>
                <w:noProof/>
                <w:color w:val="000000"/>
                <w:sz w:val="16"/>
              </w:rPr>
            </w:pPr>
            <w:r>
              <w:rPr>
                <w:rFonts w:ascii="Verdana" w:hAnsi="Verdana"/>
                <w:b/>
                <w:noProof/>
                <w:color w:val="000000"/>
                <w:sz w:val="16"/>
              </w:rPr>
              <w:t>4 342</w:t>
            </w:r>
          </w:p>
        </w:tc>
      </w:tr>
    </w:tbl>
    <w:p>
      <w:pPr>
        <w:pStyle w:val="DGTextstand-alone"/>
      </w:pPr>
    </w:p>
    <w:bookmarkEnd w:id="363"/>
    <w:p>
      <w:pPr>
        <w:pStyle w:val="DGTextstand-alone"/>
        <w:sectPr>
          <w:headerReference w:type="even" r:id="rId533"/>
          <w:headerReference w:type="default" r:id="rId534"/>
          <w:footerReference w:type="even" r:id="rId535"/>
          <w:footerReference w:type="default" r:id="rId536"/>
          <w:headerReference w:type="first" r:id="rId537"/>
          <w:footerReference w:type="first" r:id="rId538"/>
          <w:pgSz w:w="11900" w:h="16840"/>
          <w:pgMar w:top="1134" w:right="1134" w:bottom="1134" w:left="1134" w:header="709" w:footer="709" w:gutter="0"/>
          <w:cols w:space="720"/>
        </w:sectPr>
      </w:pPr>
    </w:p>
    <w:p>
      <w:pPr>
        <w:pStyle w:val="FIRSTCHAPTERPAGE"/>
        <w:rPr>
          <w:noProof/>
        </w:rPr>
      </w:pPr>
      <w:bookmarkStart w:id="374" w:name="_Toc11938936"/>
      <w:bookmarkStart w:id="375" w:name="_Toc17883118"/>
      <w:bookmarkStart w:id="376" w:name="_DMBM_14864"/>
      <w:r>
        <w:rPr>
          <w:noProof/>
        </w:rPr>
        <w:t>SANASTO</w:t>
      </w:r>
      <w:bookmarkEnd w:id="374"/>
      <w:bookmarkEnd w:id="375"/>
      <w:r>
        <w:rPr>
          <w:noProof/>
        </w:rPr>
        <w:t xml:space="preserve"> </w:t>
      </w:r>
    </w:p>
    <w:p>
      <w:pPr>
        <w:pStyle w:val="HEADER5"/>
        <w:rPr>
          <w:noProof/>
        </w:rPr>
      </w:pPr>
      <w:r>
        <w:rPr>
          <w:noProof/>
        </w:rPr>
        <w:t>Budjettikohta</w:t>
      </w:r>
    </w:p>
    <w:p>
      <w:pPr>
        <w:pStyle w:val="DGTextstand-alone"/>
      </w:pPr>
      <w:r>
        <w:t>Tulot ja menot esitetään talousarviossa budjettivallan käyttäjän vahvistaman sitovan budjettinimikkeistön mukaisesti. Nimikkeistössä budjettikohdat on järjestetty niiden luonteen ja tarkoituksen mukaan. Nimikkeistön rakenneosat ovat osastot, luvut, momentit ja alamomentit.</w:t>
      </w:r>
    </w:p>
    <w:p>
      <w:pPr>
        <w:pStyle w:val="HEADER5"/>
        <w:rPr>
          <w:noProof/>
        </w:rPr>
      </w:pPr>
      <w:r>
        <w:rPr>
          <w:noProof/>
        </w:rPr>
        <w:t>Diskonttokorko</w:t>
      </w:r>
    </w:p>
    <w:p>
      <w:pPr>
        <w:pStyle w:val="DGTextstand-alone"/>
      </w:pPr>
      <w:r>
        <w:t>Korko, jota käytetään tulevaisuuden rahavirran nykyarvon laskemisessa. Diskonttausta käytetään verrattaessa eri aikoina aiheutuvia kuluja ja hyötyjä.</w:t>
      </w:r>
    </w:p>
    <w:p>
      <w:pPr>
        <w:pStyle w:val="HEADER5"/>
        <w:rPr>
          <w:noProof/>
        </w:rPr>
      </w:pPr>
      <w:r>
        <w:rPr>
          <w:noProof/>
        </w:rPr>
        <w:t>Efektiivinen korko</w:t>
      </w:r>
    </w:p>
    <w:p>
      <w:pPr>
        <w:pStyle w:val="DGTextstand-alone"/>
      </w:pPr>
      <w:r>
        <w:t xml:space="preserve">Korkokanta, jota käyttäen rahoitusvaroihin tai </w:t>
      </w:r>
      <w:r>
        <w:noBreakHyphen/>
        <w:t xml:space="preserve">velkoihin kuuluvan erän odotettavissa olevana juoksuaikana saataviksi tai suoritettaviksi arvioidut vastaiset maksut tulevat diskontatuiksi täsmälleen kyseisen rahoitusvaroihin tai </w:t>
      </w:r>
      <w:r>
        <w:noBreakHyphen/>
        <w:t xml:space="preserve">velkoihin kuuluvan erän nettokirjanpitoarvon suuruisiksi. </w:t>
      </w:r>
    </w:p>
    <w:p>
      <w:pPr>
        <w:pStyle w:val="HEADER5"/>
        <w:rPr>
          <w:noProof/>
        </w:rPr>
      </w:pPr>
      <w:r>
        <w:rPr>
          <w:noProof/>
        </w:rPr>
        <w:t>Ennakkomaksu</w:t>
      </w:r>
    </w:p>
    <w:p>
      <w:pPr>
        <w:pStyle w:val="DGTextstand-alone"/>
      </w:pPr>
      <w:r>
        <w:t>Maksu, jonka tarkoituksena on tarjota tuensaajalle käteisvaroja. Se voidaan suorittaa useammassa erässä asianomaisessa sopimuksessa, päätöksessä tai perussäädöksessä määrätyn mukaisesti. Ennakkomaksu joko käytetään tiettyyn tarkoitukseen sopimuksessa määrättynä ajanjaksona tai maksetaan takaisin.</w:t>
      </w:r>
    </w:p>
    <w:p>
      <w:pPr>
        <w:pStyle w:val="HEADER5"/>
        <w:rPr>
          <w:noProof/>
        </w:rPr>
      </w:pPr>
      <w:r>
        <w:rPr>
          <w:noProof/>
        </w:rPr>
        <w:t>Ennaltaehkäisevä toimenpide</w:t>
      </w:r>
    </w:p>
    <w:p>
      <w:pPr>
        <w:pStyle w:val="DGTextstand-alone"/>
      </w:pPr>
      <w:r>
        <w:t>Komission käytettävissä oleva toimenpide, jolla se voi suojata EU:n talousarviota silloin kun sen tietoon on tullut mahdollisia puutteita. Ennalta ehkäiseviin toimenpiteisiin kuuluvat muun muassa EU:n talousarviosta toimenpideohjelmalle suoritettavien maksujen lykkääminen ja keskeyttäminen.</w:t>
      </w:r>
    </w:p>
    <w:p>
      <w:pPr>
        <w:pStyle w:val="HEADER5"/>
        <w:rPr>
          <w:noProof/>
        </w:rPr>
      </w:pPr>
      <w:r>
        <w:rPr>
          <w:noProof/>
        </w:rPr>
        <w:t>Etuuspohjainen järjestely</w:t>
      </w:r>
    </w:p>
    <w:p>
      <w:pPr>
        <w:pStyle w:val="DGTextstand-alone"/>
      </w:pPr>
      <w:r>
        <w:t>Eläke- tai muu eläke-etuusjärjestely, jossa järjestelyn säännöt määrittelevät etuudet niin, etteivät ne riipu maksusuorituksista, ja jossa etuuksilla ei ole suoraa yhteyttä järjestelyn sijoituksiin. Järjestely voi olla rahastoitu tai rahastoimaton.</w:t>
      </w:r>
    </w:p>
    <w:p>
      <w:pPr>
        <w:pStyle w:val="HEADER5"/>
        <w:rPr>
          <w:noProof/>
        </w:rPr>
      </w:pPr>
      <w:r>
        <w:rPr>
          <w:noProof/>
        </w:rPr>
        <w:t>Hallinnointi yhteistyössä jäsenvaltioiden kanssa</w:t>
      </w:r>
    </w:p>
    <w:p>
      <w:pPr>
        <w:pStyle w:val="DGTextstand-alone"/>
      </w:pPr>
      <w:r>
        <w:t>Talousarvion toteuttamistapa, jossa talousarvion toteuttamiseen liittyvät tehtävät siirretään jäsenvaltioille. Noin 80:tä prosenttia EU:n menoista hallinnoidaan yhteistyössä jäsenvaltioiden kanssa.</w:t>
      </w:r>
    </w:p>
    <w:p>
      <w:pPr>
        <w:pStyle w:val="HEADER5"/>
        <w:rPr>
          <w:noProof/>
        </w:rPr>
      </w:pPr>
      <w:r>
        <w:rPr>
          <w:noProof/>
        </w:rPr>
        <w:t>Hallintomäärärahat</w:t>
      </w:r>
    </w:p>
    <w:p>
      <w:pPr>
        <w:pStyle w:val="DGTextstand-alone"/>
      </w:pPr>
      <w:r>
        <w:t>Hallintomäärärahat kattavat toimielinten ja yhteisöjen juoksevat menot (kuten henkilöstö-, kiinteistö- ja toimistolaitemenot).</w:t>
      </w:r>
    </w:p>
    <w:p>
      <w:pPr>
        <w:pStyle w:val="HEADER5"/>
        <w:rPr>
          <w:noProof/>
        </w:rPr>
      </w:pPr>
      <w:r>
        <w:rPr>
          <w:noProof/>
        </w:rPr>
        <w:t>Hyväksytty talousarvio</w:t>
      </w:r>
    </w:p>
    <w:p>
      <w:pPr>
        <w:pStyle w:val="DGTextstand-alone"/>
      </w:pPr>
      <w:r>
        <w:t>Talousarvioesityksestä tulee hyväksytty talousarvio, kun budjettivallan käyttäjä hyväksyy sen.</w:t>
      </w:r>
    </w:p>
    <w:p>
      <w:pPr>
        <w:pStyle w:val="HEADER5"/>
        <w:rPr>
          <w:noProof/>
        </w:rPr>
      </w:pPr>
      <w:r>
        <w:rPr>
          <w:noProof/>
        </w:rPr>
        <w:t>Johdannainen</w:t>
      </w:r>
    </w:p>
    <w:p>
      <w:pPr>
        <w:pStyle w:val="DGTextstand-alone"/>
      </w:pPr>
      <w:r>
        <w:t>Rahoitusinstrumentti, jonka arvo on kytketty jonkin toisen rahoitusinstrumentin tai jonkin indikaattorin tai hyödykkeen arvon muutokseen. Toisin kuin primaarin rahoitusinstrumentin (kuten valtion joukkovelkakirjan) haltijalla, jolla on ehdoton oikeus saada rahamäärä (tai jokin muu taloudellinen hyöty) tulevaisuudessa, johdannaisen haltijalla on vain ehdollinen oikeus saada tällaista hyötyä. Johdannaisiin kuuluvat muun muassa valuuttatermiinisopimukset.</w:t>
      </w:r>
    </w:p>
    <w:p>
      <w:pPr>
        <w:pStyle w:val="HEADER5"/>
        <w:rPr>
          <w:noProof/>
        </w:rPr>
      </w:pPr>
      <w:r>
        <w:rPr>
          <w:noProof/>
        </w:rPr>
        <w:t>Jäsenvaltioilta maksettaviksi vaadittavat rahoitusosuudet</w:t>
      </w:r>
    </w:p>
    <w:p>
      <w:pPr>
        <w:pStyle w:val="DGTextstand-alone"/>
      </w:pPr>
      <w:r>
        <w:t>Nämä rahoitusosuudet vastaavat sellaisia tilikauden menoja, jotka on rahoitettava tulevista talousarvioista eli jotka jäsenvaltioiden on rahoitettava. Nämä määrät ovat seurausta siitä, että tilinpäätöksessä noudatetaan suoriteperustetta ja talousarviokirjanpidossa maksuperustetta.</w:t>
      </w:r>
    </w:p>
    <w:p>
      <w:pPr>
        <w:pStyle w:val="HEADER5"/>
        <w:rPr>
          <w:noProof/>
        </w:rPr>
      </w:pPr>
      <w:r>
        <w:rPr>
          <w:noProof/>
        </w:rPr>
        <w:t>Kauden työsuoritukseen perustuva meno</w:t>
      </w:r>
    </w:p>
    <w:p>
      <w:pPr>
        <w:pStyle w:val="DGTextstand-alone"/>
      </w:pPr>
      <w:r>
        <w:t>Kuluvalle varainhoitovuodelle kuuluvasta työsuorituksesta johtuva eläkejärjestelyn velvoitteiden lisäys.</w:t>
      </w:r>
    </w:p>
    <w:p>
      <w:pPr>
        <w:pStyle w:val="HEADER5"/>
        <w:rPr>
          <w:noProof/>
        </w:rPr>
      </w:pPr>
      <w:r>
        <w:rPr>
          <w:noProof/>
        </w:rPr>
        <w:t xml:space="preserve">Käypään arvoon tulosvaikutteisesti kirjattavat rahoitusvarat tai </w:t>
      </w:r>
      <w:r>
        <w:rPr>
          <w:noProof/>
        </w:rPr>
        <w:noBreakHyphen/>
        <w:t>velat</w:t>
      </w:r>
    </w:p>
    <w:p>
      <w:pPr>
        <w:pStyle w:val="DGTextstand-alone"/>
      </w:pPr>
      <w:r>
        <w:t xml:space="preserve">Kaikki rahoitusvarat tai </w:t>
      </w:r>
      <w:r>
        <w:noBreakHyphen/>
        <w:t>velat, jotka julkissektorin kansainvälisten tilinpäätösstandardien (International Public Sector Accounting Standards) mukaan arvostetaan käypään arvoon ja joiden käyvän arvon muutokset kirjataan kauden yli- tai alijäämään (ts. johdannaiset).</w:t>
      </w:r>
    </w:p>
    <w:p>
      <w:pPr>
        <w:pStyle w:val="HEADER5"/>
        <w:rPr>
          <w:noProof/>
        </w:rPr>
      </w:pPr>
      <w:r>
        <w:rPr>
          <w:noProof/>
        </w:rPr>
        <w:t>Käyttötarkoitukseensa sidotut tulot</w:t>
      </w:r>
    </w:p>
    <w:p>
      <w:pPr>
        <w:pStyle w:val="DGTextstand-alone"/>
      </w:pPr>
      <w:r>
        <w:t>Tulot, jotka saadaan ja osoitetaan tiettyjen menoerien rahoittamista varten. Suurin osa ulkoisista käyttötarkoitukseensa sidotuista tuloista saadaan rahoitusosuuksista, joilla kolmannet maat osallistuvat unionin ohjelmien rahoittamiseen. Suurin osa sisäisistä käyttötarkoitukseensa sidotuista tuloista saadaan kolmansilta osapuolilta niille tilauksesta toimitetuista tavaroista tai palveluista tai niille tilauksesta tehdystä työstä, aiheettomasti maksettujen määrien palautuksista sekä julkaisujen ja elokuvien myynnistä.</w:t>
      </w:r>
    </w:p>
    <w:p>
      <w:pPr>
        <w:pStyle w:val="HEADER5"/>
        <w:rPr>
          <w:noProof/>
        </w:rPr>
      </w:pPr>
      <w:r>
        <w:rPr>
          <w:noProof/>
        </w:rPr>
        <w:t>Lisätalousarvio</w:t>
      </w:r>
    </w:p>
    <w:p>
      <w:pPr>
        <w:pStyle w:val="DGTextstand-alone"/>
      </w:pPr>
      <w:r>
        <w:t>Varainhoitovuoden aikana tehty päätös muuttaa kyseisen varainhoitovuoden talousarviota (lisäykset, vähennykset, määrärahasiirrot).</w:t>
      </w:r>
    </w:p>
    <w:p>
      <w:pPr>
        <w:pStyle w:val="HEADER5"/>
        <w:rPr>
          <w:noProof/>
        </w:rPr>
      </w:pPr>
      <w:r>
        <w:rPr>
          <w:noProof/>
        </w:rPr>
        <w:t>Maksattamatta olevat määrät (RAL, ”Reste à liquider”)</w:t>
      </w:r>
    </w:p>
    <w:p>
      <w:pPr>
        <w:pStyle w:val="DGTextstand-alone"/>
      </w:pPr>
      <w:r>
        <w:t>Maksamatta oleva määrä tilanteessa, jossa talousarviositoumus on tehty mutta sen mukaisia maksuja ei ole vielä suoritettu. Nämä sitoumukset ovat EU:n tulevien vuosien maksuvelvoitteita, ja ne ovat suoraan seurausta monivuotisista ohjelmista ja määrärahojen jakamisesta maksusitoumus- ja maksumäärärahoihin.</w:t>
      </w:r>
    </w:p>
    <w:p>
      <w:pPr>
        <w:pStyle w:val="HEADER5"/>
        <w:rPr>
          <w:noProof/>
        </w:rPr>
      </w:pPr>
      <w:r>
        <w:rPr>
          <w:noProof/>
        </w:rPr>
        <w:t>Maksujen keskeyttäminen ja lykkääminen</w:t>
      </w:r>
    </w:p>
    <w:p>
      <w:pPr>
        <w:pStyle w:val="DGTextstand-alone"/>
      </w:pPr>
      <w:r>
        <w:t>Jos komissio havaitsee joko omien tarkastustensa tai tarkastusviranomaisten ilmoittamien tietojen tuloksena, että jokin jäsenvaltio ei ole pystynyt korjaamaan hallinto- ja valvontajärjestelmissään havaittuja vakavia puutteita ja/tai oikaisemaan jo ilmoitettuja ja todennettuja sääntöjenvastaisia menoja, se voi keskeyttää maksut tai lykätä niitä.</w:t>
      </w:r>
    </w:p>
    <w:p>
      <w:pPr>
        <w:pStyle w:val="HEADER5"/>
        <w:rPr>
          <w:noProof/>
        </w:rPr>
      </w:pPr>
      <w:r>
        <w:rPr>
          <w:noProof/>
        </w:rPr>
        <w:t>Maksumäärärahat</w:t>
      </w:r>
    </w:p>
    <w:p>
      <w:pPr>
        <w:pStyle w:val="DGTextstand-alone"/>
      </w:pPr>
      <w:r>
        <w:t>Maksumäärärahat kattavat kuluvana varainhoitovuonna suoritettaviksi tulevat maksut, jotka johtuvat kuluvana varainhoitovuonna ja/tai aikaisempina varainhoitovuosina tehdyistä oikeudellisista sitoumuksista.</w:t>
      </w:r>
    </w:p>
    <w:p>
      <w:pPr>
        <w:pStyle w:val="HEADER5"/>
        <w:rPr>
          <w:noProof/>
        </w:rPr>
      </w:pPr>
      <w:r>
        <w:rPr>
          <w:noProof/>
        </w:rPr>
        <w:t>Maksusitoumusmäärärahat</w:t>
      </w:r>
    </w:p>
    <w:p>
      <w:pPr>
        <w:pStyle w:val="DGTextstand-alone"/>
      </w:pPr>
      <w:r>
        <w:t>Maksusitoumusmäärärahat kattavat niiden oikeudellisten velvoitteiden (hankintasopimusten, avustussopimusten tai avustuspäätösten) kokonaiskustannukset, joista voidaan allekirjoittaa sopimus kuluvana varainhoitovuonna.</w:t>
      </w:r>
    </w:p>
    <w:p>
      <w:pPr>
        <w:pStyle w:val="HEADER5"/>
        <w:rPr>
          <w:noProof/>
        </w:rPr>
      </w:pPr>
      <w:r>
        <w:rPr>
          <w:noProof/>
        </w:rPr>
        <w:t>Määrärahat</w:t>
      </w:r>
    </w:p>
    <w:p>
      <w:pPr>
        <w:pStyle w:val="DGTextstand-alone"/>
      </w:pPr>
      <w:r>
        <w:t>Määrärahoilla rahoitetaan talousarvio. Talousarvio sisältää ennusteet sekä maksusitoumuksista että maksuista (edunsaajille käteisellä tai tilisiirtona suoritetut maksut). Maksusitoumusmäärärahojen määrä poikkeaa (jaksotettujen määrärahojen tapauksessa) usein maksumäärärahojen määrästä, koska monivuotisia ohjelmia ja hankkeita koskevat sitoumukset tehdään yleensä koko määrältä sinä vuonna, jona ohjelmia ja hankkeita koskevat päätökset annetaan, kun taas maksut suoritetaan vuosien mittaan sitä mukaa kuin ohjelmien ja hankkeiden toteuttaminen etenee. Jaksottamattomia määrärahoja käytetään kattamaan hallintomenot, maatalousmarkkinatuet ja suorat tuet. Jaksottamattomien määrärahojen tapauksessa maksusitoumusmäärärahojen määrä on yhtä suuri kuin maksumäärärahojen määrä.</w:t>
      </w:r>
    </w:p>
    <w:p>
      <w:pPr>
        <w:pStyle w:val="HEADER5"/>
        <w:rPr>
          <w:noProof/>
        </w:rPr>
      </w:pPr>
      <w:r>
        <w:rPr>
          <w:noProof/>
        </w:rPr>
        <w:t>Määrärahojen siirtäminen varainhoitovuodelta toiselle</w:t>
      </w:r>
    </w:p>
    <w:p>
      <w:pPr>
        <w:pStyle w:val="DGTextstand-alone"/>
      </w:pPr>
      <w:r>
        <w:t>Varainhoitovuonna käyttämättä jääneet määrärahat voidaan vuotuisuusperiaatteesta poiketen tietyissä tilanteissa siirtää käytettäviksi seuraavana varainhoitovuonna. Tällainen siirto on poikkeuksellinen, ja se voidaan tehdä ainoastaan tiukkojen edellytysten täyttyessä.</w:t>
      </w:r>
    </w:p>
    <w:p>
      <w:pPr>
        <w:pStyle w:val="HEADER5"/>
        <w:rPr>
          <w:noProof/>
        </w:rPr>
      </w:pPr>
      <w:r>
        <w:rPr>
          <w:noProof/>
        </w:rPr>
        <w:t>Myytävissä olevat rahoitusvarat</w:t>
      </w:r>
    </w:p>
    <w:p>
      <w:pPr>
        <w:pStyle w:val="DGTextstand-alone"/>
      </w:pPr>
      <w:r>
        <w:t>Kaikki rahoitusvarat (johdannaisia lukuun ottamatta), jotka julkissektorin kansainvälisten tilinpäätösstandardien (International Public Sector Accounting Standards) mukaan arvostetaan käypään arvoon ja joiden käyvän arvon muutokset kirjataan nettovaroihin kuuluvaan rahastoon taseesta poistamiseen (tai arvon alentumiseen) asti.</w:t>
      </w:r>
    </w:p>
    <w:p>
      <w:pPr>
        <w:pStyle w:val="HEADER5"/>
        <w:rPr>
          <w:noProof/>
        </w:rPr>
      </w:pPr>
      <w:r>
        <w:rPr>
          <w:noProof/>
        </w:rPr>
        <w:t>Omat varat</w:t>
      </w:r>
    </w:p>
    <w:p>
      <w:pPr>
        <w:pStyle w:val="DGTextstand-alone"/>
      </w:pPr>
      <w:r>
        <w:t>Tärkein EU:n toimielinten ja elinten rahoituksen lähde. Omat varat määritellään niistä annetussa asetuksessa (EU, Euratom) N:o 609/2014. Omat varat muodostuvat bruttokansantuloon (BKTL) perustuvista varoista, arvonlisäveroon (alv) perustuvista varoista ja perinteisistä omista varoista.</w:t>
      </w:r>
    </w:p>
    <w:p>
      <w:pPr>
        <w:pStyle w:val="HEADER5"/>
        <w:rPr>
          <w:noProof/>
        </w:rPr>
      </w:pPr>
      <w:r>
        <w:rPr>
          <w:noProof/>
        </w:rPr>
        <w:t>Perinteiset omat varat</w:t>
      </w:r>
    </w:p>
    <w:p>
      <w:pPr>
        <w:pStyle w:val="DGTextstand-alone"/>
      </w:pPr>
      <w:r>
        <w:t>Omiin varoihin kuuluvia EU:n tuloja, joilla rahoitetaan EU:n toimia. Perinteiset omat varat määritellään omista varoista annetussa asetuksessa (EU, Euratom) N:o 609/2014. Ne muodostuvat tullimaksuista ja sokerimaksuista.</w:t>
      </w:r>
    </w:p>
    <w:p>
      <w:pPr>
        <w:pStyle w:val="HEADER5"/>
        <w:rPr>
          <w:noProof/>
        </w:rPr>
      </w:pPr>
      <w:r>
        <w:rPr>
          <w:noProof/>
        </w:rPr>
        <w:t>Peruutetut määrärahat</w:t>
      </w:r>
    </w:p>
    <w:p>
      <w:pPr>
        <w:pStyle w:val="DGTextstand-alone"/>
      </w:pPr>
      <w:r>
        <w:t>Käyttämättömät määrärahat, jotka eivät enää ole käytettävissä.</w:t>
      </w:r>
    </w:p>
    <w:p>
      <w:pPr>
        <w:pStyle w:val="HEADER5"/>
        <w:rPr>
          <w:noProof/>
        </w:rPr>
      </w:pPr>
      <w:r>
        <w:rPr>
          <w:noProof/>
        </w:rPr>
        <w:t>Rahoitusoikaisu</w:t>
      </w:r>
    </w:p>
    <w:p>
      <w:pPr>
        <w:pStyle w:val="DGTextstand-alone"/>
      </w:pPr>
      <w:r>
        <w:t>Rahoitusoikaisujen tarkoituksena on suojata EU:n talousarviota virheellisiltä tai sääntöjenvastaisilta menoilta. Kun varoja hallinnoidaan yhteistyössä jäsenvaltioiden kanssa, virheellisten määrien takaisin periminen on ensi sijassa jäsenvaltioiden tehtävä.</w:t>
      </w:r>
    </w:p>
    <w:p>
      <w:pPr>
        <w:pStyle w:val="DGTextstand-alone"/>
      </w:pPr>
      <w:r>
        <w:t>Jos rahoitusoikaisu on ”vahvistettu”, jäsenvaltiot ovat hyväksyneet sen. Jos rahoitusoikaisu on ”päätetty”, se on hyväksytty komission päätöksellä. Päätetty rahoitusoikaisu on aina nettomääräinen, mikä tarkoittaa sitä, että jäsenvaltion on palautettava sääntöjenvastaisesti maksetut varat EU:n talousarvioon. Tällainen rahoitusoikaisu johtaa näin aina kyseiselle jäsenvaltiolle osoitettujen määrärahojen lopulliseen vähentämiseen. Vahvistetut ja päätetyt rahoitusoikaisut on tässä tilinpäätöksessä ilmoitettu yhtenä eränä.</w:t>
      </w:r>
    </w:p>
    <w:p>
      <w:pPr>
        <w:pStyle w:val="DGTextstand-alone"/>
      </w:pPr>
      <w:r>
        <w:t>Jos rahoitusoikaisu on ”toteutettu”, sillä on korjattu havaittu sääntöjenvastaisuus.</w:t>
      </w:r>
    </w:p>
    <w:p>
      <w:pPr>
        <w:pStyle w:val="HEADER5"/>
        <w:rPr>
          <w:noProof/>
        </w:rPr>
      </w:pPr>
      <w:r>
        <w:rPr>
          <w:noProof/>
        </w:rPr>
        <w:t>Raukeavat määrärahat</w:t>
      </w:r>
    </w:p>
    <w:p>
      <w:pPr>
        <w:pStyle w:val="DGTextstand-alone"/>
      </w:pPr>
      <w:r>
        <w:t xml:space="preserve">Varainhoitovuoden lopussa peruutettavat käyttämättä jääneet määrärahat. Raukeamisella tarkoitetaan tilannetta, jossa määrärahoihin liittyvä valtuutus menojen ja/tai velvoitteiden syntymiseen peruutetaan osittain tai kokonaan. Ainoastaan yhteisyritysten osalta käyttämättä jääneet määrärahat voidaan niiden varainhoitosääntöjen mukaan kirjata ennakkoarvioon tuloista ja menoista kolmen seuraavan varainhoitovuoden ajan (niin kutsuttu N+3 </w:t>
      </w:r>
      <w:r>
        <w:noBreakHyphen/>
        <w:t>sääntö). Yhteisyritysten käyttämättä jääneet määrärahat voidaan siis ottaa uudelleen käyttöön varainhoitovuoteen N+3 saakka.</w:t>
      </w:r>
    </w:p>
    <w:p>
      <w:pPr>
        <w:pStyle w:val="HEADER5"/>
        <w:rPr>
          <w:noProof/>
        </w:rPr>
      </w:pPr>
      <w:r>
        <w:rPr>
          <w:noProof/>
        </w:rPr>
        <w:t>Siirto (budjettikohtien välillä)</w:t>
      </w:r>
    </w:p>
    <w:p>
      <w:pPr>
        <w:pStyle w:val="DGTextstand-alone"/>
      </w:pPr>
      <w:r>
        <w:t>Budjettikohtien välisessä siirrossa määrärahoja siirretään varainhoitovuoden aikana budjettikohdasta toiseen. Siirto muodostaa sen vuoksi poikkeuksen erittelyperiaatteesta. Siirrot on kuitenkin nimenomaisesti hyväksytty Euroopan unionin toiminnasta tehdyssä sopimuksessa varainhoitoasetuksessa säädetyin edellytyksin. Varainhoitoasetuksessa erotetaan erityyppisiä siirtoja sen mukaan, tehdäänkö siirto talousarvion osastojen, lukujen, momenttien vai otsakkeiden välillä, ja millä tasolla siirto on hyväksyttävä.</w:t>
      </w:r>
    </w:p>
    <w:p>
      <w:pPr>
        <w:pStyle w:val="HEADER5"/>
        <w:rPr>
          <w:noProof/>
        </w:rPr>
      </w:pPr>
      <w:r>
        <w:rPr>
          <w:noProof/>
        </w:rPr>
        <w:t>Sitoumuksen purkaminen</w:t>
      </w:r>
    </w:p>
    <w:p>
      <w:pPr>
        <w:pStyle w:val="DGTextstand-alone"/>
      </w:pPr>
      <w:r>
        <w:t>Toimenpide, jolla peruutetaan aikaisempi sitoumus (tai osa siitä).</w:t>
      </w:r>
    </w:p>
    <w:p>
      <w:pPr>
        <w:pStyle w:val="HEADER5"/>
        <w:rPr>
          <w:noProof/>
        </w:rPr>
      </w:pPr>
      <w:r>
        <w:rPr>
          <w:noProof/>
        </w:rPr>
        <w:t>Sitoumus</w:t>
      </w:r>
    </w:p>
    <w:p>
      <w:pPr>
        <w:pStyle w:val="DGTextstand-alone"/>
      </w:pPr>
      <w:r>
        <w:t>Oikeudellinen sitoumus siitä, että rahoitusta annetaan tiettyjen edellytysten täyttyessä. EU sitoutuu kattamaan osuutensa EU-rahoitteisen hankkeen kustannuksista. Nykyiset sitoumukset ovat tulevia maksuja. Nykyiset maksut ovat aikaisempia sitoumuksia.</w:t>
      </w:r>
    </w:p>
    <w:p>
      <w:pPr>
        <w:pStyle w:val="HEADER5"/>
        <w:rPr>
          <w:noProof/>
        </w:rPr>
      </w:pPr>
      <w:r>
        <w:rPr>
          <w:noProof/>
        </w:rPr>
        <w:t>Suora hallinnointi</w:t>
      </w:r>
    </w:p>
    <w:p>
      <w:pPr>
        <w:pStyle w:val="DGTextstand-alone"/>
      </w:pPr>
      <w:r>
        <w:t>Talousarvion toteuttamistapa. Suorassa hallinnoinnissa komission yksiköt, toimeenpanovirastot tai erityisrahastot toteuttavat talousarviota suoraan.</w:t>
      </w:r>
    </w:p>
    <w:p>
      <w:pPr>
        <w:pStyle w:val="HEADER5"/>
        <w:rPr>
          <w:noProof/>
        </w:rPr>
      </w:pPr>
      <w:r>
        <w:rPr>
          <w:noProof/>
        </w:rPr>
        <w:t>Sääntöjenvastaisuus</w:t>
      </w:r>
    </w:p>
    <w:p>
      <w:pPr>
        <w:pStyle w:val="DGTextstand-alone"/>
      </w:pPr>
      <w:r>
        <w:t>Sääntöjenvastaisuus on EU:n sääntöjen vastainen toimi, jolla mahdollisesti on negatiivinen vaikutus EU:n taloudellisiin etuihin ja joka voi olla seurausta myös maksupyynnön esittäneen tuensaajan tai maksujen suorittamisesta vastaavan viranomaisen tahattomasta virheestä. Jos sääntöjenvastaisuus on tahallinen, kyseessä on petos.</w:t>
      </w:r>
    </w:p>
    <w:p>
      <w:pPr>
        <w:pStyle w:val="HEADER5"/>
        <w:rPr>
          <w:noProof/>
        </w:rPr>
      </w:pPr>
      <w:r>
        <w:rPr>
          <w:noProof/>
        </w:rPr>
        <w:t>Vakuutusmatemaattiset oletukset</w:t>
      </w:r>
    </w:p>
    <w:p>
      <w:pPr>
        <w:pStyle w:val="DGTextstand-alone"/>
      </w:pPr>
      <w:r>
        <w:t>Oletukset, joita käytetään laskettaessa eläkevastuuseen vaikuttavien tulevien tapahtumien kustannuksia.</w:t>
      </w:r>
    </w:p>
    <w:p>
      <w:pPr>
        <w:pStyle w:val="HEADER5"/>
        <w:rPr>
          <w:noProof/>
        </w:rPr>
      </w:pPr>
      <w:r>
        <w:rPr>
          <w:noProof/>
        </w:rPr>
        <w:t>Vakuutusmatemaattiset voitot ja tappiot</w:t>
      </w:r>
    </w:p>
    <w:p>
      <w:pPr>
        <w:pStyle w:val="DGTextstand-alone"/>
      </w:pPr>
      <w:r>
        <w:t>Vakuutusmatemaattisten ali- ja ylijäämien muutokset etuuspohjaisessa järjestelyssä. Ne syntyvät aiempien vakuutusmatemaattisten oletusten ja todellisten toteutumien välisten erojen sekä vakuutusmatemaattisissa oletuksissa tapahtuneiden muutosten seurauksena.</w:t>
      </w:r>
    </w:p>
    <w:p>
      <w:pPr>
        <w:pStyle w:val="HEADER5"/>
        <w:rPr>
          <w:noProof/>
        </w:rPr>
      </w:pPr>
      <w:r>
        <w:rPr>
          <w:noProof/>
        </w:rPr>
        <w:t>Vuotuinen toimintakertomus</w:t>
      </w:r>
    </w:p>
    <w:p>
      <w:pPr>
        <w:pStyle w:val="DGTextstand-alone"/>
      </w:pPr>
      <w:r>
        <w:t>Vuotuisissa toimintakertomuksissa käsitellään muun muassa toimien tuloksia suhteessa niiden tavoitteisiin, toimiin liittyviä riskejä sekä sisäisen valvonnan rakennetta. Valtuutetun tulojen ja menojen hyväksyjän on komission tapauksessa varainhoitovuodesta 2001 ja kaikkien muiden EU:n toimielinten tapauksessa varainhoitovuodesta 2003 lähtien täytynyt antaa tehtäviensä hoitamisesta toimielimelleen vuotuinen toimintakertomus yhdessä varainhoitoa ja hallinnointia koskevien tietojen kanssa.</w:t>
      </w:r>
    </w:p>
    <w:p>
      <w:pPr>
        <w:pStyle w:val="HEADER5"/>
        <w:rPr>
          <w:noProof/>
        </w:rPr>
      </w:pPr>
      <w:r>
        <w:rPr>
          <w:noProof/>
        </w:rPr>
        <w:t>Välillinen hallinnointi</w:t>
      </w:r>
    </w:p>
    <w:p>
      <w:pPr>
        <w:pStyle w:val="DGTextstand-alone"/>
      </w:pPr>
      <w:r>
        <w:t>Talousarvion toteuttamistapa. Välillisessä hallinnoinnissa komissio siirtää tietyt talousarvion toteuttamiseen liittyvät tehtävät unionin tai kansallisen lainsäädännön mukaisille elimille.</w:t>
      </w:r>
    </w:p>
    <w:bookmarkEnd w:id="376"/>
    <w:p>
      <w:pPr>
        <w:pStyle w:val="DGTextstand-alone"/>
        <w:sectPr>
          <w:headerReference w:type="even" r:id="rId539"/>
          <w:headerReference w:type="default" r:id="rId540"/>
          <w:footerReference w:type="even" r:id="rId541"/>
          <w:footerReference w:type="default" r:id="rId542"/>
          <w:headerReference w:type="first" r:id="rId543"/>
          <w:footerReference w:type="first" r:id="rId544"/>
          <w:pgSz w:w="11906" w:h="16838"/>
          <w:pgMar w:top="1134" w:right="1134" w:bottom="1134" w:left="1134" w:header="709" w:footer="709" w:gutter="0"/>
          <w:cols w:space="708"/>
          <w:docGrid w:linePitch="360"/>
        </w:sectPr>
      </w:pPr>
    </w:p>
    <w:p>
      <w:pPr>
        <w:pStyle w:val="FIRSTCHAPTERPAGE"/>
        <w:rPr>
          <w:noProof/>
        </w:rPr>
      </w:pPr>
      <w:bookmarkStart w:id="377" w:name="_Toc11938937"/>
      <w:bookmarkStart w:id="378" w:name="_Toc17883119"/>
      <w:bookmarkStart w:id="379" w:name="_DMBM_14881"/>
      <w:r>
        <w:rPr>
          <w:noProof/>
        </w:rPr>
        <w:t>LYHENTEET</w:t>
      </w:r>
      <w:bookmarkEnd w:id="377"/>
      <w:bookmarkEnd w:id="378"/>
      <w:r>
        <w:rPr>
          <w:noProof/>
        </w:rPr>
        <w:t xml:space="preserve"> </w:t>
      </w:r>
    </w:p>
    <w:tbl>
      <w:tblPr>
        <w:tblStyle w:val="TableGrid"/>
        <w:tblW w:w="0" w:type="auto"/>
        <w:tblBorders>
          <w:top w:val="none" w:sz="0" w:space="0" w:color="auto"/>
          <w:left w:val="none" w:sz="0" w:space="0" w:color="auto"/>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26"/>
        <w:gridCol w:w="8328"/>
      </w:tblGrid>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AAR</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Vuotuinen toimintakertomus</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ABB</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Toimintoperusteinen budjetointi</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ABM</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Toimintojohtaminen</w:t>
            </w:r>
          </w:p>
        </w:tc>
      </w:tr>
      <w:tr>
        <w:tc>
          <w:tcPr>
            <w:tcW w:w="1526" w:type="dxa"/>
          </w:tcPr>
          <w:p>
            <w:pPr>
              <w:pStyle w:val="DGTextstand-alone"/>
              <w:spacing w:before="0"/>
            </w:pPr>
            <w:r>
              <w:rPr>
                <w:color w:val="016794"/>
              </w:rPr>
              <w:t>ACER</w:t>
            </w:r>
            <w:r>
              <w:t xml:space="preserve"> </w:t>
            </w:r>
          </w:p>
        </w:tc>
        <w:tc>
          <w:tcPr>
            <w:tcW w:w="8328" w:type="dxa"/>
          </w:tcPr>
          <w:p>
            <w:pPr>
              <w:pStyle w:val="DGTextstand-alone"/>
              <w:spacing w:before="0"/>
            </w:pPr>
            <w:r>
              <w:t xml:space="preserve">Energia-alan sääntelyviranomaisten yhteistyövirasto  </w:t>
            </w:r>
          </w:p>
        </w:tc>
      </w:tr>
      <w:tr>
        <w:tc>
          <w:tcPr>
            <w:tcW w:w="1526" w:type="dxa"/>
          </w:tcPr>
          <w:p>
            <w:pPr>
              <w:pStyle w:val="DGTextstand-alone"/>
              <w:spacing w:before="0"/>
            </w:pPr>
            <w:r>
              <w:rPr>
                <w:color w:val="016794"/>
              </w:rPr>
              <w:t>AMIF</w:t>
            </w:r>
            <w:r>
              <w:t xml:space="preserve"> </w:t>
            </w:r>
          </w:p>
        </w:tc>
        <w:tc>
          <w:tcPr>
            <w:tcW w:w="8328" w:type="dxa"/>
          </w:tcPr>
          <w:p>
            <w:pPr>
              <w:pStyle w:val="DGTextstand-alone"/>
              <w:spacing w:before="0"/>
            </w:pPr>
            <w:r>
              <w:t>Turvapaikka-, maahanmuutto- ja kotouttamisrahasto</w:t>
            </w:r>
          </w:p>
        </w:tc>
      </w:tr>
      <w:tr>
        <w:tc>
          <w:tcPr>
            <w:tcW w:w="1526" w:type="dxa"/>
          </w:tcPr>
          <w:p>
            <w:pPr>
              <w:pStyle w:val="DGTextstand-alone"/>
              <w:spacing w:before="0"/>
            </w:pPr>
            <w:r>
              <w:rPr>
                <w:color w:val="016794"/>
              </w:rPr>
              <w:t>AOD</w:t>
            </w:r>
            <w:r>
              <w:t xml:space="preserve"> </w:t>
            </w:r>
          </w:p>
        </w:tc>
        <w:tc>
          <w:tcPr>
            <w:tcW w:w="8328" w:type="dxa"/>
          </w:tcPr>
          <w:p>
            <w:pPr>
              <w:pStyle w:val="DGTextstand-alone"/>
              <w:spacing w:before="0"/>
            </w:pPr>
            <w:r>
              <w:t>Valtuutettu tulojen ja menojen hyväksyjä</w:t>
            </w:r>
          </w:p>
        </w:tc>
      </w:tr>
      <w:tr>
        <w:tc>
          <w:tcPr>
            <w:tcW w:w="1526" w:type="dxa"/>
          </w:tcPr>
          <w:p>
            <w:pPr>
              <w:pStyle w:val="DGTextstand-alone"/>
              <w:spacing w:before="0"/>
              <w:rPr>
                <w:rFonts w:cs="Calibri"/>
              </w:rPr>
            </w:pPr>
            <w:r>
              <w:rPr>
                <w:color w:val="016794"/>
              </w:rPr>
              <w:t>ARTEMIS</w:t>
            </w:r>
            <w:r>
              <w:t xml:space="preserve"> </w:t>
            </w:r>
          </w:p>
        </w:tc>
        <w:tc>
          <w:tcPr>
            <w:tcW w:w="8328" w:type="dxa"/>
          </w:tcPr>
          <w:p>
            <w:pPr>
              <w:pStyle w:val="DGTextstand-alone"/>
              <w:spacing w:before="0"/>
            </w:pPr>
            <w:r>
              <w:t>Sulautettuja tietotekniikkajärjestelmiä koskeva yhteinen teknologia-aloite</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ATM</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Ilmaliikenteen hallinta (Air Traffic Management)</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BBI</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Biopohjaisten teollisuudenalojen yhteisyritys</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BEREC</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 xml:space="preserve">Euroopan sähköisen viestinnän sääntelyviranomaisten yhteistyöelin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BIC</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Biopohjaisten teollisuudenalojen yhteenliittymä</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BIS</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Kansainvälinen järjestelypankki</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BOP</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Maksutaselainat</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BUFI-rahasto</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Talousarvion sakkorahasto</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YMP</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Yhteinen maatalouspolitiikka</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CCS LGF</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Kulttuurialan ja luovien alojen lainantakausväline</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CEDEFOP</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 xml:space="preserve">Euroopan ammatillisen koulutuksen kehittämiskeskus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CEF</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 xml:space="preserve">Verkkojen Eurooppa </w:t>
            </w:r>
            <w:r>
              <w:noBreakHyphen/>
              <w:t>väline</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CEF DI</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 xml:space="preserve">Verkkojen Eurooppa </w:t>
            </w:r>
            <w:r>
              <w:noBreakHyphen/>
              <w:t>välineen vieraan pääoman ehtoinen rahoitusväline</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CEPOL</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Euroopan unionin lainvalvontakoulutusvirasto</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CF</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Koheesiorahasto</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CHAFEA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 xml:space="preserve">Kuluttaja-, terveys-, maatalous- ja elintarvikeasioiden toimeenpanovirasto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CIP</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Kilpailukyvyn ja innovoinnin puiteohjelma</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COM</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Komissio</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COSME-ohjelma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Yritysten kilpailukykyä ja pieniä ja keskisuuria yrityksiä koskeva ohjelma</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COSO</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lang w:val="en-US"/>
              </w:rPr>
            </w:pPr>
            <w:r>
              <w:rPr>
                <w:lang w:val="en-US"/>
              </w:rPr>
              <w:t>Committee of Sponsoring Organizations of the Treadway Commission</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CPR</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Yhteisistä säännöksistä annettu asetus</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CPVO</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Yhteisön kasvilajikevirasto</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D&amp;WM</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Ydinlaitosten käytöstäpoisto ja ydinjätehuolto</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EACEA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Koulutus-, audiovisuaali- ja kulttuurialan toimeenpanovirasto</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EAFRD</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Euroopan maaseudun kehittämisen maatalousrahasto</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EAGF</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Maataloustukirahasto</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EMOTR</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Euroopan maatalouden ohjaus- ja tukirahasto</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EASA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Euroopan lentoturvallisuusvirasto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EaSI</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Työllisyys ja sosiaalinen innovointi</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EASME</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Pienistä ja keskisuurista yrityksistä vastaava toimeenpanovirasto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EASO</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Euroopan turvapaikka-asioiden tukivirasto</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EPV</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Euroopan pankkiviranomainen</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EBRD</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Euroopan jälleenrakennus- ja kehityspankki</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ETT</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Euroopan tilintarkastustuomioistuin</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 xml:space="preserve">EKP </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Euroopan keskuspankki</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ECDC</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Euroopan tautienehkäisy- ja -valvontakeskus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ECHA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Euroopan kemikaalivirasto</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ECOFIN</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Talous- ja rahoitusasioiden neuvosto</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EHTY</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Euroopan hiili- ja teräsyhteisö</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ECSEL-yhteisyritys</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Elektroniset komponentit ja järjestelmät Euroopan johtoasemaa varten </w:t>
            </w:r>
            <w:r>
              <w:noBreakHyphen/>
              <w:t>yhteisyritys</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EKR</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Euroopan kehitysrahasto</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EDIF</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Länsi-Balkanin yrityskehitys- ja innovointiväline</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ETA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Euroopan talousalue</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EYK</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Euroopan ympäristökeskus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EUH</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Euroopan ulkosuhdehallinto</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EFCA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Euroopan kalastuksenvalvontavirasto  </w:t>
            </w:r>
          </w:p>
        </w:tc>
      </w:tr>
      <w:tr>
        <w:tc>
          <w:tcPr>
            <w:tcW w:w="1526" w:type="dxa"/>
          </w:tcPr>
          <w:p>
            <w:pPr>
              <w:pStyle w:val="DGTextstand-alone"/>
              <w:spacing w:before="0"/>
            </w:pPr>
            <w:r>
              <w:rPr>
                <w:color w:val="016794"/>
              </w:rPr>
              <w:t>EFF</w:t>
            </w:r>
          </w:p>
        </w:tc>
        <w:tc>
          <w:tcPr>
            <w:tcW w:w="8328" w:type="dxa"/>
          </w:tcPr>
          <w:p>
            <w:pPr>
              <w:pStyle w:val="DGTextstand-alone"/>
              <w:spacing w:before="0"/>
            </w:pPr>
            <w:r>
              <w:t>Euroopan kalatalousrahasto</w:t>
            </w:r>
          </w:p>
        </w:tc>
      </w:tr>
      <w:tr>
        <w:tc>
          <w:tcPr>
            <w:tcW w:w="1526" w:type="dxa"/>
          </w:tcPr>
          <w:p>
            <w:pPr>
              <w:pStyle w:val="DGTextstand-alone"/>
              <w:spacing w:before="0"/>
            </w:pPr>
            <w:r>
              <w:rPr>
                <w:color w:val="016794"/>
              </w:rPr>
              <w:t>EFSA</w:t>
            </w:r>
            <w:r>
              <w:t xml:space="preserve"> </w:t>
            </w:r>
          </w:p>
        </w:tc>
        <w:tc>
          <w:tcPr>
            <w:tcW w:w="8328" w:type="dxa"/>
          </w:tcPr>
          <w:p>
            <w:pPr>
              <w:pStyle w:val="DGTextstand-alone"/>
              <w:spacing w:before="0"/>
            </w:pPr>
            <w:r>
              <w:t xml:space="preserve">Euroopan elintarviketurvallisuusviranomainen  </w:t>
            </w:r>
          </w:p>
        </w:tc>
      </w:tr>
      <w:tr>
        <w:tc>
          <w:tcPr>
            <w:tcW w:w="1526" w:type="dxa"/>
          </w:tcPr>
          <w:p>
            <w:pPr>
              <w:pStyle w:val="DGTextstand-alone"/>
              <w:spacing w:before="0"/>
            </w:pPr>
            <w:r>
              <w:rPr>
                <w:color w:val="016794"/>
              </w:rPr>
              <w:t>EKKR</w:t>
            </w:r>
          </w:p>
        </w:tc>
        <w:tc>
          <w:tcPr>
            <w:tcW w:w="8328" w:type="dxa"/>
          </w:tcPr>
          <w:p>
            <w:pPr>
              <w:pStyle w:val="DGTextstand-alone"/>
              <w:spacing w:before="0"/>
            </w:pPr>
            <w:r>
              <w:t>Euroopan kestävän kehityksen rahasto</w:t>
            </w:r>
          </w:p>
        </w:tc>
      </w:tr>
      <w:tr>
        <w:tc>
          <w:tcPr>
            <w:tcW w:w="1526" w:type="dxa"/>
          </w:tcPr>
          <w:p>
            <w:pPr>
              <w:pStyle w:val="DGTextstand-alone"/>
              <w:spacing w:before="0"/>
            </w:pPr>
            <w:r>
              <w:rPr>
                <w:color w:val="016794"/>
              </w:rPr>
              <w:t>EFSE</w:t>
            </w:r>
            <w:r>
              <w:t xml:space="preserve"> </w:t>
            </w:r>
          </w:p>
        </w:tc>
        <w:tc>
          <w:tcPr>
            <w:tcW w:w="8328" w:type="dxa"/>
          </w:tcPr>
          <w:p>
            <w:pPr>
              <w:pStyle w:val="DGTextstand-alone"/>
              <w:spacing w:before="0"/>
            </w:pPr>
            <w:r>
              <w:t>Euroopan Kaakkois-Eurooppa-rahasto</w:t>
            </w:r>
          </w:p>
        </w:tc>
      </w:tr>
      <w:tr>
        <w:tc>
          <w:tcPr>
            <w:tcW w:w="1526" w:type="dxa"/>
          </w:tcPr>
          <w:p>
            <w:pPr>
              <w:pStyle w:val="DGTextstand-alone"/>
              <w:spacing w:before="0"/>
            </w:pPr>
            <w:r>
              <w:rPr>
                <w:color w:val="016794"/>
              </w:rPr>
              <w:t>ERVV</w:t>
            </w:r>
            <w:r>
              <w:t xml:space="preserve"> </w:t>
            </w:r>
          </w:p>
        </w:tc>
        <w:tc>
          <w:tcPr>
            <w:tcW w:w="8328" w:type="dxa"/>
          </w:tcPr>
          <w:p>
            <w:pPr>
              <w:pStyle w:val="DGTextstand-alone"/>
              <w:spacing w:before="0"/>
            </w:pPr>
            <w:r>
              <w:t>Euroopan rahoitusvakausväline</w:t>
            </w:r>
          </w:p>
        </w:tc>
      </w:tr>
      <w:tr>
        <w:tc>
          <w:tcPr>
            <w:tcW w:w="1526" w:type="dxa"/>
          </w:tcPr>
          <w:p>
            <w:pPr>
              <w:pStyle w:val="DGTextstand-alone"/>
              <w:spacing w:before="0"/>
            </w:pPr>
            <w:r>
              <w:rPr>
                <w:color w:val="016794"/>
              </w:rPr>
              <w:t>ESIR</w:t>
            </w:r>
          </w:p>
        </w:tc>
        <w:tc>
          <w:tcPr>
            <w:tcW w:w="8328" w:type="dxa"/>
          </w:tcPr>
          <w:p>
            <w:pPr>
              <w:pStyle w:val="DGTextstand-alone"/>
              <w:spacing w:before="0"/>
            </w:pPr>
            <w:r>
              <w:t>Euroopan strategisten investointien rahasto</w:t>
            </w:r>
          </w:p>
        </w:tc>
      </w:tr>
      <w:tr>
        <w:tc>
          <w:tcPr>
            <w:tcW w:w="1526" w:type="dxa"/>
          </w:tcPr>
          <w:p>
            <w:pPr>
              <w:pStyle w:val="DGTextstand-alone"/>
              <w:spacing w:before="0"/>
            </w:pPr>
            <w:r>
              <w:rPr>
                <w:color w:val="016794"/>
              </w:rPr>
              <w:t>ERVM</w:t>
            </w:r>
          </w:p>
        </w:tc>
        <w:tc>
          <w:tcPr>
            <w:tcW w:w="8328" w:type="dxa"/>
          </w:tcPr>
          <w:p>
            <w:pPr>
              <w:pStyle w:val="DGTextstand-alone"/>
              <w:spacing w:before="0"/>
            </w:pPr>
            <w:r>
              <w:t>Euroopan rahoituksenvakautusmekanismi</w:t>
            </w:r>
          </w:p>
        </w:tc>
      </w:tr>
      <w:tr>
        <w:tc>
          <w:tcPr>
            <w:tcW w:w="1526" w:type="dxa"/>
          </w:tcPr>
          <w:p>
            <w:pPr>
              <w:pStyle w:val="DGTextstand-alone"/>
              <w:spacing w:before="0"/>
            </w:pPr>
            <w:r>
              <w:rPr>
                <w:color w:val="016794"/>
              </w:rPr>
              <w:t>EFTA</w:t>
            </w:r>
            <w:r>
              <w:t xml:space="preserve"> </w:t>
            </w:r>
          </w:p>
        </w:tc>
        <w:tc>
          <w:tcPr>
            <w:tcW w:w="8328" w:type="dxa"/>
          </w:tcPr>
          <w:p>
            <w:pPr>
              <w:pStyle w:val="DGTextstand-alone"/>
              <w:spacing w:before="0"/>
            </w:pPr>
            <w:r>
              <w:t>Euroopan vapaakauppaliitto</w:t>
            </w:r>
          </w:p>
        </w:tc>
      </w:tr>
      <w:tr>
        <w:tc>
          <w:tcPr>
            <w:tcW w:w="1526" w:type="dxa"/>
          </w:tcPr>
          <w:p>
            <w:pPr>
              <w:pStyle w:val="DGTextstand-alone"/>
              <w:spacing w:before="0"/>
            </w:pPr>
            <w:r>
              <w:rPr>
                <w:color w:val="016794"/>
              </w:rPr>
              <w:t>EGNOS</w:t>
            </w:r>
            <w:r>
              <w:t xml:space="preserve"> </w:t>
            </w:r>
          </w:p>
        </w:tc>
        <w:tc>
          <w:tcPr>
            <w:tcW w:w="8328" w:type="dxa"/>
          </w:tcPr>
          <w:p>
            <w:pPr>
              <w:pStyle w:val="DGTextstand-alone"/>
              <w:spacing w:before="0"/>
            </w:pPr>
            <w:r>
              <w:t>Euroopan geostationaarinen navigointilisäjärjestelmä</w:t>
            </w:r>
          </w:p>
        </w:tc>
      </w:tr>
      <w:tr>
        <w:tc>
          <w:tcPr>
            <w:tcW w:w="1526" w:type="dxa"/>
          </w:tcPr>
          <w:p>
            <w:pPr>
              <w:pStyle w:val="DGTextstand-alone"/>
              <w:spacing w:before="0"/>
            </w:pPr>
            <w:r>
              <w:rPr>
                <w:color w:val="016794"/>
              </w:rPr>
              <w:t>EIP</w:t>
            </w:r>
            <w:r>
              <w:t xml:space="preserve"> </w:t>
            </w:r>
          </w:p>
        </w:tc>
        <w:tc>
          <w:tcPr>
            <w:tcW w:w="8328" w:type="dxa"/>
          </w:tcPr>
          <w:p>
            <w:pPr>
              <w:pStyle w:val="DGTextstand-alone"/>
              <w:spacing w:before="0"/>
            </w:pPr>
            <w:r>
              <w:t>Euroopan investointipankki</w:t>
            </w:r>
          </w:p>
        </w:tc>
      </w:tr>
      <w:tr>
        <w:tc>
          <w:tcPr>
            <w:tcW w:w="1526" w:type="dxa"/>
          </w:tcPr>
          <w:p>
            <w:pPr>
              <w:pStyle w:val="DGTextstand-alone"/>
              <w:spacing w:before="0"/>
            </w:pPr>
            <w:r>
              <w:rPr>
                <w:color w:val="016794"/>
              </w:rPr>
              <w:t>EIR</w:t>
            </w:r>
            <w:r>
              <w:t xml:space="preserve"> </w:t>
            </w:r>
          </w:p>
        </w:tc>
        <w:tc>
          <w:tcPr>
            <w:tcW w:w="8328" w:type="dxa"/>
          </w:tcPr>
          <w:p>
            <w:pPr>
              <w:pStyle w:val="DGTextstand-alone"/>
              <w:spacing w:before="0"/>
            </w:pPr>
            <w:r>
              <w:t>Euroopan investointirahasto</w:t>
            </w:r>
          </w:p>
        </w:tc>
      </w:tr>
      <w:tr>
        <w:tc>
          <w:tcPr>
            <w:tcW w:w="1526" w:type="dxa"/>
          </w:tcPr>
          <w:p>
            <w:pPr>
              <w:pStyle w:val="DGTextstand-alone"/>
              <w:spacing w:before="0"/>
            </w:pPr>
            <w:r>
              <w:rPr>
                <w:color w:val="016794"/>
              </w:rPr>
              <w:t>EIGE</w:t>
            </w:r>
            <w:r>
              <w:t xml:space="preserve"> </w:t>
            </w:r>
          </w:p>
        </w:tc>
        <w:tc>
          <w:tcPr>
            <w:tcW w:w="8328" w:type="dxa"/>
          </w:tcPr>
          <w:p>
            <w:pPr>
              <w:pStyle w:val="DGTextstand-alone"/>
              <w:spacing w:before="0"/>
            </w:pPr>
            <w:r>
              <w:t xml:space="preserve">Euroopan tasa-arvoinstituutti  </w:t>
            </w:r>
          </w:p>
        </w:tc>
      </w:tr>
      <w:tr>
        <w:tc>
          <w:tcPr>
            <w:tcW w:w="1526" w:type="dxa"/>
          </w:tcPr>
          <w:p>
            <w:pPr>
              <w:pStyle w:val="DGTextstand-alone"/>
              <w:spacing w:before="0"/>
            </w:pPr>
            <w:r>
              <w:rPr>
                <w:color w:val="016794"/>
              </w:rPr>
              <w:t>EIOPA</w:t>
            </w:r>
            <w:r>
              <w:t xml:space="preserve"> </w:t>
            </w:r>
          </w:p>
        </w:tc>
        <w:tc>
          <w:tcPr>
            <w:tcW w:w="8328" w:type="dxa"/>
          </w:tcPr>
          <w:p>
            <w:pPr>
              <w:pStyle w:val="DGTextstand-alone"/>
              <w:spacing w:before="0"/>
            </w:pPr>
            <w:r>
              <w:t xml:space="preserve">Euroopan vakuutus- ja lisäeläkeviranomainen  </w:t>
            </w:r>
          </w:p>
        </w:tc>
      </w:tr>
      <w:tr>
        <w:tc>
          <w:tcPr>
            <w:tcW w:w="1526" w:type="dxa"/>
          </w:tcPr>
          <w:p>
            <w:pPr>
              <w:pStyle w:val="DGTextstand-alone"/>
              <w:spacing w:before="0"/>
            </w:pPr>
            <w:r>
              <w:rPr>
                <w:color w:val="016794"/>
              </w:rPr>
              <w:t>EIT</w:t>
            </w:r>
            <w:r>
              <w:t xml:space="preserve"> </w:t>
            </w:r>
          </w:p>
        </w:tc>
        <w:tc>
          <w:tcPr>
            <w:tcW w:w="8328" w:type="dxa"/>
          </w:tcPr>
          <w:p>
            <w:pPr>
              <w:pStyle w:val="DGTextstand-alone"/>
              <w:spacing w:before="0"/>
            </w:pPr>
            <w:r>
              <w:t xml:space="preserve">Euroopan innovaatio- ja teknologiainstituutti  </w:t>
            </w:r>
          </w:p>
        </w:tc>
      </w:tr>
      <w:tr>
        <w:tc>
          <w:tcPr>
            <w:tcW w:w="1526" w:type="dxa"/>
          </w:tcPr>
          <w:p>
            <w:pPr>
              <w:pStyle w:val="DGTextstand-alone"/>
              <w:spacing w:before="0"/>
            </w:pPr>
            <w:r>
              <w:rPr>
                <w:color w:val="016794"/>
              </w:rPr>
              <w:t>ElectriFI</w:t>
            </w:r>
          </w:p>
        </w:tc>
        <w:tc>
          <w:tcPr>
            <w:tcW w:w="8328" w:type="dxa"/>
          </w:tcPr>
          <w:p>
            <w:pPr>
              <w:pStyle w:val="DGTextstand-alone"/>
              <w:spacing w:before="0"/>
              <w:rPr>
                <w:b/>
              </w:rPr>
            </w:pPr>
            <w:r>
              <w:t>Maaseudun sähköistämisen</w:t>
            </w:r>
            <w:r>
              <w:rPr>
                <w:rStyle w:val="st1"/>
                <w:b/>
              </w:rPr>
              <w:t xml:space="preserve"> </w:t>
            </w:r>
            <w:r>
              <w:rPr>
                <w:rStyle w:val="st1"/>
              </w:rPr>
              <w:t xml:space="preserve">rahoittamista koskeva aloite </w:t>
            </w:r>
          </w:p>
        </w:tc>
      </w:tr>
      <w:tr>
        <w:tc>
          <w:tcPr>
            <w:tcW w:w="1526" w:type="dxa"/>
          </w:tcPr>
          <w:p>
            <w:pPr>
              <w:pStyle w:val="DGTextstand-alone"/>
              <w:spacing w:before="0"/>
            </w:pPr>
            <w:r>
              <w:rPr>
                <w:color w:val="016794"/>
              </w:rPr>
              <w:t>EMA</w:t>
            </w:r>
            <w:r>
              <w:t xml:space="preserve"> </w:t>
            </w:r>
          </w:p>
        </w:tc>
        <w:tc>
          <w:tcPr>
            <w:tcW w:w="8328" w:type="dxa"/>
          </w:tcPr>
          <w:p>
            <w:pPr>
              <w:pStyle w:val="DGTextstand-alone"/>
              <w:spacing w:before="0"/>
            </w:pPr>
            <w:r>
              <w:t>Euroopan lääkevirasto</w:t>
            </w:r>
          </w:p>
        </w:tc>
      </w:tr>
      <w:tr>
        <w:tc>
          <w:tcPr>
            <w:tcW w:w="1526" w:type="dxa"/>
          </w:tcPr>
          <w:p>
            <w:pPr>
              <w:pStyle w:val="DGTextstand-alone"/>
              <w:spacing w:before="0"/>
            </w:pPr>
            <w:r>
              <w:rPr>
                <w:color w:val="016794"/>
              </w:rPr>
              <w:t>EMCDDA</w:t>
            </w:r>
            <w:r>
              <w:t xml:space="preserve"> </w:t>
            </w:r>
          </w:p>
        </w:tc>
        <w:tc>
          <w:tcPr>
            <w:tcW w:w="8328" w:type="dxa"/>
          </w:tcPr>
          <w:p>
            <w:pPr>
              <w:pStyle w:val="DGTextstand-alone"/>
              <w:spacing w:before="0"/>
            </w:pPr>
            <w:r>
              <w:t xml:space="preserve">Euroopan huumausaineiden ja niiden väärinkäytön seurantakeskus  </w:t>
            </w:r>
          </w:p>
        </w:tc>
      </w:tr>
      <w:tr>
        <w:tc>
          <w:tcPr>
            <w:tcW w:w="1526" w:type="dxa"/>
          </w:tcPr>
          <w:p>
            <w:pPr>
              <w:pStyle w:val="DGTextstand-alone"/>
              <w:spacing w:before="0"/>
            </w:pPr>
            <w:r>
              <w:rPr>
                <w:color w:val="016794"/>
              </w:rPr>
              <w:t>EMKR</w:t>
            </w:r>
            <w:r>
              <w:t xml:space="preserve"> </w:t>
            </w:r>
          </w:p>
        </w:tc>
        <w:tc>
          <w:tcPr>
            <w:tcW w:w="8328" w:type="dxa"/>
          </w:tcPr>
          <w:p>
            <w:pPr>
              <w:pStyle w:val="DGTextstand-alone"/>
              <w:spacing w:before="0"/>
            </w:pPr>
            <w:r>
              <w:t>Euroopan meri- ja kalatalousrahasto</w:t>
            </w:r>
          </w:p>
        </w:tc>
      </w:tr>
      <w:tr>
        <w:tc>
          <w:tcPr>
            <w:tcW w:w="1526" w:type="dxa"/>
          </w:tcPr>
          <w:p>
            <w:pPr>
              <w:pStyle w:val="DGTextstand-alone"/>
              <w:spacing w:before="0"/>
            </w:pPr>
            <w:r>
              <w:rPr>
                <w:color w:val="016794"/>
              </w:rPr>
              <w:t>EMSA</w:t>
            </w:r>
            <w:r>
              <w:t xml:space="preserve"> </w:t>
            </w:r>
          </w:p>
        </w:tc>
        <w:tc>
          <w:tcPr>
            <w:tcW w:w="8328" w:type="dxa"/>
          </w:tcPr>
          <w:p>
            <w:pPr>
              <w:pStyle w:val="DGTextstand-alone"/>
              <w:spacing w:before="0"/>
            </w:pPr>
            <w:r>
              <w:t xml:space="preserve">Euroopan meriturvallisuusvirasto  </w:t>
            </w:r>
          </w:p>
        </w:tc>
      </w:tr>
      <w:tr>
        <w:tc>
          <w:tcPr>
            <w:tcW w:w="1526" w:type="dxa"/>
          </w:tcPr>
          <w:p>
            <w:pPr>
              <w:pStyle w:val="DGTextstand-alone"/>
              <w:spacing w:before="0"/>
            </w:pPr>
            <w:r>
              <w:rPr>
                <w:color w:val="016794"/>
              </w:rPr>
              <w:t>EMU</w:t>
            </w:r>
            <w:r>
              <w:t xml:space="preserve"> </w:t>
            </w:r>
          </w:p>
        </w:tc>
        <w:tc>
          <w:tcPr>
            <w:tcW w:w="8328" w:type="dxa"/>
          </w:tcPr>
          <w:p>
            <w:pPr>
              <w:pStyle w:val="DGTextstand-alone"/>
              <w:spacing w:before="0"/>
            </w:pPr>
            <w:r>
              <w:t>Talous- ja rahaliitto</w:t>
            </w:r>
          </w:p>
        </w:tc>
      </w:tr>
      <w:tr>
        <w:tc>
          <w:tcPr>
            <w:tcW w:w="1526" w:type="dxa"/>
          </w:tcPr>
          <w:p>
            <w:pPr>
              <w:pStyle w:val="DGTextstand-alone"/>
              <w:spacing w:before="0"/>
            </w:pPr>
            <w:r>
              <w:rPr>
                <w:color w:val="016794"/>
              </w:rPr>
              <w:t>ENEF</w:t>
            </w:r>
            <w:r>
              <w:t xml:space="preserve"> </w:t>
            </w:r>
          </w:p>
        </w:tc>
        <w:tc>
          <w:tcPr>
            <w:tcW w:w="8328" w:type="dxa"/>
          </w:tcPr>
          <w:p>
            <w:pPr>
              <w:pStyle w:val="DGTextstand-alone"/>
              <w:spacing w:before="0"/>
            </w:pPr>
            <w:r>
              <w:t>Yritysten laajentumisrahasto</w:t>
            </w:r>
          </w:p>
        </w:tc>
      </w:tr>
      <w:tr>
        <w:tc>
          <w:tcPr>
            <w:tcW w:w="1526" w:type="dxa"/>
          </w:tcPr>
          <w:p>
            <w:pPr>
              <w:pStyle w:val="DGTextstand-alone"/>
              <w:spacing w:before="0"/>
              <w:rPr>
                <w:rFonts w:cs="Calibri"/>
              </w:rPr>
            </w:pPr>
            <w:r>
              <w:rPr>
                <w:color w:val="016794"/>
              </w:rPr>
              <w:t>ENIAC</w:t>
            </w:r>
            <w:r>
              <w:t xml:space="preserve"> </w:t>
            </w:r>
          </w:p>
        </w:tc>
        <w:tc>
          <w:tcPr>
            <w:tcW w:w="8328" w:type="dxa"/>
          </w:tcPr>
          <w:p>
            <w:pPr>
              <w:pStyle w:val="DGTextstand-alone"/>
              <w:spacing w:before="0"/>
              <w:rPr>
                <w:rFonts w:cs="Calibri"/>
              </w:rPr>
            </w:pPr>
            <w:r>
              <w:t>Eurooppalaisen nanoelektroniikka-aloitteen neuvoa-antava toimikunta</w:t>
            </w:r>
          </w:p>
        </w:tc>
      </w:tr>
      <w:tr>
        <w:tc>
          <w:tcPr>
            <w:tcW w:w="1526" w:type="dxa"/>
          </w:tcPr>
          <w:p>
            <w:pPr>
              <w:pStyle w:val="DGTextstand-alone"/>
              <w:spacing w:before="0"/>
            </w:pPr>
            <w:r>
              <w:rPr>
                <w:color w:val="016794"/>
              </w:rPr>
              <w:t>ENIF</w:t>
            </w:r>
            <w:r>
              <w:t xml:space="preserve"> </w:t>
            </w:r>
          </w:p>
        </w:tc>
        <w:tc>
          <w:tcPr>
            <w:tcW w:w="8328" w:type="dxa"/>
          </w:tcPr>
          <w:p>
            <w:pPr>
              <w:pStyle w:val="DGTextstand-alone"/>
              <w:spacing w:before="0"/>
            </w:pPr>
            <w:r>
              <w:t>Yritysten innovointirahasto</w:t>
            </w:r>
          </w:p>
        </w:tc>
      </w:tr>
      <w:tr>
        <w:tc>
          <w:tcPr>
            <w:tcW w:w="1526" w:type="dxa"/>
          </w:tcPr>
          <w:p>
            <w:pPr>
              <w:pStyle w:val="DGTextstand-alone"/>
              <w:spacing w:before="0"/>
            </w:pPr>
            <w:r>
              <w:rPr>
                <w:color w:val="016794"/>
              </w:rPr>
              <w:t>ENISA</w:t>
            </w:r>
            <w:r>
              <w:t xml:space="preserve"> </w:t>
            </w:r>
          </w:p>
        </w:tc>
        <w:tc>
          <w:tcPr>
            <w:tcW w:w="8328" w:type="dxa"/>
          </w:tcPr>
          <w:p>
            <w:pPr>
              <w:pStyle w:val="DGTextstand-alone"/>
              <w:spacing w:before="0"/>
            </w:pPr>
            <w:r>
              <w:t xml:space="preserve">Euroopan unionin verkko- ja tietoturvavirasto  </w:t>
            </w:r>
          </w:p>
        </w:tc>
      </w:tr>
      <w:tr>
        <w:tc>
          <w:tcPr>
            <w:tcW w:w="1526" w:type="dxa"/>
          </w:tcPr>
          <w:p>
            <w:pPr>
              <w:pStyle w:val="DGTextstand-alone"/>
              <w:spacing w:before="0"/>
            </w:pPr>
            <w:r>
              <w:rPr>
                <w:color w:val="016794"/>
              </w:rPr>
              <w:t>ENPI</w:t>
            </w:r>
            <w:r>
              <w:t xml:space="preserve"> </w:t>
            </w:r>
          </w:p>
        </w:tc>
        <w:tc>
          <w:tcPr>
            <w:tcW w:w="8328" w:type="dxa"/>
          </w:tcPr>
          <w:p>
            <w:pPr>
              <w:pStyle w:val="DGTextstand-alone"/>
              <w:spacing w:before="0"/>
            </w:pPr>
            <w:r>
              <w:t>Eurooppalainen naapuruuden ja kumppanuuden väline</w:t>
            </w:r>
          </w:p>
        </w:tc>
      </w:tr>
      <w:tr>
        <w:tc>
          <w:tcPr>
            <w:tcW w:w="1526" w:type="dxa"/>
          </w:tcPr>
          <w:p>
            <w:pPr>
              <w:pStyle w:val="DGTextstand-alone"/>
              <w:spacing w:before="0"/>
            </w:pPr>
            <w:r>
              <w:rPr>
                <w:color w:val="016794"/>
              </w:rPr>
              <w:t>EP</w:t>
            </w:r>
            <w:r>
              <w:t xml:space="preserve"> </w:t>
            </w:r>
          </w:p>
        </w:tc>
        <w:tc>
          <w:tcPr>
            <w:tcW w:w="8328" w:type="dxa"/>
          </w:tcPr>
          <w:p>
            <w:pPr>
              <w:pStyle w:val="DGTextstand-alone"/>
              <w:spacing w:before="0"/>
            </w:pPr>
            <w:r>
              <w:t>Euroopan parlamentti</w:t>
            </w:r>
          </w:p>
        </w:tc>
      </w:tr>
      <w:tr>
        <w:tc>
          <w:tcPr>
            <w:tcW w:w="1526" w:type="dxa"/>
          </w:tcPr>
          <w:p>
            <w:pPr>
              <w:pStyle w:val="DGTextstand-alone"/>
              <w:spacing w:before="0"/>
            </w:pPr>
            <w:r>
              <w:rPr>
                <w:color w:val="016794"/>
              </w:rPr>
              <w:t>ERCEA</w:t>
            </w:r>
            <w:r>
              <w:t xml:space="preserve"> </w:t>
            </w:r>
          </w:p>
        </w:tc>
        <w:tc>
          <w:tcPr>
            <w:tcW w:w="8328" w:type="dxa"/>
          </w:tcPr>
          <w:p>
            <w:pPr>
              <w:pStyle w:val="DGTextstand-alone"/>
              <w:spacing w:before="0"/>
            </w:pPr>
            <w:r>
              <w:t xml:space="preserve">Euroopan tutkimusneuvoston toimeenpanovirasto  </w:t>
            </w:r>
          </w:p>
        </w:tc>
      </w:tr>
      <w:tr>
        <w:tc>
          <w:tcPr>
            <w:tcW w:w="1526" w:type="dxa"/>
          </w:tcPr>
          <w:p>
            <w:pPr>
              <w:pStyle w:val="DGTextstand-alone"/>
              <w:spacing w:before="0"/>
            </w:pPr>
            <w:r>
              <w:rPr>
                <w:color w:val="016794"/>
              </w:rPr>
              <w:t>EAKR</w:t>
            </w:r>
            <w:r>
              <w:t xml:space="preserve"> </w:t>
            </w:r>
          </w:p>
        </w:tc>
        <w:tc>
          <w:tcPr>
            <w:tcW w:w="8328" w:type="dxa"/>
          </w:tcPr>
          <w:p>
            <w:pPr>
              <w:pStyle w:val="DGTextstand-alone"/>
              <w:spacing w:before="0"/>
            </w:pPr>
            <w:r>
              <w:t>Euroopan aluekehitysrahasto</w:t>
            </w:r>
          </w:p>
        </w:tc>
      </w:tr>
      <w:tr>
        <w:tc>
          <w:tcPr>
            <w:tcW w:w="1526" w:type="dxa"/>
          </w:tcPr>
          <w:p>
            <w:pPr>
              <w:pStyle w:val="DGTextstand-alone"/>
              <w:spacing w:before="0"/>
            </w:pPr>
            <w:r>
              <w:rPr>
                <w:color w:val="016794"/>
              </w:rPr>
              <w:t>ESA</w:t>
            </w:r>
            <w:r>
              <w:t xml:space="preserve"> </w:t>
            </w:r>
          </w:p>
        </w:tc>
        <w:tc>
          <w:tcPr>
            <w:tcW w:w="8328" w:type="dxa"/>
          </w:tcPr>
          <w:p>
            <w:pPr>
              <w:pStyle w:val="DGTextstand-alone"/>
              <w:spacing w:before="0"/>
            </w:pPr>
            <w:r>
              <w:t>Euroopan avaruusjärjestö</w:t>
            </w:r>
          </w:p>
        </w:tc>
      </w:tr>
      <w:tr>
        <w:tc>
          <w:tcPr>
            <w:tcW w:w="1526" w:type="dxa"/>
          </w:tcPr>
          <w:p>
            <w:pPr>
              <w:pStyle w:val="DGTextstand-alone"/>
              <w:spacing w:before="0"/>
            </w:pPr>
            <w:r>
              <w:rPr>
                <w:color w:val="016794"/>
              </w:rPr>
              <w:t>ESR</w:t>
            </w:r>
            <w:r>
              <w:t xml:space="preserve"> </w:t>
            </w:r>
          </w:p>
        </w:tc>
        <w:tc>
          <w:tcPr>
            <w:tcW w:w="8328" w:type="dxa"/>
          </w:tcPr>
          <w:p>
            <w:pPr>
              <w:pStyle w:val="DGTextstand-alone"/>
              <w:spacing w:before="0"/>
            </w:pPr>
            <w:r>
              <w:t>Euroopan sosiaalirahasto</w:t>
            </w:r>
          </w:p>
        </w:tc>
      </w:tr>
      <w:tr>
        <w:tc>
          <w:tcPr>
            <w:tcW w:w="1526" w:type="dxa"/>
          </w:tcPr>
          <w:p>
            <w:pPr>
              <w:pStyle w:val="DGTextstand-alone"/>
              <w:spacing w:before="0"/>
            </w:pPr>
            <w:r>
              <w:rPr>
                <w:color w:val="016794"/>
              </w:rPr>
              <w:t>ERI-rahastot</w:t>
            </w:r>
            <w:r>
              <w:t xml:space="preserve"> </w:t>
            </w:r>
          </w:p>
        </w:tc>
        <w:tc>
          <w:tcPr>
            <w:tcW w:w="8328" w:type="dxa"/>
          </w:tcPr>
          <w:p>
            <w:pPr>
              <w:pStyle w:val="DGTextstand-alone"/>
              <w:spacing w:before="0"/>
            </w:pPr>
            <w:r>
              <w:t>Euroopan rakenne- ja investointirahastot</w:t>
            </w:r>
          </w:p>
        </w:tc>
      </w:tr>
      <w:tr>
        <w:tc>
          <w:tcPr>
            <w:tcW w:w="1526" w:type="dxa"/>
          </w:tcPr>
          <w:p>
            <w:pPr>
              <w:pStyle w:val="DGTextstand-alone"/>
              <w:spacing w:before="0"/>
            </w:pPr>
            <w:r>
              <w:rPr>
                <w:color w:val="016794"/>
              </w:rPr>
              <w:t>EVM</w:t>
            </w:r>
            <w:r>
              <w:t xml:space="preserve"> </w:t>
            </w:r>
          </w:p>
        </w:tc>
        <w:tc>
          <w:tcPr>
            <w:tcW w:w="8328" w:type="dxa"/>
          </w:tcPr>
          <w:p>
            <w:pPr>
              <w:pStyle w:val="DGTextstand-alone"/>
              <w:spacing w:before="0"/>
            </w:pPr>
            <w:r>
              <w:t>Euroopan vakausmekanismi</w:t>
            </w:r>
          </w:p>
        </w:tc>
      </w:tr>
      <w:tr>
        <w:tc>
          <w:tcPr>
            <w:tcW w:w="1526" w:type="dxa"/>
          </w:tcPr>
          <w:p>
            <w:pPr>
              <w:pStyle w:val="DGTextstand-alone"/>
              <w:spacing w:before="0"/>
            </w:pPr>
            <w:r>
              <w:rPr>
                <w:color w:val="016794"/>
              </w:rPr>
              <w:t>EAMV</w:t>
            </w:r>
            <w:r>
              <w:t xml:space="preserve"> </w:t>
            </w:r>
          </w:p>
        </w:tc>
        <w:tc>
          <w:tcPr>
            <w:tcW w:w="8328" w:type="dxa"/>
          </w:tcPr>
          <w:p>
            <w:pPr>
              <w:pStyle w:val="DGTextstand-alone"/>
              <w:spacing w:before="0"/>
            </w:pPr>
            <w:r>
              <w:t>Euroopan arvopaperimarkkinaviranomainen</w:t>
            </w:r>
          </w:p>
        </w:tc>
      </w:tr>
      <w:tr>
        <w:tc>
          <w:tcPr>
            <w:tcW w:w="1526" w:type="dxa"/>
          </w:tcPr>
          <w:p>
            <w:pPr>
              <w:pStyle w:val="DGTextstand-alone"/>
              <w:spacing w:before="0"/>
            </w:pPr>
            <w:r>
              <w:rPr>
                <w:color w:val="016794"/>
              </w:rPr>
              <w:t>ETF</w:t>
            </w:r>
            <w:r>
              <w:t xml:space="preserve"> </w:t>
            </w:r>
          </w:p>
        </w:tc>
        <w:tc>
          <w:tcPr>
            <w:tcW w:w="8328" w:type="dxa"/>
          </w:tcPr>
          <w:p>
            <w:pPr>
              <w:pStyle w:val="DGTextstand-alone"/>
              <w:spacing w:before="0"/>
            </w:pPr>
            <w:r>
              <w:t>Euroopan teknologian käynnistysjärjestelmä 1998</w:t>
            </w:r>
          </w:p>
        </w:tc>
      </w:tr>
      <w:tr>
        <w:tc>
          <w:tcPr>
            <w:tcW w:w="1526" w:type="dxa"/>
          </w:tcPr>
          <w:p>
            <w:pPr>
              <w:pStyle w:val="DGTextstand-alone"/>
              <w:spacing w:before="0"/>
            </w:pPr>
            <w:r>
              <w:rPr>
                <w:color w:val="016794"/>
              </w:rPr>
              <w:t>ETF</w:t>
            </w:r>
            <w:r>
              <w:t xml:space="preserve"> </w:t>
            </w:r>
          </w:p>
        </w:tc>
        <w:tc>
          <w:tcPr>
            <w:tcW w:w="8328" w:type="dxa"/>
          </w:tcPr>
          <w:p>
            <w:pPr>
              <w:pStyle w:val="DGTextstand-alone"/>
              <w:spacing w:before="0"/>
            </w:pPr>
            <w:r>
              <w:t>Euroopan koulutussäätiö</w:t>
            </w:r>
          </w:p>
        </w:tc>
      </w:tr>
      <w:tr>
        <w:tc>
          <w:tcPr>
            <w:tcW w:w="1526" w:type="dxa"/>
          </w:tcPr>
          <w:p>
            <w:pPr>
              <w:pStyle w:val="DGTextstand-alone"/>
              <w:spacing w:before="0"/>
            </w:pPr>
            <w:r>
              <w:rPr>
                <w:color w:val="016794"/>
              </w:rPr>
              <w:t>EU</w:t>
            </w:r>
            <w:r>
              <w:t xml:space="preserve"> </w:t>
            </w:r>
          </w:p>
        </w:tc>
        <w:tc>
          <w:tcPr>
            <w:tcW w:w="8328" w:type="dxa"/>
          </w:tcPr>
          <w:p>
            <w:pPr>
              <w:pStyle w:val="DGTextstand-alone"/>
              <w:spacing w:before="0"/>
            </w:pPr>
            <w:r>
              <w:t>Euroopan unioni</w:t>
            </w:r>
          </w:p>
        </w:tc>
      </w:tr>
      <w:tr>
        <w:tc>
          <w:tcPr>
            <w:tcW w:w="1526" w:type="dxa"/>
          </w:tcPr>
          <w:p>
            <w:pPr>
              <w:pStyle w:val="DGTextstand-alone"/>
              <w:spacing w:before="0"/>
            </w:pPr>
            <w:r>
              <w:rPr>
                <w:color w:val="016794"/>
              </w:rPr>
              <w:t>EUIPO</w:t>
            </w:r>
            <w:r>
              <w:t xml:space="preserve"> </w:t>
            </w:r>
            <w:r>
              <w:tab/>
            </w:r>
            <w:r>
              <w:tab/>
            </w:r>
          </w:p>
        </w:tc>
        <w:tc>
          <w:tcPr>
            <w:tcW w:w="8328" w:type="dxa"/>
          </w:tcPr>
          <w:p>
            <w:pPr>
              <w:pStyle w:val="DGTextstand-alone"/>
              <w:spacing w:before="0"/>
            </w:pPr>
            <w:r>
              <w:t xml:space="preserve">Euroopan unionin teollisoikeuksien virasto  </w:t>
            </w:r>
          </w:p>
        </w:tc>
      </w:tr>
      <w:tr>
        <w:tc>
          <w:tcPr>
            <w:tcW w:w="1526" w:type="dxa"/>
          </w:tcPr>
          <w:p>
            <w:pPr>
              <w:pStyle w:val="DGTextstand-alone"/>
              <w:spacing w:before="0"/>
            </w:pPr>
            <w:r>
              <w:rPr>
                <w:color w:val="016794"/>
              </w:rPr>
              <w:t>EU-LISA</w:t>
            </w:r>
          </w:p>
        </w:tc>
        <w:tc>
          <w:tcPr>
            <w:tcW w:w="8328" w:type="dxa"/>
          </w:tcPr>
          <w:p>
            <w:pPr>
              <w:pStyle w:val="DGTextstand-alone"/>
              <w:spacing w:before="0"/>
            </w:pPr>
            <w:r>
              <w:t>Vapauden, turvallisuuden ja oikeuden alueen laaja-alaisten tietojärjestelmien operatiivisesta hallinnoinnista vastaava eurooppalainen virasto</w:t>
            </w:r>
          </w:p>
        </w:tc>
      </w:tr>
      <w:tr>
        <w:tc>
          <w:tcPr>
            <w:tcW w:w="1526" w:type="dxa"/>
          </w:tcPr>
          <w:p>
            <w:pPr>
              <w:pStyle w:val="DGTextstand-alone"/>
              <w:spacing w:before="0"/>
            </w:pPr>
            <w:r>
              <w:rPr>
                <w:color w:val="016794"/>
              </w:rPr>
              <w:t>EUMETSAT</w:t>
            </w:r>
            <w:r>
              <w:t xml:space="preserve"> </w:t>
            </w:r>
          </w:p>
        </w:tc>
        <w:tc>
          <w:tcPr>
            <w:tcW w:w="8328" w:type="dxa"/>
          </w:tcPr>
          <w:p>
            <w:pPr>
              <w:pStyle w:val="DGTextstand-alone"/>
              <w:spacing w:before="0"/>
              <w:rPr>
                <w:highlight w:val="yellow"/>
              </w:rPr>
            </w:pPr>
            <w:r>
              <w:t>Euroopan sääsatelliittijärjestö</w:t>
            </w:r>
          </w:p>
        </w:tc>
      </w:tr>
      <w:tr>
        <w:tc>
          <w:tcPr>
            <w:tcW w:w="1526" w:type="dxa"/>
          </w:tcPr>
          <w:p>
            <w:pPr>
              <w:pStyle w:val="DGTextstand-alone"/>
              <w:spacing w:before="0"/>
            </w:pPr>
            <w:r>
              <w:rPr>
                <w:color w:val="016794"/>
              </w:rPr>
              <w:t>EU</w:t>
            </w:r>
            <w:r>
              <w:t>-</w:t>
            </w:r>
            <w:r>
              <w:rPr>
                <w:color w:val="016794"/>
              </w:rPr>
              <w:t>OSHA</w:t>
            </w:r>
            <w:r>
              <w:t xml:space="preserve"> </w:t>
            </w:r>
          </w:p>
        </w:tc>
        <w:tc>
          <w:tcPr>
            <w:tcW w:w="8328" w:type="dxa"/>
          </w:tcPr>
          <w:p>
            <w:pPr>
              <w:pStyle w:val="DGTextstand-alone"/>
              <w:spacing w:before="0"/>
            </w:pPr>
            <w:r>
              <w:t xml:space="preserve">Euroopan työterveys- ja työturvallisuusvirasto  </w:t>
            </w:r>
          </w:p>
        </w:tc>
      </w:tr>
      <w:tr>
        <w:tc>
          <w:tcPr>
            <w:tcW w:w="1526" w:type="dxa"/>
          </w:tcPr>
          <w:p>
            <w:pPr>
              <w:pStyle w:val="DGTextstand-alone"/>
              <w:spacing w:before="0"/>
            </w:pPr>
            <w:r>
              <w:rPr>
                <w:color w:val="016794"/>
              </w:rPr>
              <w:t>Euratom</w:t>
            </w:r>
          </w:p>
        </w:tc>
        <w:tc>
          <w:tcPr>
            <w:tcW w:w="8328" w:type="dxa"/>
          </w:tcPr>
          <w:p>
            <w:pPr>
              <w:pStyle w:val="DGTextstand-alone"/>
              <w:spacing w:before="0"/>
            </w:pPr>
            <w:r>
              <w:t>Euroopan atomienergiayhteisö</w:t>
            </w:r>
          </w:p>
        </w:tc>
      </w:tr>
      <w:tr>
        <w:tc>
          <w:tcPr>
            <w:tcW w:w="1526" w:type="dxa"/>
          </w:tcPr>
          <w:p>
            <w:pPr>
              <w:pStyle w:val="DGTextstand-alone"/>
              <w:spacing w:before="0"/>
            </w:pPr>
            <w:r>
              <w:rPr>
                <w:color w:val="016794"/>
              </w:rPr>
              <w:t>Eurofound</w:t>
            </w:r>
            <w:r>
              <w:t xml:space="preserve"> </w:t>
            </w:r>
          </w:p>
        </w:tc>
        <w:tc>
          <w:tcPr>
            <w:tcW w:w="8328" w:type="dxa"/>
          </w:tcPr>
          <w:p>
            <w:pPr>
              <w:pStyle w:val="DGTextstand-alone"/>
              <w:spacing w:before="0"/>
            </w:pPr>
            <w:r>
              <w:t xml:space="preserve">Euroopan elin- ja työolojen kehittämissäätiö </w:t>
            </w:r>
          </w:p>
        </w:tc>
      </w:tr>
      <w:tr>
        <w:tc>
          <w:tcPr>
            <w:tcW w:w="1526" w:type="dxa"/>
          </w:tcPr>
          <w:p>
            <w:pPr>
              <w:pStyle w:val="DGTextstand-alone"/>
              <w:spacing w:before="0"/>
            </w:pPr>
            <w:r>
              <w:rPr>
                <w:color w:val="016794"/>
              </w:rPr>
              <w:t>Eurojust</w:t>
            </w:r>
            <w:r>
              <w:t xml:space="preserve"> </w:t>
            </w:r>
          </w:p>
        </w:tc>
        <w:tc>
          <w:tcPr>
            <w:tcW w:w="8328" w:type="dxa"/>
          </w:tcPr>
          <w:p>
            <w:pPr>
              <w:pStyle w:val="DGTextstand-alone"/>
              <w:spacing w:before="0"/>
            </w:pPr>
            <w:r>
              <w:t xml:space="preserve">Euroopan oikeudellisen yhteistyön yksikkö  </w:t>
            </w:r>
          </w:p>
        </w:tc>
      </w:tr>
      <w:tr>
        <w:tc>
          <w:tcPr>
            <w:tcW w:w="1526" w:type="dxa"/>
          </w:tcPr>
          <w:p>
            <w:pPr>
              <w:pStyle w:val="DGTextstand-alone"/>
              <w:spacing w:before="0"/>
              <w:rPr>
                <w:iCs/>
              </w:rPr>
            </w:pPr>
            <w:r>
              <w:rPr>
                <w:color w:val="016794"/>
              </w:rPr>
              <w:t>Europol</w:t>
            </w:r>
            <w:r>
              <w:t xml:space="preserve"> </w:t>
            </w:r>
          </w:p>
        </w:tc>
        <w:tc>
          <w:tcPr>
            <w:tcW w:w="8328" w:type="dxa"/>
          </w:tcPr>
          <w:p>
            <w:pPr>
              <w:pStyle w:val="DGTextstand-alone"/>
              <w:spacing w:before="0"/>
              <w:rPr>
                <w:iCs/>
              </w:rPr>
            </w:pPr>
            <w:r>
              <w:t xml:space="preserve">Euroopan poliisivirasto </w:t>
            </w:r>
          </w:p>
        </w:tc>
      </w:tr>
      <w:tr>
        <w:tc>
          <w:tcPr>
            <w:tcW w:w="1526" w:type="dxa"/>
          </w:tcPr>
          <w:p>
            <w:pPr>
              <w:pStyle w:val="DGTextstand-alone"/>
              <w:spacing w:before="0"/>
            </w:pPr>
            <w:r>
              <w:rPr>
                <w:color w:val="016794"/>
              </w:rPr>
              <w:t>F4E</w:t>
            </w:r>
            <w:r>
              <w:t xml:space="preserve"> </w:t>
            </w:r>
          </w:p>
        </w:tc>
        <w:tc>
          <w:tcPr>
            <w:tcW w:w="8328" w:type="dxa"/>
          </w:tcPr>
          <w:p>
            <w:pPr>
              <w:pStyle w:val="DGTextstand-alone"/>
              <w:spacing w:before="0"/>
            </w:pPr>
            <w:r>
              <w:t>Fusion for Energy -yhteisyritys</w:t>
            </w:r>
          </w:p>
        </w:tc>
      </w:tr>
      <w:tr>
        <w:tc>
          <w:tcPr>
            <w:tcW w:w="1526" w:type="dxa"/>
          </w:tcPr>
          <w:p>
            <w:pPr>
              <w:pStyle w:val="DGTextstand-alone"/>
              <w:spacing w:before="0"/>
            </w:pPr>
            <w:r>
              <w:rPr>
                <w:color w:val="016794"/>
              </w:rPr>
              <w:t>FCH</w:t>
            </w:r>
            <w:r>
              <w:t xml:space="preserve"> </w:t>
            </w:r>
          </w:p>
        </w:tc>
        <w:tc>
          <w:tcPr>
            <w:tcW w:w="8328" w:type="dxa"/>
          </w:tcPr>
          <w:p>
            <w:pPr>
              <w:pStyle w:val="DGTextstand-alone"/>
              <w:spacing w:before="0"/>
            </w:pPr>
            <w:r>
              <w:t>Polttokenno- ja vety-yhteisyritys</w:t>
            </w:r>
          </w:p>
        </w:tc>
      </w:tr>
      <w:tr>
        <w:tc>
          <w:tcPr>
            <w:tcW w:w="1526" w:type="dxa"/>
          </w:tcPr>
          <w:p>
            <w:pPr>
              <w:pStyle w:val="DGTextstand-alone"/>
              <w:spacing w:before="0"/>
            </w:pPr>
            <w:r>
              <w:rPr>
                <w:color w:val="016794"/>
              </w:rPr>
              <w:t>KOR</w:t>
            </w:r>
          </w:p>
        </w:tc>
        <w:tc>
          <w:tcPr>
            <w:tcW w:w="8328" w:type="dxa"/>
          </w:tcPr>
          <w:p>
            <w:pPr>
              <w:pStyle w:val="DGTextstand-alone"/>
              <w:spacing w:before="0"/>
            </w:pPr>
            <w:r>
              <w:t>Kalatalouden ohjauksen rahoitusväline</w:t>
            </w:r>
          </w:p>
        </w:tc>
      </w:tr>
      <w:tr>
        <w:tc>
          <w:tcPr>
            <w:tcW w:w="1526" w:type="dxa"/>
          </w:tcPr>
          <w:p>
            <w:pPr>
              <w:pStyle w:val="DGTextstand-alone"/>
              <w:spacing w:before="0"/>
              <w:rPr>
                <w:rStyle w:val="st1"/>
                <w:rFonts w:cs="Arial"/>
              </w:rPr>
            </w:pPr>
            <w:r>
              <w:rPr>
                <w:color w:val="016794"/>
              </w:rPr>
              <w:t>FIFO</w:t>
            </w:r>
          </w:p>
        </w:tc>
        <w:tc>
          <w:tcPr>
            <w:tcW w:w="8328" w:type="dxa"/>
          </w:tcPr>
          <w:p>
            <w:pPr>
              <w:pStyle w:val="DGTextstand-alone"/>
              <w:spacing w:before="0"/>
              <w:rPr>
                <w:rStyle w:val="st1"/>
                <w:rFonts w:cs="Arial"/>
              </w:rPr>
            </w:pPr>
            <w:r>
              <w:rPr>
                <w:rStyle w:val="st1"/>
              </w:rPr>
              <w:t>First-in, First-out</w:t>
            </w:r>
          </w:p>
        </w:tc>
      </w:tr>
      <w:tr>
        <w:tc>
          <w:tcPr>
            <w:tcW w:w="1526" w:type="dxa"/>
          </w:tcPr>
          <w:p>
            <w:pPr>
              <w:pStyle w:val="DGTextstand-alone"/>
              <w:spacing w:before="0"/>
            </w:pPr>
            <w:r>
              <w:rPr>
                <w:color w:val="016794"/>
              </w:rPr>
              <w:t>FP7</w:t>
            </w:r>
            <w:r>
              <w:t xml:space="preserve"> </w:t>
            </w:r>
          </w:p>
        </w:tc>
        <w:tc>
          <w:tcPr>
            <w:tcW w:w="8328" w:type="dxa"/>
          </w:tcPr>
          <w:p>
            <w:pPr>
              <w:pStyle w:val="DGTextstand-alone"/>
              <w:spacing w:before="0"/>
            </w:pPr>
            <w:r>
              <w:t>Tutkimuksen ja teknologian kehittämisen seitsemäs puiteohjelma</w:t>
            </w:r>
          </w:p>
        </w:tc>
      </w:tr>
      <w:tr>
        <w:tc>
          <w:tcPr>
            <w:tcW w:w="1526" w:type="dxa"/>
          </w:tcPr>
          <w:p>
            <w:pPr>
              <w:pStyle w:val="DGTextstand-alone"/>
              <w:spacing w:before="0"/>
            </w:pPr>
            <w:r>
              <w:rPr>
                <w:color w:val="016794"/>
              </w:rPr>
              <w:t>FR</w:t>
            </w:r>
            <w:r>
              <w:t xml:space="preserve"> </w:t>
            </w:r>
          </w:p>
        </w:tc>
        <w:tc>
          <w:tcPr>
            <w:tcW w:w="8328" w:type="dxa"/>
          </w:tcPr>
          <w:p>
            <w:pPr>
              <w:pStyle w:val="DGTextstand-alone"/>
              <w:spacing w:before="0"/>
            </w:pPr>
            <w:r>
              <w:t>Varainhoitoasetus</w:t>
            </w:r>
          </w:p>
        </w:tc>
      </w:tr>
      <w:tr>
        <w:tc>
          <w:tcPr>
            <w:tcW w:w="1526" w:type="dxa"/>
          </w:tcPr>
          <w:p>
            <w:pPr>
              <w:pStyle w:val="DGTextstand-alone"/>
              <w:spacing w:before="0"/>
            </w:pPr>
            <w:r>
              <w:rPr>
                <w:color w:val="016794"/>
              </w:rPr>
              <w:t>FRA</w:t>
            </w:r>
          </w:p>
        </w:tc>
        <w:tc>
          <w:tcPr>
            <w:tcW w:w="8328" w:type="dxa"/>
          </w:tcPr>
          <w:p>
            <w:pPr>
              <w:pStyle w:val="DGTextstand-alone"/>
              <w:spacing w:before="0"/>
              <w:rPr>
                <w:highlight w:val="yellow"/>
              </w:rPr>
            </w:pPr>
            <w:r>
              <w:t>Euroopan perusoikeusvirasto</w:t>
            </w:r>
          </w:p>
        </w:tc>
      </w:tr>
      <w:tr>
        <w:tc>
          <w:tcPr>
            <w:tcW w:w="1526" w:type="dxa"/>
          </w:tcPr>
          <w:p>
            <w:pPr>
              <w:pStyle w:val="DGTextstand-alone"/>
              <w:spacing w:before="0"/>
            </w:pPr>
            <w:r>
              <w:rPr>
                <w:color w:val="016794"/>
              </w:rPr>
              <w:t>Frontex</w:t>
            </w:r>
            <w:r>
              <w:t xml:space="preserve"> </w:t>
            </w:r>
          </w:p>
        </w:tc>
        <w:tc>
          <w:tcPr>
            <w:tcW w:w="8328" w:type="dxa"/>
          </w:tcPr>
          <w:p>
            <w:pPr>
              <w:pStyle w:val="DGTextstand-alone"/>
              <w:spacing w:before="0"/>
            </w:pPr>
            <w:r>
              <w:t>Euroopan raja- ja merivartiovirasto</w:t>
            </w:r>
          </w:p>
        </w:tc>
      </w:tr>
      <w:tr>
        <w:tc>
          <w:tcPr>
            <w:tcW w:w="1526" w:type="dxa"/>
          </w:tcPr>
          <w:p>
            <w:pPr>
              <w:pStyle w:val="DGTextstand-alone"/>
              <w:spacing w:before="0"/>
            </w:pPr>
            <w:r>
              <w:rPr>
                <w:color w:val="016794"/>
              </w:rPr>
              <w:t>FSDA</w:t>
            </w:r>
            <w:r>
              <w:t xml:space="preserve"> </w:t>
            </w:r>
            <w:r>
              <w:tab/>
            </w:r>
          </w:p>
        </w:tc>
        <w:tc>
          <w:tcPr>
            <w:tcW w:w="8328" w:type="dxa"/>
          </w:tcPr>
          <w:p>
            <w:pPr>
              <w:pStyle w:val="DGTextstand-alone"/>
              <w:spacing w:before="0"/>
            </w:pPr>
            <w:r>
              <w:t>Tilinpäätöksen sisältö ja analyysi</w:t>
            </w:r>
          </w:p>
        </w:tc>
      </w:tr>
      <w:tr>
        <w:tc>
          <w:tcPr>
            <w:tcW w:w="1526" w:type="dxa"/>
          </w:tcPr>
          <w:p>
            <w:pPr>
              <w:pStyle w:val="DGTextstand-alone"/>
              <w:spacing w:before="0"/>
              <w:rPr>
                <w:b/>
              </w:rPr>
            </w:pPr>
            <w:r>
              <w:rPr>
                <w:color w:val="016794"/>
              </w:rPr>
              <w:t>BKT</w:t>
            </w:r>
          </w:p>
        </w:tc>
        <w:tc>
          <w:tcPr>
            <w:tcW w:w="8328" w:type="dxa"/>
          </w:tcPr>
          <w:p>
            <w:pPr>
              <w:pStyle w:val="DGTextstand-alone"/>
              <w:spacing w:before="0"/>
            </w:pPr>
            <w:r>
              <w:t>Bruttokansantuote</w:t>
            </w:r>
          </w:p>
        </w:tc>
      </w:tr>
      <w:tr>
        <w:tc>
          <w:tcPr>
            <w:tcW w:w="1526" w:type="dxa"/>
          </w:tcPr>
          <w:p>
            <w:pPr>
              <w:pStyle w:val="DGTextstand-alone"/>
              <w:spacing w:before="0"/>
            </w:pPr>
            <w:r>
              <w:rPr>
                <w:color w:val="016794"/>
              </w:rPr>
              <w:t>Copernicus</w:t>
            </w:r>
            <w:r>
              <w:t xml:space="preserve"> </w:t>
            </w:r>
          </w:p>
        </w:tc>
        <w:tc>
          <w:tcPr>
            <w:tcW w:w="8328" w:type="dxa"/>
          </w:tcPr>
          <w:p>
            <w:pPr>
              <w:pStyle w:val="DGTextstand-alone"/>
              <w:spacing w:before="0"/>
            </w:pPr>
            <w:r>
              <w:t>Ympäristön ja turvallisuuden maailmanlaajuinen seuranta</w:t>
            </w:r>
          </w:p>
        </w:tc>
      </w:tr>
      <w:tr>
        <w:tc>
          <w:tcPr>
            <w:tcW w:w="1526" w:type="dxa"/>
          </w:tcPr>
          <w:p>
            <w:pPr>
              <w:pStyle w:val="DGTextstand-alone"/>
              <w:spacing w:before="0"/>
            </w:pPr>
            <w:r>
              <w:rPr>
                <w:color w:val="016794"/>
              </w:rPr>
              <w:t>BKTL</w:t>
            </w:r>
            <w:r>
              <w:t xml:space="preserve"> </w:t>
            </w:r>
          </w:p>
        </w:tc>
        <w:tc>
          <w:tcPr>
            <w:tcW w:w="8328" w:type="dxa"/>
          </w:tcPr>
          <w:p>
            <w:pPr>
              <w:pStyle w:val="DGTextstand-alone"/>
              <w:spacing w:before="0"/>
            </w:pPr>
            <w:r>
              <w:t>Bruttokansantulo</w:t>
            </w:r>
          </w:p>
        </w:tc>
      </w:tr>
      <w:tr>
        <w:tc>
          <w:tcPr>
            <w:tcW w:w="1526" w:type="dxa"/>
          </w:tcPr>
          <w:p>
            <w:pPr>
              <w:pStyle w:val="DGTextstand-alone"/>
              <w:spacing w:before="0"/>
            </w:pPr>
            <w:r>
              <w:rPr>
                <w:color w:val="016794"/>
              </w:rPr>
              <w:t>GNSS</w:t>
            </w:r>
            <w:r>
              <w:t xml:space="preserve"> </w:t>
            </w:r>
          </w:p>
        </w:tc>
        <w:tc>
          <w:tcPr>
            <w:tcW w:w="8328" w:type="dxa"/>
          </w:tcPr>
          <w:p>
            <w:pPr>
              <w:pStyle w:val="DGTextstand-alone"/>
              <w:spacing w:before="0"/>
            </w:pPr>
            <w:r>
              <w:t>Maailmanlaajuinen satelliittinavigointijärjestelmä</w:t>
            </w:r>
          </w:p>
        </w:tc>
      </w:tr>
      <w:tr>
        <w:tc>
          <w:tcPr>
            <w:tcW w:w="1526" w:type="dxa"/>
          </w:tcPr>
          <w:p>
            <w:pPr>
              <w:pStyle w:val="DGTextstand-alone"/>
              <w:spacing w:before="0"/>
            </w:pPr>
            <w:r>
              <w:rPr>
                <w:color w:val="016794"/>
              </w:rPr>
              <w:t>H2020</w:t>
            </w:r>
            <w:r>
              <w:t xml:space="preserve"> </w:t>
            </w:r>
          </w:p>
        </w:tc>
        <w:tc>
          <w:tcPr>
            <w:tcW w:w="8328" w:type="dxa"/>
          </w:tcPr>
          <w:p>
            <w:pPr>
              <w:pStyle w:val="DGTextstand-alone"/>
              <w:spacing w:before="0"/>
            </w:pPr>
            <w:r>
              <w:t>Horisontti 2020</w:t>
            </w:r>
          </w:p>
        </w:tc>
      </w:tr>
      <w:tr>
        <w:tc>
          <w:tcPr>
            <w:tcW w:w="1526" w:type="dxa"/>
          </w:tcPr>
          <w:p>
            <w:pPr>
              <w:pStyle w:val="DGTextstand-alone"/>
              <w:spacing w:before="0"/>
            </w:pPr>
            <w:r>
              <w:rPr>
                <w:color w:val="016794"/>
              </w:rPr>
              <w:t>ICSLT</w:t>
            </w:r>
            <w:r>
              <w:t xml:space="preserve"> </w:t>
            </w:r>
          </w:p>
        </w:tc>
        <w:tc>
          <w:tcPr>
            <w:tcW w:w="8328" w:type="dxa"/>
          </w:tcPr>
          <w:p>
            <w:pPr>
              <w:pStyle w:val="DGTextstand-alone"/>
              <w:spacing w:before="0"/>
            </w:pPr>
            <w:r>
              <w:t>Kansainvälinen virkamiesten elinaikataulukko</w:t>
            </w:r>
          </w:p>
        </w:tc>
      </w:tr>
      <w:tr>
        <w:tc>
          <w:tcPr>
            <w:tcW w:w="1526" w:type="dxa"/>
          </w:tcPr>
          <w:p>
            <w:pPr>
              <w:pStyle w:val="DGTextstand-alone"/>
              <w:spacing w:before="0"/>
            </w:pPr>
            <w:r>
              <w:rPr>
                <w:color w:val="016794"/>
              </w:rPr>
              <w:t>IFRP</w:t>
            </w:r>
            <w:r>
              <w:t xml:space="preserve"> </w:t>
            </w:r>
          </w:p>
        </w:tc>
        <w:tc>
          <w:tcPr>
            <w:tcW w:w="8328" w:type="dxa"/>
          </w:tcPr>
          <w:p>
            <w:pPr>
              <w:pStyle w:val="DGTextstand-alone"/>
              <w:spacing w:before="0"/>
            </w:pPr>
            <w:r>
              <w:t>Integroitu talous- ja tilinpäätösraportointipaketti</w:t>
            </w:r>
          </w:p>
        </w:tc>
      </w:tr>
      <w:tr>
        <w:tc>
          <w:tcPr>
            <w:tcW w:w="1526" w:type="dxa"/>
          </w:tcPr>
          <w:p>
            <w:pPr>
              <w:pStyle w:val="DGTextstand-alone"/>
              <w:spacing w:before="0"/>
            </w:pPr>
            <w:r>
              <w:rPr>
                <w:color w:val="016794"/>
              </w:rPr>
              <w:t>IIW</w:t>
            </w:r>
            <w:r>
              <w:t xml:space="preserve"> </w:t>
            </w:r>
          </w:p>
        </w:tc>
        <w:tc>
          <w:tcPr>
            <w:tcW w:w="8328" w:type="dxa"/>
          </w:tcPr>
          <w:p>
            <w:pPr>
              <w:pStyle w:val="DGTextstand-alone"/>
              <w:spacing w:before="0"/>
            </w:pPr>
            <w:r>
              <w:t>Infrastruktuuri- ja innovointi-ikkuna</w:t>
            </w:r>
          </w:p>
        </w:tc>
      </w:tr>
      <w:tr>
        <w:tc>
          <w:tcPr>
            <w:tcW w:w="1526" w:type="dxa"/>
          </w:tcPr>
          <w:p>
            <w:pPr>
              <w:pStyle w:val="DGTextstand-alone"/>
              <w:spacing w:before="0"/>
            </w:pPr>
            <w:r>
              <w:rPr>
                <w:color w:val="016794"/>
              </w:rPr>
              <w:t>IMF</w:t>
            </w:r>
            <w:r>
              <w:t xml:space="preserve"> </w:t>
            </w:r>
          </w:p>
        </w:tc>
        <w:tc>
          <w:tcPr>
            <w:tcW w:w="8328" w:type="dxa"/>
          </w:tcPr>
          <w:p>
            <w:pPr>
              <w:pStyle w:val="DGTextstand-alone"/>
              <w:spacing w:before="0"/>
            </w:pPr>
            <w:r>
              <w:t>Kansainvälinen valuuttarahasto</w:t>
            </w:r>
          </w:p>
        </w:tc>
      </w:tr>
      <w:tr>
        <w:tc>
          <w:tcPr>
            <w:tcW w:w="1526" w:type="dxa"/>
          </w:tcPr>
          <w:p>
            <w:pPr>
              <w:pStyle w:val="DGTextstand-alone"/>
              <w:spacing w:before="0"/>
            </w:pPr>
            <w:r>
              <w:rPr>
                <w:color w:val="016794"/>
              </w:rPr>
              <w:t>IMI-yhteisyritys</w:t>
            </w:r>
            <w:r>
              <w:t xml:space="preserve"> </w:t>
            </w:r>
          </w:p>
        </w:tc>
        <w:tc>
          <w:tcPr>
            <w:tcW w:w="8328" w:type="dxa"/>
          </w:tcPr>
          <w:p>
            <w:pPr>
              <w:pStyle w:val="DGTextstand-alone"/>
              <w:spacing w:before="0"/>
            </w:pPr>
            <w:r>
              <w:t>Innovatiivisten lääkkeiden alan yhteisyritys</w:t>
            </w:r>
          </w:p>
        </w:tc>
      </w:tr>
      <w:tr>
        <w:tc>
          <w:tcPr>
            <w:tcW w:w="1526" w:type="dxa"/>
          </w:tcPr>
          <w:p>
            <w:pPr>
              <w:pStyle w:val="DGTextstand-alone"/>
              <w:spacing w:before="0"/>
              <w:rPr>
                <w:color w:val="016794"/>
              </w:rPr>
            </w:pPr>
            <w:r>
              <w:rPr>
                <w:color w:val="016794"/>
              </w:rPr>
              <w:t>INEA</w:t>
            </w:r>
            <w:r>
              <w:tab/>
            </w:r>
          </w:p>
        </w:tc>
        <w:tc>
          <w:tcPr>
            <w:tcW w:w="8328" w:type="dxa"/>
          </w:tcPr>
          <w:p>
            <w:pPr>
              <w:pStyle w:val="DGTextstand-alone"/>
              <w:spacing w:before="0"/>
            </w:pPr>
            <w:r>
              <w:t>Innovoinnin ja verkkojen toimeenpanovirasto</w:t>
            </w:r>
          </w:p>
        </w:tc>
      </w:tr>
      <w:tr>
        <w:tc>
          <w:tcPr>
            <w:tcW w:w="1526" w:type="dxa"/>
          </w:tcPr>
          <w:p>
            <w:pPr>
              <w:pStyle w:val="DGTextstand-alone"/>
              <w:spacing w:before="0"/>
              <w:rPr>
                <w:color w:val="016794"/>
              </w:rPr>
            </w:pPr>
            <w:r>
              <w:rPr>
                <w:color w:val="016794"/>
              </w:rPr>
              <w:t>IPA</w:t>
            </w:r>
            <w:r>
              <w:t xml:space="preserve"> </w:t>
            </w:r>
            <w:r>
              <w:rPr>
                <w:color w:val="016794"/>
              </w:rPr>
              <w:t>II</w:t>
            </w:r>
            <w:r>
              <w:tab/>
            </w:r>
          </w:p>
        </w:tc>
        <w:tc>
          <w:tcPr>
            <w:tcW w:w="8328" w:type="dxa"/>
          </w:tcPr>
          <w:p>
            <w:pPr>
              <w:pStyle w:val="DGTextstand-alone"/>
              <w:spacing w:before="0"/>
            </w:pPr>
            <w:r>
              <w:t>Liittymistä valmisteleva tukiväline</w:t>
            </w:r>
          </w:p>
        </w:tc>
      </w:tr>
    </w:tbl>
    <w:p>
      <w:pPr>
        <w:rPr>
          <w:noProof/>
        </w:rPr>
      </w:pPr>
      <w:r>
        <w:rPr>
          <w:noProof/>
        </w:rPr>
        <w:br w:type="page"/>
      </w:r>
    </w:p>
    <w:tbl>
      <w:tblPr>
        <w:tblStyle w:val="TableGrid"/>
        <w:tblW w:w="0" w:type="auto"/>
        <w:tblBorders>
          <w:top w:val="none" w:sz="0" w:space="0" w:color="auto"/>
          <w:left w:val="none" w:sz="0" w:space="0" w:color="auto"/>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26"/>
        <w:gridCol w:w="8328"/>
      </w:tblGrid>
      <w:tr>
        <w:tc>
          <w:tcPr>
            <w:tcW w:w="1526" w:type="dxa"/>
          </w:tcPr>
          <w:p>
            <w:pPr>
              <w:pStyle w:val="DGTextstand-alone"/>
              <w:spacing w:before="0"/>
              <w:rPr>
                <w:color w:val="016794"/>
              </w:rPr>
            </w:pPr>
            <w:r>
              <w:rPr>
                <w:color w:val="016794"/>
              </w:rPr>
              <w:t>IPSAS</w:t>
            </w:r>
          </w:p>
        </w:tc>
        <w:tc>
          <w:tcPr>
            <w:tcW w:w="8328" w:type="dxa"/>
          </w:tcPr>
          <w:p>
            <w:pPr>
              <w:pStyle w:val="DGTextstand-alone"/>
              <w:spacing w:before="0"/>
            </w:pPr>
            <w:r>
              <w:t>Julkisen sektorin kansainväliset tilinpäätösstandardit (International Public Sector Accounting Standards)</w:t>
            </w:r>
          </w:p>
        </w:tc>
      </w:tr>
      <w:tr>
        <w:tc>
          <w:tcPr>
            <w:tcW w:w="1526" w:type="dxa"/>
          </w:tcPr>
          <w:p>
            <w:pPr>
              <w:pStyle w:val="DGTextstand-alone"/>
              <w:spacing w:before="0"/>
              <w:rPr>
                <w:color w:val="016794"/>
              </w:rPr>
            </w:pPr>
            <w:r>
              <w:rPr>
                <w:color w:val="016794"/>
              </w:rPr>
              <w:t>ISF</w:t>
            </w:r>
          </w:p>
        </w:tc>
        <w:tc>
          <w:tcPr>
            <w:tcW w:w="8328" w:type="dxa"/>
          </w:tcPr>
          <w:p>
            <w:pPr>
              <w:pStyle w:val="DGTextstand-alone"/>
              <w:spacing w:before="0"/>
            </w:pPr>
            <w:r>
              <w:t>Sisäisen turvallisuuden rahasto</w:t>
            </w:r>
          </w:p>
        </w:tc>
      </w:tr>
      <w:tr>
        <w:tc>
          <w:tcPr>
            <w:tcW w:w="1526" w:type="dxa"/>
          </w:tcPr>
          <w:p>
            <w:pPr>
              <w:pStyle w:val="DGTextstand-alone"/>
              <w:spacing w:before="0"/>
              <w:rPr>
                <w:rFonts w:cs="Calibri"/>
              </w:rPr>
            </w:pPr>
            <w:r>
              <w:rPr>
                <w:color w:val="016794"/>
              </w:rPr>
              <w:t>IT</w:t>
            </w:r>
            <w:r>
              <w:t xml:space="preserve"> </w:t>
            </w:r>
          </w:p>
        </w:tc>
        <w:tc>
          <w:tcPr>
            <w:tcW w:w="8328" w:type="dxa"/>
          </w:tcPr>
          <w:p>
            <w:pPr>
              <w:pStyle w:val="DGTextstand-alone"/>
              <w:spacing w:before="0"/>
              <w:rPr>
                <w:rFonts w:cs="Calibri"/>
              </w:rPr>
            </w:pPr>
            <w:r>
              <w:t>Information Technology (tietotekniikka)</w:t>
            </w:r>
          </w:p>
        </w:tc>
      </w:tr>
      <w:tr>
        <w:tc>
          <w:tcPr>
            <w:tcW w:w="1526" w:type="dxa"/>
          </w:tcPr>
          <w:p>
            <w:pPr>
              <w:pStyle w:val="DGTextstand-alone"/>
              <w:spacing w:before="0"/>
            </w:pPr>
            <w:r>
              <w:rPr>
                <w:color w:val="016794"/>
              </w:rPr>
              <w:t>ITER</w:t>
            </w:r>
            <w:r>
              <w:t xml:space="preserve"> </w:t>
            </w:r>
          </w:p>
        </w:tc>
        <w:tc>
          <w:tcPr>
            <w:tcW w:w="8328" w:type="dxa"/>
          </w:tcPr>
          <w:p>
            <w:pPr>
              <w:pStyle w:val="DGTextstand-alone"/>
              <w:spacing w:before="0"/>
            </w:pPr>
            <w:r>
              <w:t>Kansainvälinen lämpöydinkoereaktori</w:t>
            </w:r>
          </w:p>
        </w:tc>
      </w:tr>
      <w:tr>
        <w:tc>
          <w:tcPr>
            <w:tcW w:w="1526" w:type="dxa"/>
          </w:tcPr>
          <w:p>
            <w:pPr>
              <w:pStyle w:val="DGTextstand-alone"/>
              <w:spacing w:before="0"/>
            </w:pPr>
            <w:r>
              <w:rPr>
                <w:color w:val="016794"/>
              </w:rPr>
              <w:t>JAP</w:t>
            </w:r>
            <w:r>
              <w:t xml:space="preserve"> </w:t>
            </w:r>
          </w:p>
        </w:tc>
        <w:tc>
          <w:tcPr>
            <w:tcW w:w="8328" w:type="dxa"/>
          </w:tcPr>
          <w:p>
            <w:pPr>
              <w:pStyle w:val="DGTextstand-alone"/>
              <w:spacing w:before="0"/>
            </w:pPr>
            <w:r>
              <w:t>Yhteinen toimintasuunnitelma</w:t>
            </w:r>
          </w:p>
        </w:tc>
      </w:tr>
      <w:tr>
        <w:tc>
          <w:tcPr>
            <w:tcW w:w="1526" w:type="dxa"/>
          </w:tcPr>
          <w:p>
            <w:pPr>
              <w:pStyle w:val="DGTextstand-alone"/>
              <w:spacing w:before="0"/>
            </w:pPr>
            <w:r>
              <w:rPr>
                <w:color w:val="016794"/>
              </w:rPr>
              <w:t>JRC</w:t>
            </w:r>
            <w:r>
              <w:t xml:space="preserve"> </w:t>
            </w:r>
          </w:p>
        </w:tc>
        <w:tc>
          <w:tcPr>
            <w:tcW w:w="8328" w:type="dxa"/>
          </w:tcPr>
          <w:p>
            <w:pPr>
              <w:pStyle w:val="DGTextstand-alone"/>
              <w:spacing w:before="0"/>
            </w:pPr>
            <w:r>
              <w:t>Yhteinen tutkimuskeskus</w:t>
            </w:r>
          </w:p>
        </w:tc>
      </w:tr>
      <w:tr>
        <w:tc>
          <w:tcPr>
            <w:tcW w:w="1526" w:type="dxa"/>
          </w:tcPr>
          <w:p>
            <w:pPr>
              <w:pStyle w:val="DGTextstand-alone"/>
              <w:spacing w:before="0"/>
              <w:rPr>
                <w:rFonts w:cs="Calibri"/>
              </w:rPr>
            </w:pPr>
            <w:r>
              <w:rPr>
                <w:color w:val="016794"/>
              </w:rPr>
              <w:t>JU</w:t>
            </w:r>
            <w:r>
              <w:t xml:space="preserve"> </w:t>
            </w:r>
          </w:p>
        </w:tc>
        <w:tc>
          <w:tcPr>
            <w:tcW w:w="8328" w:type="dxa"/>
          </w:tcPr>
          <w:p>
            <w:pPr>
              <w:pStyle w:val="DGTextstand-alone"/>
              <w:spacing w:before="0"/>
              <w:rPr>
                <w:rFonts w:cs="Calibri"/>
              </w:rPr>
            </w:pPr>
            <w:r>
              <w:t>Yhteisyritys</w:t>
            </w:r>
          </w:p>
        </w:tc>
      </w:tr>
      <w:tr>
        <w:tc>
          <w:tcPr>
            <w:tcW w:w="1526" w:type="dxa"/>
          </w:tcPr>
          <w:p>
            <w:pPr>
              <w:pStyle w:val="DGTextstand-alone"/>
              <w:spacing w:before="0"/>
            </w:pPr>
            <w:r>
              <w:rPr>
                <w:color w:val="016794"/>
              </w:rPr>
              <w:t>LGTT</w:t>
            </w:r>
            <w:r>
              <w:t xml:space="preserve"> </w:t>
            </w:r>
          </w:p>
        </w:tc>
        <w:tc>
          <w:tcPr>
            <w:tcW w:w="8328" w:type="dxa"/>
          </w:tcPr>
          <w:p>
            <w:pPr>
              <w:pStyle w:val="DGTextstand-alone"/>
              <w:spacing w:before="0"/>
            </w:pPr>
            <w:r>
              <w:t>TEN-T-hankkeiden lainavakuusjärjestelmä</w:t>
            </w:r>
          </w:p>
        </w:tc>
      </w:tr>
      <w:tr>
        <w:tc>
          <w:tcPr>
            <w:tcW w:w="1526" w:type="dxa"/>
          </w:tcPr>
          <w:p>
            <w:pPr>
              <w:pStyle w:val="DGTextstand-alone"/>
              <w:spacing w:before="0"/>
            </w:pPr>
            <w:r>
              <w:rPr>
                <w:color w:val="016794"/>
              </w:rPr>
              <w:t>MAP</w:t>
            </w:r>
            <w:r>
              <w:t xml:space="preserve"> </w:t>
            </w:r>
          </w:p>
        </w:tc>
        <w:tc>
          <w:tcPr>
            <w:tcW w:w="8328" w:type="dxa"/>
          </w:tcPr>
          <w:p>
            <w:pPr>
              <w:pStyle w:val="DGTextstand-alone"/>
              <w:spacing w:before="0"/>
            </w:pPr>
            <w:r>
              <w:t>Monivuotinen ohjelma – keskisuurten yritysten taloudellisen osallisuuden ohjelma</w:t>
            </w:r>
          </w:p>
        </w:tc>
      </w:tr>
      <w:tr>
        <w:tc>
          <w:tcPr>
            <w:tcW w:w="1526" w:type="dxa"/>
          </w:tcPr>
          <w:p>
            <w:pPr>
              <w:pStyle w:val="DGTextstand-alone"/>
              <w:spacing w:before="0"/>
            </w:pPr>
            <w:r>
              <w:rPr>
                <w:color w:val="016794"/>
              </w:rPr>
              <w:t>MEP</w:t>
            </w:r>
            <w:r>
              <w:t xml:space="preserve"> </w:t>
            </w:r>
          </w:p>
        </w:tc>
        <w:tc>
          <w:tcPr>
            <w:tcW w:w="8328" w:type="dxa"/>
          </w:tcPr>
          <w:p>
            <w:pPr>
              <w:pStyle w:val="DGTextstand-alone"/>
              <w:spacing w:before="0"/>
            </w:pPr>
            <w:r>
              <w:t>Euroopan parlamentin jäsen</w:t>
            </w:r>
          </w:p>
        </w:tc>
      </w:tr>
      <w:tr>
        <w:tc>
          <w:tcPr>
            <w:tcW w:w="1526" w:type="dxa"/>
          </w:tcPr>
          <w:p>
            <w:pPr>
              <w:pStyle w:val="DGTextstand-alone"/>
              <w:spacing w:before="0"/>
              <w:rPr>
                <w:iCs/>
              </w:rPr>
            </w:pPr>
            <w:r>
              <w:rPr>
                <w:color w:val="016794"/>
              </w:rPr>
              <w:t>MFA</w:t>
            </w:r>
            <w:r>
              <w:t xml:space="preserve"> </w:t>
            </w:r>
          </w:p>
        </w:tc>
        <w:tc>
          <w:tcPr>
            <w:tcW w:w="8328" w:type="dxa"/>
          </w:tcPr>
          <w:p>
            <w:pPr>
              <w:pStyle w:val="DGTextstand-alone"/>
              <w:spacing w:before="0"/>
              <w:rPr>
                <w:iCs/>
              </w:rPr>
            </w:pPr>
            <w:r>
              <w:t>Makrotaloudellinen apu</w:t>
            </w:r>
          </w:p>
        </w:tc>
      </w:tr>
      <w:tr>
        <w:tc>
          <w:tcPr>
            <w:tcW w:w="1526" w:type="dxa"/>
          </w:tcPr>
          <w:p>
            <w:pPr>
              <w:pStyle w:val="DGTextstand-alone"/>
              <w:spacing w:before="0"/>
            </w:pPr>
            <w:r>
              <w:rPr>
                <w:color w:val="016794"/>
              </w:rPr>
              <w:t>MFF</w:t>
            </w:r>
            <w:r>
              <w:t xml:space="preserve"> </w:t>
            </w:r>
          </w:p>
        </w:tc>
        <w:tc>
          <w:tcPr>
            <w:tcW w:w="8328" w:type="dxa"/>
          </w:tcPr>
          <w:p>
            <w:pPr>
              <w:pStyle w:val="DGTextstand-alone"/>
              <w:spacing w:before="0"/>
            </w:pPr>
            <w:r>
              <w:t>Monivuotinen rahoituskehys</w:t>
            </w:r>
          </w:p>
        </w:tc>
      </w:tr>
      <w:tr>
        <w:tc>
          <w:tcPr>
            <w:tcW w:w="1526" w:type="dxa"/>
          </w:tcPr>
          <w:p>
            <w:pPr>
              <w:pStyle w:val="DGTextstand-alone"/>
              <w:spacing w:before="0"/>
              <w:rPr>
                <w:rFonts w:cs="DejaVuSansCondensed-Bold"/>
                <w:bCs/>
              </w:rPr>
            </w:pPr>
            <w:r>
              <w:rPr>
                <w:color w:val="016794"/>
              </w:rPr>
              <w:t>MSME</w:t>
            </w:r>
          </w:p>
        </w:tc>
        <w:tc>
          <w:tcPr>
            <w:tcW w:w="8328" w:type="dxa"/>
          </w:tcPr>
          <w:p>
            <w:pPr>
              <w:pStyle w:val="DGTextstand-alone"/>
              <w:spacing w:before="0"/>
              <w:rPr>
                <w:rFonts w:cs="DejaVuSansCondensed-Bold"/>
                <w:bCs/>
              </w:rPr>
            </w:pPr>
            <w:r>
              <w:t>Mikro- ja pk-yritykset</w:t>
            </w:r>
          </w:p>
        </w:tc>
      </w:tr>
      <w:tr>
        <w:tc>
          <w:tcPr>
            <w:tcW w:w="1526" w:type="dxa"/>
          </w:tcPr>
          <w:p>
            <w:pPr>
              <w:pStyle w:val="DGTextstand-alone"/>
              <w:spacing w:before="0"/>
            </w:pPr>
            <w:r>
              <w:rPr>
                <w:color w:val="016794"/>
              </w:rPr>
              <w:t>NEET</w:t>
            </w:r>
            <w:r>
              <w:t xml:space="preserve"> </w:t>
            </w:r>
          </w:p>
        </w:tc>
        <w:tc>
          <w:tcPr>
            <w:tcW w:w="8328" w:type="dxa"/>
          </w:tcPr>
          <w:p>
            <w:pPr>
              <w:pStyle w:val="DGTextstand-alone"/>
              <w:spacing w:before="0"/>
            </w:pPr>
            <w:r>
              <w:t>Ilman työtä, koulutusta tai kurssitusta</w:t>
            </w:r>
          </w:p>
        </w:tc>
      </w:tr>
      <w:tr>
        <w:tc>
          <w:tcPr>
            <w:tcW w:w="1526" w:type="dxa"/>
          </w:tcPr>
          <w:p>
            <w:pPr>
              <w:pStyle w:val="DGTextstand-alone"/>
              <w:spacing w:before="0"/>
            </w:pPr>
            <w:r>
              <w:rPr>
                <w:color w:val="016794"/>
              </w:rPr>
              <w:t>ORD</w:t>
            </w:r>
            <w:r>
              <w:t xml:space="preserve"> </w:t>
            </w:r>
          </w:p>
        </w:tc>
        <w:tc>
          <w:tcPr>
            <w:tcW w:w="8328" w:type="dxa"/>
          </w:tcPr>
          <w:p>
            <w:pPr>
              <w:pStyle w:val="DGTextstand-alone"/>
              <w:spacing w:before="0"/>
            </w:pPr>
            <w:r>
              <w:t>Omien varojen järjestelmästä annettu päätös</w:t>
            </w:r>
          </w:p>
        </w:tc>
      </w:tr>
      <w:tr>
        <w:tc>
          <w:tcPr>
            <w:tcW w:w="1526" w:type="dxa"/>
          </w:tcPr>
          <w:p>
            <w:pPr>
              <w:pStyle w:val="DGTextstand-alone"/>
              <w:spacing w:before="0"/>
            </w:pPr>
            <w:r>
              <w:rPr>
                <w:color w:val="016794"/>
              </w:rPr>
              <w:t>PBI</w:t>
            </w:r>
            <w:r>
              <w:t xml:space="preserve"> </w:t>
            </w:r>
          </w:p>
        </w:tc>
        <w:tc>
          <w:tcPr>
            <w:tcW w:w="8328" w:type="dxa"/>
          </w:tcPr>
          <w:p>
            <w:pPr>
              <w:pStyle w:val="DGTextstand-alone"/>
              <w:spacing w:before="0"/>
            </w:pPr>
            <w:r>
              <w:t>Hankejoukkolainoja koskeva aloite</w:t>
            </w:r>
          </w:p>
        </w:tc>
      </w:tr>
      <w:tr>
        <w:tc>
          <w:tcPr>
            <w:tcW w:w="1526" w:type="dxa"/>
          </w:tcPr>
          <w:p>
            <w:pPr>
              <w:pStyle w:val="DGTextstand-alone"/>
              <w:spacing w:before="0"/>
            </w:pPr>
            <w:r>
              <w:rPr>
                <w:color w:val="016794"/>
              </w:rPr>
              <w:t>PF4EE</w:t>
            </w:r>
            <w:r>
              <w:t xml:space="preserve"> </w:t>
            </w:r>
          </w:p>
        </w:tc>
        <w:tc>
          <w:tcPr>
            <w:tcW w:w="8328" w:type="dxa"/>
          </w:tcPr>
          <w:p>
            <w:pPr>
              <w:pStyle w:val="DGTextstand-alone"/>
              <w:spacing w:before="0"/>
            </w:pPr>
            <w:r>
              <w:t>Energiatehokkuuden yksityinen rahoitusväline</w:t>
            </w:r>
          </w:p>
        </w:tc>
      </w:tr>
      <w:tr>
        <w:tc>
          <w:tcPr>
            <w:tcW w:w="1526" w:type="dxa"/>
          </w:tcPr>
          <w:p>
            <w:pPr>
              <w:pStyle w:val="DGTextstand-alone"/>
              <w:spacing w:before="0"/>
            </w:pPr>
            <w:r>
              <w:rPr>
                <w:color w:val="016794"/>
              </w:rPr>
              <w:t>PGF</w:t>
            </w:r>
            <w:r>
              <w:t xml:space="preserve"> </w:t>
            </w:r>
          </w:p>
        </w:tc>
        <w:tc>
          <w:tcPr>
            <w:tcW w:w="8328" w:type="dxa"/>
          </w:tcPr>
          <w:p>
            <w:pPr>
              <w:pStyle w:val="DGTextstand-alone"/>
              <w:spacing w:before="0"/>
            </w:pPr>
            <w:r>
              <w:t>Osallistujien takuurahasto</w:t>
            </w:r>
          </w:p>
        </w:tc>
      </w:tr>
      <w:tr>
        <w:tc>
          <w:tcPr>
            <w:tcW w:w="1526" w:type="dxa"/>
          </w:tcPr>
          <w:p>
            <w:pPr>
              <w:pStyle w:val="DGTextstand-alone"/>
              <w:spacing w:before="0"/>
            </w:pPr>
            <w:r>
              <w:rPr>
                <w:color w:val="016794"/>
              </w:rPr>
              <w:t>PMF</w:t>
            </w:r>
            <w:r>
              <w:t xml:space="preserve">  </w:t>
            </w:r>
          </w:p>
        </w:tc>
        <w:tc>
          <w:tcPr>
            <w:tcW w:w="8328" w:type="dxa"/>
          </w:tcPr>
          <w:p>
            <w:pPr>
              <w:pStyle w:val="DGTextstand-alone"/>
              <w:spacing w:before="0"/>
            </w:pPr>
            <w:r>
              <w:t>Eurooppalainen Progress-mikrorahoitusjärjestely</w:t>
            </w:r>
          </w:p>
        </w:tc>
      </w:tr>
      <w:tr>
        <w:tc>
          <w:tcPr>
            <w:tcW w:w="1526" w:type="dxa"/>
          </w:tcPr>
          <w:p>
            <w:pPr>
              <w:pStyle w:val="DGTextstand-alone"/>
              <w:spacing w:before="0"/>
            </w:pPr>
            <w:r>
              <w:rPr>
                <w:color w:val="016794"/>
              </w:rPr>
              <w:t>PPP</w:t>
            </w:r>
            <w:r>
              <w:t xml:space="preserve"> </w:t>
            </w:r>
          </w:p>
        </w:tc>
        <w:tc>
          <w:tcPr>
            <w:tcW w:w="8328" w:type="dxa"/>
          </w:tcPr>
          <w:p>
            <w:pPr>
              <w:pStyle w:val="DGTextstand-alone"/>
              <w:spacing w:before="0"/>
            </w:pPr>
            <w:r>
              <w:t>Julkisen ja yksityisen sektorin välinen kumppanuus</w:t>
            </w:r>
          </w:p>
        </w:tc>
      </w:tr>
      <w:tr>
        <w:tc>
          <w:tcPr>
            <w:tcW w:w="1526" w:type="dxa"/>
          </w:tcPr>
          <w:p>
            <w:pPr>
              <w:pStyle w:val="DGTextstand-alone"/>
              <w:spacing w:before="0"/>
            </w:pPr>
            <w:r>
              <w:rPr>
                <w:color w:val="016794"/>
              </w:rPr>
              <w:t>PSEO</w:t>
            </w:r>
            <w:r>
              <w:t xml:space="preserve"> </w:t>
            </w:r>
          </w:p>
        </w:tc>
        <w:tc>
          <w:tcPr>
            <w:tcW w:w="8328" w:type="dxa"/>
          </w:tcPr>
          <w:p>
            <w:pPr>
              <w:pStyle w:val="DGTextstand-alone"/>
              <w:spacing w:before="0"/>
            </w:pPr>
            <w:r>
              <w:t xml:space="preserve">Euroopan unionin virkamiesten eläkejärjestelmä </w:t>
            </w:r>
          </w:p>
        </w:tc>
      </w:tr>
      <w:tr>
        <w:tc>
          <w:tcPr>
            <w:tcW w:w="1526" w:type="dxa"/>
          </w:tcPr>
          <w:p>
            <w:pPr>
              <w:pStyle w:val="DGTextstand-alone"/>
              <w:spacing w:before="0"/>
            </w:pPr>
            <w:r>
              <w:rPr>
                <w:color w:val="016794"/>
              </w:rPr>
              <w:t>T&amp;I</w:t>
            </w:r>
            <w:r>
              <w:t xml:space="preserve"> </w:t>
            </w:r>
          </w:p>
        </w:tc>
        <w:tc>
          <w:tcPr>
            <w:tcW w:w="8328" w:type="dxa"/>
          </w:tcPr>
          <w:p>
            <w:pPr>
              <w:pStyle w:val="DGTextstand-alone"/>
              <w:spacing w:before="0"/>
            </w:pPr>
            <w:r>
              <w:t>Tutkimus ja innovointi</w:t>
            </w:r>
          </w:p>
        </w:tc>
      </w:tr>
      <w:tr>
        <w:tc>
          <w:tcPr>
            <w:tcW w:w="1526" w:type="dxa"/>
          </w:tcPr>
          <w:p>
            <w:pPr>
              <w:pStyle w:val="DGTextstand-alone"/>
              <w:spacing w:before="0"/>
            </w:pPr>
            <w:r>
              <w:rPr>
                <w:color w:val="016794"/>
              </w:rPr>
              <w:t>RAL</w:t>
            </w:r>
          </w:p>
        </w:tc>
        <w:tc>
          <w:tcPr>
            <w:tcW w:w="8328" w:type="dxa"/>
          </w:tcPr>
          <w:p>
            <w:pPr>
              <w:pStyle w:val="DGTextstand-alone"/>
              <w:spacing w:before="0"/>
            </w:pPr>
            <w:r>
              <w:t>”Reste à Liquider” (maksamatta olevat sitoumukset)</w:t>
            </w:r>
          </w:p>
        </w:tc>
      </w:tr>
      <w:tr>
        <w:tc>
          <w:tcPr>
            <w:tcW w:w="1526" w:type="dxa"/>
          </w:tcPr>
          <w:p>
            <w:pPr>
              <w:pStyle w:val="DGTextstand-alone"/>
              <w:spacing w:before="0"/>
            </w:pPr>
            <w:r>
              <w:rPr>
                <w:color w:val="016794"/>
              </w:rPr>
              <w:t>REA</w:t>
            </w:r>
            <w:r>
              <w:t xml:space="preserve"> </w:t>
            </w:r>
          </w:p>
        </w:tc>
        <w:tc>
          <w:tcPr>
            <w:tcW w:w="8328" w:type="dxa"/>
          </w:tcPr>
          <w:p>
            <w:pPr>
              <w:pStyle w:val="DGTextstand-alone"/>
              <w:spacing w:before="0"/>
            </w:pPr>
            <w:r>
              <w:t xml:space="preserve">Tutkimuksen toimeenpanovirasto  </w:t>
            </w:r>
          </w:p>
        </w:tc>
      </w:tr>
      <w:tr>
        <w:tc>
          <w:tcPr>
            <w:tcW w:w="1526" w:type="dxa"/>
          </w:tcPr>
          <w:p>
            <w:pPr>
              <w:pStyle w:val="DGTextstand-alone"/>
              <w:spacing w:before="0"/>
            </w:pPr>
            <w:r>
              <w:rPr>
                <w:color w:val="016794"/>
              </w:rPr>
              <w:t>RSFF</w:t>
            </w:r>
            <w:r>
              <w:t xml:space="preserve"> </w:t>
            </w:r>
          </w:p>
        </w:tc>
        <w:tc>
          <w:tcPr>
            <w:tcW w:w="8328" w:type="dxa"/>
          </w:tcPr>
          <w:p>
            <w:pPr>
              <w:pStyle w:val="DGTextstand-alone"/>
              <w:spacing w:before="0"/>
            </w:pPr>
            <w:r>
              <w:t>Riskinjakorahoitusväline</w:t>
            </w:r>
          </w:p>
        </w:tc>
      </w:tr>
      <w:tr>
        <w:tc>
          <w:tcPr>
            <w:tcW w:w="1526" w:type="dxa"/>
          </w:tcPr>
          <w:p>
            <w:pPr>
              <w:pStyle w:val="DGTextstand-alone"/>
              <w:spacing w:before="0"/>
            </w:pPr>
            <w:r>
              <w:rPr>
                <w:color w:val="016794"/>
              </w:rPr>
              <w:t>TTK</w:t>
            </w:r>
            <w:r>
              <w:t xml:space="preserve"> </w:t>
            </w:r>
          </w:p>
        </w:tc>
        <w:tc>
          <w:tcPr>
            <w:tcW w:w="8328" w:type="dxa"/>
          </w:tcPr>
          <w:p>
            <w:pPr>
              <w:pStyle w:val="DGTextstand-alone"/>
              <w:spacing w:before="0"/>
            </w:pPr>
            <w:r>
              <w:t>Tutkimus, teknologian kehittäminen ja demonstrointi</w:t>
            </w:r>
          </w:p>
        </w:tc>
      </w:tr>
      <w:tr>
        <w:tc>
          <w:tcPr>
            <w:tcW w:w="1526" w:type="dxa"/>
          </w:tcPr>
          <w:p>
            <w:pPr>
              <w:pStyle w:val="DGTextstand-alone"/>
              <w:spacing w:before="0"/>
            </w:pPr>
            <w:r>
              <w:rPr>
                <w:color w:val="016794"/>
              </w:rPr>
              <w:t>S&amp;P</w:t>
            </w:r>
            <w:r>
              <w:t xml:space="preserve"> </w:t>
            </w:r>
          </w:p>
        </w:tc>
        <w:tc>
          <w:tcPr>
            <w:tcW w:w="8328" w:type="dxa"/>
          </w:tcPr>
          <w:p>
            <w:pPr>
              <w:pStyle w:val="DGTextstand-alone"/>
              <w:spacing w:before="0"/>
            </w:pPr>
            <w:r>
              <w:t>Standard &amp; Poor’s Financial Services LLC</w:t>
            </w:r>
          </w:p>
        </w:tc>
      </w:tr>
      <w:tr>
        <w:tc>
          <w:tcPr>
            <w:tcW w:w="1526" w:type="dxa"/>
          </w:tcPr>
          <w:p>
            <w:pPr>
              <w:pStyle w:val="DGTextstand-alone"/>
              <w:spacing w:before="0"/>
            </w:pPr>
            <w:r>
              <w:rPr>
                <w:color w:val="016794"/>
              </w:rPr>
              <w:t>SANAD</w:t>
            </w:r>
            <w:r>
              <w:t xml:space="preserve"> </w:t>
            </w:r>
          </w:p>
        </w:tc>
        <w:tc>
          <w:tcPr>
            <w:tcW w:w="8328" w:type="dxa"/>
          </w:tcPr>
          <w:p>
            <w:pPr>
              <w:pStyle w:val="DGTextstand-alone"/>
              <w:spacing w:before="0"/>
            </w:pPr>
            <w:r>
              <w:t xml:space="preserve">MENA </w:t>
            </w:r>
            <w:r>
              <w:noBreakHyphen/>
              <w:t>rahasto mikro- ja pk-yrityksille</w:t>
            </w:r>
          </w:p>
        </w:tc>
      </w:tr>
      <w:tr>
        <w:tc>
          <w:tcPr>
            <w:tcW w:w="1526" w:type="dxa"/>
          </w:tcPr>
          <w:p>
            <w:pPr>
              <w:pStyle w:val="DGTextstand-alone"/>
              <w:spacing w:before="0"/>
              <w:rPr>
                <w:iCs/>
              </w:rPr>
            </w:pPr>
            <w:r>
              <w:rPr>
                <w:color w:val="016794"/>
              </w:rPr>
              <w:t>SAPARD</w:t>
            </w:r>
            <w:r>
              <w:t xml:space="preserve"> </w:t>
            </w:r>
          </w:p>
        </w:tc>
        <w:tc>
          <w:tcPr>
            <w:tcW w:w="8328" w:type="dxa"/>
          </w:tcPr>
          <w:p>
            <w:pPr>
              <w:pStyle w:val="DGTextstand-alone"/>
              <w:spacing w:before="0"/>
            </w:pPr>
            <w:r>
              <w:t xml:space="preserve">Maatalouden ja maaseudun kehittämisen erityinen liittymisohjelma </w:t>
            </w:r>
          </w:p>
        </w:tc>
      </w:tr>
      <w:tr>
        <w:tc>
          <w:tcPr>
            <w:tcW w:w="1526" w:type="dxa"/>
          </w:tcPr>
          <w:p>
            <w:pPr>
              <w:pStyle w:val="DGTextstand-alone"/>
              <w:spacing w:before="0"/>
            </w:pPr>
            <w:r>
              <w:rPr>
                <w:color w:val="016794"/>
              </w:rPr>
              <w:t>SEMED</w:t>
            </w:r>
            <w:r>
              <w:t xml:space="preserve"> </w:t>
            </w:r>
          </w:p>
        </w:tc>
        <w:tc>
          <w:tcPr>
            <w:tcW w:w="8328" w:type="dxa"/>
          </w:tcPr>
          <w:p>
            <w:pPr>
              <w:pStyle w:val="DGTextstand-alone"/>
              <w:spacing w:before="0"/>
            </w:pPr>
            <w:r>
              <w:t>Mikro- ja pk-yritysten taloudellisen osallisuuden ohjelma Välimeren eteläisellä ja itäisellä alueella</w:t>
            </w:r>
          </w:p>
        </w:tc>
      </w:tr>
      <w:tr>
        <w:tc>
          <w:tcPr>
            <w:tcW w:w="1526" w:type="dxa"/>
          </w:tcPr>
          <w:p>
            <w:pPr>
              <w:pStyle w:val="DGTextstand-alone"/>
              <w:spacing w:before="0"/>
            </w:pPr>
            <w:r>
              <w:rPr>
                <w:color w:val="016794"/>
              </w:rPr>
              <w:t>SESAR</w:t>
            </w:r>
            <w:r>
              <w:t xml:space="preserve"> </w:t>
            </w:r>
          </w:p>
        </w:tc>
        <w:tc>
          <w:tcPr>
            <w:tcW w:w="8328" w:type="dxa"/>
          </w:tcPr>
          <w:p>
            <w:pPr>
              <w:pStyle w:val="DGTextstand-alone"/>
              <w:spacing w:before="0"/>
            </w:pPr>
            <w:r>
              <w:t>Eurooppalaisen ilmaliikenteen hallinnan nykyaikaistamishanke</w:t>
            </w:r>
          </w:p>
        </w:tc>
      </w:tr>
      <w:tr>
        <w:tc>
          <w:tcPr>
            <w:tcW w:w="1526" w:type="dxa"/>
          </w:tcPr>
          <w:p>
            <w:pPr>
              <w:pStyle w:val="DGTextstand-alone"/>
              <w:spacing w:before="0"/>
              <w:rPr>
                <w:iCs/>
              </w:rPr>
            </w:pPr>
            <w:r>
              <w:rPr>
                <w:color w:val="016794"/>
              </w:rPr>
              <w:t>SIUGI</w:t>
            </w:r>
            <w:r>
              <w:t xml:space="preserve"> </w:t>
            </w:r>
          </w:p>
        </w:tc>
        <w:tc>
          <w:tcPr>
            <w:tcW w:w="8328" w:type="dxa"/>
          </w:tcPr>
          <w:p>
            <w:pPr>
              <w:pStyle w:val="DGTextstand-alone"/>
              <w:spacing w:before="0"/>
              <w:rPr>
                <w:iCs/>
              </w:rPr>
            </w:pPr>
            <w:r>
              <w:t>Pk-yrityksiä koskevaan aloitteeseen sisältyvä rajaamatonta vakuutta koskeva väline</w:t>
            </w:r>
          </w:p>
        </w:tc>
      </w:tr>
      <w:tr>
        <w:tc>
          <w:tcPr>
            <w:tcW w:w="1526" w:type="dxa"/>
          </w:tcPr>
          <w:p>
            <w:pPr>
              <w:pStyle w:val="DGTextstand-alone"/>
              <w:spacing w:before="0"/>
            </w:pPr>
            <w:r>
              <w:rPr>
                <w:color w:val="016794"/>
              </w:rPr>
              <w:t>Pk-yritykset</w:t>
            </w:r>
          </w:p>
        </w:tc>
        <w:tc>
          <w:tcPr>
            <w:tcW w:w="8328" w:type="dxa"/>
          </w:tcPr>
          <w:p>
            <w:pPr>
              <w:pStyle w:val="DGTextstand-alone"/>
              <w:spacing w:before="0"/>
            </w:pPr>
            <w:r>
              <w:rPr>
                <w:rStyle w:val="st1"/>
              </w:rPr>
              <w:t>Pienet ja keskisuuret yritykset</w:t>
            </w:r>
          </w:p>
        </w:tc>
      </w:tr>
      <w:tr>
        <w:tc>
          <w:tcPr>
            <w:tcW w:w="1526" w:type="dxa"/>
          </w:tcPr>
          <w:p>
            <w:pPr>
              <w:pStyle w:val="DGTextstand-alone"/>
              <w:spacing w:before="0"/>
            </w:pPr>
            <w:r>
              <w:rPr>
                <w:color w:val="016794"/>
              </w:rPr>
              <w:t>SMEW</w:t>
            </w:r>
            <w:r>
              <w:t xml:space="preserve"> </w:t>
            </w:r>
          </w:p>
        </w:tc>
        <w:tc>
          <w:tcPr>
            <w:tcW w:w="8328" w:type="dxa"/>
          </w:tcPr>
          <w:p>
            <w:pPr>
              <w:pStyle w:val="DGTextstand-alone"/>
              <w:spacing w:before="0"/>
            </w:pPr>
            <w:r>
              <w:t>Pk-yritysikkuna</w:t>
            </w:r>
          </w:p>
        </w:tc>
      </w:tr>
      <w:tr>
        <w:tc>
          <w:tcPr>
            <w:tcW w:w="1526" w:type="dxa"/>
          </w:tcPr>
          <w:p>
            <w:pPr>
              <w:pStyle w:val="DGTextstand-alone"/>
              <w:spacing w:before="0"/>
            </w:pPr>
            <w:r>
              <w:rPr>
                <w:color w:val="016794"/>
              </w:rPr>
              <w:t>SEUT</w:t>
            </w:r>
            <w:r>
              <w:t xml:space="preserve"> </w:t>
            </w:r>
          </w:p>
        </w:tc>
        <w:tc>
          <w:tcPr>
            <w:tcW w:w="8328" w:type="dxa"/>
          </w:tcPr>
          <w:p>
            <w:pPr>
              <w:pStyle w:val="DGTextstand-alone"/>
              <w:spacing w:before="0"/>
            </w:pPr>
            <w:r>
              <w:t>Sopimus Euroopan unionin toiminnasta</w:t>
            </w:r>
          </w:p>
        </w:tc>
      </w:tr>
      <w:tr>
        <w:tc>
          <w:tcPr>
            <w:tcW w:w="1526" w:type="dxa"/>
          </w:tcPr>
          <w:p>
            <w:pPr>
              <w:pStyle w:val="DGTextstand-alone"/>
              <w:spacing w:before="0"/>
            </w:pPr>
            <w:r>
              <w:rPr>
                <w:color w:val="016794"/>
              </w:rPr>
              <w:t>TOR</w:t>
            </w:r>
            <w:r>
              <w:t xml:space="preserve"> </w:t>
            </w:r>
          </w:p>
        </w:tc>
        <w:tc>
          <w:tcPr>
            <w:tcW w:w="8328" w:type="dxa"/>
          </w:tcPr>
          <w:p>
            <w:pPr>
              <w:pStyle w:val="DGTextstand-alone"/>
              <w:spacing w:before="0"/>
            </w:pPr>
            <w:r>
              <w:t>Perinteiset omat varat</w:t>
            </w:r>
          </w:p>
        </w:tc>
      </w:tr>
      <w:tr>
        <w:tc>
          <w:tcPr>
            <w:tcW w:w="1526" w:type="dxa"/>
          </w:tcPr>
          <w:p>
            <w:pPr>
              <w:pStyle w:val="DGTextstand-alone"/>
              <w:spacing w:before="0"/>
              <w:rPr>
                <w:iCs/>
              </w:rPr>
            </w:pPr>
            <w:r>
              <w:rPr>
                <w:color w:val="016794"/>
              </w:rPr>
              <w:t>TRDI</w:t>
            </w:r>
            <w:r>
              <w:t xml:space="preserve"> </w:t>
            </w:r>
          </w:p>
        </w:tc>
        <w:tc>
          <w:tcPr>
            <w:tcW w:w="8328" w:type="dxa"/>
          </w:tcPr>
          <w:p>
            <w:pPr>
              <w:pStyle w:val="DGTextstand-alone"/>
              <w:spacing w:before="0"/>
              <w:rPr>
                <w:iCs/>
              </w:rPr>
            </w:pPr>
            <w:r>
              <w:t>Maaseudun väliaikainen kehittämisväline</w:t>
            </w:r>
          </w:p>
        </w:tc>
      </w:tr>
      <w:tr>
        <w:tc>
          <w:tcPr>
            <w:tcW w:w="1526" w:type="dxa"/>
          </w:tcPr>
          <w:p>
            <w:pPr>
              <w:pStyle w:val="DGTextstand-alone"/>
              <w:spacing w:before="0"/>
            </w:pPr>
            <w:r>
              <w:rPr>
                <w:color w:val="016794"/>
              </w:rPr>
              <w:t>ALV</w:t>
            </w:r>
            <w:r>
              <w:t xml:space="preserve"> </w:t>
            </w:r>
          </w:p>
        </w:tc>
        <w:tc>
          <w:tcPr>
            <w:tcW w:w="8328" w:type="dxa"/>
          </w:tcPr>
          <w:p>
            <w:pPr>
              <w:pStyle w:val="DGTextstand-alone"/>
              <w:spacing w:before="0"/>
            </w:pPr>
            <w:r>
              <w:t>Arvonlisävero</w:t>
            </w:r>
          </w:p>
        </w:tc>
      </w:tr>
      <w:tr>
        <w:tc>
          <w:tcPr>
            <w:tcW w:w="1526" w:type="dxa"/>
          </w:tcPr>
          <w:p>
            <w:pPr>
              <w:pStyle w:val="DGTextstand-alone"/>
              <w:spacing w:before="0"/>
            </w:pPr>
            <w:r>
              <w:rPr>
                <w:color w:val="016794"/>
              </w:rPr>
              <w:t>YEI</w:t>
            </w:r>
            <w:r>
              <w:t xml:space="preserve"> </w:t>
            </w:r>
          </w:p>
        </w:tc>
        <w:tc>
          <w:tcPr>
            <w:tcW w:w="8328" w:type="dxa"/>
          </w:tcPr>
          <w:p>
            <w:pPr>
              <w:pStyle w:val="DGTextstand-alone"/>
              <w:spacing w:before="0" w:after="0"/>
            </w:pPr>
            <w:r>
              <w:t>Nuorisotyöllisyysaloite</w:t>
            </w:r>
          </w:p>
        </w:tc>
      </w:tr>
    </w:tbl>
    <w:p>
      <w:pPr>
        <w:pStyle w:val="DGTextstand-alone"/>
        <w:spacing w:after="0"/>
      </w:pPr>
      <w:r>
        <w:tab/>
        <w:t xml:space="preserve"> </w:t>
      </w:r>
      <w:bookmarkEnd w:id="379"/>
      <w:bookmarkEnd w:id="1"/>
    </w:p>
    <w:sectPr>
      <w:headerReference w:type="even" r:id="rId545"/>
      <w:headerReference w:type="default" r:id="rId546"/>
      <w:footerReference w:type="even" r:id="rId547"/>
      <w:footerReference w:type="default" r:id="rId548"/>
      <w:headerReference w:type="first" r:id="rId549"/>
      <w:footerReference w:type="first" r:id="rId550"/>
      <w:pgSz w:w="11906" w:h="16838"/>
      <w:pgMar w:top="1134" w:right="1134" w:bottom="1134"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jaVuSansCondensed-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4544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6451716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5492FE4D" id="Rectangle 3" o:spid="_x0000_s1026" style="position:absolute;margin-left:225.1pt;margin-top:.35pt;width:31.75pt;height:62.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YPcWQIAALkEAAAOAAAAZHJzL2Uyb0RvYy54bWysVE1v2zAMvQ/YfxB0X/1RO2mMOEXWIsOA&#10;oi2aDj0rshwbkCWNUuN0v36U7Hy022lYDgopMk/k42Pm1/tOkp0A22pV0uQipkQorqtWbUv643n1&#10;5YoS65iqmNRKlPRNWHq9+Pxp3ptCpLrRshJAEETZojclbZwzRRRZ3oiO2QtthMJgraFjDl3YRhWw&#10;HtE7GaVxPIl6DZUBzYW1eHs7BOki4Ne14O6hrq1wRJYUa3PhhHBu/Bkt5qzYAjNNy8cy2D9U0bFW&#10;4aNHqFvmGHmF9g+oruWgra7dBdddpOu65SL0gN0k8Ydu1g0zIvSC5FhzpMn+P1h+v3sE0lY4u3yS&#10;5ck0mUwpUazDWT0he0xtpSCXnqfe2ALT1+YRRs+i6Zve19D5b2yH7AO3b0duxd4RjpdZfJmmOSUc&#10;Q9NZPslzjxmdfmzAum9Cd8QbJQV8PDDKdnfWDamHFP+W1bKtVq2UwYHt5kYC2TE/Zmxhlo3o79Kk&#10;In1J0zyL4wD9LmjPMbLVVfL1dkhqWCUG5DzGzwF4SA8tnOFgQ1L5kkQQ31i6p24gy1sbXb0h6aAH&#10;NVrDVy32fMese2SA8kOh4kq5BzxqqbFkPVqUNBp+/e3e56MqMEpJj3Iuqf35ykBQIr8r1MssyTKv&#10;/+Bkkyvsg8B5ZDNE8mmKEfXa3WikMsHlNTyYPt/Jg1mD7l5w85b+VQwxxfHtkm4O5o0blgw3l4vl&#10;MiSh4g1zd2ptuIf2LPmJPu9fGJhx7A71cq8PwmfFh+kPuUj6icfRwf0Isxh32S/guR+yTv84i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ZpGD3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65</w:t>
    </w:r>
    <w:r>
      <w:rPr>
        <w:rFonts w:ascii="Verdana" w:hAnsi="Verdana"/>
        <w:b/>
        <w:noProof/>
        <w:color w:val="FFFFFF"/>
        <w:sz w:val="18"/>
        <w:szCs w:val="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4748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9808234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7EB03243" id="Rectangle 3" o:spid="_x0000_s1026" style="position:absolute;margin-left:225.1pt;margin-top:.35pt;width:31.75pt;height:62.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lHWQIAALkEAAAOAAAAZHJzL2Uyb0RvYy54bWysVE1v2zAMvQ/YfxB0X/0RO02MOEXWIsOA&#10;og3aDj0rshwbkCWNUuN0v36U7KRpt9OwHBRSZJ7Ix8csrg6dJHsBttWqpMlFTIlQXFet2pX0x9P6&#10;y4wS65iqmNRKlPRVWHq1/Pxp0ZtCpLrRshJAEETZojclbZwzRRRZ3oiO2QtthMJgraFjDl3YRRWw&#10;HtE7GaVxPI16DZUBzYW1eHszBOky4Ne14O6+rq1wRJYUa3PhhHBu/RktF6zYATNNy8cy2D9U0bFW&#10;4aMnqBvmGHmB9g+oruWgra7dBdddpOu65SL0gN0k8YduHhtmROgFybHmRJP9f7D8br8B0lY4u3Q+&#10;i2fpJEsoUazDWT0ge0ztpCATz1NvbIHpj2YDo2fR9E0fauj8N7ZDDoHb1xO34uAIx8ssnqRpTgnH&#10;0OU8n+a5x4zefmzAum9Cd8QbJQV8PDDK9rfWDanHFP+W1bKt1q2UwYHd9loC2TM/5mR6Oc9G9Hdp&#10;UpG+pGmexXGAfhe05xjZepZ8vRmSGlaJATmP8XMEHtJDC2c42JBUviQRxDeW7qkbyPLWVlevSDro&#10;QY3W8HWLPd8y6zYMUH4oVFwpd49HLTWWrEeLkkbDr7/d+3xUBUYp6VHOJbU/XxgISuR3hXqZJ1nm&#10;9R+cbDrDPgicR7ZDJL9MMaJeumuNVKIUsLpg+nwnj2YNunvGzVv5VzHEFMe3S7o9mtduWDLcXC5W&#10;q5CEijfM3apHwz20Z8lP9OnwzMCMY3eolzt9FD4rPkx/yEXS33gcHdyPMItxl/0Cnvsh6+0f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8onJR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66</w:t>
    </w:r>
    <w:r>
      <w:rPr>
        <w:rFonts w:ascii="Verdana" w:hAnsi="Verdana"/>
        <w:b/>
        <w:noProof/>
        <w:color w:val="FFFFFF"/>
        <w:sz w:val="18"/>
        <w:szCs w:val="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495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4902298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4868B365" id="Rectangle 3" o:spid="_x0000_s1026" style="position:absolute;margin-left:225.1pt;margin-top:.35pt;width:31.75pt;height:62.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W4WQIAALgEAAAOAAAAZHJzL2Uyb0RvYy54bWysVFFv2jAQfp+0/2D5fU1IEyCIUHWtmCah&#10;FrWd+mwch0RybO9sCOzX7+wESrs9TePB3PmOz3fffcf85tBKshdgG60KOrqKKRGK67JR24L+eFl+&#10;mVJiHVMlk1qJgh6FpTeLz5/mnZmJRNdalgIIgig760xBa+fMLIosr0XL7JU2QmGw0tAyhy5soxJY&#10;h+itjJI4HkedhtKA5sJavL3vg3QR8KtKcPdYVVY4IguKtblwQjg3/owWczbbAjN1w4cy2D9U0bJG&#10;4aNnqHvmGNlB8wdU23DQVlfuius20lXVcBF6wG5G8YdunmtmROgFybHmTJP9f7D8Yb8G0pQFzdM8&#10;TpJ8mlOiWIujekLymNpKQa49TZ2xM8x+NmsYPIum7/lQQeu/sRtyCNQez9SKgyMcL9P4OkkySjiG&#10;Jnk2zjKPGb392IB134RuiTcKCvh4IJTtV9b1qacU/5bVsimXjZTBge3mTgLZMz/l0XiSpwP6uzSp&#10;SFfQJEvjOEC/C9pLjHQ5HX2975NqVooeOYvxcwLu00MLFzjYkFS+JBG0N5TuqevJ8tZGl0fkHHQv&#10;Rmv4ssGeV8y6NQNUH+oUN8o94lFJjSXrwaKk1vDrb/c+H0WBUUo6VHNB7c8dA0GJ/K5QLvkoTb38&#10;g5OOp9gHgcvIpo9kkwQjatfeaaRyhLtreDB9vpMnswLdvuLi3fpXMcQUx7cLujmZd67fMVxcLm5v&#10;QxIK3jC3Us+Ge2jPkp/oy+GVgRnG7lAvD/qkezb7MP0+F0l/43FwcD3CLIZV9vt36Yestz+cx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LXkVuF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67</w:t>
    </w:r>
    <w:r>
      <w:rPr>
        <w:rFonts w:ascii="Verdana" w:hAnsi="Verdana"/>
        <w:b/>
        <w:noProof/>
        <w:color w:val="FFFFFF"/>
        <w:sz w:val="18"/>
        <w:szCs w:val="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8400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59F73B08" id="Rectangle 3" o:spid="_x0000_s1026" style="position:absolute;margin-left:225.1pt;margin-top:.35pt;width:31.75pt;height:62.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2UUgIAALA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pQo&#10;1uGIHpE0prZSkAtPT29sgVlP5gFGz6Lpez3U0Plv7IIcAqXHV0rFwRGOl1l8kaY5JRxDs8t8muce&#10;M3r7sQHrvgndEW+UFPDxQCTbr60bUk8p/i2rZVutWimDA9vNrQSyZ366yXR2mY3o79KkIj32l2dx&#10;HKDfBe05RraaJ1+XQ1LDKjEg5zF+TsBDemjhDAcbksqXJILmxtI9dQNZ3tro6ohcgx5EaA1ftdjz&#10;mln3wABVh/rETXL3eNRSY8l6tChpNPz6273PRzFglJIeVVxS+3PHQFAivyuUyWWSZV72wcmmc+yD&#10;wHlkM0TyWYoRtetuNVKZ4M4aHkyf7+TJrEF3L7hwN/5VDDHF8e2Sbk7mrRt2CxeWi5ubkIRCN8yt&#10;1ZPhHtqz5Cf6fHhhYMaxO9TLnT7pnRUfpj/kIulvPI4OrkWYxbjCfu/O/ZD19kez+A0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BmZS2UUgIAALAEAAAOAAAAAAAAAAAAAAAAAC4CAABkcnMvZTJvRG9jLnhtbFBLAQItABQA&#10;BgAIAAAAIQBm83ch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w:t>
    </w:r>
    <w:r>
      <w:rPr>
        <w:rFonts w:ascii="Verdana" w:hAnsi="Verdana"/>
        <w:b/>
        <w:noProof/>
        <w:color w:val="FFFFFF"/>
        <w:sz w:val="18"/>
        <w:szCs w:val="18"/>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515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5707973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26983687" id="Rectangle 3" o:spid="_x0000_s1026" style="position:absolute;margin-left:225.1pt;margin-top:.35pt;width:31.75pt;height:62.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ERWQIAALgEAAAOAAAAZHJzL2Uyb0RvYy54bWysVFFv2jAQfp+0/2D5fSTQhABqqBiIaVLV&#10;orZTn43jkEiO7Z0Ngf36nZ1QaLenaTyYO9/x+e6777i9OzaSHATYWqucDgcxJUJxXdRql9MfL+sv&#10;E0qsY6pgUiuR05Ow9G7++dNta2ZipCstCwEEQZSdtSanlXNmFkWWV6JhdqCNUBgsNTTMoQu7qADW&#10;Inojo1Ecj6NWQ2FAc2Et3q66IJ0H/LIU3D2WpRWOyJxibS6cEM6tP6P5LZvtgJmq5n0Z7B+qaFit&#10;8NE3qBVzjOyh/gOqqTloq0s34LqJdFnWXIQesJth/KGb54oZEXpBcqx5o8n+P1j+cNgAqYucJmkW&#10;Z9PsJqNEsQZH9YTkMbWTgtx4mlpjZ5j9bDbQexZN3/OxhMZ/YzfkGKg9vVErjo5wvEzim9EopYRj&#10;KJum4zT1mNHlxwas+yZ0Q7yRU8DHA6HscG9dl3pO8W9ZLetiXUsZHNhtlxLIgfkpD8fZNOnR36VJ&#10;RdqcjtIkjgP0u6C9xkjWk+HXVZdUsUJ0yGmMnzNwlx5auMLBhqTyJYmgvb50T11Hlre2ujgh56A7&#10;MVrD1zX2fM+s2zBA9aFOcaPcIx6l1Fiy7i1KKg2//nbv81EUGKWkRTXn1P7cMxCUyO8K5TIdJomX&#10;f3CS8QT7IHAd2XaRNBthRO2bpUYqh7i7hgfT5zt5NkvQzSsu3sK/iiGmOL6d0+3ZXLpux3BxuVgs&#10;QhIK3jB3r54N99CeJT/Rl+MrA9OP3aFeHvRZ92z2YfpdLpJ+4bF3cD3CLPpV9vt37Yesyx/O/D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hF2xE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5363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76753274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7EF5B6FD" id="Rectangle 3" o:spid="_x0000_s1026" style="position:absolute;margin-left:225.1pt;margin-top:.35pt;width:31.75pt;height:6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kFJWQIAALgEAAAOAAAAZHJzL2Uyb0RvYy54bWysVE1v2zAMvQ/YfxB0X+24dr5Qp8hSZBhQ&#10;tEHToWdFlmMDsqRRSpzs14+SnY92Ow3LQSFF5ol8fMzd/aGRZC/A1lrldHATUyIU10Wttjn98br8&#10;MqbEOqYKJrUSOT0KS+9nnz/dtWYqEl1pWQggCKLstDU5rZwz0yiyvBINszfaCIXBUkPDHLqwjQpg&#10;LaI3MkrieBi1GgoDmgtr8fahC9JZwC9Lwd1zWVrhiMwp1ubCCeHc+DOa3bHpFpipat6Xwf6hiobV&#10;Ch89Qz0wx8gO6j+gmpqDtrp0N1w3kS7LmovQA3YziD90s66YEaEXJMeaM032/8Hyp/0KSF3kdDQc&#10;ZbfJKB1SoliDo3pB8pjaSkFuPU2tsVPMXpsV9J5F0/d8KKHx39gNOQRqj2dqxcERjpdpfJskGSUc&#10;Q6NJNswyjxldfmzAum9CN8QbOQV8PBDK9o/WdamnFP+W1bIulrWUwYHtZiGB7Jmf8mA4mqQ9+rs0&#10;qUib0yRL4zhAvwvaa4x0OR58feiSKlaIDjmL8XMC7tJDC1c42JBUviQRtNeX7qnryPLWRhdH5Bx0&#10;J0Zr+LLGnh+ZdSsGqD7UKW6Ue8ajlBpL1r1FSaXh19/ufT6KAqOUtKjmnNqfOwaCEvldoVwmgzT1&#10;8g9OOhxjHwSuI5suko0SjKhds9BI5QB31/Bg+nwnT2YJunnDxZv7VzHEFMe3c7o5mQvX7RguLhfz&#10;eUhCwRvmHtXacA/tWfITfT28MTD92B3q5UmfdM+mH6bf5SLpFx57B9cjzKJfZb9/137IuvzhzH4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Wu5BS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556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9178997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1801761F" id="Rectangle 3" o:spid="_x0000_s1026" style="position:absolute;margin-left:225.1pt;margin-top:.35pt;width:31.75pt;height:62.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o37WgIAALgEAAAOAAAAZHJzL2Uyb0RvYy54bWysVMFu2zAMvQ/YPwi6r7YTO06MOEWWIsOA&#10;oi3aDj0rshwbkCWNUuN0Xz9Kdtq022lYDgopMk/k42OWl8dOkoMA22pV0uQipkQorqtW7Uv643H7&#10;ZU6JdUxVTGolSvoiLL1cff607E0hJrrRshJAEETZojclbZwzRRRZ3oiO2QtthMJgraFjDl3YRxWw&#10;HtE7GU3ieBb1GioDmgtr8fZqCNJVwK9rwd1tXVvhiCwp1ubCCeHc+TNaLVmxB2aalo9lsH+oomOt&#10;wkdfoa6YY+QZ2j+gupaDtrp2F1x3ka7rlovQA3aTxB+6eWiYEaEXJMeaV5rs/4PlN4c7IG1V0uki&#10;yeeLRZ5ToliHo7pH8pjaS0Gmnqbe2AKzH8wdjJ5F0/d8rKHz39gNOQZqX16pFUdHOF6m8XQyySjh&#10;GMoX2SzLPGb09mMD1n0TuiPeKCng44FQdri2bkg9pfi3rJZttW2lDA7sdxsJ5MD8lJNZvkhH9Hdp&#10;UpG+pJMsjeMA/S5ozzHS7Tz5ejUkNawSA3IW4+cEPKSHFs5wsCGpfEkiaG8s3VM3kOWtna5ekHPQ&#10;gxit4dsWe75m1t0xQPWhTnGj3C0etdRYsh4tShoNv/527/NRFBilpEc1l9T+fGYgKJHfFcplkaSp&#10;l39w0tkc+yBwHtkNkSyfYEQ9dxuNVCa4u4YH0+c7eTJr0N0TLt7av4ohpji+XdLdydy4YcdwcblY&#10;r0MSCt4wd60eDPfQniU/0cfjEwMzjt2hXm70Sfes+DD9IRdJf+NxdHA9wizGVfb7d+6HrLc/nN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M7mjftaAgAAuA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5772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9007517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3A6CD8C2" id="Rectangle 3" o:spid="_x0000_s1026" style="position:absolute;margin-left:225.1pt;margin-top:.35pt;width:31.75pt;height:6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nxWQIAALg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Suc3TyO&#10;p3kynVKiWIejekTymNpJQS49Tb2xBWZvzAOMnkXT93yoofPf2A05BGpfT9SKgyMcL7P4Mk1zSjiG&#10;pvN8kuceM3r7sQHrvgndEW+UFPDxQCjb31o3pB5T/FtWy7Zat1IGB3bbawlkz/yUk8l0no3o79Kk&#10;In1J0zyL4wD9LmjPMbL1LPl6MyQ1rBIDch7j5wg8pIcWznCwIal8SSJobyzdUzeQ5a2trl6Rc9CD&#10;GK3h6xZ7vmXWPTBA9aFOcaPcPR611FiyHi1KGg2//nbv81EUGKWkRzWX1P58YSAokd8VymWeZJmX&#10;f3CyyQz7IHAe2Q6RfJpiRL101xqpTHB3DQ+mz3fyaNagu2dcvJV/FUNMcXy7pNujee2GHcPF5WK1&#10;CkkoeMPcrdoY7qE9S36iT4dnBmYcu0O93Omj7lnxYfpDLpL+xuPo4HqEWYyr7Pfv3A9Zb3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3x2J8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5977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95002676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2C774B51" id="Rectangle 3" o:spid="_x0000_s1026" style="position:absolute;margin-left:225.1pt;margin-top:.35pt;width:31.75pt;height:62.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XX5WgIAALkEAAAOAAAAZHJzL2Uyb0RvYy54bWysVE1v2zAMvQ/YfxB0X/1ROx9GnCJrkWFA&#10;0RZNh54VWY4NyJJGqXG6Xz9KdtK022nYRSFF+ol8fMzi6tBJshdgW61KmlzElAjFddWqXUl/PK2/&#10;zCixjqmKSa1ESV+FpVfLz58WvSlEqhstKwEEQZQtelPSxjlTRJHljeiYvdBGKAzWGjrm0IVdVAHr&#10;Eb2TURrHk6jXUBnQXFiLtzdDkC4Dfl0L7u7r2gpHZEmxNhdOCOfWn9FywYodMNO0fCyD/UMVHWsV&#10;PnqCumGOkRdo/4DqWg7a6tpdcN1Fuq5bLkIP2E0Sf+hm0zAjQi9IjjUnmuz/g+V3+wcgbYWzm+dx&#10;nE6mk5QSxTqc1SOyx9ROCnLpeeqNLTB9Yx5g9CyavulDDZ3/xXbIIXD7euJWHBzheJnFl2maU8Ix&#10;NJ3nkzz3mNHbxwas+yZ0R7xRUsDHA6Nsf2vdkHpM8W9ZLdtq3UoZHNhtryWQPfNjTibTeTaiv0uT&#10;ivQlTfMsjgP0u6A9x8jWs+TrzZDUsEoMyEgQfjnUMqaHFs5wsCGpfEkiiG8s3VM3kOWtra5ekXTQ&#10;gxqt4esWe75l1j0wQPmhUHGl3D0etdRYsh4tShoNv/527/NRFRilpEc5l9T+fGEgKJHfFeplnmSZ&#10;139wsskM+yBwHtkOkXyaYkS9dNcaqUxweQ0Pps938mjWoLtn3LyVfxVDTHF8u6Tbo3nthiXDzeVi&#10;tQpJqHjD3K3aGO6hPUt+ok+HZwZmHLtDvdzpo/BZ8WH6Qy6S/sbj6OB+hFmMu+wX8NwPWW//OMvf&#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M71dfl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68</w:t>
    </w:r>
    <w:r>
      <w:rPr>
        <w:rFonts w:ascii="Verdana" w:hAnsi="Verdana"/>
        <w:b/>
        <w:noProof/>
        <w:color w:val="FFFFFF"/>
        <w:sz w:val="18"/>
        <w:szCs w:val="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18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8302839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44CCF38A" id="Rectangle 3" o:spid="_x0000_s1026" style="position:absolute;margin-left:225.1pt;margin-top:.35pt;width:31.75pt;height:62.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z1WQIAALkEAAAOAAAAZHJzL2Uyb0RvYy54bWysVN9v2jAQfp+0/8Hy+0gICb/UUDEQ06Sq&#10;RW2nPhvHIZEc2zsbAvvrd3ZCS7s9TePB3PmOz3fffcfN7amR5CjA1lrldDiIKRGK66JW+5z+eN58&#10;mVJiHVMFk1qJnJ6FpbeLz59uWjMXia60LAQQBFF23pqcVs6ZeRRZXomG2YE2QmGw1NAwhy7sowJY&#10;i+iNjJI4HkethsKA5sJavF13QboI+GUpuHsoSysckTnF2lw4IZw7f0aLGzbfAzNVzfsy2D9U0bBa&#10;4aOvUGvmGDlA/QdUU3PQVpduwHUT6bKsuQg9YDfD+EM3TxUzIvSC5FjzSpP9f7D8/rgFUhc4u8l0&#10;FCfT0QwnpliDs3pE9pjaS0FGnqfW2DmmP5kt9J5F0zd9KqHx39gOOQVuz6/cipMjHC/TeJQkGSUc&#10;Q5NZNs4yjxm9/diAdd+Ebog3cgr4eGCUHe+s61IvKf4tq2VdbGopgwP73UoCOTI/5uF4Mkt79Hdp&#10;UpE2p0mWxnGAfhe01xjpZjr8uu6SKlaIDjmL8XMB7tJDC1c42JBUviQRxNeX7qnryPLWThdnJB10&#10;p0Zr+KbGnu+YdVsGKD8UKq6Ue8CjlBpL1r1FSaXh19/ufT6qAqOUtCjnnNqfBwaCEvldoV5mwzT1&#10;+g9OOp5iHwSuI7sukk0SjKhDs9JI5RCX1/Bg+nwnL2YJunnBzVv6VzHEFMe3c7q7mCvXLRluLhfL&#10;ZUhCxRvm7tST4R7as+Qn+nx6YWD6sTvUy72+CJ/NP0y/y0XS33jsHdyPMIt+l/0CXvsh6+0fZ/E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IUks9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65</w:t>
    </w:r>
    <w:r>
      <w:rPr>
        <w:rFonts w:ascii="Verdana" w:hAnsi="Verdana"/>
        <w:b/>
        <w:noProof/>
        <w:color w:val="FFFFFF"/>
        <w:sz w:val="18"/>
        <w:szCs w:val="18"/>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387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12211833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64A899A4" id="Rectangle 3" o:spid="_x0000_s1026" style="position:absolute;margin-left:225.1pt;margin-top:.35pt;width:31.75pt;height:62.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0cuWQIAALkEAAAOAAAAZHJzL2Uyb0RvYy54bWysVN9v2jAQfp+0/8Hy+5ofJBQQoWKtmCah&#10;FrWd+mwch0RybO/sEthfv7MTCu32NI0Hc+c7Pt999x3zm0MryV6AbbQqaHIVUyIU12WjdgX98bz6&#10;MqHEOqZKJrUSBT0KS28Wnz/NOzMTqa61LAUQBFF21pmC1s6ZWRRZXouW2StthMJgpaFlDl3YRSWw&#10;DtFbGaVxPI46DaUBzYW1eHvXB+ki4FeV4O6hqqxwRBYUa3PhhHBu/Rkt5my2A2bqhg9lsH+oomWN&#10;wkffoO6YY+QVmj+g2oaDtrpyV1y3ka6qhovQA3aTxB+6eaqZEaEXJMeaN5rs/4Pl9/sNkKYsaJqk&#10;aZJMRqMpJYq1OKtHZI+pnRRk5HnqjJ1h+pPZwOBZNH3Thwpa/43tkEPg9vjGrTg4wvEyi0dpmlPC&#10;MXQ9zcd57jGj848NWPdN6JZ4o6CAjwdG2X5tXZ96SvFvWS2bctVIGRzYbW8lkD3zY07G19NsQH+X&#10;JhXpsNE8i+MA/S5oLzGy1ST5etcn1awUPXIe4+cE3KeHFi5wsCGpfEkiiG8o3VPXk+WtrS6PSDro&#10;Xo3W8FWDPa+ZdRsGKD8UKq6Ue8CjkhpL1oNFSa3h19/ufT6qAqOUdCjngtqfrwwEJfK7Qr1Mkyzz&#10;+g9ONp5gHwQuI9s+kl+nGFGv7a1GKhNcXsOD6fOdPJkV6PYFN2/pX8UQUxzfLuj2ZN66fslwc7lY&#10;LkMSKt4wt1ZPhntoz5Kf6PPhhYEZxu5QL/f6JHw2+zD9PhdJP/M4OLgfYRbDLvsFvPRD1vkfZ/E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7Q9HL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69</w:t>
    </w:r>
    <w:r>
      <w:rPr>
        <w:rFonts w:ascii="Verdana" w:hAnsi="Verdana"/>
        <w:b/>
        <w:noProof/>
        <w:color w:val="FFFFFF"/>
        <w:sz w:val="18"/>
        <w:szCs w:val="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592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11234085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45A5E0C2" id="Rectangle 3" o:spid="_x0000_s1026" style="position:absolute;margin-left:225.1pt;margin-top:.35pt;width:31.75pt;height:62.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zVWQIAALkEAAAOAAAAZHJzL2Uyb0RvYy54bWysVE1v2zAMvQ/YfxB0X/wRO02NOEXWIsOA&#10;oi3aDj0rshwbkCWNUuJ0v36U7KRpt9OwHBRSZJ7Ix8csrg6dJHsBttWqpMkkpkQorqtWbUv643n9&#10;ZU6JdUxVTGolSvoqLL1afv606E0hUt1oWQkgCKJs0ZuSNs6ZIoosb0TH7EQboTBYa+iYQxe2UQWs&#10;R/RORmkcz6JeQ2VAc2Et3t4MQboM+HUtuLuvaysckSXF2lw4IZwbf0bLBSu2wEzT8rEM9g9VdKxV&#10;+OgJ6oY5RnbQ/gHVtRy01bWbcN1Fuq5bLkIP2E0Sf+jmqWFGhF6QHGtONNn/B8vv9g9A2qqkaZKk&#10;0yye5wklinU4q0dkj6mtFGTqeeqNLTD9yTzA6Fk0fdOHGjr/je2QQ+D29cStODjC8TKLp2maU8Ix&#10;dHGZz/LcY0ZvPzZg3TehO+KNkgI+Hhhl+1vrhtRjin/LatlW61bK4MB2cy2B7JkfczK7uMxG9Hdp&#10;UpEeG82zOA7Q74L2HCNbz5OvN0NSwyoxIOcxfo7AQ3po4QwHG5LKlySC+MbSPXUDWd7a6OoVSQc9&#10;qNEavm6x51tm3QMDlB8KFVfK3eNRS40l69GipNHw62/3Ph9VgVFKepRzSe3PHQNBifyuUC+XSZZ5&#10;/Qcnm82xDwLnkc0QyS9SjKhdd62RSpQCVhdMn+/k0axBdy+4eSv/KoaY4vh2STdH89oNS4aby8Vq&#10;FZJQ8Ya5W/VkuIf2LPmJPh9eGJhx7A71cqePwmfFh+kPuUj6G4+jg/sRZjHusl/Acz9kvf3jL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gJCM1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66</w:t>
    </w:r>
    <w:r>
      <w:rPr>
        <w:rFonts w:ascii="Verdana" w:hAnsi="Verdana"/>
        <w:b/>
        <w:noProof/>
        <w:color w:val="FFFFFF"/>
        <w:sz w:val="18"/>
        <w:szCs w:val="18"/>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79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9414535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155DF033" id="Rectangle 3" o:spid="_x0000_s1026" style="position:absolute;margin-left:225.1pt;margin-top:.35pt;width:31.75pt;height:62.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4l1WgIAALkEAAAOAAAAZHJzL2Uyb0RvYy54bWysVE1v2zAMvQ/YfxB0X/0ROx9GnKJrkWFA&#10;0RZNh54VWY4NyJJGqXG6Xz9KdtK022lYDgopMk/k42OWl4dOkr0A22pV0uQipkQorqtW7Ur642n9&#10;ZU6JdUxVTGolSvoqLL1cff607E0hUt1oWQkgCKJs0ZuSNs6ZIoosb0TH7IU2QmGw1tAxhy7sogpY&#10;j+idjNI4nka9hsqA5sJavL0ZgnQV8OtacHdf11Y4IkuKtblwQji3/oxWS1bsgJmm5WMZ7B+q6Fir&#10;8NET1A1zjLxA+wdU13LQVtfugusu0nXdchF6wG6S+EM3m4YZEXpBcqw50WT/Hyy/2z8AaSucXbzI&#10;kiyf5DNKFOtwVo/IHlM7KcjE89QbW2D6xjzA6Fk0fdOHGjr/je2QQ+D29cStODjC8TKLJ2maU8Ix&#10;NFvk0zz3mNHbjw1Y903ojnijpICPB0bZ/ta6IfWY4t+yWrbVupUyOLDbXksge+bHnExni2xEf5cm&#10;FelLmuZZHAfod0F7jpGt58nXmyGpYZUYkPMYP0fgIT20cIaDDUnlSxJBfGPpnrqBLG9tdfWKpIMe&#10;1GgNX7fY8y2z7oEByg+Fiivl7vGopcaS9WhR0mj49bd7n4+qwCglPcq5pPbnCwNBifyuUC+LJMu8&#10;/oOTTefYB4HzyHaI5LMUI+qlu9ZIZYLLa3gwfb6TR7MG3T3j5l35VzHEFMe3S7o9mtduWDLcXC6u&#10;rkISKt4wd6s2hntoz5Kf6NPhmYEZx+5QL3f6KHxWfJj+kIukv/E4OrgfYRbjLvsFPPdD1ts/zuo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HWDiXV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70</w:t>
    </w:r>
    <w:r>
      <w:rPr>
        <w:rFonts w:ascii="Verdana" w:hAnsi="Verdana"/>
        <w:b/>
        <w:noProof/>
        <w:color w:val="FFFFFF"/>
        <w:sz w:val="18"/>
        <w:szCs w:val="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001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76108048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45C59BB5" id="Rectangle 3" o:spid="_x0000_s1026" style="position:absolute;margin-left:225.1pt;margin-top:.35pt;width:31.75pt;height:62.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hTWQIAALgEAAAOAAAAZHJzL2Uyb0RvYy54bWysVE1v2zAMvQ/YfxB0X/1RO0mNOEXWIsOA&#10;og2aDj0rshwbkCWNUuN0v36U7KRpt9OwHBRSZJ7Ix8fMrw+dJHsBttWqpMlFTIlQXFet2pX0x9Pq&#10;y4wS65iqmNRKlPRVWHq9+Pxp3ptCpLrRshJAEETZojclbZwzRRRZ3oiO2QtthMJgraFjDl3YRRWw&#10;HtE7GaVxPIl6DZUBzYW1eHs7BOki4Ne14O6hrq1wRJYUa3PhhHBu/Rkt5qzYATNNy8cy2D9U0bFW&#10;4aMnqFvmGHmB9g+oruWgra7dBdddpOu65SL0gN0k8YduNg0zIvSC5Fhzosn+P1h+v18DaauSTidJ&#10;PIuz2YQSxToc1SOSx9ROCnLpaeqNLTB7Y9YwehZN3/Ohhs5/YzfkEKh9PVErDo5wvMziyzTNKeEY&#10;ml7lkzz3mNHbjw1Y903ojnijpICPB0LZ/s66IfWY4t+yWrbVqpUyOLDb3kgge+annEymV9mI/i5N&#10;KtKXNM2zOA7Q74L2HCNbzZKvt0NSwyoxIOcxfo7AQ3po4QwHG5LKlySC9sbSPXUDWd7a6uoVOQc9&#10;iNEavmqx5ztm3ZoBqg91ihvlHvCopcaS9WhR0mj49bd7n4+iwCglPaq5pPbnCwNBifyuUC5XSZZ5&#10;+Qcnm8ywDwLnke0QyacpRtRLd6ORygR31/Bg+nwnj2YNunvGxVv6VzHEFMe3S7o9mjdu2DFcXC6W&#10;y5CEgjfM3amN4R7as+Qn+nR4ZmDGsTvUy70+6p4VH6Y/5CLpbzyODq5HmMW4yn7/zv2Q9faHs/g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R2loU1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8604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00332643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4132417C" id="Rectangle 3" o:spid="_x0000_s1026" style="position:absolute;margin-left:225.1pt;margin-top:.35pt;width:31.75pt;height:62.6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RwWQIAALkEAAAOAAAAZHJzL2Uyb0RvYy54bWysVE1v2zAMvQ/YfxB0X/wRO0mNOEXXIMOA&#10;oi3aDj0rshwbkCWNUuN0v36U7KRpt9OwHBRSZJ7Ix8csLw+dJHsBttWqpMkkpkQorqtW7Ur642nz&#10;ZUGJdUxVTGolSvoqLL1cff607E0hUt1oWQkgCKJs0ZuSNs6ZIoosb0TH7EQboTBYa+iYQxd2UQWs&#10;R/RORmkcz6JeQ2VAc2Et3q6HIF0F/LoW3N3VtRWOyJJibS6cEM6tP6PVkhU7YKZp+VgG+4cqOtYq&#10;fPQEtWaOkRdo/4DqWg7a6tpNuO4iXdctF6EH7CaJP3Tz2DAjQi9IjjUnmuz/g+W3+3sgbVVSZHM6&#10;TWfZdE6JYh3O6gHZY2onBZl6nnpjC0x/NPcwehZN3/Shhs5/YzvkELh9PXErDo5wvMziaZrmlHAM&#10;zS/yWZ57zOjtxwas+yZ0R7xRUsDHA6Nsf2PdkHpM8W9ZLdtq00oZHNhtryWQPfNjTmbzi2xEf5cm&#10;Femx0TyL4wD9LmjPMbLNIvm6HpIaVokBOY/xcwQe0kMLZzjYkFS+JBHEN5buqRvI8tZWV69IOuhB&#10;jdbwTYs93zDr7hmg/FCouFLuDo9aaixZjxYljYZff7v3+agKjFLSo5xLan++MBCUyO8K9XKRZJnX&#10;f3Cy2QL7IHAe2Q6RfJ5iRL101xqpTHB5DQ+mz3fyaNagu2fcvCv/KoaY4vh2SbdH89oNS4aby8XV&#10;VUhCxRvmbtSj4R7as+Qn+nR4ZmDGsTvUy60+Cp8VH6Y/5CLpbzyODu5HmMW4y34Bz/2Q9faPs/o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gnnEc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w:t>
    </w:r>
    <w:r>
      <w:rPr>
        <w:rFonts w:ascii="Verdana" w:hAnsi="Verdana"/>
        <w:b/>
        <w:noProof/>
        <w:color w:val="FFFFFF"/>
        <w:sz w:val="18"/>
        <w:szCs w:val="18"/>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206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2603101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3A93E1EC" id="Rectangle 3" o:spid="_x0000_s1026" style="position:absolute;margin-left:225.1pt;margin-top:.35pt;width:31.75pt;height:62.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byFWQIAALkEAAAOAAAAZHJzL2Uyb0RvYy54bWysVE1v2zAMvQ/YfxB0X/xRO0mNOkXXIMOA&#10;og3aDj0rshwbkCWNUuJkv36U7LRpt9OwHBRSfHkiH8lcXR86SfYCbKtVSZNJTIlQXFet2pb0x/Pq&#10;y5wS65iqmNRKlPQoLL1efP501ZtCpLrRshJAkETZojclbZwzRRRZ3oiO2Yk2QmGw1tAxhy5sowpY&#10;j+ydjNI4nka9hsqA5sJavF0OQboI/HUtuHuoaysckSXF3Fw4IZwbf0aLK1ZsgZmm5WMa7B+y6Fir&#10;8NFXqiVzjOyg/YOqazloq2s34bqLdF23XIQasJok/lDNU8OMCLWgONa8ymT/Hy2/36+BtBX2bpZO&#10;44sEs6BEsQ579YjqMbWVglx4nXpjC4Q/mTWMnkXTF32oofPfWA45BG2Pr9qKgyMcL7P4Ik1zSjiG&#10;Zpf5NM89Z/T2YwPWfRO6I94oKeDjQVG2v7NugJ4g/i2rZVutWimDA9vNrQSyZ77NyXR2mY3s72BS&#10;kb6kaZ7FcaB+F7TnHNlqnnxdDqCGVWJgzmP8nIgHeCjhjAcLksqnJMLwjal76QaxvLXR1RFFBz1M&#10;ozV81WLNd8y6NQMcP+wArpR7wKOWGlPWo0VJo+HX3+49HqcCo5T0OM4ltT93DAQl8rvCeblMsszP&#10;f3Cy6RzrIHAe2QyRfJb6/u+6W41SJri8hgfT4508mTXo7gU378a/iiGmOL5d0s3JvHXDkuHmcnFz&#10;E0A48Ya5O/VkuKf2KvmOPh9eGJix7Q7n5V6fBp8VH7o/YFH0Nx1HB/cj9GLcZb+A535Avf3jLH4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quW8h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411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08863462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73D66EBB" id="Rectangle 3" o:spid="_x0000_s1026" style="position:absolute;margin-left:225.1pt;margin-top:.35pt;width:31.75pt;height:62.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UdWgIAALkEAAAOAAAAZHJzL2Uyb0RvYy54bWysVMFu2zAMvQ/YPwi6L3Yc202NOEXWIsOA&#10;oi3aDj0rshwbkCWNUuJ0Xz9KdtK022lYDgopMk/k42MWV4dOkr0A22pV0ukkpkQorqtWbUv643n9&#10;ZU6JdUxVTGolSvoqLL1afv606E0hEt1oWQkgCKJs0ZuSNs6ZIoosb0TH7EQboTBYa+iYQxe2UQWs&#10;R/RORkkc51GvoTKgubAWb2+GIF0G/LoW3N3XtRWOyJJibS6cEM6NP6PlghVbYKZp+VgG+4cqOtYq&#10;fPQEdcMcIzto/4DqWg7a6tpNuO4iXdctF6EH7GYaf+jmqWFGhF6QHGtONNn/B8vv9g9A2qqkSTyf&#10;57M0T3JKFOtwVo/IHlNbKcjM89QbW2D6k3mA0bNo+qYPNXT+G9shh8Dt64lbcXCE42Uaz5Iko4Rj&#10;6OIyy7PMY0ZvPzZg3TehO+KNkgI+Hhhl+1vrhtRjin/LatlW61bK4MB2cy2B7Jkf8zS/uExH9Hdp&#10;UpEeG83SOA7Q74L2HCNdz6dfb4akhlViQM5i/ByBh/TQwhkONiSVL0kE8Y2le+oGsry10dUrkg56&#10;UKM1fN1iz7fMugcGKD8UKq6Uu8ejlhpL1qNFSaPh19/ufT6qAqOU9CjnktqfOwaCEvldoV4up2nq&#10;9R+cNJ9jHwTOI5shkl0kGFG77lojlVNcXsOD6fOdPJo16O4FN2/lX8UQUxzfLunmaF67Yclwc7lY&#10;rUISKt4wd6ueDPfQniU/0efDCwMzjt2hXu70Ufis+DD9IRdJf+NxdHA/wizGXfYLeO6HrLd/nO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BjB5R1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71</w:t>
    </w:r>
    <w:r>
      <w:rPr>
        <w:rFonts w:ascii="Verdana" w:hAnsi="Verdana"/>
        <w:b/>
        <w:noProof/>
        <w:color w:val="FFFFFF"/>
        <w:sz w:val="18"/>
        <w:szCs w:val="18"/>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616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4557707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0643287E" id="Rectangle 3" o:spid="_x0000_s1026" style="position:absolute;margin-left:225.1pt;margin-top:.35pt;width:31.75pt;height:62.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xkNWAIAALkEAAAOAAAAZHJzL2Uyb0RvYy54bWysVE2P2jAQvVfqf7B8LwlswpcIKwqiqrTa&#10;RctWezaOQyI5tjs2hO2v79gJH7vtqSoHM+N5PM+8mWF2f6olOQqwlVYZ7fdiSoTiOq/UPqM/XtZf&#10;xpRYx1TOpFYio2/C0vv550+zxkzFQJda5gIIkig7bUxGS+fMNIosL0XNbE8boTBYaKiZQxf2UQ6s&#10;QfZaRoM4HkaNhtyA5sJavF21QToP/EUhuHsqCisckRnF3Fw4IZw7f0bzGZvugZmy4l0a7B+yqFml&#10;8NEL1Yo5Rg5Q/UFVVxy01YXrcV1HuigqLkINWE0//lDNtmRGhFpQHGsuMtn/R8sfjxsgVY69S5I0&#10;HY3iEcqkWI29ekb1mNpLQe68To2xU4RvzQY6z6Lpiz4VUPtvLIecgrZvF23FyRGOl0l8NxiklHAM&#10;jSbpME09Z3T9sQHrvgldE29kFPDxoCg7PljXQs8Q/5bVssrXlZTBgf1uKYEcmW9zfziaJB37O5hU&#10;pMnoIE3iOFC/C9pbjmQ97n9dtaCS5aJlTmP8nIlbeCjhhgcLksqnJMLwdal76VqxvLXT+RuKDrqd&#10;Rmv4usKaH5h1GwY4ftgBXCn3hEchNaasO4uSUsOvv917PE4FRilpcJwzan8eGAhK5HeF8zLB9vr5&#10;D04yHGMdBG4juzaSjga+/4d6qVHKPi6v4cH0eCfPZgG6fsXNW/hXMcQUx7czujubS9cuGW4uF4tF&#10;AOHEG+Ye1NZwT+1V8h19Ob0yMF3bHc7Loz4PPpt+6H6LRdGvOnYO7kfoRbfLfgFv/YC6/uPMfwM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bFxkN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68</w:t>
    </w:r>
    <w:r>
      <w:rPr>
        <w:rFonts w:ascii="Verdana" w:hAnsi="Verdana"/>
        <w:b/>
        <w:noProof/>
        <w:color w:val="FFFFFF"/>
        <w:sz w:val="18"/>
        <w:szCs w:val="18"/>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820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89636998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5E1C5059" id="Rectangle 3" o:spid="_x0000_s1026" style="position:absolute;margin-left:225.1pt;margin-top:.35pt;width:31.75pt;height:62.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AWgIAALgEAAAOAAAAZHJzL2Uyb0RvYy54bWysVE1v2zAMvQ/YfxB0X/0R202COEXWIsOA&#10;og3aDj0rshwbkCWNUuN0v36U7KRpt9OwHBRSZJ7Ix8csrg6dJHsBttWqpMlFTIlQXFet2pX0x9P6&#10;y5QS65iqmNRKlPRVWHq1/Pxp0Zu5SHWjZSWAIIiy896UtHHOzKPI8kZ0zF5oIxQGaw0dc+jCLqqA&#10;9YjeySiN4yLqNVQGNBfW4u3NEKTLgF/Xgrv7urbCEVlSrM2FE8K59We0XLD5DphpWj6Wwf6hio61&#10;Ch89Qd0wx8gLtH9AdS0HbXXtLrjuIl3XLRehB+wmiT9089gwI0IvSI41J5rs/4Pld/sNkLYq6XRW&#10;TIrZbJpSoliHo3pA8pjaSUEmnqbe2DlmP5oNjJ5F0/d8qKHz39gNOQRqX0/UioMjHC+zeJKmOSUc&#10;Q5ezvMhzjxm9/diAdd+E7og3Sgr4eCCU7W+tG1KPKf4tq2VbrVspgwO77bUEsmd+yklxOctG9Hdp&#10;UpG+pGmexXGAfhe05xjZepp8vRmSGlaJATmP8XMEHtJDC2c42JBUviQRtDeW7qkbyPLWVlevyDno&#10;QYzW8HWLPd8y6zYMUH2oU9wod49HLTWWrEeLkkbDr7/d+3wUBUYp6VHNJbU/XxgISuR3hXKZJVnm&#10;5R+crJhiHwTOI9shkl+mGFEv3bVGKhPcXcOD6fOdPJo16O4ZF2/lX8UQUxzfLun2aF67YcdwcblY&#10;rUISCt4wd6seDffQniU/0afDMwMzjt2hXu70Ufds/mH6Qy6S/sbj6OB6hFmMq+z379wPWW9/OMvf&#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L8Fp8BaAgAAuA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025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4068410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4CA1501B" id="Rectangle 3" o:spid="_x0000_s1026" style="position:absolute;margin-left:225.1pt;margin-top:.35pt;width:31.75pt;height:62.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hVgIAALkEAAAOAAAAZHJzL2Uyb0RvYy54bWysVN9v2jAQfp+0/8Hy+0hCEwqooepATJOq&#10;FpVOfTaOQyI5tnc2BPbX7+yEH+umPUzjwdz5ju98333H3f2hkWQvwNZa5TQZxJQIxXVRq21Ov70u&#10;P40psY6pgkmtRE6PwtL72ccPd62ZiqGutCwEEARRdtqanFbOmWkUWV6JhtmBNkJhsNTQMIcubKMC&#10;WIvojYyGcTyKWg2FAc2FtXi76IJ0FvDLUnD3XJZWOCJzim9z4YRwbvwZze7YdAvMVDXvn8H+4RUN&#10;qxUWPUMtmGNkB/VvUE3NQVtdugHXTaTLsuYi9IDdJPG7btYVMyL0guRYc6bJ/j9Y/rRfAakLnN04&#10;jUfjNImRJsUanNULssfUVgpy43lqjZ1i+tqsoPcsmr7pQwmN/8Z2yCFwezxzKw6OcLxM45vhMKOE&#10;Y+h2ko2yzGNGlx8bsO6L0A3xRk4BiwdG2f7Rui71lOJrWS3rYllLGRzYbuYSyJ75MSej20nao/+S&#10;JhVpczrMUuzx7xjpcpx8XnRJFStEh5zF+DkBdyVDC1dFsCGpPLYI4uuf7qnryPLWRhdHJB10p0Zr&#10;+LLGnh+ZdSsGKD+cAK6Ue8ajlBqfrHuLkkrDjz/d+3xUBUYpaVHOObXfdwwEJfKrQr1MkjT1+g9O&#10;Ohr7KcN1ZNNFstuhn/+umWukMsHlNTyYPt/Jk1mCbt5w8x58VQwxxbF2Tjcnc+66JcPN5eLhISSh&#10;4g1zj2ptuIf2LPmJvh7eGJh+7A718qRPwmfTd9PvcpH0C4+9g/sRZtHvsl/Aaz9kXf5xZj8BAAD/&#10;/wMAUEsDBBQABgAIAAAAIQBm83ch3gAAAAgBAAAPAAAAZHJzL2Rvd25yZXYueG1sTI9NT8MwDIbv&#10;SPyHyEhcEEtX2Ael6TQmcURihQmOWWOaisSpmmzr/j3mBDdb76PXj8vV6J044hC7QAqmkwwEUhNM&#10;R62C97fn2yWImDQZ7QKhgjNGWFWXF6UuTDjRFo91agWXUCy0AptSX0gZG4tex0nokTj7CoPXideh&#10;lWbQJy73TuZZNpded8QXrO5xY7H5rg9ewYMbafexfnq9sS90Tp/bZW03jVLXV+P6EUTCMf3B8KvP&#10;6lCx0z4cyEThFNzPspxRBQsQHM+mdzzsmcvnGciqlP8fqH4AAAD//wMAUEsBAi0AFAAGAAgAAAAh&#10;ALaDOJL+AAAA4QEAABMAAAAAAAAAAAAAAAAAAAAAAFtDb250ZW50X1R5cGVzXS54bWxQSwECLQAU&#10;AAYACAAAACEAOP0h/9YAAACUAQAACwAAAAAAAAAAAAAAAAAvAQAAX3JlbHMvLnJlbHNQSwECLQAU&#10;AAYACAAAACEAAv2E4VYCAAC5BAAADgAAAAAAAAAAAAAAAAAuAgAAZHJzL2Uyb0RvYy54bWxQSwEC&#10;LQAUAAYACAAAACEAZvN3Id4AAAAIAQAADwAAAAAAAAAAAAAAAACwBAAAZHJzL2Rvd25yZXYueG1s&#10;UEsFBgAAAAAEAAQA8wAAALs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72</w:t>
    </w:r>
    <w:r>
      <w:rPr>
        <w:rFonts w:ascii="Verdana" w:hAnsi="Verdana"/>
        <w:b/>
        <w:noProof/>
        <w:color w:val="FFFFFF"/>
        <w:sz w:val="18"/>
        <w:szCs w:val="18"/>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230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5132196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4E191244" id="Rectangle 3" o:spid="_x0000_s1026" style="position:absolute;margin-left:225.1pt;margin-top:.35pt;width:31.75pt;height:62.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3BWAIAALcEAAAOAAAAZHJzL2Uyb0RvYy54bWysVE1v2zAMvQ/YfxB0X/wRO22MOEXWIsOA&#10;oi3aDj0rshwbkCWNUuJ0v36U7KRpt9OwHBRSZJ7Ix8csrg6dJHsBttWqpMkkpkQorqtWbUv643n9&#10;5ZIS65iqmNRKlPRVWHq1/Pxp0ZtCpLrRshJAEETZojclbZwzRRRZ3oiO2Yk2QmGw1tAxhy5sowpY&#10;j+idjNI4nkW9hsqA5sJavL0ZgnQZ8OtacHdf11Y4IkuKtblwQjg3/oyWC1ZsgZmm5WMZ7B+q6Fir&#10;8NET1A1zjOyg/QOqazloq2s34bqLdF23XIQesJsk/tDNU8OMCL0gOdacaLL/D5bf7R+AtFVJ82Sa&#10;JvMZzkuxDif1iNwxtZWCTD1LvbEFJj+ZBxg9i6Zv+VBD57+xGXIIzL6emBUHRzheZvE0TXNKOIYu&#10;5vkszz1m9PZjA9Z9E7oj3igp4OOBT7a/tW5IPab4t6yWbbVupQwObDfXEsie+SEns4t5NqK/S5OK&#10;9CVN8yyOA/S7oD3HyNaXydebIalhlRiQ8xg/R+AhPbRwhoMNSeVLEkF6Y+meuoEsb2109YqUgx60&#10;aA1ft9jzLbPugQGKD2WKC+Xu8ailxpL1aFHSaPj1t3ufj5rAKCU9irmk9ueOgaBEfleolnmSZV79&#10;wclml9gHgfPIZojkFylG1K671khlgqtreDB9vpNHswbdveDerfyrGGKK49sl3RzNazesGO4tF6tV&#10;SEK9G+Zu1ZPhHtqz5Cf6fHhhYMaxO9TLnT7KnhUfpj/kIulvPI4ObkeYxbjJfv3O/ZD19n+z/A0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ASYQ3BWAIAALc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69</w:t>
    </w:r>
    <w:r>
      <w:rPr>
        <w:rFonts w:ascii="Verdana" w:hAnsi="Verdana"/>
        <w:b/>
        <w:noProof/>
        <w:color w:val="FFFFFF"/>
        <w:sz w:val="18"/>
        <w:szCs w:val="18"/>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435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7443299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7D69D730" id="Rectangle 3" o:spid="_x0000_s1026" style="position:absolute;margin-left:225.1pt;margin-top:.35pt;width:31.75pt;height:62.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lboWQIAALgEAAAOAAAAZHJzL2Uyb0RvYy54bWysVE1v2zAMvQ/YfxB0X/0ROx9GnKJrkWFA&#10;0RZNh54VWY4NyJJGqXG6Xz9KdtK022lYDgopMk/k42OWl4dOkr0A22pV0uQipkQorqtW7Ur642n9&#10;ZU6JdUxVTGolSvoqLL1cff607E0hUt1oWQkgCKJs0ZuSNs6ZIoosb0TH7IU2QmGw1tAxhy7sogpY&#10;j+idjNI4nka9hsqA5sJavL0ZgnQV8OtacHdf11Y4IkuKtblwQji3/oxWS1bsgJmm5WMZ7B+q6Fir&#10;8NET1A1zjLxA+wdU13LQVtfugusu0nXdchF6wG6S+EM3m4YZEXpBcqw50WT/Hyy/2z8AaauSprMs&#10;m6SLBQ5MsQ5H9YjkMbWTgkw8Tb2xBWZvzAOMnkXT93yoofPf2A05BGpfT9SKgyMcL7N4kqY5JRxD&#10;s0U+zXOPGb392IB134TuiDdKCvh4IJTtb60bUo8p/i2rZVutWymDA7vttQSyZ37KyXS2yEb0d2lS&#10;kR77zLM4DtDvgvYcI1vPk683Q1LDKjEg5zF+jsBDemjhDAcbksqXJIL2xtI9dQNZ3trq6hU5Bz2I&#10;0Rq+brHnW2bdAwNUH+oUN8rd41FLjSXr0aKk0fDrb/c+H0WBUUp6VHNJ7c8XBoIS+V2hXBZJlnn5&#10;ByebzrEPAueR7RDJZylG1Et3rZHKBHfX8GD6fCePZg26e8bFu/KvYogpjm+XdHs0r92wY7i4XFxd&#10;hSQUvGHuVm0M99CeJT/Rp8MzAzOO3aFe7vRR96z4MP0hF0l/43F0cD3CLMZV9vt37oestz+c1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uKZW6F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640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2383931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528FBBA6" id="Rectangle 3" o:spid="_x0000_s1026" style="position:absolute;margin-left:225.1pt;margin-top:.35pt;width:31.75pt;height:62.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eLWQIAALgEAAAOAAAAZHJzL2Uyb0RvYy54bWysVN9v2jAQfp+0/8Hy+5ofJBQQoWKtmCah&#10;FrWd+mwch0RybO/sEthfv7MTCu32NI0Hc+f7+Hz33R3zm0MryV6AbbQqaHIVUyIU12WjdgX98bz6&#10;MqHEOqZKJrUSBT0KS28Wnz/NOzMTqa61LAUQJFF21pmC1s6ZWRRZXouW2StthMJgpaFlDl3YRSWw&#10;DtlbGaVxPI46DaUBzYW1eHvXB+ki8FeV4O6hqqxwRBYUc3PhhHBu/Rkt5my2A2bqhg9psH/IomWN&#10;wkffqO6YY+QVmj+o2oaDtrpyV1y3ka6qhotQA1aTxB+qeaqZEaEWFMeaN5ns/6Pl9/sNkKYsaJaO&#10;JqPpKEGVFGuxVY8oHlM7KcjIy9QZO0P0k9nA4Fk0fc2HClr/jdWQQ5D2+CatODjC8TKLR2maU8Ix&#10;dD3Nx3nuOaPzjw1Y903olnijoICPB0HZfm1dDz1B/FtWy6ZcNVIGB3bbWwlkz3yXk/H1NBvY38Gk&#10;Il1B0zyL40D9LmgvObLVJPl614NqVoqeOY/xcyLu4aGECx4sSCqfkgizN6TupevF8tZWl0fUHHQ/&#10;jNbwVYM1r5l1GwY4fdgB3Cj3gEclNaasB4uSWsOvv917PA4FRinpcJoLan++MhCUyO8Kx2WaZJkf&#10;/+Bk4wnWQeAysu0j+XXq+//a3mqUMsHdNTyYHu/kyaxAty+4eEv/KoaY4vh2Qbcn89b1O4aLy8Vy&#10;GUA48Ia5tXoy3FN7lXxHnw8vDMzQdofzcq9Pc89mH7rfY1H0s46Dg+sRejGsst+/Sz+gzn84i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B20Xi1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73</w:t>
    </w:r>
    <w:r>
      <w:rPr>
        <w:rFonts w:ascii="Verdana" w:hAnsi="Verdana"/>
        <w:b/>
        <w:noProof/>
        <w:color w:val="FFFFFF"/>
        <w:sz w:val="18"/>
        <w:szCs w:val="18"/>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844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6939249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705F98BC" id="Rectangle 3" o:spid="_x0000_s1026" style="position:absolute;margin-left:225.1pt;margin-top:.35pt;width:31.75pt;height:62.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2F+WgIAALkEAAAOAAAAZHJzL2Uyb0RvYy54bWysVE1v2zAMvQ/YfxB0X/0R2/lAnKJrkWFA&#10;0RZNh54VWY4NyJJGqXG6Xz9KdtK022lYDgopMk/k42OWl4dOkr0A22pV0uQipkQorqtW7Ur642n9&#10;ZUaJdUxVTGolSvoqLL1cff607M1CpLrRshJAEETZRW9K2jhnFlFkeSM6Zi+0EQqDtYaOOXRhF1XA&#10;ekTvZJTGcRH1GioDmgtr8fZmCNJVwK9rwd19XVvhiCwp1ubCCeHc+jNaLdliB8w0LR/LYP9QRcda&#10;hY+eoG6YY+QF2j+gupaDtrp2F1x3ka7rlovQA3aTxB+62TTMiNALkmPNiSb7/2D53f4BSFvh7KbF&#10;fDJPs3lBiWIdzuoR2WNqJwWZeJ56YxeYvjEPMHoWTd/0oYbOf2M75BC4fT1xKw6OcLzM4kma5pRw&#10;DE3neZHnHjN6+7EB674J3RFvlBTw8cAo299aN6QeU/xbVsu2WrdSBgd222sJZM/8mJNiOs9G9Hdp&#10;UpG+pGmexXGAfhe05xjZepZ8vRmSGlaJATmP8XMEHtJDC2c42JBUviQRxDeW7qkbyPLWVlevSDro&#10;QY3W8HWLPd8y6x4YoPxQqLhS7h6PWmosWY8WJY2GX3+79/moCoxS0qOcS2p/vjAQlMjvCvUyT7LM&#10;6z84WTHDPgicR7ZDJJ+mGFEv3bVGKhNcXsOD6fOdPJo16O4ZN+/Kv4ohpji+XdLt0bx2w5Lh5nJx&#10;dRWSUPGGuVu1MdxDe5b8RJ8OzwzMOHaHernTR+GzxYfpD7lI+huPo4P7EWYx7rJfwHM/ZL3946x+&#10;Aw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Ga/YX5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70</w:t>
    </w:r>
    <w:r>
      <w:rPr>
        <w:rFonts w:ascii="Verdana" w:hAnsi="Verdana"/>
        <w:b/>
        <w:noProof/>
        <w:color w:val="FFFFFF"/>
        <w:sz w:val="18"/>
        <w:szCs w:val="18"/>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049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94835148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79A80E82" id="Rectangle 3" o:spid="_x0000_s1026" style="position:absolute;margin-left:350.05pt;margin-top:6.5pt;width:31.75pt;height:62.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CEWgIAALkEAAAOAAAAZHJzL2Uyb0RvYy54bWysVE1v2zAMvQ/YfxB0X/0ROx9GnCJLkWFA&#10;0RZth54VWY4NyJJGqXG6Xz9Kdtq022lYDgopMk/k42OWl8dOkoMA22pV0uQipkQorqtW7Uv643H7&#10;ZU6JdUxVTGolSvoiLL1cff607E0hUt1oWQkgCKJs0ZuSNs6ZIoosb0TH7IU2QmGw1tAxhy7sowpY&#10;j+idjNI4nka9hsqA5sJavL0agnQV8OtacHdb11Y4IkuKtblwQjh3/oxWS1bsgZmm5WMZ7B+q6Fir&#10;8NFXqCvmGHmG9g+oruWgra7dBdddpOu65SL0gN0k8YduHhpmROgFybHmlSb7/2D5zeEOSFvh7BbZ&#10;fJIn2XxGiWIdzuoe2WNqLwWZeJ56YwtMfzB3MHoWTd/0sYbOf2M75Bi4fXnlVhwd4XiZxZM0zSnh&#10;GJot8mmee8zo7ccGrPsmdEe8UVLAxwOj7HBt3ZB6SvFvWS3battKGRzY7zYSyIH5MSfT2SIb0d+l&#10;SUX6kqZ5FscB+l3QnmNk23ny9WpIalglBuQ8xs8JeEgPLZzhYENS+ZJEEN9YuqduIMtbO129IOmg&#10;BzVaw7ct9nzNrLtjgPJDoeJKuVs8aqmxZD1alDQafv3t3uejKjBKSY9yLqn9+cxAUCK/K9TLIsky&#10;r//gZNM59kHgPLIbIvksxYh67jYaqUxweQ0Pps938mTWoLsn3Ly1fxVDTHF8u6S7k7lxw5Lh5nKx&#10;XockVLxh7lo9GO6hPUt+oo/HJwZmHLtDvdzok/BZ8WH6Qy6S/sbj6OB+hFmMu+wX8NwPWW//OKvf&#10;AAAA//8DAFBLAwQUAAYACAAAACEA5awaEt4AAAAKAQAADwAAAGRycy9kb3ducmV2LnhtbEyPwU7D&#10;MBBE70j8g7VIXBC1S6Q0hDhVqcQRiQZQe3RjE0fY6yh22/Tv2Z7ocWeeZmeq5eQdO5ox9gElzGcC&#10;mME26B47CV+fb48FsJgUauUCGglnE2FZ395UqtThhBtzbFLHKARjqSTYlIaS89ha41WchcEgeT9h&#10;9CrROXZcj+pE4d7xJyFy7lWP9MGqwaytaX+bg5fw7Cb83q5ePx7sO57TblM0dt1KeX83rV6AJTOl&#10;fxgu9ak61NRpHw6oI3MSFkLMCSUjo00ELPIsB7a/CEUGvK749YT6DwAA//8DAFBLAQItABQABgAI&#10;AAAAIQC2gziS/gAAAOEBAAATAAAAAAAAAAAAAAAAAAAAAABbQ29udGVudF9UeXBlc10ueG1sUEsB&#10;Ai0AFAAGAAgAAAAhADj9If/WAAAAlAEAAAsAAAAAAAAAAAAAAAAALwEAAF9yZWxzLy5yZWxzUEsB&#10;Ai0AFAAGAAgAAAAhAEqkgIRaAgAAuQQAAA4AAAAAAAAAAAAAAAAALgIAAGRycy9lMm9Eb2MueG1s&#10;UEsBAi0AFAAGAAgAAAAhAOWsGhLeAAAACg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74</w:t>
    </w:r>
    <w:r>
      <w:rPr>
        <w:rFonts w:ascii="Verdana" w:hAnsi="Verdana"/>
        <w:b/>
        <w:noProof/>
        <w:color w:val="FFFFFF"/>
        <w:sz w:val="18"/>
        <w:szCs w:val="1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8809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69048012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5CC869A8" id="Rectangle 3" o:spid="_x0000_s1026" style="position:absolute;margin-left:225.1pt;margin-top:.35pt;width:31.75pt;height:62.6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pWQIAALkEAAAOAAAAZHJzL2Uyb0RvYy54bWysVE1v2zAMvQ/YfxB0X/1RO1+oU2QpMgwI&#10;2qDt0LMiy7EBWdIoJU7260fJTpt2Ow3LQSFF5ol8fMzN7bGV5CDANloVNLmKKRGK67JRu4L+eF59&#10;mVBiHVMlk1qJgp6Epbfzz59uOjMTqa61LAUQBFF21pmC1s6ZWRRZXouW2StthMJgpaFlDl3YRSWw&#10;DtFbGaVxPIo6DaUBzYW1eHvXB+k84FeV4O6hqqxwRBYUa3PhhHBu/RnNb9hsB8zUDR/KYP9QRcsa&#10;hY++Qt0xx8gemj+g2oaDtrpyV1y3ka6qhovQA3aTxB+6eaqZEaEXJMeaV5rs/4Pl94cNkKbE2Y2m&#10;cTaJk3REiWItzuoR2WNqJwW59jx1xs4w/clsYPAsmr7pYwWt/8Z2yDFwe3rlVhwd4XiZxddpmlPC&#10;MTSe5qM895jR248NWPdN6JZ4o6CAjwdG2WFtXZ96TvFvWS2bctVIGRzYbZcSyIH5MSej8TQb0N+l&#10;SUW6gqZ5FscB+l3QXmJkq0ny9a5PqlkpeuQ8xs8ZuE8PLVzgYENS+ZJEEN9QuqeuJ8tbW12ekHTQ&#10;vRqt4asGe14z6zYMUH4oVFwp94BHJTWWrAeLklrDr7/d+3xUBUYp6VDOBbU/9wwEJfK7Qr1Mkyzz&#10;+g9ONppgHwQuI9s+ko9TjKh9u9RIZYLLa3gwfb6TZ7MC3b7g5i38qxhiiuPbBd2ezaXrlww3l4vF&#10;IiSh4g1za/VkuIf2LPmJPh9fGJhh7A71cq/PwmezD9Pvc5H0Nx4HB/cjzGLYZb+Al37IevvHmf8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Jj/rq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w:t>
    </w:r>
    <w:r>
      <w:rPr>
        <w:rFonts w:ascii="Verdana" w:hAnsi="Verdana"/>
        <w:b/>
        <w:noProof/>
        <w:color w:val="FFFFFF"/>
        <w:sz w:val="18"/>
        <w:szCs w:val="18"/>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254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01196983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43A22B64" id="Rectangle 3" o:spid="_x0000_s1026" style="position:absolute;margin-left:225.1pt;margin-top:.35pt;width:31.75pt;height:62.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62WQIAALkEAAAOAAAAZHJzL2Uyb0RvYy54bWysVN9v2jAQfp+0/8Hy+5oEEgqIULFWTJOq&#10;FrWd+mwch0Tyr51dQvfX7+wESrs9TePB3PmO73zffcfi6qAk2QtwrdElzS5SSoTmpmr1rqQ/ntZf&#10;ppQ4z3TFpNGipK/C0avl50+Lzs7FyDRGVgIIgmg372xJG+/tPEkcb4Ri7sJYoTFYG1DMowu7pALW&#10;IbqSyShNJ0lnoLJguHAOb2/6IF1G/LoW3N/XtROeyJLi23w8IZ7bcCbLBZvvgNmm5cMz2D+8QrFW&#10;Y9ET1A3zjLxA+weUajkYZ2p/wY1KTF23XMQesJss/dDNY8OsiL0gOc6eaHL/D5bf7TdA2qqkWD+b&#10;TWbTMU5MM4WzekD2mN5JQcaBp866OaY/2g0MnkMzNH2oQYVvbIccIrevJ27FwROOl3k6Ho0KSjiG&#10;LmfFpCgCZvL2YwvOfxNGkWCUFLB4ZJTtb53vU48poZYzsq3WrZTRgd32WgLZszDmbHI5ywf0d2lS&#10;kw4bLfI0jdDvgu4cI19Ps683fVLDKtEjFyl+jsB9emzhDAcbkjo8SUTxDU8P1PVkBWtrqlckHUyv&#10;Rmf5usWeb5nzGwYoPxQqrpS/x6OWBp9sBouSxsCvv92HfFQFRinpUM4ldT9fGAhK5HeNeplleR70&#10;H518MsU+CJxHtn2kuBxhRL+oa4NUZri8lkcz5Ht5NGsw6hk3bxWqYohpjrVLuj2a175fMtxcLlar&#10;mISKt8zf6kfLA3RgKUz06fDMwA5j96iXO3MUPpt/mH6fi6S/8Tg4uB9xFsMuhwU892PW2z/O8j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Ufz+t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76</w:t>
    </w:r>
    <w:r>
      <w:rPr>
        <w:rFonts w:ascii="Verdana" w:hAnsi="Verdana"/>
        <w:b/>
        <w:noProof/>
        <w:color w:val="FFFFFF"/>
        <w:sz w:val="18"/>
        <w:szCs w:val="18"/>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45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525289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0D2C6645" id="Rectangle 3" o:spid="_x0000_s1026" style="position:absolute;margin-left:225.1pt;margin-top:.35pt;width:31.75pt;height:62.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42WAIAALcEAAAOAAAAZHJzL2Uyb0RvYy54bWysVE1v2zAMvQ/YfxB0X/xROx9GnaJrkGFA&#10;0AZth54VWY4NyJJGqXG6Xz9Kdtq022lYDgopMk/k42Mur46dJAcBttWqpMkkpkQorqtW7Uv643H9&#10;ZU6JdUxVTGolSvoiLL1afv502ZtCpLrRshJAEETZojclbZwzRRRZ3oiO2Yk2QmGw1tAxhy7sowpY&#10;j+idjNI4nka9hsqA5sJavF0NQboM+HUtuLuraysckSXF2lw4IZw7f0bLS1bsgZmm5WMZ7B+q6Fir&#10;8NFXqBVzjDxD+wdU13LQVtduwnUX6bpuuQg9YDdJ/KGbh4YZEXpBcqx5pcn+P1h+e9gCaauSLvI0&#10;T+cLnJdiHU7qHrljai8FufAs9cYWmPxgtjB6Fk3f8rGGzn9jM+QYmH15ZVYcHeF4mcUXaZpTwjE0&#10;W+TTPPeY0duPDVj3TeiOeKOkgI8HPtlhY92Qekrxb1kt22rdShkc2O9uJJAD80NOprNFNqK/S5OK&#10;9CVN8yyOA/S7oD3HyNbz5OtqSGpYJQbkPMbPCXhIDy2c4WBDUvmSRJDeWLqnbiDLWztdvSDloAct&#10;WsPXLfa8YdZtGaD4UKa4UO4Oj1pqLFmPFiWNhl9/u/f5qAmMUtKjmEtqfz4zEJTI7wrVskiyzKs/&#10;ONl0jn0QOI/shkg+SzGinrsbjVQmuLqGB9PnO3kya9DdE+7dtX8VQ0xxfLuku5N544YVw73l4vo6&#10;JKHeDXMb9WC4h/Ys+Yk+Hp8YmHHsDvVyq0+yZ8WH6Q+5SPobj6OD2xFmMW6yX79zP2S9/d8sfwM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AWkF42WAIAALc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80</w:t>
    </w:r>
    <w:r>
      <w:rPr>
        <w:rFonts w:ascii="Verdana" w:hAnsi="Verdana"/>
        <w:b/>
        <w:noProof/>
        <w:color w:val="FFFFFF"/>
        <w:sz w:val="18"/>
        <w:szCs w:val="18"/>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664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12485104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3AD53BF7" id="Rectangle 3" o:spid="_x0000_s1026" style="position:absolute;margin-left:225.1pt;margin-top:.35pt;width:31.75pt;height:62.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JhWQIAALkEAAAOAAAAZHJzL2Uyb0RvYy54bWysVN9v2jAQfp+0/8Hy+5ofTSighqoDMU1C&#10;LSqd+mwch0RybO/sEthfv7MTCu32NI0Hc+c7Pt999x23d4dWkr0A22hV0OQqpkQorstG7Qr643n5&#10;ZUyJdUyVTGolCnoUlt7NPn+67cxUpLrWshRAEETZaWcKWjtnplFkeS1aZq+0EQqDlYaWOXRhF5XA&#10;OkRvZZTG8SjqNJQGNBfW4u2iD9JZwK8qwd1jVVnhiCwo1ubCCeHc+jOa3bLpDpipGz6Uwf6hipY1&#10;Ch99g1owx8grNH9AtQ0HbXXlrrhuI11VDRehB+wmiT90s6mZEaEXJMeaN5rs/4PlD/s1kKbE2SVp&#10;Ns6TOLumRLEWZ/WE7DG1k4Jce546Y6eYvjFrGDyLpm/6UEHrv7EdcgjcHt+4FQdHOF5m8XWa5pRw&#10;DN1M8lGee8zo/GMD1n0TuiXeKCjg44FRtl9Z16eeUvxbVsumXDZSBgd227kEsmd+zMnoZpIN6O/S&#10;pCJdQdM8i+MA/S5oLzGy5Tj5uuiTalaKHjmP8XMC7tNDCxc42JBUviQRxDeU7qnryfLWVpdHJB10&#10;r0Zr+LLBnlfMujUDlB8KFVfKPeJRSY0l68GipNbw62/3Ph9VgVFKOpRzQe3PVwaCEvldoV4mSZZ5&#10;/QcnG42xDwKXkW0fyW9SjKjXdq6RygSX1/Bg+nwnT2YFun3Bzbv3r2KIKY5vF3R7MueuXzLcXC7u&#10;70MSKt4wt1Ibwz20Z8lP9PnwwsAMY3eolwd9Ej6bfph+n4ukn3kcHNyPMIthl/0CXvoh6/yPM/s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P8CY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07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07998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59AF4CD3" id="Rectangle 3" o:spid="_x0000_s1026" style="position:absolute;margin-left:225.1pt;margin-top:.35pt;width:31.75pt;height:62.6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ByVwIAALYEAAAOAAAAZHJzL2Uyb0RvYy54bWysVE1v2zAMvQ/YfxB0X/1ROx9GnCJrkWFA&#10;0BZth54VWY4NyJJGqXGyXz9Kdtq022lYDgopvjyRj2QWV4dOkr0A22pV0uQipkQorqtW7Ur642n9&#10;ZUaJdUxVTGolSnoUll4tP39a9KYQqW60rAQQJFG26E1JG+dMEUWWN6Jj9kIboTBYa+iYQxd2UQWs&#10;R/ZORmkcT6JeQ2VAc2Et3t4MQboM/HUtuLuraysckSXF3Fw4IZxbf0bLBSt2wEzT8jEN9g9ZdKxV&#10;+Ogr1Q1zjLxA+wdV13LQVtfugusu0nXdchFqwGqS+EM1jw0zItSC4ljzKpP9f7T8dn8PpK1KOomn&#10;8/kMNVKsw0Y9oHRM7aQgl16k3tgCsY/mHkbPoukrPtTQ+W+shRyCsMdXYcXBEY6XWXyZpjklHEPT&#10;eT7Jc88Zvf3YgHXfhO6IN0oK+HiQk+031g3QE8S/ZbVsq3UrZXBgt72WQPbM9ziZTOfZyP4OJhXp&#10;S5rmWRwH6ndBe86RrWfJ15sB1LBKDMx5jJ8T8QAPJZzxYEFS+ZREmLwxdS/dIJa3tro6ouKgh1G0&#10;hq9brHnDrLtngLOHHcB9cnd41FJjynq0KGk0/PrbvcfjSGCUkh5nuaT25wsDQYn8rnBY5kmW+eEP&#10;TjaZYR0EziPbIZJPU9//l+5ao5QJbq7hwfR4J09mDbp7xrVb+VcxxBTHt0u6PZnXbtgwXFsuVqsA&#10;wnE3zG3Uo+Ge2qvkO/p0eGZgxrY7nJdbfZp6Vnzo/oBF0d90HB1cjtCLcZH99p37AfX2d7P8DQ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JfNYHJXAgAAtg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88</w:t>
    </w:r>
    <w:r>
      <w:rPr>
        <w:rFonts w:ascii="Verdana" w:hAnsi="Verdana"/>
        <w:b/>
        <w:noProof/>
        <w:color w:val="FFFFF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27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862327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67C467DB" id="Rectangle 3" o:spid="_x0000_s1026" style="position:absolute;margin-left:225.1pt;margin-top:.35pt;width:31.75pt;height:62.6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b3WQIAALgEAAAOAAAAZHJzL2Uyb0RvYy54bWysVN9v2jAQfp+0/8Hy+5oQEn6JUDEqpklV&#10;i9pOfTaOQyI5tnc2BPbX7+yEQrs9TePB3PmOz3fffcf89thIchBga61yOriJKRGK66JWu5z+eFl/&#10;mVBiHVMFk1qJnJ6EpbeLz5/mrZmJRFdaFgIIgig7a01OK+fMLIosr0TD7I02QmGw1NAwhy7sogJY&#10;i+iNjJI4HkWthsKA5sJavL3rgnQR8MtScPdYllY4InOKtblwQji3/owWczbbATNVzfsy2D9U0bBa&#10;4aNvUHfMMbKH+g+opuagrS7dDddNpMuy5iL0gN0M4g/dPFfMiNALkmPNG032/8Hyh8MGSF3g7LLJ&#10;KBkm4zElijU4qickj6mdFGToaWqNnWH2s9lA71k0fc/HEhr/jd2QY6D29EatODrC8TKNh0mSUcIx&#10;NJ5moyzzmNHlxwas+yZ0Q7yRU8DHA6HscG9dl3pO8W9ZLetiXUsZHNhtVxLIgfkpD0bjadqjv0uT&#10;irQ5TbI0jgP0u6C9xkjXk8HXuy6pYoXokLMYP2fgLj20cIWDDUnlSxJBe33pnrqOLG9tdXFCzkF3&#10;YrSGr2vs+Z5Zt2GA6kOd4ka5RzxKqbFk3VuUVBp+/e3e56MoMEpJi2rOqf25ZyAokd8VymU6SFMv&#10;/+Ckown2QeA6su0i2TjBiNo3K41UDnB3DQ+mz3fybJagm1dcvKV/FUNMcXw7p9uzuXLdjuHicrFc&#10;hiQUvGHuXj0b7qE9S36iL8dXBqYfu0O9POiz7tnsw/S7XCT9wmPv4HqEWfSr7Pfv2g9Zlz+cx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4T6m91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90</w:t>
    </w:r>
    <w:r>
      <w:rPr>
        <w:rFonts w:ascii="Verdana" w:hAnsi="Verdana"/>
        <w:b/>
        <w:noProof/>
        <w:color w:val="FFFFFF"/>
        <w:sz w:val="18"/>
        <w:szCs w:val="18"/>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483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4938897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75EA2E2C" id="Rectangle 3" o:spid="_x0000_s1026" style="position:absolute;margin-left:225.1pt;margin-top:.35pt;width:31.75pt;height:62.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nBWQIAALkEAAAOAAAAZHJzL2Uyb0RvYy54bWysVE1v2zAMvQ/YfxB0X+0kdr4Qp+haZBhQ&#10;tEHboWdFlmMD+hqlxMl+/SjZadJup2E5KKTIPJGPj1lcH5QkewGuMbqgg6uUEqG5KRu9LeiPl9WX&#10;KSXOM10yabQo6FE4er38/GnR2rkYmtrIUgBBEO3mrS1o7b2dJ4njtVDMXRkrNAYrA4p5dGGblMBa&#10;RFcyGabpOGkNlBYMF87h7V0XpMuIX1WC+8eqcsITWVCszccT4rkJZ7JcsPkWmK0b3pfB/qEKxRqN&#10;j75B3THPyA6aP6BUw8E4U/krblRiqqrhIvaA3QzSD90818yK2AuS4+wbTe7/wfKH/RpIU+Lssmw2&#10;mk5nkwklmimc1ROyx/RWCjIKPLXWzTH92a6h9xyaoelDBSp8YzvkELk9vnErDp5wvMzS0XCYU8Ix&#10;NJnl4zwPmMn5xxac/yaMIsEoKODjkVG2v3e+Sz2lhLeckU25aqSMDmw3txLInoUxD8aTWdajv0uT&#10;mrQFHeZZmkbod0F3iZGtpoOvd11SzUrRIecpfk7AXXps4QIHG5I6lCSi+PrSA3UdWcHamPKIpIPp&#10;1OgsXzXY8z1zfs0A5YdCxZXyj3hU0mDJprcoqQ38+tt9yEdVYJSSFuVcUPdzx0BQIr9r1MsMxxv0&#10;H51sPMU+CFxGNl0knwwxonfq1iCVA1xey6MZ8r08mRUY9YqbdxNexRDTHN8u6OZk3vpuyXBzubi5&#10;iUmoeMv8vX62PEAHlsJEXw6vDGw/do96eTAn4bP5h+l3uUj6mcfewf2Is+h3OSzgpR+zzv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bQ25w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91</w:t>
    </w:r>
    <w:r>
      <w:rPr>
        <w:rFonts w:ascii="Verdana" w:hAnsi="Verdana"/>
        <w:b/>
        <w:noProof/>
        <w:color w:val="FFFFFF"/>
        <w:sz w:val="18"/>
        <w:szCs w:val="18"/>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68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7937608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53D7C11E" id="Rectangle 3" o:spid="_x0000_s1026" style="position:absolute;margin-left:225.1pt;margin-top:.35pt;width:31.75pt;height:62.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CXEWQIAALgEAAAOAAAAZHJzL2Uyb0RvYy54bWysVE1v2zAMvQ/YfxB0X2wndj6MOkWWIMOA&#10;og3aDj0rshwbkCWNUuN0v36U7LRpt9OwHBRSfHkiH8lcXZ9aSY4CbKNVQZNRTIlQXJeNOhT0x+P2&#10;y5wS65gqmdRKFPRFWHq9/PzpqjO5GOtay1IAQRJl884UtHbO5FFkeS1aZkfaCIXBSkPLHLpwiEpg&#10;HbK3MhrH8TTqNJQGNBfW4u2mD9Jl4K8qwd1dVVnhiCwo5ubCCeHc+zNaXrH8AMzUDR/SYP+QRcsa&#10;hY++Um2YY+QZmj+o2oaDtrpyI67bSFdVw0WoAatJ4g/VPNTMiFALimPNq0z2/9Hy2+MOSFMWdDJb&#10;TGbTeI4qKdZiq+5RPKYOUpCJl6kzNkf0g9nB4Fk0fc2nClr/jdWQU5D25VVacXKE42UaT8bjjBKO&#10;odkim2aZ54zefmzAum9Ct8QbBQV8PAjKjjfW9dAzxL9ltWzKbSNlcOCwX0sgR+a7nExni3RgfweT&#10;inQFHWdpHAfqd0F7yZFu58nXTQ+qWSl65izGz5m4h4cSLniwIKl8SiLM3pC6l64Xy1t7Xb6g5qD7&#10;YbSGbxus+YZZt2OA04cdwI1yd3hUUmPKerAoqTX8+tu9x+NQYJSSDqe5oPbnMwNBifyucFwWSZr6&#10;8Q9OOp1jHQQuI/s+ks3Gvv/P7VqjlAnuruHB9Hgnz2YFun3CxVv5VzHEFMe3C7o/m2vX7xguLher&#10;VQDhwBvmbtSD4Z7aq+Q7+nh6YmCGtjucl1t9nnuWf+h+j0XR33QcHFyP0Ithlf3+XfoB9faHs/w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GtwlxF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95</w:t>
    </w:r>
    <w:r>
      <w:rPr>
        <w:rFonts w:ascii="Verdana" w:hAnsi="Verdana"/>
        <w:b/>
        <w:noProof/>
        <w:color w:val="FFFFFF"/>
        <w:sz w:val="18"/>
        <w:szCs w:val="1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892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97506648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46BF9852" id="Rectangle 3" o:spid="_x0000_s1026" style="position:absolute;margin-left:225.1pt;margin-top:.35pt;width:31.75pt;height:62.6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i1WgIAALkEAAAOAAAAZHJzL2Uyb0RvYy54bWysVE1v2zAMvQ/YfxB0X/wROx9GnKJrkGFA&#10;0RZth54VWY4NyJJGqXG6Xz9Kdtq022lYDgopMk/k42NWF8dOkoMA22pV0mQSUyIU11Wr9iX98bj9&#10;sqDEOqYqJrUSJX0Rll6sP39a9aYQqW60rAQQBFG26E1JG+dMEUWWN6JjdqKNUBisNXTMoQv7qALW&#10;I3onozSOZ1GvoTKgubAWbzdDkK4Dfl0L7m7r2gpHZEmxNhdOCOfOn9F6xYo9MNO0fCyD/UMVHWsV&#10;PvoKtWGOkWdo/4DqWg7a6tpNuO4iXdctF6EH7CaJP3Tz0DAjQi9IjjWvNNn/B8tvDndA2gpnt5zn&#10;8WyWLaaUKNbhrO6RPab2UpCp56k3tsD0B3MHo2fR9E0fa+j8N7ZDjoHbl1duxdERjpdZPE3TnBKO&#10;ofkyn+W5x4zefmzAum9Cd8QbJQV8PDDKDtfWDamnFP+W1bKttq2UwYH97koCOTA/5mQ2X2Yj+rs0&#10;qUhf0jTP4jhAvwvac4xsu0i+boakhlViQM5j/JyAh/TQwhkONiSVL0kE8Y2le+oGsry109ULkg56&#10;UKM1fNtiz9fMujsGKD8UKq6Uu8WjlhpL1qNFSaPh19/ufT6qAqOU9CjnktqfzwwEJfK7Qr0skyzz&#10;+g9ONltgHwTOI7shks9TjKjn7kojlQkur+HB9PlOnswadPeEm3fpX8UQUxzfLunuZF65Yclwc7m4&#10;vAxJqHjD3LV6MNxDe5b8RB+PTwzMOHaHernRJ+Gz4sP0h1wk/Y3H0cH9CLMYd9kv4Lkfst7+cda/&#10;AQ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NOiyLV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97</w:t>
    </w:r>
    <w:r>
      <w:rPr>
        <w:rFonts w:ascii="Verdana" w:hAnsi="Verdana"/>
        <w:b/>
        <w:noProof/>
        <w:color w:val="FFFFFF"/>
        <w:sz w:val="18"/>
        <w:szCs w:val="18"/>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097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8244557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3CF79BE4" id="Rectangle 3" o:spid="_x0000_s1026" style="position:absolute;margin-left:225.1pt;margin-top:.35pt;width:31.75pt;height:62.6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oQWQIAALkEAAAOAAAAZHJzL2Uyb0RvYy54bWysVE1v2zAMvQ/YfxB0X/1RO0mNOEXWIsOA&#10;og2aDj0rshwbkCWNUuN0v36U7KRpt9OwHBRSfHkiH8nMrw+dJHsBttWqpMlFTIlQXFet2pX0x9Pq&#10;y4wS65iqmNRKlPRVWHq9+Pxp3ptCpLrRshJAkETZojclbZwzRRRZ3oiO2QtthMJgraFjDl3YRRWw&#10;Htk7GaVxPIl6DZUBzYW1eHs7BOki8Ne14O6hrq1wRJYUc3PhhHBu/Rkt5qzYATNNy8c02D9k0bFW&#10;4aMnqlvmGHmB9g+qruWgra7dBdddpOu65SLUgNUk8YdqNg0zItSC4lhzksn+P1p+v18DaSvs3XSW&#10;ZlmeT1EmxTrs1SOqx9ROCnLpdeqNLRC+MWsYPYumL/pQQ+e/sRxyCNq+nrQVB0c4XmbxZZrmlHAM&#10;Ta/ySZ57zujtxwas+yZ0R7xRUsDHg6Jsf2fdAD1C/FtWy7ZatVIGB3bbGwlkz3ybk8n0KhvZ38Gk&#10;In1J0zyL40D9LmjPObLVLPl6O4AaVomBOY/xcyQe4KGEMx4sSCqfkgjDN6bupRvE8tZWV68oOuhh&#10;Gq3hqxZrvmPWrRng+GEHcKXcAx611JiyHi1KGg2//nbv8TgVGKWkx3Euqf35wkBQIr8rnJerJMv8&#10;/Acnm8ywDgLnke0Qyaep7/9Ld6NRygSX1/BgeryTR7MG3T3j5i39qxhiiuPbJd0ezRs3LBluLhfL&#10;ZQDhxBvm7tTGcE/tVfIdfTo8MzBj2x3Oy70+Dj4rPnR/wKLobzqODu5H6MW4y34Bz/2AevvHWfw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SFq6E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99</w:t>
    </w:r>
    <w:r>
      <w:rPr>
        <w:rFonts w:ascii="Verdana" w:hAnsi="Verdana"/>
        <w:b/>
        <w:noProof/>
        <w:color w:val="FFFFFF"/>
        <w:sz w:val="18"/>
        <w:szCs w:val="18"/>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30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7900897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04F55E1A" id="Rectangle 3" o:spid="_x0000_s1026" style="position:absolute;margin-left:225.1pt;margin-top:.35pt;width:31.75pt;height:62.6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EJYWgIAALkEAAAOAAAAZHJzL2Uyb0RvYy54bWysVE1v2zAMvQ/YfxB0X/1ROx9GnCJrkWFA&#10;0BZth54VWY4NyJJGqXGyXz9Kdtq022lYDgopMk/k42MWV4dOkr0A22pV0uQipkQorqtW7Ur642n9&#10;ZUaJdUxVTGolSnoUll4tP39a9KYQqW60rAQQBFG26E1JG+dMEUWWN6Jj9kIboTBYa+iYQxd2UQWs&#10;R/RORmkcT6JeQ2VAc2Et3t4MQboM+HUtuLuraysckSXF2lw4IZxbf0bLBSt2wEzT8rEM9g9VdKxV&#10;+Ogr1A1zjLxA+wdU13LQVtfugusu0nXdchF6wG6S+EM3jw0zIvSC5FjzSpP9f7D8dn8PpK1wdvF0&#10;Hsez+RQnpliHs3pA9pjaSUEuPU+9sQWmP5p7GD2Lpm/6UEPnv7EdcgjcHl+5FQdHOF5m8WWa5pRw&#10;DE3n+STPPWb09mMD1n0TuiPeKCng44FRtt9YN6SeUvxbVsu2WrdSBgd222sJZM/8mJPJdJ6N6O/S&#10;pCJ9SdM8i+MA/S5ozzGy9Sz5ejMkNawSA3Ie4+cEPKSHFs5wsCGpfEkiiG8s3VM3kOWtra6OSDro&#10;QY3W8HWLPW+YdfcMUH4oVFwpd4dHLTWWrEeLkkbDr7/d+3xUBUYp6VHOJbU/XxgISuR3hXqZJ1nm&#10;9R+cbDLDPgicR7ZDJJ+mGFEv3bVGKhNcXsOD6fOdPJk16O4ZN2/lX8UQUxzfLun2ZF67Yclwc7lY&#10;rUISKt4wt1GPhntoz5Kf6NPhmYEZx+5QL7f6JHxWfJj+kIukv/E4OrgfYRbjLvsFPPdD1ts/zvI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M7UQlh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100</w:t>
    </w:r>
    <w:r>
      <w:rPr>
        <w:rFonts w:ascii="Verdana" w:hAnsi="Verdana"/>
        <w:b/>
        <w:noProof/>
        <w:color w:val="FFFFFF"/>
        <w:sz w:val="18"/>
        <w:szCs w:val="18"/>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FI</w:t>
    </w:r>
    <w:r>
      <w:rPr>
        <w:rFonts w:ascii="Arial" w:hAnsi="Arial" w:cs="Arial"/>
        <w:b/>
        <w:sz w:val="48"/>
      </w:rPr>
      <w:tab/>
    </w:r>
    <w:r>
      <w:rPr>
        <w:rFonts w:ascii="Arial" w:hAnsi="Arial" w:cs="Arial"/>
        <w:b/>
        <w:sz w:val="48"/>
      </w:rPr>
      <w:tab/>
    </w:r>
    <w:r>
      <w:tab/>
    </w:r>
    <w:r>
      <w:rPr>
        <w:rFonts w:ascii="Arial" w:hAnsi="Arial" w:cs="Arial"/>
        <w:b/>
        <w:sz w:val="48"/>
      </w:rPr>
      <w:t>FI</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9014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8539760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5985083E" id="Rectangle 3" o:spid="_x0000_s1026" style="position:absolute;margin-left:225.1pt;margin-top:.35pt;width:31.75pt;height:62.6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J4TVgIAALgEAAAOAAAAZHJzL2Uyb0RvYy54bWysVE1v2zAMvQ/YfxB0X/0ROx9GnKJrkWFA&#10;0QZth54VWY4NyJJGqXG6Xz9KdpKuG3YYloNCisyj+PiY5eWhk2QvwLZalTS5iCkRiuuqVbuSfnta&#10;f5pTYh1TFZNaiZK+CksvVx8/LHtTiFQ3WlYCCIIoW/SmpI1zpogiyxvRMXuhjVAYrDV0zKELu6gC&#10;1iN6J6M0jqdRr6EyoLmwFm9vhiBdBfy6Ftzd17UVjsiS4ttcOCGcW39GqyUrdsBM0/LxGewfXtGx&#10;VmHRE9QNc4y8QPsbVNdy0FbX7oLrLtJ13XIResBukvhdN48NMyL0guRYc6LJ/j9YfrffAGmrkk7m&#10;+WQxm8bIkmIdjuoByWNqJwWZeJp6YwvMfjQbGD2Lpu/5UEPnv7EbcgjUvp6oFQdHOF5m8SRNc0o4&#10;hmaLfJrnHjM6/9iAdV+E7og3SgpYPBDK9rfWDanHFF/LatlW61bK4MBuey2B7JmfcjKdLbIR/Zc0&#10;qUhf0jTPsMe/Y2TrefL5ZkhqWCUG5DzGzxF4KBlaeFMEG5LKY4ugvfHpnrqBLG9tdfWKnIMexGgN&#10;X7fY8y2zbsMA1YcTwI1y93jUUuOT9WhR0mj48ad7n4+iwCglPaq5pPb7CwNBifyqUC6LJMu8/IOT&#10;Ted+yvA2sh0i+Sz183/prjVSmeDuGh5Mn+/k0axBd8+4eFe+KoaY4li7pNujee2GHcPF5eLqKiSh&#10;4A1zt+rRcA/tWfITfTo8MzDj2B3q5U4fdc+Kd9MfcpH0M4+jg+sRZjGust+/t37IOv/hrH4CAAD/&#10;/wMAUEsDBBQABgAIAAAAIQBm83ch3gAAAAgBAAAPAAAAZHJzL2Rvd25yZXYueG1sTI9NT8MwDIbv&#10;SPyHyEhcEEtX2Ael6TQmcURihQmOWWOaisSpmmzr/j3mBDdb76PXj8vV6J044hC7QAqmkwwEUhNM&#10;R62C97fn2yWImDQZ7QKhgjNGWFWXF6UuTDjRFo91agWXUCy0AptSX0gZG4tex0nokTj7CoPXideh&#10;lWbQJy73TuZZNpded8QXrO5xY7H5rg9ewYMbafexfnq9sS90Tp/bZW03jVLXV+P6EUTCMf3B8KvP&#10;6lCx0z4cyEThFNzPspxRBQsQHM+mdzzsmcvnGciqlP8fqH4AAAD//wMAUEsBAi0AFAAGAAgAAAAh&#10;ALaDOJL+AAAA4QEAABMAAAAAAAAAAAAAAAAAAAAAAFtDb250ZW50X1R5cGVzXS54bWxQSwECLQAU&#10;AAYACAAAACEAOP0h/9YAAACUAQAACwAAAAAAAAAAAAAAAAAvAQAAX3JlbHMvLnJlbHNQSwECLQAU&#10;AAYACAAAACEAaeieE1YCAAC4BAAADgAAAAAAAAAAAAAAAAAuAgAAZHJzL2Uyb0RvYy54bWxQSwEC&#10;LQAUAAYACAAAACEAZvN3Id4AAAAIAQAADwAAAAAAAAAAAAAAAACwBAAAZHJzL2Rvd25yZXYueG1s&#10;UEsFBgAAAAAEAAQA8wAAALs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w:t>
    </w:r>
    <w:r>
      <w:rPr>
        <w:rFonts w:ascii="Verdana" w:hAnsi="Verdana"/>
        <w:b/>
        <w:noProof/>
        <w:color w:val="FFFFFF"/>
        <w:sz w:val="18"/>
        <w:szCs w:val="18"/>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507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87386050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52805257" id="Rectangle 3" o:spid="_x0000_s1026" style="position:absolute;margin-left:225.1pt;margin-top:.35pt;width:31.75pt;height:62.6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0aoWQIAALgEAAAOAAAAZHJzL2Uyb0RvYy54bWysVN9v2jAQfp+0/8Hy+0hIE36poWIgpklV&#10;i9pOfTaOQyI5tnc2BPbX7+yEQrs9TePB3PmOz3fffcft3bGR5CDA1lrldDiIKRGK66JWu5z+eFl/&#10;mVBiHVMFk1qJnJ6EpXfzz59uWzMTia60LAQQBFF21pqcVs6ZWRRZXomG2YE2QmGw1NAwhy7sogJY&#10;i+iNjJI4HkWthsKA5sJavF11QToP+GUpuHssSysckTnF2lw4IZxbf0bzWzbbATNVzfsy2D9U0bBa&#10;4aNvUCvmGNlD/QdUU3PQVpduwHUT6bKsuQg9YDfD+EM3zxUzIvSC5FjzRpP9f7D84bABUhc5nYxv&#10;JqM4i8eUKNbgqJ6QPKZ2UpAbT1Nr7Ayzn80Ges+i6Xs+ltD4b+yGHAO1pzdqxdERjpdpfJMkGSUc&#10;Q+NpNsoyjxldfmzAum9CN8QbOQV8PBDKDvfWdannFP+W1bIu1rWUwYHddimBHJif8nA0nqY9+rs0&#10;qUib0yRL4zhAvwvaa4x0PRl+XXVJFStEh5zF+DkDd+mhhSscbEgqX5II2utL99R1ZHlrq4sTcg66&#10;E6M1fF1jz/fMug0DVB/qFDfKPeJRSo0l696ipNLw62/3Ph9FgVFKWlRzTu3PPQNBifyuUC7TYZp6&#10;+QcnHU2wDwLXkW0XycYJRtS+WWqkcoi7a3gwfb6TZ7ME3bzi4i38qxhiiuPbOd2ezaXrdgwXl4vF&#10;IiSh4A1z9+rZcA/tWfITfTm+MjD92B3q5UGfdc9mH6bf5SLpFx57B9cjzKJfZb9/137Iuvzhz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LYtGqF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101</w:t>
    </w:r>
    <w:r>
      <w:rPr>
        <w:rFonts w:ascii="Verdana" w:hAnsi="Verdana"/>
        <w:b/>
        <w:noProof/>
        <w:color w:val="FFFFFF"/>
        <w:sz w:val="18"/>
        <w:szCs w:val="18"/>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712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0906963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7AE7EEA2" id="Rectangle 3" o:spid="_x0000_s1026" style="position:absolute;margin-left:225.1pt;margin-top:.35pt;width:31.75pt;height:62.6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veEWQIAALgEAAAOAAAAZHJzL2Uyb0RvYy54bWysVMFu2zAMvQ/YPwi6r3Yc202MOEXWIsOA&#10;oi2aDj0rshwbkCWNUuN0Xz9KdtK022lYDgopMk/k42MWV4dOkr0A22pV0slFTIlQXFet2pX0x9P6&#10;y4wS65iqmNRKlPRVWHq1/Pxp0ZtCJLrRshJAEETZojclbZwzRRRZ3oiO2QtthMJgraFjDl3YRRWw&#10;HtE7GSVxnEe9hsqA5sJavL0ZgnQZ8OtacHdf11Y4IkuKtblwQji3/oyWC1bsgJmm5WMZ7B+q6Fir&#10;8NET1A1zjLxA+wdU13LQVtfugusu0nXdchF6wG4m8YduNg0zIvSC5Fhzosn+P1h+t38A0lYlncbz&#10;OJ/n05wSxToc1SOSx9ROCjL1NPXGFpi9MQ8wehZN3/Ohhs5/YzfkEKh9PVErDo5wvEzjaZJklHAM&#10;Xc6zPMs8ZvT2YwPWfRO6I94oKeDjgVC2v7VuSD2m+Leslm21bqUMDuy21xLInvkpT/LLeTqiv0uT&#10;ivQlTbI0jgP0u6A9x0jXs8nXmyGpYZUYkLMYP0fgIT20cIaDDUnlSxJBe2PpnrqBLG9tdfWKnIMe&#10;xGgNX7fY8y2z7oEBqg91ihvl7vGopcaS9WhR0mj49bd7n4+iwCglPaq5pPbnCwNBifyuUC7zSZp6&#10;+QcnzWfYB4HzyHaIZJcJRtRLd62RygnuruHB9PlOHs0adPeMi7fyr2KIKY5vl3R7NK/dsGO4uFys&#10;ViEJBW+Yu1Ubwz20Z8lP9OnwzMCMY3eolzt91D0rPkx/yEXS33gcHVyPMItxlf3+nfsh6+0P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N7r3hF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117</w:t>
    </w:r>
    <w:r>
      <w:rPr>
        <w:rFonts w:ascii="Verdana" w:hAnsi="Verdana"/>
        <w:b/>
        <w:noProof/>
        <w:color w:val="FFFFFF"/>
        <w:sz w:val="18"/>
        <w:szCs w:val="18"/>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91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7329965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7A027DE0" id="Rectangle 3" o:spid="_x0000_s1026" style="position:absolute;margin-left:225.1pt;margin-top:.35pt;width:31.75pt;height:62.6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REYWQIAALgEAAAOAAAAZHJzL2Uyb0RvYy54bWysVE1v2zAMvQ/YfxB0X/0RO2mMOEWWIsOA&#10;oi3aDj0rshwbkCWNUuN0v36U7KRpt9OwHBRSZJ7Ix8csrg6dJHsBttWqpMlFTIlQXFet2pX0x9Pm&#10;yyUl1jFVMamVKOmrsPRq+fnTojeFSHWjZSWAIIiyRW9K2jhniiiyvBEdsxfaCIXBWkPHHLqwiypg&#10;PaJ3MkrjeBr1GioDmgtr8fZ6CNJlwK9rwd1dXVvhiCwp1ubCCeHc+jNaLlixA2aalo9lsH+oomOt&#10;wkdPUNfMMfIC7R9QXctBW127C667SNd1y0XoAbtJ4g/dPDbMiNALkmPNiSb7/2D57f4eSFuVNJ1N&#10;0vl8mk8oUazDUT0geUztpCATT1NvbIHZj+YeRs+i6Xs+1ND5b+yGHAK1rydqxcERjpdZPEnTnBKO&#10;odk8n+a5x4zefmzAum9Cd8QbJQV8PBDK9jfWDanHFP+W1bKtNq2UwYHddi2B7JmfcjKdzbMR/V2a&#10;VKTHPvMsjgP0u6A9x8g2l8nX6yGpYZUYkPMYP0fgIT20cIaDDUnlSxJBe2PpnrqBLG9tdfWKnIMe&#10;xGgN37TY8w2z7p4Bqg91ihvl7vCopcaS9WhR0mj49bd7n4+iwCglPaq5pPbnCwNBifyuUC7zJMu8&#10;/IOTTS+xDwLnke0QyWcpRtRLt9ZIZYK7a3gwfb6TR7MG3T3j4q38qxhiiuPbJd0ezbUbdgwXl4vV&#10;KiSh4A1zN+rRcA/tWfITfTo8MzDj2B3q5VYfdc+KD9MfcpH0Nx5HB9cjzGJcZb9/537IevvDWf4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7nURGF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119</w:t>
    </w:r>
    <w:r>
      <w:rPr>
        <w:rFonts w:ascii="Verdana" w:hAnsi="Verdana"/>
        <w:b/>
        <w:noProof/>
        <w:color w:val="FFFFFF"/>
        <w:sz w:val="18"/>
        <w:szCs w:val="18"/>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121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87473622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6B5A80F4" id="Rectangle 3" o:spid="_x0000_s1026" style="position:absolute;margin-left:225.1pt;margin-top:.35pt;width:31.75pt;height:62.6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1ZoWQIAALgEAAAOAAAAZHJzL2Uyb0RvYy54bWysVN9v2jAQfp+0/8Hy+5oQEn6JUDEqpklV&#10;i9pOfTaOQyI5tnc2BPbX7+yEQrs9TePB3PmOz3fffcf89thIchBga61yOriJKRGK66JWu5z+eFl/&#10;mVBiHVMFk1qJnJ6EpbeLz5/mrZmJRFdaFgIIgig7a01OK+fMLIosr0TD7I02QmGw1NAwhy7sogJY&#10;i+iNjJI4HkWthsKA5sJavL3rgnQR8MtScPdYllY4InOKtblwQji3/owWczbbATNVzfsy2D9U0bBa&#10;4aNvUHfMMbKH+g+opuagrS7dDddNpMuy5iL0gN0M4g/dPFfMiNALkmPNG032/8Hyh8MGSF3kdDJO&#10;x8NRkowoUazBUT0heUztpCBDT1Nr7Ayzn80Ges+i6Xs+ltD4b+yGHAO1pzdqxdERjpdpPEySjBKO&#10;ofE0G2WZx4wuPzZg3TehG+KNnAI+Hghlh3vrutRzin/LalkX61rK4MBuu5JADsxPeTAaT9Me/V2a&#10;VKTNaZKlcRyg3wXtNUa6ngy+3nVJFStEh5zF+DkDd+mhhSscbEgqX5II2utL99R1ZHlrq4sTcg66&#10;E6M1fF1jz/fMug0DVB/qFDfKPeJRSo0l696ipNLw62/3Ph9FgVFKWlRzTu3PPQNBifyuUC7TQZp6&#10;+QcnHU2wDwLXkW0XycYJRtS+WWmkcoC7a3gwfb6TZ7ME3bzi4i39qxhiiuPbOd2ezZXrdgwXl4vl&#10;MiSh4A1z9+rZcA/tWfITfTm+MjD92B3q5UGfdc9mH6bf5SLpFx57B9cjzKJfZb9/137IuvzhLH4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LW9WaF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121</w:t>
    </w:r>
    <w:r>
      <w:rPr>
        <w:rFonts w:ascii="Verdana" w:hAnsi="Verdana"/>
        <w:b/>
        <w:noProof/>
        <w:color w:val="FFFFFF"/>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326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2619701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2802A52E" id="Rectangle 3" o:spid="_x0000_s1026" style="position:absolute;margin-left:225.1pt;margin-top:.35pt;width:31.75pt;height:62.6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0zWQIAALkEAAAOAAAAZHJzL2Uyb0RvYy54bWysVE1v2zAMvQ/YfxB0X/0RO1+IU2QpMgwo&#10;2qDt0LMiy7EBWdIoNU7360fJTpN2Ow3LQSFF5ol8fMzi+thKchBgG60KmlzFlAjFddmofUF/PG2+&#10;TCmxjqmSSa1EQV+FpdfLz58WnZmLVNdalgIIgig770xBa+fMPIosr0XL7JU2QmGw0tAyhy7soxJY&#10;h+itjNI4HkedhtKA5sJavL3pg3QZ8KtKcHdfVVY4IguKtblwQjh3/oyWCzbfAzN1w4cy2D9U0bJG&#10;4aNvUDfMMfICzR9QbcNBW125K67bSFdVw0XoAbtJ4g/dPNbMiNALkmPNG032/8Hyu8MWSFPi7Cbp&#10;OJlN4mREiWItzuoB2WNqLwUZeZ46Y+eY/mi2MHgWTd/0sYLWf2M75Bi4fX3jVhwd4XiZxaM0zSnh&#10;GJrM8nGee8zo/GMD1n0TuiXeKCjg44FRdri1rk89pfi3rJZNuWmkDA7sd2sJ5MD8mJPxZJYN6O/S&#10;pCJdQdM8i+MA/S5oLzGyzTT5etMn1awUPXIe4+cE3KeHFi5wsCGpfEkiiG8o3VPXk+WtnS5fkXTQ&#10;vRqt4ZsGe75l1m0ZoPxQqLhS7h6PSmosWQ8WJbWGX3+79/moCoxS0qGcC2p/vjAQlMjvCvUyS7LM&#10;6z842XiKfRC4jOz6SD5JMaJe2rVGKhNcXsOD6fOdPJkV6PYZN2/lX8UQUxzfLujuZK5dv2S4uVys&#10;ViEJFW+Yu1WPhntoz5Kf6NPxmYEZxu5QL3f6JHw2/zD9PhdJP/M4OLgfYRbDLvsFvPRD1vkf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Z77dM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124</w:t>
    </w:r>
    <w:r>
      <w:rPr>
        <w:rFonts w:ascii="Verdana" w:hAnsi="Verdana"/>
        <w:b/>
        <w:noProof/>
        <w:color w:val="FFFFFF"/>
        <w:sz w:val="18"/>
        <w:szCs w:val="18"/>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531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7899933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259A6B94" id="Rectangle 3" o:spid="_x0000_s1026" style="position:absolute;margin-left:225.1pt;margin-top:.35pt;width:31.75pt;height:62.6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6XWgIAALkEAAAOAAAAZHJzL2Uyb0RvYy54bWysVE2P2jAQvVfqf7B87yZAwpcIK8qKqtJq&#10;Fy1b7dk4Donk2O7YEOiv79gJH7vtqSoHM+MZnmfevGF2f6wlOQiwlVYZ7d3FlAjFdV6pXUZ/vK6+&#10;jCmxjqmcSa1ERk/C0vv550+zxkxFX5da5gIIgig7bUxGS+fMNIosL0XN7J02QmGw0FAzhy7sohxY&#10;g+i1jPpxPIwaDbkBzYW1ePvQBuk84BeF4O65KKxwRGYUa3PhhHBu/RnNZ2y6A2bKindlsH+oomaV&#10;wkcvUA/MMbKH6g+ouuKgrS7cHdd1pIui4iL0gN304g/dbEpmROgFybHmQpP9f7D86bAGUuU4u/Fo&#10;PJlMBoMBJYrVOKsXZI+pnRRk4HlqjJ1i+sasofMsmr7pYwG1/8Z2yDFwe7pwK46OcLxM4kG/n1LC&#10;MTSapMM09ZjR9ccGrPsmdE28kVHAxwOj7PBoXZt6TvFvWS2rfFVJGRzYbZcSyIH5MfeGo0nSob9L&#10;k4o0Ge2nSRwH6HdBe4uRrMa9rw9tUsly0SKnMX7OwG16aOEGBxuSypckgvi60j11LVne2ur8hKSD&#10;btVoDV9V2PMjs27NAOWHQsWVcs94FFJjybqzKCk1/Prbvc9HVWCUkgblnFH7c89AUCK/K9TLpJck&#10;Xv/BSYZj7IPAbWTbRtJRHyNqXy81UtnD5TU8mD7fybNZgK7fcPMW/lUMMcXx7Yxuz+bStUuGm8vF&#10;YhGSUPGGuUe1MdxDe5b8RF+PbwxMN3aHennSZ+Gz6Yfpt7lI+pXHzsH9CLPodtkv4K0fsq7/OPPf&#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NLO/pd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125</w:t>
    </w:r>
    <w:r>
      <w:rPr>
        <w:rFonts w:ascii="Verdana" w:hAnsi="Verdana"/>
        <w:b/>
        <w:noProof/>
        <w:color w:val="FFFFFF"/>
        <w:sz w:val="18"/>
        <w:szCs w:val="18"/>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736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57476132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12F26924" id="Rectangle 3" o:spid="_x0000_s1026" style="position:absolute;margin-left:225.1pt;margin-top:.35pt;width:31.75pt;height:62.6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20mWQIAALgEAAAOAAAAZHJzL2Uyb0RvYy54bWysVE1v2zAMvQ/YfxB0X/xRO2mNOkXXIMOA&#10;oi2aDj0rshwbkCWNUuJkv36U7KRpt9OwHBRSZJ7Ix8dc3+w7SXYCbKtVSZNJTIlQXFet2pT0x8vy&#10;yyUl1jFVMamVKOlBWHoz//zpujeFSHWjZSWAIIiyRW9K2jhniiiyvBEdsxNthMJgraFjDl3YRBWw&#10;HtE7GaVxPI16DZUBzYW1eLsYgnQe8OtacPdY11Y4IkuKtblwQjjX/ozm16zYADNNy8cy2D9U0bFW&#10;4aMnqAVzjGyh/QOqazloq2s34bqLdF23XIQesJsk/tDNqmFGhF6QHGtONNn/B8sfdk9A2qqk+Syb&#10;TZOLNKNEsQ5H9YzkMbWRglx4mnpjC8xemScYPYum73lfQ+e/sRuyD9QeTtSKvSMcL7P4Ik1zSjiG&#10;Zlf5NM89ZvT2YwPWfRO6I94oKeDjgVC2u7duSD2m+Leslm21bKUMDmzWdxLIjvkpJ9PZVTaiv0uT&#10;ivQlTfMsjgP0u6A9x8iWl8nXxZDUsEoMyHmMnyPwkB5aOMPBhqTyJYmgvbF0T91AlrfWujog56AH&#10;MVrDly32fM+se2KA6kOd4ka5RzxqqbFkPVqUNBp+/e3e56MoMEpJj2ouqf25ZSAokd8VyuUqyTIv&#10;/+Bk00vsg8B5ZD1E8lmKEbXt7jRSmeDuGh5Mn+/k0axBd6+4eLf+VQwxxfHtkq6P5p0bdgwXl4vb&#10;25CEgjfM3auV4R7as+Qn+rJ/ZWDGsTvUy4M+6p4VH6Y/5CLpbzyODq5HmMW4yn7/zv2Q9faHM/8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kSttJl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130</w:t>
    </w:r>
    <w:r>
      <w:rPr>
        <w:rFonts w:ascii="Verdana" w:hAnsi="Verdana"/>
        <w:b/>
        <w:noProof/>
        <w:color w:val="FFFFFF"/>
        <w:sz w:val="18"/>
        <w:szCs w:val="18"/>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9408"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50599101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1F2952B8" id="Rectangle 3" o:spid="_x0000_s1026" style="position:absolute;margin-left:350.05pt;margin-top:6.5pt;width:31.75pt;height:62.6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J8VWgIAALkEAAAOAAAAZHJzL2Uyb0RvYy54bWysVE1v2zAMvQ/YfxB0X/xRO2mMOEXXIMOA&#10;oC3aDj0rshwbkCWNUuN0v36U7KRpt9OwHBRSZJ7Ix8csrg6dJHsBttWqpMkkpkQorqtW7Ur642n9&#10;5ZIS65iqmNRKlPRVWHq1/Pxp0ZtCpLrRshJAEETZojclbZwzRRRZ3oiO2Yk2QmGw1tAxhy7sogpY&#10;j+idjNI4nka9hsqA5sJavF0NQboM+HUtuLuraysckSXF2lw4IZxbf0bLBSt2wEzT8rEM9g9VdKxV&#10;+OgJasUcIy/Q/gHVtRy01bWbcN1Fuq5bLkIP2E0Sf+jmsWFGhF6QHGtONNn/B8tv9/dA2gpnl8f5&#10;fJ7EyZQSxTqc1QOyx9ROCnLheeqNLTD90dzD6Fk0fdOHGjr/je2QQ+D29cStODjC8TKLL9I0p4Rj&#10;aDbPp3nuMaO3Hxuw7pvQHfFGSQEfD4yy/ca6IfWY4t+yWrbVupUyOLDb3kgge+bHnExn82xEf5cm&#10;FelLmuZZHAfod0F7jpGtL5OvqyGpYZUYkPMYP0fgIT20cIaDDUnlSxJBfGPpnrqBLG9tdfWKpIMe&#10;1GgNX7fY84ZZd88A5YdCxZVyd3jUUmPJerQoaTT8+tu9z0dVYJSSHuVcUvvzhYGgRH5XqJd5kmVe&#10;/8HJppfYB4HzyHaI5LMUI+qlu9FIZYLLa3gwfb6TR7MG3T3j5l37VzHEFMe3S7o9mjduWDLcXC6u&#10;r0MSKt4wt1GPhntoz5Kf6NPhmYEZx+5QL7f6KHxWfJj+kIukv/E4OrgfYRbjLvsFPPdD1ts/zvI3&#10;AAAA//8DAFBLAwQUAAYACAAAACEA5awaEt4AAAAKAQAADwAAAGRycy9kb3ducmV2LnhtbEyPwU7D&#10;MBBE70j8g7VIXBC1S6Q0hDhVqcQRiQZQe3RjE0fY6yh22/Tv2Z7ocWeeZmeq5eQdO5ox9gElzGcC&#10;mME26B47CV+fb48FsJgUauUCGglnE2FZ395UqtThhBtzbFLHKARjqSTYlIaS89ha41WchcEgeT9h&#10;9CrROXZcj+pE4d7xJyFy7lWP9MGqwaytaX+bg5fw7Cb83q5ePx7sO57TblM0dt1KeX83rV6AJTOl&#10;fxgu9ak61NRpHw6oI3MSFkLMCSUjo00ELPIsB7a/CEUGvK749YT6DwAA//8DAFBLAQItABQABgAI&#10;AAAAIQC2gziS/gAAAOEBAAATAAAAAAAAAAAAAAAAAAAAAABbQ29udGVudF9UeXBlc10ueG1sUEsB&#10;Ai0AFAAGAAgAAAAhADj9If/WAAAAlAEAAAsAAAAAAAAAAAAAAAAALwEAAF9yZWxzLy5yZWxzUEsB&#10;Ai0AFAAGAAgAAAAhAIrwnxVaAgAAuQQAAA4AAAAAAAAAAAAAAAAALgIAAGRycy9lMm9Eb2MueG1s&#10;UEsBAi0AFAAGAAgAAAAhAOWsGhLeAAAACg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133</w:t>
    </w:r>
    <w:r>
      <w:rPr>
        <w:rFonts w:ascii="Verdana" w:hAnsi="Verdana"/>
        <w:b/>
        <w:noProof/>
        <w:color w:val="FFFFFF"/>
        <w:sz w:val="18"/>
        <w:szCs w:val="18"/>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3145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3736227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0AF0DA6A" id="Rectangle 3" o:spid="_x0000_s1026" style="position:absolute;margin-left:350.05pt;margin-top:6.5pt;width:31.75pt;height:62.6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7PaWQIAALcEAAAOAAAAZHJzL2Uyb0RvYy54bWysVE1v2zAMvQ/YfxB0X/0RO0mNOEWWIsOA&#10;oi3aDj0rshwbkCWNUuN0v36U7KRpt9OwHBRSZJ7Ix8csrg6dJHsBttWqpMlFTIlQXFet2pX0x9Pm&#10;y5wS65iqmNRKlPRVWHq1/Pxp0ZtCpLrRshJAEETZojclbZwzRRRZ3oiO2QtthMJgraFjDl3YRRWw&#10;HtE7GaVxPI16DZUBzYW1eHs9BOky4Ne14O6urq1wRJYUa3PhhHBu/RktF6zYATNNy8cy2D9U0bFW&#10;4aMnqGvmGHmB9g+oruWgra7dBdddpOu65SL0gN0k8YduHhtmROgFybHmRJP9f7D8dn8PpK1KOplN&#10;pmk6w3kp1uGkHpA7pnZSkIlnqTe2wORHcw+jZ9H0LR9q6Pw3NkMOgdnXE7Pi4AjHyyyepGlOCcfQ&#10;7DKf5rnHjN5+bMC6b0J3xBslBXw88Mn2N9YNqccU/5bVsq02rZTBgd12LYHsmR9yMp1dZiP6uzSp&#10;SF/SNM/iOEC/C9pzjGwzT75eD0kNq8SAnMf4OQIP6aGFMxxsSCpfkgjSG0v31A1keWurq1ekHPSg&#10;RWv4psWeb5h19wxQfChTXCh3h0ctNZasR4uSRsOvv937fNQERinpUcwltT9fGAhK5HeFarlMssyr&#10;PzjZdI59EDiPbIdIPksxol66tUYqE1xdw4Pp8508mjXo7hn3buVfxRBTHN8u6fZort2wYri3XKxW&#10;IQn1bpi7UY+Ge2jPkp/o0+GZgRnH7lAvt/ooe1Z8mP6Qi6S/8Tg6uB1hFuMm+/U790PW2//N8jcA&#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xfez2lkCAAC3BAAADgAAAAAAAAAAAAAAAAAuAgAAZHJzL2Uyb0RvYy54bWxQ&#10;SwECLQAUAAYACAAAACEA5awaEt4AAAAK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134</w:t>
    </w:r>
    <w:r>
      <w:rPr>
        <w:rFonts w:ascii="Verdana" w:hAnsi="Verdana"/>
        <w:b/>
        <w:noProof/>
        <w:color w:val="FFFFFF"/>
        <w:sz w:val="18"/>
        <w:szCs w:val="18"/>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5721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206D9AB0" id="Rectangle 3" o:spid="_x0000_s1026" style="position:absolute;margin-left:350.05pt;margin-top:6.5pt;width:31.75pt;height:6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j9UwIAALE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wdgkl&#10;ijU4oxdkjamtFOTW89MaO8G0tVlB71k0fbOHEhr/jW2QQ+D0eOZUHBzheJnGt0mSUcIxdDfOhlnm&#10;MaPLjw1Y903ohngjp4CPBybZ/tG6LvWU4t+yWtbFspYyOLDdLCSQPfPjHQzvxmmP/i5NKtLmNMnS&#10;OA7Q74L2GiNdjgZfH7qkihWiQ85i/JyAu/TQwhUONiSVL0kE0fWle+o6sry10cURyQbdqdAavqyx&#10;50dm3YoByg4FiqvknvEopcaSdW9RUmn49bd7n49qwCglLco4p/bnjoGgRH5XqJPxIE297oOTDkfY&#10;B4HryKaLZHcJRtSuWWikcoBLa3gwfb6TJ7ME3bzhxs39qxhiiuPbOd2czIXrlgs3lov5PCSh0g1z&#10;j2ptuIf2LPmJvh7eGJh+7A718qRPgmeTD9PvcpH0C4+9g3sRZtHvsF+8az9kXf5pZr8B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FBPI/V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135</w:t>
    </w:r>
    <w:r>
      <w:rPr>
        <w:rFonts w:ascii="Verdana" w:hAnsi="Verdana"/>
        <w:b/>
        <w:noProof/>
        <w:color w:val="FFFFFF"/>
        <w:sz w:val="18"/>
        <w:szCs w:val="18"/>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921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05509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7E6C3586" id="Rectangle 3" o:spid="_x0000_s1026" style="position:absolute;margin-left:225.1pt;margin-top:.35pt;width:31.75pt;height:62.6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nJVwIAALc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4uzRO&#10;03icUqJYjZN6Qe6Y2klB7j1LjbETTN6YNXSeRdO3fCyg9t/YDDkGZk8XZsXREY6XSXzf7yM0x9Bw&#10;nA7S1GNG1x8bsO6b0DXxRkYBHw98ssPKujb1nOLfslpW+bKSMjiw2y4kkAPzQ+4NhuOkQ3+XJhVp&#10;MtpPkzgO0O+C9hYjWY56Xx/bpJLlokVOY/ycgdv00MINDjYklS9JBOl1pXvqWrK8tdX5CSkH3WrR&#10;Gr6ssOcVs27NAMWHMsWFcs94FFJjybqzKCk1/Prbvc9HTWCUkgbFnFH7c89AUCK/K1TLuJckXv3B&#10;SQYj7IPAbWTbRtJhHyNqXy80UtnD1TU8mD7fybNZgK7fcO/m/lUMMcXx7Yxuz+bCtSuGe8vFfB6S&#10;UO+GuZXaGO6hPUt+oq/HNwamG7tDvTzps+zZ5MP021wk/cpj5+B2hFl0m+zX79YPWdf/m9lvAA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Joc6clXAgAAtw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w:t>
    </w:r>
    <w:r>
      <w:rPr>
        <w:rFonts w:ascii="Verdana" w:hAnsi="Verdana"/>
        <w:b/>
        <w:noProof/>
        <w:color w:val="FFFFFF"/>
        <w:sz w:val="18"/>
        <w:szCs w:val="18"/>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58240"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776B7707" id="Rectangle 3" o:spid="_x0000_s1026" style="position:absolute;margin-left:350.05pt;margin-top:6.5pt;width:31.75pt;height:6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Lw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4u4QS&#10;xWqc0QuyxtROCnLv+WmMnWDaxqyh8yyavtljAbX/xjbIMXB6unAqjo5wvEzi+34/pYRjaDhOB2nq&#10;MaPrjw1Y903omngjo4CPBybZYWVdm3pO8W9ZLat8WUkZHNhtFxLIgfnx9gbDcdKhv0uTijQZ7adJ&#10;HAfod0F7i5EsR72vj21SyXLRIqcxfs7AbXpo4QYHG5LKlySC6LrSPXUtWd7a6vyEZINuVWgNX1bY&#10;84pZt2aAskOB4iq5ZzwKqbFk3VmUlBp+/e3e56MaMEpJgzLOqP25ZyAokd8V6mTcSxKv++AkgxH2&#10;QeA2sm0j6bCPEbWvFxqp7OHSGh5Mn+/k2SxA12+4cXP/KoaY4vh2Rrdnc+Ha5cKN5WI+D0modMPc&#10;Sm0M99CeJT/R1+MbA9ON3aFenvRZ8GzyYfptLpJ+5bFzcC/CLLod9ot364es6z/N7Dc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3itC8F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136</w:t>
    </w:r>
    <w:r>
      <w:rPr>
        <w:rFonts w:ascii="Verdana" w:hAnsi="Verdana"/>
        <w:b/>
        <w:noProof/>
        <w:color w:val="FFFFFF"/>
        <w:sz w:val="18"/>
        <w:szCs w:val="18"/>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5926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62D5E7E0" id="Rectangle 3" o:spid="_x0000_s1026" style="position:absolute;margin-left:350.05pt;margin-top:6.5pt;width:31.75pt;height:6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FE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XU6J&#10;Yh3O6BFZY2orBbnw/PTGFpj2ZB5g9CyavtlDDZ3/xjbIIXB6fOVUHBzheJnFF2mK0BxDs8t8muce&#10;M3r7sQHrvgndEW+UFPDxwCTbr60bUk8p/i2rZVutWimDA9vNrQSyZ368yXR2mY3o79KkIn1J0zyL&#10;4wD9LmjPMbLVPPm6HJIaVokBOY/xcwIe0kMLZzjYkFS+JBFEN5buqRvI8tZGV0ckG/SgQmv4qsWe&#10;18y6BwYoOxQorpK7x6OWGkvWo0VJo+HX3+59PqoBo5T0KOOS2p87BoIS+V2hTi6TLPO6D042nWMf&#10;BM4jmyGSz1KMqF13q5HKBJfW8GD6fCdPZg26e8GNu/GvYogpjm+XdHMyb92wXLixXNzchCRUumFu&#10;rZ4M99CeJT/R58MLAzOO3aFe7vRJ8Kz4MP0hF0l/43F0cC/CLMYd9ot37oest3+axW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wt3RRF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137</w:t>
    </w:r>
    <w:r>
      <w:rPr>
        <w:rFonts w:ascii="Verdana" w:hAnsi="Verdana"/>
        <w:b/>
        <w:noProof/>
        <w:color w:val="FFFFFF"/>
        <w:sz w:val="18"/>
        <w:szCs w:val="18"/>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0288"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31986501" id="Rectangle 3" o:spid="_x0000_s1026" style="position:absolute;margin-left:350.05pt;margin-top:6.5pt;width:31.75pt;height:6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RC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4uwEl&#10;itU4oxdkjamdFOTe89MYO8G0jVlD51k0fbPHAmr/jW2QY+D0dOFUHB3heJnE9/1+SgnH0HCcDtLU&#10;Y0bXHxuw7pvQNfFGRgEfD0yyw8q6NvWc4t+yWlb5spIyOLDbLiSQA/Pj7Q2G46RDf5cmFWky2k+T&#10;OA7Q74L2FiNZjnpfH9ukkuWiRU5j/JyB2/TQwg0ONiSVL0kE0XWle+pasry11fkJyQbdqtAavqyw&#10;5xWzbs0AZYcCxVVyz3gUUmPJurMoKTX8+tu9z0c1YJSSBmWcUftzz0BQIr8r1Mm4lyRe98FJBiPs&#10;g8BtZNtG0mEfI2pfLzRS2cOlNTyYPt/Js1mArt9w4+b+VQwxxfHtjG7P5sK1y4Uby8V8HpJQ6Ya5&#10;ldoY7qE9S36ir8c3BqYbu0O9POmz4Nnkw/TbXCT9ymPn4F6EWXQ77Bfv1g9Z13+a2W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p8EUQl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138</w:t>
    </w:r>
    <w:r>
      <w:rPr>
        <w:rFonts w:ascii="Verdana" w:hAnsi="Verdana"/>
        <w:b/>
        <w:noProof/>
        <w:color w:val="FFFFFF"/>
        <w:sz w:val="18"/>
        <w:szCs w:val="18"/>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1312"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257E5189" id="Rectangle 3" o:spid="_x0000_s1026" style="position:absolute;margin-left:350.05pt;margin-top:6.5pt;width:31.75pt;height:6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4f2UwIAALE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zEl&#10;ijU4oydkjamdFOTG89MaO8O0Z7OB3rNo+maPJTT+G9sgx8Dp6Y1TcXSE42Ua3yRJRgnH0HiajbLM&#10;Y0aXHxuw7pvQDfFGTgEfD0yyw9q6LvWc4t+yWtbFqpYyOLDbLiSQA/PjHY7G07RHf5cmFWlzmmRp&#10;HAfod0F7jZGuJsOvyy6pYoXokLMYP2fgLj20cIWDDUnlSxJBdH3pnrqOLG9tdXFCskF3KrSGr2rs&#10;ec2s2zBA2aFAcZXcIx6l1Fiy7i1KKg2//nbv81ENGKWkRRnn1P7cMxCUyO8KdTIdpqnXfXDS0QT7&#10;IHAd2XaRbJxgRO2bhUYqh7i0hgfT5zt5NkvQzStu3L1/FUNMcXw7p9uzuXDdcuHGcnF/H5JQ6Ya5&#10;tXo23EN7lvxEX46vDEw/dod6edBnwbPZh+l3uUj6hcfewb0Is+h32C/etR+yLv8089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uzeH9l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144</w:t>
    </w:r>
    <w:r>
      <w:rPr>
        <w:rFonts w:ascii="Verdana" w:hAnsi="Verdana"/>
        <w:b/>
        <w:noProof/>
        <w:color w:val="FFFFFF"/>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233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6B15236A" id="Rectangle 3" o:spid="_x0000_s1026" style="position:absolute;margin-left:350.05pt;margin-top:6.5pt;width:31.75pt;height:62.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br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HU5K&#10;sQ5n9IisMbWVglx4fnpjC0x7Mg8wehZN3+yhhs5/YxvkEDg9vnIqDo5wvMziizTNKeEYml3m0zz3&#10;mNHbjw1Y903ojnijpICPBybZfm3dkHpK8W9ZLdtq1UoZHNhubiWQPfPjTaazy2xEf5cmFelLmuZZ&#10;HAfod0F7jpGt5snX5ZDUsEoMyHmMnxPwkB5aOMPBhqTyJYkgurF0T91Alrc2ujoi2aAHFVrDVy32&#10;vGbWPTBA2aFAcZXcPR611FiyHi1KGg2//nbv81ENGKWkRxmX1P7cMRCUyO8KdXKZZJnXfXCy6Rz7&#10;IHAe2QyRfJZiRO26W41UJri0hgfT5zt5MmvQ3Qtu3I1/FUNMcXy7pJuTeeuG5cKN5eLmJiSh0g1z&#10;a/VkuIf2LPmJPh9eGJhx7A71cqdPgmfFh+kPuUj6G4+jg3sRZjHusF+8cz9kvf3TLH4D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SlpW61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165</w:t>
    </w:r>
    <w:r>
      <w:rPr>
        <w:rFonts w:ascii="Verdana" w:hAnsi="Verdana"/>
        <w:b/>
        <w:noProof/>
        <w:color w:val="FFFFFF"/>
        <w:sz w:val="18"/>
        <w:szCs w:val="18"/>
      </w:rPr>
      <w:fldChar w:fldCharType="end"/>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56192"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13561905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2FF6143F" id="Rectangle 3" o:spid="_x0000_s1026" style="position:absolute;margin-left:350.05pt;margin-top:6.5pt;width:31.75pt;height:6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ZqWQIAALkEAAAOAAAAZHJzL2Uyb0RvYy54bWysVN9v2jAQfp+0/8Hy+0hCE36poWIgpklV&#10;i9pOfTaOQyI5tnc2BPbX7+yEQrs9TePB3PmOz3fffcft3bGR5CDA1lrlNBnElAjFdVGrXU5/vKy/&#10;TCixjqmCSa1ETk/C0rv550+3rZmJoa60LAQQBFF21pqcVs6ZWRRZXomG2YE2QmGw1NAwhy7sogJY&#10;i+iNjIZxPIpaDYUBzYW1eLvqgnQe8MtScPdYllY4InOKtblwQji3/ozmt2y2A2aqmvdlsH+oomG1&#10;wkffoFbMMbKH+g+opuagrS7dgOsm0mVZcxF6wG6S+EM3zxUzIvSC5FjzRpP9f7D84bABUhc5HSY3&#10;2SiZxtmYEsUanNUTssfUTgpy43lqjZ1h+rPZQO9ZNH3TxxIa/43tkGPg9vTGrTg6wvEyjW+Gw4wS&#10;jqHxNBtlmceMLj82YN03oRvijZwCPh4YZYd767rUc4p/y2pZF+tayuDAbruUQA7MjzkZjadpj/4u&#10;TSrSYqNZGscB+l3QXmOk60nyddUlVawQHXIW4+cM3KWHFq5wsCGpfEkiiK8v3VPXkeWtrS5OSDro&#10;To3W8HWNPd8z6zYMUH4oVFwp94hHKTWWrHuLkkrDr7/d+3xUBUYpaVHOObU/9wwEJfK7Qr1MkzT1&#10;+g9OOppgHwSuI9suko2HGFH7ZqmRygSX1/Bg+nwnz2YJunnFzVv4VzHEFMe3c7o9m0vXLRluLheL&#10;RUhCxRvm7tWz4R7as+Qn+nJ8ZWD6sTvUy4M+C5/NPky/y0XSLzz2Du5HmEW/y34Br/2QdfnHmf8G&#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6EzmalkCAAC5BAAADgAAAAAAAAAAAAAAAAAuAgAAZHJzL2Uyb0RvYy54bWxQ&#10;SwECLQAUAAYACAAAACEA5awaEt4AAAAK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166</w:t>
    </w:r>
    <w:r>
      <w:rPr>
        <w:rFonts w:ascii="Verdana" w:hAnsi="Verdana"/>
        <w:b/>
        <w:noProof/>
        <w:color w:val="FFFFFF"/>
        <w:sz w:val="18"/>
        <w:szCs w:val="18"/>
      </w:rPr>
      <w:fldChar w:fldCharType="end"/>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4C1A4B04" id="Rectangle 3" o:spid="_x0000_s1026" style="position:absolute;margin-left:350.05pt;margin-top:6.5pt;width:31.75pt;height:6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VfUwIAALEEAAAOAAAAZHJzL2Uyb0RvYy54bWysVFFv2jAQfp+0/2D5fU1CEygRoWJUTJNQ&#10;W7Wd+mwch0RybO9sCOzX7+wESrs9TePB3PmOz3fffcfs9tBKshdgG60KmlzFlAjFddmobUF/vKy+&#10;3FBiHVMlk1qJgh6Fpbfzz59mncnFSNdalgIIgiibd6agtXMmjyLLa9Eye6WNUBisNLTMoQvbqATW&#10;IXoro1Ecj6NOQ2lAc2Et3t71QToP+FUluHuoKisckQXF2lw4IZwbf0bzGcu3wEzd8KEM9g9VtKxR&#10;+OgZ6o45RnbQ/AHVNhy01ZW74rqNdFU1XIQesJsk/tDNc82MCL0gOdacabL/D5bf7x+BNCXObkqJ&#10;Yi3O6AlZY2orBbn2/HTG5pj2bB5h8CyavtlDBa3/xjbIIXB6PHMqDo5wvEzj69Eoo4RjaDLNxlnm&#10;MaO3Hxuw7pvQLfFGQQEfD0yy/dq6PvWU4t+yWjblqpEyOLDdLCWQPfPjTcaTaTqgv0uTinQFHWVp&#10;HAfod0F7iZGubpKvd31SzUrRI2cxfk7AfXpo4QIHG5LKlySC6IbSPXU9Wd7a6PKIZIPuVWgNXzXY&#10;85pZ98gAZYcCxVVyD3hUUmPJerAoqTX8+tu9z0c1YJSSDmVcUPtzx0BQIr8r1Mk0SVOv++Ck4xvs&#10;g8BlZNNHsskII2rXLjVSmeDSGh5Mn+/kyaxAt6+4cQv/KoaY4vh2QTcnc+n65cKN5WKxCEmodMPc&#10;Wj0b7qE9S36iL4dXBmYYu0O93OuT4Fn+Yfp9LpL+xuPg4F6EWQw77Bfv0g9Zb/8089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VqzFX1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167</w:t>
    </w:r>
    <w:r>
      <w:rPr>
        <w:rFonts w:ascii="Verdana" w:hAnsi="Verdana"/>
        <w:b/>
        <w:noProof/>
        <w:color w:val="FFFFFF"/>
        <w:sz w:val="18"/>
        <w:szCs w:val="18"/>
      </w:rPr>
      <w:fldChar w:fldCharType="end"/>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438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17E91301" id="Rectangle 3" o:spid="_x0000_s1026" style="position:absolute;margin-left:350.05pt;margin-top:6.5pt;width:31.75pt;height:62.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ByUQIAALEEAAAOAAAAZHJzL2Uyb0RvYy54bWysVE2P2jAQvVfqf7B87yawCV8irCgrqkpo&#10;Fy1b7dk4Donk2O7YEOiv79gJH7vtqSoHM+N5PM+8mWH6cKwlOQiwlVYZ7d3FlAjFdV6pXUZ/vC6/&#10;jCixjqmcSa1ERk/C0ofZ50/TxkxEX5da5gIIkig7aUxGS+fMJIosL0XN7J02QmGw0FAzhy7sohxY&#10;g+y1jPpxPIgaDbkBzYW1ePvYBuks8BeF4O65KKxwRGYUc3PhhHBu/RnNpmyyA2bKindpsH/IomaV&#10;wkcvVI/MMbKH6g+quuKgrS7cHdd1pIui4iLUgNX04g/VbEpmRKgFxbHmIpP9f7T86bAGUuUZ7aM8&#10;itXYoxdUjamdFOTe69MYO0HYxqyh8yyavthjAbX/xjLIMWh6umgqjo5wvEzi+34/pYRjaDhOB2nq&#10;OaPrjw1Y903omngjo4CPByXZYWVdCz1D/FtWyypfVlIGB3bbhQRyYL69vcFwnHTs72BSkQYLTJM4&#10;DtTvgvaWI1mOel8fW1DJctEypzF+zsQtPJRww4MFSeVTEmHoutS9dK1Y3trq/IRig26n0Bq+rLDm&#10;FbNuzQDHDjuAq+Se8SikxpR1Z1FSavj1t3uPx2nAKCUNjnFG7c89A0GJ/K5wTsa9JPFzH5xkMMI6&#10;CNxGtm0kHYb+7+uFRil7uLSGB9PjnTybBej6DTdu7l/FEFMc387o9mwuXLtcuLFczOcBhJNumFup&#10;jeGe2qvkO/p6fGNgurY7nJcnfR54NvnQ/RaLol917Bzci9CLbof94t36AXX9p5n9BgAA//8DAFBL&#10;AwQUAAYACAAAACEA5awaEt4AAAAKAQAADwAAAGRycy9kb3ducmV2LnhtbEyPwU7DMBBE70j8g7VI&#10;XBC1S6Q0hDhVqcQRiQZQe3RjE0fY6yh22/Tv2Z7ocWeeZmeq5eQdO5ox9gElzGcCmME26B47CV+f&#10;b48FsJgUauUCGglnE2FZ395UqtThhBtzbFLHKARjqSTYlIaS89ha41WchcEgeT9h9CrROXZcj+pE&#10;4d7xJyFy7lWP9MGqwaytaX+bg5fw7Cb83q5ePx7sO57TblM0dt1KeX83rV6AJTOlfxgu9ak61NRp&#10;Hw6oI3MSFkLMCSUjo00ELPIsB7a/CEUGvK749YT6DwAA//8DAFBLAQItABQABgAIAAAAIQC2gziS&#10;/gAAAOEBAAATAAAAAAAAAAAAAAAAAAAAAABbQ29udGVudF9UeXBlc10ueG1sUEsBAi0AFAAGAAgA&#10;AAAhADj9If/WAAAAlAEAAAsAAAAAAAAAAAAAAAAALwEAAF9yZWxzLy5yZWxzUEsBAi0AFAAGAAgA&#10;AAAhAKapQHJRAgAAsQQAAA4AAAAAAAAAAAAAAAAALgIAAGRycy9lMm9Eb2MueG1sUEsBAi0AFAAG&#10;AAgAAAAhAOWsGhLeAAAACgEAAA8AAAAAAAAAAAAAAAAAqwQAAGRycy9kb3ducmV2LnhtbFBLBQYA&#10;AAAABAAEAPMAAAC2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168</w:t>
    </w:r>
    <w:r>
      <w:rPr>
        <w:rFonts w:ascii="Verdana" w:hAnsi="Verdana"/>
        <w:b/>
        <w:noProof/>
        <w:color w:val="FFFFFF"/>
        <w:sz w:val="18"/>
        <w:szCs w:val="18"/>
      </w:rPr>
      <w:fldChar w:fldCharType="end"/>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3350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4418475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23B80A4B" id="Rectangle 3" o:spid="_x0000_s1026" style="position:absolute;margin-left:225.1pt;margin-top:.35pt;width:31.75pt;height:62.6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5J7WQIAALgEAAAOAAAAZHJzL2Uyb0RvYy54bWysVE1v2zAMvQ/YfxB0X/0RO0mNOEWWIsOA&#10;oi3aDj0rshwbkCWNUuN0v36U7KRpt9OwHBRSZJ7Ix8csrg6dJHsBttWqpMlFTIlQXFet2pX0x9Pm&#10;y5wS65iqmNRKlPRVWHq1/Pxp0ZtCpLrRshJAEETZojclbZwzRRRZ3oiO2QtthMJgraFjDl3YRRWw&#10;HtE7GaVxPI16DZUBzYW1eHs9BOky4Ne14O6urq1wRJYUa3PhhHBu/RktF6zYATNNy8cy2D9U0bFW&#10;4aMnqGvmGHmB9g+oruWgra7dBdddpOu65SL0gN0k8YduHhtmROgFybHmRJP9f7D8dn8PpK1KOsmy&#10;ZJ7N8gklinU4qgckj6mdFGTiaeqNLTD70dzD6Fk0fc+HGjr/jd2QQ6D29UStODjC8TKLJ2maU8Ix&#10;NLvMp3nuMaO3Hxuw7pvQHfFGSQEfD4Sy/Y11Q+oxxb9ltWyrTStlcGC3XUsge+annExnl9mI/i5N&#10;KtKXNM2zOA7Q74L2HCPbzJOv10NSwyoxIOcxfo7AQ3po4QwHG5LKlySC9sbSPXUDWd7a6uoVOQc9&#10;iNEavmmx5xtm3T0DVB/qFDfK3eFRS40l69GipNHw62/3Ph9FgVFKelRzSe3PFwaCEvldoVwukyzz&#10;8g9ONp1jHwTOI9shks9SjKiXbq2RygR31/Bg+nwnj2YNunvGxVv5VzHEFMe3S7o9mms37BguLher&#10;VUhCwRvmbtSj4R7as+Qn+nR4ZmDGsTvUy60+6p4VH6Y/5CLpbzyODq5HmMW4yn7/zv2Q9faHs/w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xj+Se1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170</w:t>
    </w:r>
    <w:r>
      <w:rPr>
        <w:rFonts w:ascii="Verdana" w:hAnsi="Verdana"/>
        <w:b/>
        <w:noProof/>
        <w:color w:val="FFFFFF"/>
        <w:sz w:val="18"/>
        <w:szCs w:val="18"/>
      </w:rPr>
      <w:fldChar w:fldCharType="end"/>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3452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95091046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5CCCB403" id="Rectangle 3" o:spid="_x0000_s1026" style="position:absolute;margin-left:225.1pt;margin-top:.35pt;width:31.75pt;height:62.6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1g+WgIAALk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Suc3TyP&#10;50mcTaaUKNbhrB6RPaZ2UpBLz1NvbIHpG/MAo2fR9E0fauj8N7ZDDoHb1xO34uAIx8ssvkzTnBKO&#10;oek8n+S5x4zefmzAum9Cd8QbJQV8PDDK9rfWDanHFP+W1bKt1q2UwYHd9loC2TM/5mQynWcj+rs0&#10;qUhf0jTP4jhAvwvac4xsPUu+3gxJDavEgJzH+DkCD+mhhTMcbEgqX5II4htL99QNZHlrq6tXJB30&#10;oEZr+LrFnm+ZdQ8MUH4oVFwpd49HLTWWrEeLkkbDr7/d+3xUBUYp6VHOJbU/XxgISuR3hXqZJ1nm&#10;9R+cbDLDPgicR7ZDJJ+mGFEv3bVGKhNcXsOD6fOdPJo16O4ZN2/lX8UQUxzfLun2aF67Yclwc7lY&#10;rUISKt4wd6s2hntoz5Kf6NPhmYEZx+5QL3f6KHxWfJj+kIukv/E4OrgfYRbjLvsFPPdD1ts/zvI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EuvWD5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174</w:t>
    </w:r>
    <w:r>
      <w:rPr>
        <w:rFonts w:ascii="Verdana" w:hAnsi="Verdana"/>
        <w:b/>
        <w:noProof/>
        <w:color w:val="FFFFFF"/>
        <w:sz w:val="18"/>
        <w:szCs w:val="18"/>
      </w:rPr>
      <w:fldChar w:fldCharType="end"/>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9424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16887390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6ABF3DF1" id="Rectangle 3" o:spid="_x0000_s1026" style="position:absolute;margin-left:225.1pt;margin-top:.35pt;width:31.75pt;height:62.6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b/OWgIAALkEAAAOAAAAZHJzL2Uyb0RvYy54bWysVE1v2zAMvQ/YfxB0X/0ROx9GnCJLkWFA&#10;0RZth54VWY4NyJJGqXG6Xz9Kdtq022lYDgopMk/k42OWl8dOkoMA22pV0uQipkQorqtW7Uv643H7&#10;ZU6JdUxVTGolSvoiLL1cff607E0hUt1oWQkgCKJs0ZuSNs6ZIoosb0TH7IU2QmGw1tAxhy7sowpY&#10;j+idjNI4nka9hsqA5sJavL0agnQV8OtacHdb11Y4IkuKtblwQjh3/oxWS1bsgZmm5WMZ7B+q6Fir&#10;8NFXqCvmGHmG9g+oruWgra7dBdddpOu65SL0gN0k8YduHhpmROgFybHmlSb7/2D5zeEOSFvh7JLp&#10;fD6bLOIFJYp1OKt7ZI+pvRRk4nnqjS0w/cHcwehZNH3Txxo6/43tkGPg9uWVW3F0hONlFk/SNKeE&#10;Y2i2yKd57jGjtx8bsO6b0B3xRkkBHw+MssO1dUPqKcW/ZbVsq20rZXBgv9tIIAfmx5xMZ4tsRH+X&#10;JhXpS5rmWRwH6HdBe46RbefJ16shqWGVGJDzGD8n4CE9tHCGgw1J5UsSQXxj6Z66gSxv7XT1gqSD&#10;HtRoDd+22PM1s+6OAcoPhYor5W7xqKXGkvVoUdJo+PW3e5+PqsAoJT3KuaT25zMDQYn8rlAviyTL&#10;vP6Dk03n2AeB88huiOSzFCPqudtopDLB5TU8mD7fyZNZg+6ecPPW/lUMMcXx7ZLuTubGDUuGm8vF&#10;eh2SUPGGuWv1YLiH9iz5iT4enxiYcewO9XKjT8JnxYfpD7lI+huPo4P7EWYx7rJfwHM/ZL3946x+&#10;Aw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HjJv85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w:t>
    </w:r>
    <w:r>
      <w:rPr>
        <w:rFonts w:ascii="Verdana" w:hAnsi="Verdana"/>
        <w:b/>
        <w:noProof/>
        <w:color w:val="FFFFFF"/>
        <w:sz w:val="18"/>
        <w:szCs w:val="18"/>
      </w:rPr>
      <w:fldChar w:fldCharType="end"/>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82105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759233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0A653494" id="Rectangle 3" o:spid="_x0000_s1026" style="position:absolute;margin-left:225.1pt;margin-top:.35pt;width:31.75pt;height:62.6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2jWQIAALgEAAAOAAAAZHJzL2Uyb0RvYy54bWysVN9v2jAQfp+0/8Hy+0gICb/UUHVFTJOq&#10;FpVOfTaOQyI5tnc2BPbX7+yEQrs9TePB3PmOz3fffcfN7bGR5CDA1lrldDiIKRGK66JWu5z+eFl9&#10;mVJiHVMFk1qJnJ6EpbeLz59uWjMXia60LAQQBFF23pqcVs6ZeRRZXomG2YE2QmGw1NAwhy7sogJY&#10;i+iNjJI4HkethsKA5sJavF12QboI+GUpuHsqSysckTnF2lw4IZxbf0aLGzbfATNVzfsy2D9U0bBa&#10;4aNvUEvmGNlD/QdUU3PQVpduwHUT6bKsuQg9YDfD+EM3m4oZEXpBcqx5o8n+P1j+eFgDqQucXTLJ&#10;ZsloNKNEsQZH9YzkMbWTgow8Ta2xc8zemDX0nkXT93wsofHf2A05BmpPb9SKoyMcL9N4lCQZJRxD&#10;k1k2zjKPGV1+bMC6b0I3xBs5BXw8EMoOD9Z1qecU/5bVsi5WtZTBgd32XgI5MD/l4XgyS3v0d2lS&#10;kTanSZbGcYB+F7TXGOlqOvy67JIqVogOOYvxcwbu0kMLVzjYkFS+JBG015fuqevI8tZWFyfkHHQn&#10;Rmv4qsaeH5h1awaoPtQpbpR7wqOUGkvWvUVJpeHX3+59PooCo5S0qOac2p97BoIS+V2hXGbDNPXy&#10;D046nmIfBK4j2y6STRKMqH1zr5HKIe6u4cH0+U6ezRJ084qLd+dfxRBTHN/O6fZs3rtux3Bxubi7&#10;C0koeMPcg9oY7qE9S36iL8dXBqYfu0O9POqz7tn8w/S7XCT9wmPv4HqEWfSr7Pfv2g9Zlz+cx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iKcNo1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182</w:t>
    </w:r>
    <w:r>
      <w:rPr>
        <w:rFonts w:ascii="Verdana" w:hAnsi="Verdana"/>
        <w:b/>
        <w:noProof/>
        <w:color w:val="FFFFFF"/>
        <w:sz w:val="18"/>
        <w:szCs w:val="18"/>
      </w:rPr>
      <w:fldChar w:fldCharType="end"/>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9628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5765166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3DC4BB1B" id="Rectangle 3" o:spid="_x0000_s1026" style="position:absolute;margin-left:225.1pt;margin-top:.35pt;width:31.75pt;height:62.6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2ChWgIAALkEAAAOAAAAZHJzL2Uyb0RvYy54bWysVNtu2zAMfR+wfxD0vvpS27mgTtG1yDCg&#10;aIOmQ58VWY4NyJJGqXG6rx8lO5d2exqWB4UUmSPy8DBX1/tOkp0A22pV0uQipkQorqtWbUv643n5&#10;ZUqJdUxVTGolSvomLL1efP501Zu5SHWjZSWAIIiy896UtHHOzKPI8kZ0zF5oIxQGaw0dc+jCNqqA&#10;9YjeySiN4yLqNVQGNBfW4u3dEKSLgF/XgrvHurbCEVlSrM2FE8K58We0uGLzLTDTtHwsg/1DFR1r&#10;FT56hLpjjpFXaP+A6loO2uraXXDdRbquWy5CD9hNEn/oZt0wI0IvSI41R5rs/4PlD7sVkLbC2V3m&#10;kyJPiiKlRLEOZ/WE7DG1lYJcep56Y+eYvjYrGD2Lpm96X0Pnv7Edsg/cvh25FXtHOF5m8WWa5pRw&#10;DE1meZHnHjM6/diAdd+E7og3Sgr4eGCU7e6tG1IPKf4tq2VbLVspgwPbza0EsmN+zEkxmWUj+rs0&#10;qUhf0jTP4jhAvwvac4xsOU2+3g1JDavEgJzH+DkAD+mhhTMcbEgqX5II4htL99QNZHlro6s3JB30&#10;oEZr+LLFnu+ZdSsGKD8UKq6Ue8SjlhpL1qNFSaPh19/ufT6qAqOU9CjnktqfrwwEJfK7Qr3Mkizz&#10;+g9OVkyxDwLnkc0QyScpRtRrd6uRygSX1/Bg+nwnD2YNunvBzbvxr2KIKY5vl3RzMG/dsGS4uVzc&#10;3IQkVLxh7l6tDffQniU/0ef9CwMzjt2hXh70Qfhs/mH6Qy6SfuJxdHA/wizGXfYLeO6HrNM/zuI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E/fYKF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w:t>
    </w:r>
    <w:r>
      <w:rPr>
        <w:rFonts w:ascii="Verdana" w:hAnsi="Verdana"/>
        <w:b/>
        <w:noProof/>
        <w:color w:val="FFFFF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983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08938988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0AFED5B6" id="Rectangle 3" o:spid="_x0000_s1026" style="position:absolute;margin-left:225.1pt;margin-top:.35pt;width:31.75pt;height:62.6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ejWQIAALkEAAAOAAAAZHJzL2Uyb0RvYy54bWysVFFv2jAQfp+0/2D5fU1IExoQoepATJNQ&#10;i9pOfTaOQyI5tnd2CezX7+wESrs9TePB3PmOz3fffcfs9tBKshdgG60KOrqKKRGK67JRu4L+eF59&#10;ySmxjqmSSa1EQY/C0tv550+zzkxFomstSwEEQZSddqagtXNmGkWW16Jl9koboTBYaWiZQxd2UQms&#10;Q/RWRkkcj6NOQ2lAc2Et3i77IJ0H/KoS3D1UlRWOyIJibS6cEM6tP6P5jE13wEzd8KEM9g9VtKxR&#10;+OgZaskcI6/Q/AHVNhy01ZW74rqNdFU1XIQesJtR/KGbp5oZEXpBcqw502T/Hyy/32+ANGVBkzif&#10;XOeTPE8oUazFWT0ie0ztpCDXnqfO2CmmP5kNDJ5F0zd9qKD139gOOQRuj2duxcERjpdpfJ0kGSUc&#10;QzeTbJxlHjN6+7EB674J3RJvFBTw8cAo26+t61NPKf4tq2VTrhopgwO77UIC2TM/5tH4ZpIO6O/S&#10;pCIdNpqlcRyg3wXtJUa6ykdfl31SzUrRI2cxfk7AfXpo4QIHG5LKlySC+IbSPXU9Wd7a6vKIpIPu&#10;1WgNXzXY85pZt2GA8kOh4kq5BzwqqbFkPViU1Bp+/e3e56MqMEpJh3IuqP35ykBQIr8r1MtklKZe&#10;/8FJxzn2QeAysu0j2U2CEfXaLjRSOcLlNTyYPt/Jk1mBbl9w8+78qxhiiuPbBd2ezIXrlww3l4u7&#10;u5CEijfMrdWT4R7as+Qn+nx4YWCGsTvUy70+CZ9NP0y/z0XS33gcHNyPMIthl/0CXvoh6+0fZ/4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NwR3o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18</w:t>
    </w:r>
    <w:r>
      <w:rPr>
        <w:rFonts w:ascii="Verdana" w:hAnsi="Verdana"/>
        <w:b/>
        <w:noProof/>
        <w:color w:val="FFFFFF"/>
        <w:sz w:val="18"/>
        <w:szCs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003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0659946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14904004" id="Rectangle 3" o:spid="_x0000_s1026" style="position:absolute;margin-left:225.1pt;margin-top:.35pt;width:31.75pt;height:62.6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84QWgIAALkEAAAOAAAAZHJzL2Uyb0RvYy54bWysVMFu2zAMvQ/YPwi6L3ZcO6mNOkXXIMOA&#10;oC3aDj0rshwbkCWNUuJkXz9Kdtq022lYDgopMk/k42Ourg+dJHsBttWqpNNJTIlQXFet2pb0x/Pq&#10;yyUl1jFVMamVKOlRWHq9+PzpqjeFSHSjZSWAIIiyRW9K2jhniiiyvBEdsxNthMJgraFjDl3YRhWw&#10;HtE7GSVxPIt6DZUBzYW1eLscgnQR8OtacHdf11Y4IkuKtblwQjg3/owWV6zYAjNNy8cy2D9U0bFW&#10;4aOvUEvmGNlB+wdU13LQVtduwnUX6bpuuQg9YDfT+EM3Tw0zIvSC5FjzSpP9f7D8bv8ApK1wdlk8&#10;y/I8neWUKNbhrB6RPaa2UpALz1NvbIHpT+YBRs+i6Zs+1ND5b2yHHAK3x1duxcERjpdpfJEkGSUc&#10;Q/M8m2WZx4zefmzAum9Cd8QbJQV8PDDK9mvrhtRTin/LatlWq1bK4MB2cyuB7Jkf83Q2z9MR/V2a&#10;VKQvaZKlcRyg3wXtOUa6upx+XQ5JDavEgJzF+DkBD+mhhTMcbEgqX5II4htL99QNZHlro6sjkg56&#10;UKM1fNViz2tm3QMDlB8KFVfK3eNRS40l69GipNHw62/3Ph9VgVFKepRzSe3PHQNBifyuUC/5NE29&#10;/oOTzi6xDwLnkc0QyeYJRtSuu9VI5RSX1/Bg+nwnT2YNunvBzbvxr2KIKY5vl3RzMm/dsGS4uVzc&#10;3IQkVLxhbq2eDPfQniU/0efDCwMzjt2hXu70Sfis+DD9IRdJf+NxdHA/wizGXfYLeO6HrLd/nM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JH3zhB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19</w:t>
    </w:r>
    <w:r>
      <w:rPr>
        <w:rFonts w:ascii="Verdana" w:hAnsi="Verdana"/>
        <w:b/>
        <w:noProof/>
        <w:color w:val="FFFFFF"/>
        <w:sz w:val="18"/>
        <w:szCs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02432"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05999352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7595228D" id="Rectangle 3" o:spid="_x0000_s1026" style="position:absolute;margin-left:350.05pt;margin-top:6.5pt;width:31.75pt;height:62.6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xQsWgIAALkEAAAOAAAAZHJzL2Uyb0RvYy54bWysVE1v2zAMvQ/YfxB0X+04dlobcYqsRYYB&#10;RVs0HXpWZDk2IEsapcbpfv0o2flot9OwHBRSZJ7Ix8fMr/edJDsBttWqpJOLmBKhuK5atS3pj+fV&#10;lytKrGOqYlIrUdI3Yen14vOneW8KkehGy0oAQRBli96UtHHOFFFkeSM6Zi+0EQqDtYaOOXRhG1XA&#10;ekTvZJTE8SzqNVQGNBfW4u3tEKSLgF/XgruHurbCEVlSrM2FE8K58We0mLNiC8w0LR/LYP9QRcda&#10;hY8eoW6ZY+QV2j+gupaDtrp2F1x3ka7rlovQA3YziT90s26YEaEXJMeaI032/8Hy+90jkLbC2cVZ&#10;nufTLJlRoliHs3pC9pjaSkGmnqfe2ALT1+YRRs+i6Zve19D5b2yH7AO3b0duxd4RjpdpPE2SjBKO&#10;ocs8m2WZx4xOPzZg3TehO+KNkgI+HhhluzvrhtRDin/LatlWq1bK4MB2cyOB7Jgf82R2macj+rs0&#10;qUhf0iRL4zhAvwvac4x0dTX5ejskNawSA3IW4+cAPKSHFs5wsCGpfEkiiG8s3VM3kOWtja7ekHTQ&#10;gxqt4asWe75j1j0yQPmhUHGl3AMetdRYsh4tShoNv/527/NRFRilpEc5l9T+fGUgKJHfFeoln6Sp&#10;139w0tkV9kHgPLIZItllghH12t1opHKCy2t4MH2+kwezBt294OYt/asYYorj2yXdHMwbNywZbi4X&#10;y2VIQsUb5u7U2nAP7VnyE33evzAw49gd6uVeH4TPig/TH3KR9BOPo4P7EWYx7rJfwHM/ZJ3+cRa/&#10;AQAA//8DAFBLAwQUAAYACAAAACEA5awaEt4AAAAKAQAADwAAAGRycy9kb3ducmV2LnhtbEyPwU7D&#10;MBBE70j8g7VIXBC1S6Q0hDhVqcQRiQZQe3RjE0fY6yh22/Tv2Z7ocWeeZmeq5eQdO5ox9gElzGcC&#10;mME26B47CV+fb48FsJgUauUCGglnE2FZ395UqtThhBtzbFLHKARjqSTYlIaS89ha41WchcEgeT9h&#10;9CrROXZcj+pE4d7xJyFy7lWP9MGqwaytaX+bg5fw7Cb83q5ePx7sO57TblM0dt1KeX83rV6AJTOl&#10;fxgu9ak61NRpHw6oI3MSFkLMCSUjo00ELPIsB7a/CEUGvK749YT6DwAA//8DAFBLAQItABQABgAI&#10;AAAAIQC2gziS/gAAAOEBAAATAAAAAAAAAAAAAAAAAAAAAABbQ29udGVudF9UeXBlc10ueG1sUEsB&#10;Ai0AFAAGAAgAAAAhADj9If/WAAAAlAEAAAsAAAAAAAAAAAAAAAAALwEAAF9yZWxzLy5yZWxzUEsB&#10;Ai0AFAAGAAgAAAAhAHmPFCxaAgAAuQQAAA4AAAAAAAAAAAAAAAAALgIAAGRycy9lMm9Eb2MueG1s&#10;UEsBAi0AFAAGAAgAAAAhAOWsGhLeAAAACg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20</w:t>
    </w:r>
    <w:r>
      <w:rPr>
        <w:rFonts w:ascii="Verdana" w:hAnsi="Verdana"/>
        <w:b/>
        <w:noProof/>
        <w:color w:val="FFFFFF"/>
        <w:sz w:val="18"/>
        <w:szCs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044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9493931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0C59D8B1" id="Rectangle 3" o:spid="_x0000_s1026" style="position:absolute;margin-left:225.1pt;margin-top:.35pt;width:31.75pt;height:62.6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X+WgIAALkEAAAOAAAAZHJzL2Uyb0RvYy54bWysVE1v2zAMvQ/YfxB0X/0RO42DOEXWIsOA&#10;oi2aDj0rshwbkCWNUuN0v36U7KRpt9OwHBRSZJ7Ix8csrg6dJHsBttWqpMlFTIlQXFet2pX0x9P6&#10;y4wS65iqmNRKlPRVWHq1/Pxp0Zu5SHWjZSWAIIiy896UtHHOzKPI8kZ0zF5oIxQGaw0dc+jCLqqA&#10;9YjeySiN42nUa6gMaC6sxdubIUiXAb+uBXf3dW2FI7KkWJsLJ4Rz689ouWDzHTDTtHwsg/1DFR1r&#10;FT56grphjpEXaP+A6loO2uraXXDdRbquWy5CD9hNEn/oZtMwI0IvSI41J5rs/4Pld/sHIG2Fs8uL&#10;rJgUkySjRLEOZ/WI7DG1k4JMPE+9sXNM35gHGD2Lpm/6UEPnv7Edcgjcvp64FQdHOF5m8SRNc0o4&#10;hi6LfJrnHjN6+7EB674J3RFvlBTw8cAo299aN6QeU/xbVsu2WrdSBgd222sJZM/8mJPpZZGN6O/S&#10;pCJ9SdM8i+MA/S5ozzGy9Sz5ejMkNawSA3Ie4+cIPKSHFs5wsCGpfEkiiG8s3VM3kOWtra5ekXTQ&#10;gxqt4esWe75l1j0wQPmhUHGl3D0etdRYsh4tShoNv/527/NRFRilpEc5l9T+fGEgKJHfFeqlSLLM&#10;6z842XSGfRA4j2yHSH6ZYkS9dNcaqUxweQ0Pps938mjWoLtn3LyVfxVDTHF8u6Tbo3nthiXDzeVi&#10;tQpJqHjD3K3aGO6hPUt+ok+HZwZmHLtDvdzpo/DZ/MP0h1wk/Y3H0cH9CLMYd9kv4Lkfst7+cZa/&#10;AQ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NtIZf5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21</w:t>
    </w:r>
    <w:r>
      <w:rPr>
        <w:rFonts w:ascii="Verdana" w:hAnsi="Verdana"/>
        <w:b/>
        <w:noProof/>
        <w:color w:val="FFFFFF"/>
        <w:sz w:val="18"/>
        <w:szCs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0652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0314455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368A7481" id="Rectangle 3" o:spid="_x0000_s1026" style="position:absolute;margin-left:225.1pt;margin-top:.35pt;width:31.75pt;height:62.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KgWQIAALkEAAAOAAAAZHJzL2Uyb0RvYy54bWysVE1v2zAMvQ/YfxB0X/xRO2mNOkXXIMOA&#10;oi2aDj0rshwbkCWNUuJkv36U7KRpt9OwHBRSZJ7Ix8dc3+w7SXYCbKtVSZNJTIlQXFet2pT0x8vy&#10;yyUl1jFVMamVKOlBWHoz//zpujeFSHWjZSWAIIiyRW9K2jhniiiyvBEdsxNthMJgraFjDl3YRBWw&#10;HtE7GaVxPI16DZUBzYW1eLsYgnQe8OtacPdY11Y4IkuKtblwQjjX/ozm16zYADNNy8cy2D9U0bFW&#10;4aMnqAVzjGyh/QOqazloq2s34bqLdF23XIQesJsk/tDNqmFGhF6QHGtONNn/B8sfdk9A2gpnN4sv&#10;kizL85QSxTqc1TOyx9RGCnLheeqNLTB9ZZ5g9Cyavul9DZ3/xnbIPnB7OHEr9o5wvMziizTNKeEY&#10;ml3l0zz3mNHbjw1Y903ojnijpICPB0bZ7t66IfWY4t+yWrbVspUyOLBZ30kgO+bHnExnV9mI/i5N&#10;KtKXNM2zOA7Q74L2HCNbXiZfF0NSwyoxIOcxfo7AQ3po4QwHG5LKlySC+MbSPXUDWd5a6+qApIMe&#10;1GgNX7bY8z2z7okByg+FiivlHvGopcaS9WhR0mj49bd7n4+qwCglPcq5pPbnloGgRH5XqJcrHK3X&#10;f3Cy6SX2QeA8sh4i+SzFiNp2dxqpTHB5DQ+mz3fyaNagu1fcvFv/KoaY4vh2SddH884NS4aby8Xt&#10;bUhCxRvm7tXKcA/tWfITfdm/MjDj2B3q5UEfhc+KD9MfcpH0Nx5HB/cjzGLcZb+A537IevvHmf8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v+Ryo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22</w:t>
    </w:r>
    <w:r>
      <w:rPr>
        <w:rFonts w:ascii="Verdana" w:hAnsi="Verdana"/>
        <w:b/>
        <w:noProof/>
        <w:color w:val="FFFFFF"/>
        <w:sz w:val="18"/>
        <w:szCs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0857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0733048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0CFF937C" id="Rectangle 3" o:spid="_x0000_s1026" style="position:absolute;margin-left:225.1pt;margin-top:.35pt;width:31.75pt;height:62.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zLMWgIAALkEAAAOAAAAZHJzL2Uyb0RvYy54bWysVE1v2zAMvQ/YfxB0X/wRO0mNOEXXIMOA&#10;oi3aDj0rshwbkCWNUuN0v36U7KRpt9OwHBRSZJ7Ix8csLw+dJHsBttWqpMkkpkQorqtW7Ur642nz&#10;ZUGJdUxVTGolSvoqLL1cff607E0hUt1oWQkgCKJs0ZuSNs6ZIoosb0TH7EQboTBYa+iYQxd2UQWs&#10;R/RORmkcz6JeQ2VAc2Et3q6HIF0F/LoW3N3VtRWOyJJibS6cEM6tP6PVkhU7YKZp+VgG+4cqOtYq&#10;fPQEtWaOkRdo/4DqWg7a6tpNuO4iXdctF6EH7CaJP3Tz2DAjQi9IjjUnmuz/g+W3+3sgbYWzy+L5&#10;dBpnixklinU4qwdkj6mdFGTqeeqNLTD90dzD6Fk0fdOHGjr/je2QQ+D29cStODjC8TKLp2maU8Ix&#10;NL/IZ3nuMaO3Hxuw7pvQHfFGSQEfD4yy/Y11Q+oxxb9ltWyrTStlcGC3vZZA9syPOZnNL7IR/V2a&#10;VKQvaZpncRyg3wXtOUa2WSRf10NSwyoxIOcxfo7AQ3po4QwHG5LKlySC+MbSPXUDWd7a6uoVSQc9&#10;qNEavmmx5xtm3T0DlB8KFVfK3eFRS40l69GipNHw62/3Ph9VgVFKepRzSe3PFwaCEvldoV4ukizz&#10;+g9ONltgHwTOI9shks9TjKiX7lojlQkur+HB9PlOHs0adPeMm3flX8UQUxzfLun2aF67Yclwc7m4&#10;ugpJqHjD3I16NNxDe5b8RJ8OzwzMOHaHernVR+Gz4sP0h1wk/Y3H0cH9CLMYd9kv4Lkfst7+cVa/&#10;AQ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CPvMsx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25</w:t>
    </w:r>
    <w:r>
      <w:rPr>
        <w:rFonts w:ascii="Verdana" w:hAnsi="Verdana"/>
        <w:b/>
        <w:noProof/>
        <w:color w:val="FFFFFF"/>
        <w:sz w:val="18"/>
        <w:szCs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106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7754782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54A978C3" id="Rectangle 3" o:spid="_x0000_s1026" style="position:absolute;margin-left:225.1pt;margin-top:.35pt;width:31.75pt;height:62.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E6LWgIAALkEAAAOAAAAZHJzL2Uyb0RvYy54bWysVE1v2zAMvQ/YfxB0X/1RO0mNOEXWIsOA&#10;og2aDj0rshwbkCWNUuN0v36U7KRpt9OwHBRSZJ7Ix8fMrw+dJHsBttWqpMlFTIlQXFet2pX0x9Pq&#10;y4wS65iqmNRKlPRVWHq9+Pxp3ptCpLrRshJAEETZojclbZwzRRRZ3oiO2QtthMJgraFjDl3YRRWw&#10;HtE7GaVxPIl6DZUBzYW1eHs7BOki4Ne14O6hrq1wRJYUa3PhhHBu/Rkt5qzYATNNy8cy2D9U0bFW&#10;4aMnqFvmGHmB9g+oruWgra7dBdddpOu65SL0gN0k8YduNg0zIvSC5Fhzosn+P1h+v18DaSuc3Ww6&#10;zbPpLE0pUazDWT0ie0ztpCCXnqfe2ALTN2YNo2fR9E0fauj8N7ZDDoHb1xO34uAIx8ssvkzTnBKO&#10;oelVPslzjxm9/diAdd+E7og3Sgr4eGCU7e+sG1KPKf4tq2VbrVopgwO77Y0Esmd+zMlkepWN6O/S&#10;pCJ9SdM8i+MA/S5ozzGy1Sz5ejskNawSA3Ie4+cIPKSHFs5wsCGpfEkiiG8s3VM3kOWtra5ekXTQ&#10;gxqt4asWe75j1q0ZoPxQqLhS7gGPWmosWY8WJY2GX3+79/moCoxS0qOcS2p/vjAQlMjvCvVylWSZ&#10;139wsskM+yBwHtkOkXyaYkS9dDcaqUxweQ0Pps938mjWoLtn3LylfxVDTHF8u6Tbo3njhiXDzeVi&#10;uQxJqHjD3J3aGO6hPUt+ok+HZwZmHLtDvdzro/BZ8WH6Qy6S/sbj6OB+hFmMu+wX8NwPWW//OIvf&#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HPUTot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37</w:t>
    </w:r>
    <w:r>
      <w:rPr>
        <w:rFonts w:ascii="Verdana" w:hAnsi="Verdana"/>
        <w:b/>
        <w:noProof/>
        <w:color w:val="FFFFFF"/>
        <w:sz w:val="18"/>
        <w:szCs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1267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4199001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7134C0EF" id="Rectangle 3" o:spid="_x0000_s1026" style="position:absolute;margin-left:225.1pt;margin-top:.35pt;width:31.75pt;height:62.6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jzWQIAALkEAAAOAAAAZHJzL2Uyb0RvYy54bWysVE1v2zAMvQ/YfxB0X/xRO2mMOEXXIMOA&#10;oC3aDj0rshwbkCWNUuN0v36U7KRpt9OwHBRSZJ7Ix8csrg6dJHsBttWqpMkkpkQorqtW7Ur642n9&#10;5ZIS65iqmNRKlPRVWHq1/Pxp0ZtCpLrRshJAEETZojclbZwzRRRZ3oiO2Yk2QmGw1tAxhy7sogpY&#10;j+idjNI4nka9hsqA5sJavF0NQboM+HUtuLuraysckSXF2lw4IZxbf0bLBSt2wEzT8rEM9g9VdKxV&#10;+OgJasUcIy/Q/gHVtRy01bWbcN1Fuq5bLkIP2E0Sf+jmsWFGhF6QHGtONNn/B8tv9/dA2gpnl2XJ&#10;fB7HyZQSxTqc1QOyx9ROCnLheeqNLTD90dzD6Fk0fdOHGjr/je2QQ+D29cStODjC8TKLL9I0p4Rj&#10;aDbPp3nuMaO3Hxuw7pvQHfFGSQEfD4yy/ca6IfWY4t+yWrbVupUyOLDb3kgge+bHnExn82xEf5cm&#10;FelLmuZZHAfod0F7jpGtL5OvqyGpYZUYkPMYP0fgIT20cIaDDUnlSxJBfGPpnrqBLG9tdfWKpIMe&#10;1GgNX7fY84ZZd88A5YdCxZVyd3jUUmPJerQoaTT8+tu9z0dVYJSSHuVcUvvzhYGgRH5XqJc5jtfr&#10;PzjZ9BL7IHAe2Q6RfJZiRL10NxqpTHB5DQ+mz3fyaNagu2fcvGv/KoaY4vh2SbdH88YNS4aby8X1&#10;dUhCxRvmNurRcA/tWfITfTo8MzDj2B3q5VYfhc+KD9MfcpH0Nx5HB/cjzGLcZb+A537IevvHWf4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MhnY8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1472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92992817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56057004" id="Rectangle 3" o:spid="_x0000_s1026" style="position:absolute;margin-left:225.1pt;margin-top:.35pt;width:31.75pt;height:62.6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wvWQIAALk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CXObpbO&#10;Zuk0maSUKNbirB6RPaZ2UpArz1Nn7BzTn8wGBs+i6Zs+VtD6b2yHHAO3r2/ciqMjHC+z+CpNc0o4&#10;hiazfJznHjM6/9iAdd+Ebok3Cgr4eGCUHe6s61NPKf4tq2VTrhspgwO77Y0EcmB+zMl4MssG9Hdp&#10;UpGuoGmexXGAfhe0lxjZepp8ve2TalaKHjmP8XMC7tNDCxc42JBUviQRxDeU7qnryfLWVpevSDro&#10;Xo3W8HWDPd8x6zYMUH4oVFwp94BHJTWWrAeLklrDr7/d+3xUBUYp6VDOBbU/9wwEJfK7Qr3Mkizz&#10;+g9ONp5iHwQuI9s+kk9SjKh9e6ORygSX1/Bg+nwnT2YFun3BzVv5VzHEFMe3C7o9mTeuXzLcXC5W&#10;q5CEijfM3aknwz20Z8lP9Pn4wsAMY3eol3t9Ej6bf5h+n4ukn3kcHNyPMIthl/0CXvoh6/yPs/w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yQScL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167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14981344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5D2E5CE6" id="Rectangle 3" o:spid="_x0000_s1026" style="position:absolute;margin-left:225.1pt;margin-top:.35pt;width:31.75pt;height:62.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00WgIAALkEAAAOAAAAZHJzL2Uyb0RvYy54bWysVE1v2zAMvQ/YfxB0X/0RO02MOEXWIsOA&#10;og3aDj0rshwbkCWNUuN0v36U7KRpt9OwHBRSZJ7Ix8csrg6dJHsBttWqpMlFTIlQXFet2pX0x9P6&#10;y4wS65iqmNRKlPRVWHq1/Pxp0ZtCpLrRshJAEETZojclbZwzRRRZ3oiO2QtthMJgraFjDl3YRRWw&#10;HtE7GaVxPI16DZUBzYW1eHszBOky4Ne14O6+rq1wRJYUa3PhhHBu/RktF6zYATNNy8cy2D9U0bFW&#10;4aMnqBvmGHmB9g+oruWgra7dBdddpOu65SL0gN0k8YduHhtmROgFybHmRJP9f7D8br8B0lY4uySb&#10;z5JJluHEFOtwVg/IHlM7KcjE89QbW2D6o9nA6Fk0fdOHGjr/je2QQ+D29cStODjC8TKLJ2maU8Ix&#10;dDnPp3nuMaO3Hxuw7pvQHfFGSQEfD4yy/a11Q+oxxb9ltWyrdStlcGC3vZZA9syPOZlezrMR/V2a&#10;VKQvaZpncRyg3wXtOUa2niVfb4akhlViQM5j/ByBh/TQwhkONiSVL0kE8Y2le+oGsry11dUrkg56&#10;UKM1fN1iz7fMug0DlB8KFVfK3eNRS40l69GipNHw62/3Ph9VgVFKepRzSe3PFwaCEvldoV7mSZZ5&#10;/Qcnm86wDwLnke0QyS9TjKiX7lojlQkur+HB9PlOHs0adPeMm7fyr2KIKY5vl3R7NK/dsGS4uVys&#10;ViEJFW+Yu1WPhntoz5Kf6NPhmYEZx+5QL3f6KHxWfJj+kIukv/E4OrgfYRbjLvsFPPdD1ts/zvI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Axy7TR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38</w:t>
    </w:r>
    <w:r>
      <w:rPr>
        <w:rFonts w:ascii="Verdana" w:hAnsi="Verdana"/>
        <w:b/>
        <w:noProof/>
        <w:color w:val="FFFFF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1881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58183590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756D29DC" id="Rectangle 3" o:spid="_x0000_s1026" style="position:absolute;margin-left:350.05pt;margin-top:6.5pt;width:31.75pt;height:62.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wIcWgIAALkEAAAOAAAAZHJzL2Uyb0RvYy54bWysVE1v2zAMvQ/YfxB0X/0ROx9GnCJLkWFA&#10;0RZth54VWY4NyJJGqXG6Xz9Kdtq022lYDgopMk/k42OWl8dOkoMA22pV0uQipkQorqtW7Uv643H7&#10;ZU6JdUxVTGolSvoiLL1cff607E0hUt1oWQkgCKJs0ZuSNs6ZIoosb0TH7IU2QmGw1tAxhy7sowpY&#10;j+idjNI4nka9hsqA5sJavL0agnQV8OtacHdb11Y4IkuKtblwQjh3/oxWS1bsgZmm5WMZ7B+q6Fir&#10;8NFXqCvmGHmG9g+oruWgra7dBdddpOu65SL0gN0k8YduHhpmROgFybHmlSb7/2D5zeEOSFvh7PJ5&#10;Mp/ki3hGiWIdzuoe2WNqLwWZeJ56YwtMfzB3MHoWTd/0sYbOf2M75Bi4fXnlVhwd4XiZxZM0zSnh&#10;GJot8mmee8zo7ccGrPsmdEe8UVLAxwOj7HBt3ZB6SvFvWS3battKGRzY7zYSyIH5MSfT2SIb0d+l&#10;SUX6kqZ5FscB+l3QnmNk23ny9WpIalglBuQ8xs8JeEgPLZzhYENS+ZJEEN9YuqduIMtbO129IOmg&#10;BzVaw7ct9nzNrLtjgPJDoeJKuVs8aqmxZD1alDQafv3t3uejKjBKSY9yLqn9+cxAUCK/K9TLIsky&#10;r//gZNM59kHgPLIbIvksxYh67jYaqUxweQ0Pps938mTWoLsn3Ly1fxVDTHF8u6S7k7lxw5Lh5nKx&#10;XockVLxh7lo9GO6hPUt+oo/HJwZmHLtDvdzok/BZ8WH6Qy6S/sbj6OB+hFmMu+wX8NwPWW//OKvf&#10;AAAA//8DAFBLAwQUAAYACAAAACEA5awaEt4AAAAKAQAADwAAAGRycy9kb3ducmV2LnhtbEyPwU7D&#10;MBBE70j8g7VIXBC1S6Q0hDhVqcQRiQZQe3RjE0fY6yh22/Tv2Z7ocWeeZmeq5eQdO5ox9gElzGcC&#10;mME26B47CV+fb48FsJgUauUCGglnE2FZ395UqtThhBtzbFLHKARjqSTYlIaS89ha41WchcEgeT9h&#10;9CrROXZcj+pE4d7xJyFy7lWP9MGqwaytaX+bg5fw7Cb83q5ePx7sO57TblM0dt1KeX83rV6AJTOl&#10;fxgu9ak61NRpHw6oI3MSFkLMCSUjo00ELPIsB7a/CEUGvK749YT6DwAA//8DAFBLAQItABQABgAI&#10;AAAAIQC2gziS/gAAAOEBAAATAAAAAAAAAAAAAAAAAAAAAABbQ29udGVudF9UeXBlc10ueG1sUEsB&#10;Ai0AFAAGAAgAAAAhADj9If/WAAAAlAEAAAsAAAAAAAAAAAAAAAAALwEAAF9yZWxzLy5yZWxzUEsB&#10;Ai0AFAAGAAgAAAAhAKHTAhxaAgAAuQQAAA4AAAAAAAAAAAAAAAAALgIAAGRycy9lMm9Eb2MueG1s&#10;UEsBAi0AFAAGAAgAAAAhAOWsGhLeAAAACg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38</w:t>
    </w:r>
    <w:r>
      <w:rPr>
        <w:rFonts w:ascii="Verdana" w:hAnsi="Verdana"/>
        <w:b/>
        <w:noProof/>
        <w:color w:val="FFFFFF"/>
        <w:sz w:val="18"/>
        <w:szCs w:val="18"/>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2086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9756895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65C1C76C" id="Rectangle 3" o:spid="_x0000_s1026" style="position:absolute;margin-left:225.1pt;margin-top:.35pt;width:31.75pt;height:62.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STWgIAALkEAAAOAAAAZHJzL2Uyb0RvYy54bWysVE1v2zAMvQ/YfxB0X2wndj6MOEWWIMOA&#10;oi3aDj0rshwbkCWNUuN0v36U7LRpt9OwHBRSZJ7Ix8csr06tJEcBttGqoMkopkQorstGHQr643H3&#10;ZU6JdUyVTGolCvoiLL1aff607EwuxrrWshRAEETZvDMFrZ0zeRRZXouW2ZE2QmGw0tAyhy4cohJY&#10;h+itjMZxPI06DaUBzYW1eLvtg3QV8KtKcHdbVVY4IguKtblwQjj3/oxWS5YfgJm64UMZ7B+qaFmj&#10;8NFXqC1zjDxD8wdU23DQVlduxHUb6apquAg9YDdJ/KGbh5oZEXpBcqx5pcn+P1h+c7wD0pQ4u9li&#10;lk3ni2xCiWItzuoe2WPqIAWZeJ46Y3NMfzB3MHgWTd/0qYLWf2M75BS4fXnlVpwc4XiZxpPxOKOE&#10;Y2i2yKZZ5jGjtx8bsO6b0C3xRkEBHw+MsuO1dX3qOcW/ZbVsyl0jZXDgsN9IIEfmx5xMZ4t0QH+X&#10;JhXpCjrO0jgO0O+C9hIj3c2Tr9s+qWal6JGzGD9n4D49tHCBgw1J5UsSQXxD6Z66nixv7XX5gqSD&#10;7tVoDd812PM1s+6OAcoPhYor5W7xqKTGkvVgUVJr+PW3e5+PqsAoJR3KuaD25zMDQYn8rlAviyRN&#10;vf6Dk07n2AeBy8i+j2SzMUbUc7vRSGWCy2t4MH2+k2ezAt0+4eat/asYYorj2wXdn82N65cMN5eL&#10;9TokoeINc9fqwXAP7VnyE308PTEww9gd6uVGn4XP8g/T73OR9DceBwf3I8xi2GW/gJd+yHr7x1n9&#10;Bg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F5XBJN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39</w:t>
    </w:r>
    <w:r>
      <w:rPr>
        <w:rFonts w:ascii="Verdana" w:hAnsi="Verdana"/>
        <w:b/>
        <w:noProof/>
        <w:color w:val="FFFFFF"/>
        <w:sz w:val="18"/>
        <w:szCs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2291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65371107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700EDC31" id="Rectangle 3" o:spid="_x0000_s1026" style="position:absolute;margin-left:225.1pt;margin-top:.35pt;width:31.75pt;height:62.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5ojWgIAALkEAAAOAAAAZHJzL2Uyb0RvYy54bWysVE1v2zAMvQ/YfxB0X/wRO2mNOEXXIMOA&#10;oi2aDj0rshwbkCWNUuN0v36U7KRpt9OwHBRSZJ7Ix8csrg6dJHsBttWqpMkkpkQorqtW7Ur642n9&#10;5YIS65iqmNRKlPRVWHq1/Pxp0ZtCpLrRshJAEETZojclbZwzRRRZ3oiO2Yk2QmGw1tAxhy7sogpY&#10;j+idjNI4nkW9hsqA5sJavF0NQboM+HUtuLuvaysckSXF2lw4IZxbf0bLBSt2wEzT8rEM9g9VdKxV&#10;+OgJasUcIy/Q/gHVtRy01bWbcN1Fuq5bLkIP2E0Sf+hm0zAjQi9IjjUnmuz/g+V3+wcgbYWzm+XT&#10;eZLE84wSxTqc1SOyx9ROCjL1PPXGFpi+MQ8wehZN3/Shhs5/YzvkELh9PXErDo5wvMziaZrmlHAM&#10;zS/zWZ57zOjtxwas+yZ0R7xRUsDHA6Nsf2vdkHpM8W9ZLdtq3UoZHNhtbySQPfNjTmbzy2xEf5cm&#10;FelLmuZZHAfod0F7jpGtL5KvqyGpYZUYkPMYP0fgIT20cIaDDUnlSxJBfGPpnrqBLG9tdfWKpIMe&#10;1GgNX7fY8y2z7oEByg+Fiivl7vGopcaS9WhR0mj49bd7n4+qwCglPcq5pPbnCwNBifyuUC+XSZZ5&#10;/Qcnm11gHwTOI9shks9TjKiX7kYjlQkur+HB9PlOHs0adPeMm3ftX8UQUxzfLun2aN64Yclwc7m4&#10;vg5JqHjD3K3aGO6hPUt+ok+HZwZmHLtDvdzpo/BZ8WH6Qy6S/sbj6OB+hFmMu+wX8NwPWW//OMvf&#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MxLmiN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46</w:t>
    </w:r>
    <w:r>
      <w:rPr>
        <w:rFonts w:ascii="Verdana" w:hAnsi="Verdana"/>
        <w:b/>
        <w:noProof/>
        <w:color w:val="FFFFFF"/>
        <w:sz w:val="18"/>
        <w:szCs w:val="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2496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98559616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510ECC75" id="Rectangle 3" o:spid="_x0000_s1026" style="position:absolute;margin-left:225.1pt;margin-top:.35pt;width:31.75pt;height:62.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fphWQIAALkEAAAOAAAAZHJzL2Uyb0RvYy54bWysVE1v2zAMvQ/YfxB0X/xRO02MOEXXIMOA&#10;og3aDj0rshwbkCWNUuN0v36U7KRpt9OwHBRSZJ7Ix8csrg6dJHsBttWqpMkkpkQorqtW7Ur642n9&#10;ZUaJdUxVTGolSvoqLL1afv606E0hUt1oWQkgCKJs0ZuSNs6ZIoosb0TH7EQboTBYa+iYQxd2UQWs&#10;R/RORmkcT6NeQ2VAc2Et3q6GIF0G/LoW3N3XtRWOyJJibS6cEM6tP6PlghU7YKZp+VgG+4cqOtYq&#10;fPQEtWKOkRdo/4DqWg7a6tpNuO4iXdctF6EH7CaJP3Tz2DAjQi9IjjUnmuz/g+V3+w2QtsLZzWd5&#10;Pp8m00tKFOtwVg/IHlM7KciF56k3tsD0R7OB0bNo+qYPNXT+G9shh8Dt64lbcXCE42UWX6RpTgnH&#10;0OU8n+a5x4zefmzAum9Cd8QbJQV8PDDK9rfWDanHFP+W1bKt1q2UwYHd9kYC2TM/Zmxhno3o79Kk&#10;In1J0zyL4wD9LmjPMbL1LPm6GpIaVokBOY/xcwQe0kMLZzjYkFS+JBHEN5buqRvI8tZWV69IOuhB&#10;jdbwdYs93zLrNgxQfihUXCl3j0ctNZasR4uSRsOvv937fFQFRinpUc4ltT9fGAhK5HeFepknWeb1&#10;H5xsOsM+CJxHtkMkv0wxol66G41UJri8hgfT5zt5NGvQ3TNu3rV/FUNMcXy7pNujeeOGJcPN5eL6&#10;OiSh4g1zt+rRcA/tWfITfTo8MzDj2B3q5U4fhc+KD9MfcpH0Nx5HB/cjzGLcZb+A537IevvHWf4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6oX6Y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49</w:t>
    </w:r>
    <w:r>
      <w:rPr>
        <w:rFonts w:ascii="Verdana" w:hAnsi="Verdana"/>
        <w:b/>
        <w:noProof/>
        <w:color w:val="FFFFFF"/>
        <w:sz w:val="18"/>
        <w:szCs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2700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2425026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3963C4B8" id="Rectangle 3" o:spid="_x0000_s1026" style="position:absolute;margin-left:225.1pt;margin-top:.35pt;width:31.75pt;height:62.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5wtWQIAALgEAAAOAAAAZHJzL2Uyb0RvYy54bWysVE1v2zAMvQ/YfxB0X/xRO0mNOEXXIMOA&#10;oC3aDj0rshwbkCWNUuN0v36U7KRpt9OwHBRSZJ7Ix8csrg6dJHsBttWqpMkkpkQorqtW7Ur642n9&#10;ZU6JdUxVTGolSvoqLL1afv606E0hUt1oWQkgCKJs0ZuSNs6ZIoosb0TH7EQboTBYa+iYQxd2UQWs&#10;R/RORmkcT6NeQ2VAc2Et3q6GIF0G/LoW3N3VtRWOyJJibS6cEM6tP6PlghU7YKZp+VgG+4cqOtYq&#10;fPQEtWKOkRdo/4DqWg7a6tpNuO4iXdctF6EH7CaJP3Tz2DAjQi9IjjUnmuz/g+W3+3sgbVXSaZql&#10;eZxOM0oU63BUD0geUzspyIWnqTe2wOxHcw+jZ9H0PR9q6Pw3dkMOgdrXE7Xi4AjHyyy+SNOcEo6h&#10;2WU+zXOPGb392IB134TuiDdKCvh4IJTtN9YNqccU/5bVsq3WrZTBgd32RgLZMz/lZDq7zEb0d2lS&#10;kb6kaZ7FcYB+F7TnGNl6nnxdDUkNq8SAnMf4OQIP6aGFMxxsSCpfkgjaG0v31A1keWurq1fkHPQg&#10;Rmv4usWeN8y6ewaoPtQpbpS7w6OWGkvWo0VJo+HX3+59PooCo5T0qOaS2p8vDAQl8rtCuVwmWebl&#10;H5xsOsc+CJxHtkMkn6UYUS/djUYqE9xdw4Pp8508mjXo7hkX79q/iiGmOL5d0u3RvHHDjuHicnF9&#10;HZJQ8Ia5jXo03EN7lvxEnw7PDMw4dod6udVH3bPiw/SHXCT9jcfRwfUIsxhX2e/fuR+y3v5wlr8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CAOcL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52</w:t>
    </w:r>
    <w:r>
      <w:rPr>
        <w:rFonts w:ascii="Verdana" w:hAnsi="Verdana"/>
        <w:b/>
        <w:noProof/>
        <w:color w:val="FFFFFF"/>
        <w:sz w:val="18"/>
        <w:szCs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2905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89112480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20361A57" id="Rectangle 3" o:spid="_x0000_s1026" style="position:absolute;margin-left:225.1pt;margin-top:.35pt;width:31.75pt;height:62.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8PxWQIAALgEAAAOAAAAZHJzL2Uyb0RvYy54bWysVE1v2zAMvQ/YfxB0X/1RO1+oU2QpMgwI&#10;2qDt0LMiy7EBWdIoJU7260fJTpt2Ow3LQSFF5ol8fMzN7bGV5CDANloVNLmKKRGK67JRu4L+eF59&#10;mVBiHVMlk1qJgp6Epbfzz59uOjMTqa61LAUQBFF21pmC1s6ZWRRZXouW2StthMJgpaFlDl3YRSWw&#10;DtFbGaVxPIo6DaUBzYW1eHvXB+k84FeV4O6hqqxwRBYUa3PhhHBu/RnNb9hsB8zUDR/KYP9QRcsa&#10;hY++Qt0xx8gemj+g2oaDtrpyV1y3ka6qhovQA3aTxB+6eaqZEaEXJMeaV5rs/4Pl94cNkKYs6GSa&#10;JGk2iUeUKNbiqB6RPKZ2UpBrT1Nn7Ayzn8wGBs+i6Xs+VtD6b+yGHAO1p1dqxdERjpdZfJ2mOSUc&#10;Q+NpPspzjxm9/diAdd+Ebok3Cgr4eCCUHdbW9annFP+W1bIpV42UwYHddimBHJifcjIaT7MB/V2a&#10;VKQraJpncRyg3wXtJUa2miRf7/qkmpWiR85j/JyB+/TQwgUONiSVL0kE7Q2le+p6sry11eUJOQfd&#10;i9Eavmqw5zWzbsMA1Yc6xY1yD3hUUmPJerAoqTX8+tu9z0dRYJSSDtVcUPtzz0BQIr8rlMs0yTIv&#10;/+Bkown2QeAysu0j+TjFiNq3S41UJri7hgfT5zt5NivQ7Qsu3sK/iiGmOL5d0O3ZXLp+x3BxuVgs&#10;QhIK3jC3Vk+Ge2jPkp/o8/GFgRnG7lAv9/qsezb7MP0+F0l/43FwcD3CLIZV9vt36Yestz+c+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R6vD8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50</w:t>
    </w:r>
    <w:r>
      <w:rPr>
        <w:rFonts w:ascii="Verdana" w:hAnsi="Verdana"/>
        <w:b/>
        <w:noProof/>
        <w:color w:val="FFFFFF"/>
        <w:sz w:val="18"/>
        <w:szCs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3110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2847216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3ABAF86F" id="Rectangle 3" o:spid="_x0000_s1026" style="position:absolute;margin-left:225.1pt;margin-top:.35pt;width:31.75pt;height:62.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f2WAIAALgEAAAOAAAAZHJzL2Uyb0RvYy54bWysVNtu2zAMfR+wfxD0vvhSOzfUKboWGQYU&#10;bdB06LMiy7EBWdIoJU739aNk59JuT8PyoJAic0QeHub65tBKshdgG60KmoxiSoTiumzUtqA/XpZf&#10;ppRYx1TJpFaioG/C0pvF50/XnZmLVNdalgIIgig770xBa+fMPIosr0XL7EgboTBYaWiZQxe2UQms&#10;Q/RWRmkcj6NOQ2lAc2Et3t73QboI+FUluHuqKisckQXF2lw4IZwbf0aLazbfAjN1w4cy2D9U0bJG&#10;4aMnqHvmGNlB8wdU23DQVlduxHUb6apquAg9YDdJ/KGbdc2MCL0gOdacaLL/D5Y/7ldAmrKgaTrN&#10;JmkyzihRrMVRPSN5TG2lIFeeps7YOWavzQoGz6Lpez5U0Ppv7IYcArVvJ2rFwRGOl1l8laY5JRxD&#10;k1k+znOPGZ1/bMC6b0K3xBsFBXw8EMr2D9b1qccU/5bVsimXjZTBge3mTgLZMz/lZDyZZQP6uzSp&#10;SId95lkcB+h3QXuJkS2nydf7PqlmpeiR8xg/R+A+PbRwgYMNSeVLEkF7Q+meup4sb210+Yacg+7F&#10;aA1fNtjzA7NuxQDVhzrFjXJPeFRSY8l6sCipNfz6273PR1FglJIO1VxQ+3PHQFAivyuUyyzJMi//&#10;4GTjKfZB4DKy6SP5JMWI2rV3GqlMcHcND6bPd/JoVqDbV1y8W/8qhpji+HZBN0fzzvU7hovLxe1t&#10;SELBG+Ye1NpwD+1Z8hN9ObwyMMPYHerlUR91z+Yfpt/nIulnHgcH1yPMYlhlv3+Xfsg6/+EsfgM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BduVf2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53</w:t>
    </w:r>
    <w:r>
      <w:rPr>
        <w:rFonts w:ascii="Verdana" w:hAnsi="Verdana"/>
        <w:b/>
        <w:noProof/>
        <w:color w:val="FFFFFF"/>
        <w:sz w:val="18"/>
        <w:szCs w:val="18"/>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3315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7762697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21924DB3" id="Rectangle 3" o:spid="_x0000_s1026" style="position:absolute;margin-left:225.1pt;margin-top:.35pt;width:31.75pt;height:62.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mtWAIAALgEAAAOAAAAZHJzL2Uyb0RvYy54bWysVE1v2zAMvQ/YfxB0X/1ROx9GnCJrkWFA&#10;0RZNh54VWY4NyJJGqXG6Xz9KdtK022lYDgopvjyRj2QWV4dOkr0A22pV0uQipkQorqtW7Ur642n9&#10;ZUaJdUxVTGolSvoqLL1afv606E0hUt1oWQkgSKJs0ZuSNs6ZIoosb0TH7IU2QmGw1tAxhy7sogpY&#10;j+ydjNI4nkS9hsqA5sJavL0ZgnQZ+OtacHdf11Y4IkuKublwQji3/oyWC1bsgJmm5WMa7B+y6Fir&#10;8NET1Q1zjLxA+wdV13LQVtfugusu0nXdchFqwGqS+EM1m4YZEWpBcaw5yWT/Hy2/2z8AaauSzqfT&#10;STrBkxLFOmzVI4rH1E4Kcull6o0tEL0xDzB6Fk1f86GGzn9jNeQQpH09SSsOjnC8zOLLNM0p4Ria&#10;zvNJnnvO6O3HBqz7JnRHvFFSwMeDoGx/a90APUL8W1bLtlq3UgYHdttrCWTPfJeTyXSejezvYFKR&#10;vqRpnsVxoH4XtOcc2XqWfL0ZQA2rxMCcx/g5Eg/wUMIZDxYklU9JhNkbU/fSDWJ5a6urV9Qc9DCM&#10;1vB1izXfMuseGOD04ZziRrl7PGqpMWU9WpQ0Gn797d7jcSgwSkmP01xS+/OFgaBEflc4LvMky/z4&#10;ByebzLAOAueR7RDJpylG1Et3rVHKBHfX8GB6vJNHswbdPePirfyrGGKK49sl3R7NazfsGC4uF6tV&#10;AOHAG+Zu1cZwT+1V8h19OjwzMGPbHc7LnT7OPSs+dH/AouhvOo4OrkfoxbjKfv/O/YB6+8NZ/gY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BNOQmt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54</w:t>
    </w:r>
    <w:r>
      <w:rPr>
        <w:rFonts w:ascii="Verdana" w:hAnsi="Verdana"/>
        <w:b/>
        <w:noProof/>
        <w:color w:val="FFFFFF"/>
        <w:sz w:val="18"/>
        <w:szCs w:val="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3520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3421896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79450DED" id="Rectangle 3" o:spid="_x0000_s1026" style="position:absolute;margin-left:225.1pt;margin-top:.35pt;width:31.75pt;height:62.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noWQIAALkEAAAOAAAAZHJzL2Uyb0RvYy54bWysVE1v2zAMvQ/YfxB0X/0RO1+IU3QtMgwo&#10;2qDt0LMiy7EBWdIoJU7260fJTpN2Ow3LQSFF5ol8fMzi+tBKshdgG60KmlzFlAjFddmobUF/vKy+&#10;TCmxjqmSSa1EQY/C0uvl50+LzsxFqmstSwEEQZSdd6agtXNmHkWW16Jl9koboTBYaWiZQxe2UQms&#10;Q/RWRmkcj6NOQ2lAc2Et3t71QboM+FUluHusKisckQXF2lw4IZwbf0bLBZtvgZm64UMZ7B+qaFmj&#10;8NE3qDvmGNlB8wdU23DQVlfuius20lXVcBF6wG6S+EM3zzUzIvSC5FjzRpP9f7D8Yb8G0pQ4u8ko&#10;S5PpbJxRoliLs3pC9pjaSkFGnqfO2DmmP5s1DJ5F0zd9qKD139gOOQRuj2/cioMjHC+zeJSmOSUc&#10;Q5NZPs5zjxmdf2zAum9Ct8QbBQV8PDDK9vfW9amnFP+W1bIpV42UwYHt5lYC2TM/5mQ8mWUD+rs0&#10;qUhX0DTP4jhAvwvaS4xsNU2+3vVJNStFj5zH+DkB9+mhhQscbEgqX5II4htK99T1ZHlro8sjkg66&#10;V6M1fNVgz/fMujUDlB8KFVfKPeJRSY0l68GipNbw62/3Ph9VgVFKOpRzQe3PHQNBifyuUC+zJMu8&#10;/oOTjafYB4HLyKaP5JMUI2rX3mqkMsHlNTyYPt/Jk1mBbl9x8278qxhiiuPbBd2czFvXLxluLhc3&#10;NyEJFW+Yu1fPhntoz5Kf6MvhlYEZxu5QLw/6JHw2/zD9PhdJP/M4OLgfYRbDLvsFvPRD1vkf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LnZp6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58</w:t>
    </w:r>
    <w:r>
      <w:rPr>
        <w:rFonts w:ascii="Verdana" w:hAnsi="Verdana"/>
        <w:b/>
        <w:noProof/>
        <w:color w:val="FFFFFF"/>
        <w:sz w:val="18"/>
        <w:szCs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3724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0696335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307C7F7A" id="Rectangle 3" o:spid="_x0000_s1026" style="position:absolute;margin-left:225.1pt;margin-top:.35pt;width:31.75pt;height:62.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8EqWgIAALkEAAAOAAAAZHJzL2Uyb0RvYy54bWysVE2P2jAQvVfqf7B87yZAwgIirCiIqhLa&#10;RctWezaOQyI5tjv2Euiv79gJH7vtqSoHM+MZnmfevGH6cKwlOQiwlVYZ7d3FlAjFdV6pfUZ/vKy+&#10;jCixjqmcSa1ERk/C0ofZ50/TxkxEX5da5gIIgig7aUxGS+fMJIosL0XN7J02QmGw0FAzhy7soxxY&#10;g+i1jPpxPIwaDbkBzYW1eLtsg3QW8ItCcPdUFFY4IjOKtblwQjh3/oxmUzbZAzNlxbsy2D9UUbNK&#10;4aMXqCVzjLxB9QdUXXHQVhfujus60kVRcRF6wG568YdutiUzIvSC5Fhzocn+P1j+eNgAqXKc3Sge&#10;joeDQTqmRLEaZ/WM7DG1l4IMPE+NsRNM35oNdJ5F0zd9LKD239gOOQZuTxduxdERjpdJPOj3U0o4&#10;hu7H6TBNPWZ0/bEB674JXRNvZBTw8cAoO6yta1PPKf4tq2WVryopgwP73UICOTA/5t7wfpx06O/S&#10;pCJNRvtpEscB+l3Q3mIkq1Hv67JNKlkuWuQ0xs8ZuE0PLdzgYENS+ZJEEF9XuqeuJctbO52fkHTQ&#10;rRqt4asKe14z6zYMUH4oVFwp94RHITWWrDuLklLDr7/d+3xUBUYpaVDOGbU/3xgISuR3hXoZ95LE&#10;6z84yXCEfRC4jezaSHrfx4h6qxcaqezh8hoeTJ/v5NksQNevuHlz/yqGmOL4dkZ3Z3Ph2iXDzeVi&#10;Pg9JqHjD3FptDffQniU/0ZfjKwPTjd2hXh71Wfhs8mH6bS6SfuWxc3A/wiy6XfYLeOuHrOs/zuw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NOLwSp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59</w:t>
    </w:r>
    <w:r>
      <w:rPr>
        <w:rFonts w:ascii="Verdana" w:hAnsi="Verdana"/>
        <w:b/>
        <w:noProof/>
        <w:color w:val="FFFFF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3929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09345927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4886C467" id="Rectangle 3" o:spid="_x0000_s1026" style="position:absolute;margin-left:225.1pt;margin-top:.35pt;width:31.75pt;height:62.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5ZNWQIAALkEAAAOAAAAZHJzL2Uyb0RvYy54bWysVE1v2zAMvQ/YfxB0X/0ROx9GnKJrkWFA&#10;0RZNh54VWY4NyJJGqXG6Xz9KdtK022lYDgopMk/k42OWl4dOkr0A22pV0uQipkQorqtW7Ur642n9&#10;ZU6JdUxVTGolSvoqLL1cff607E0hUt1oWQkgCKJs0ZuSNs6ZIoosb0TH7IU2QmGw1tAxhy7sogpY&#10;j+idjNI4nka9hsqA5sJavL0ZgnQV8OtacHdf11Y4IkuKtblwQji3/oxWS1bsgJmm5WMZ7B+q6Fir&#10;8NET1A1zjLxA+wdU13LQVtfugusu0nXdchF6wG6S+EM3m4YZEXpBcqw50WT/Hyy/2z8AaauSpvFi&#10;kuWLdJZQoliHs3pE9pjaSUEmnqfe2ALTN+YBRs+i6Zs+1ND5b2yHHAK3ryduxcERjpdZPEnTnBKO&#10;odkin+a5x4zefmzAum9Cd8QbJQV8PDDK9rfWDanHFP+W1bKt1q2UwYHd9loC2TM/5mQ6W2Qj+rs0&#10;qUiPjeZZHAfod0F7jpGt58nXmyGpYZUYkPMYP0fgIT20cIaDDUnlSxJBfGPpnrqBLG9tdfWKpIMe&#10;1GgNX7fY8y2z7oEByg+Fiivl7vGopcaS9WhR0mj49bd7n4+qwCglPcq5pPbnCwNBifyuUC+LJMu8&#10;/oOTTefYB4HzyHaI5LMUI+qlu9ZIJUoBqwumz3fyaNagu2fcvCv/KoaY4vh2SbdH89oNS4aby8XV&#10;VUhCxRvmbtXGcA/tWfITfTo8MzDj2B3q5U4fhc+KD9MfcpH0Nx5HB/cjzGLcZb+A537IevvHWf0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eruWT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62</w:t>
    </w:r>
    <w:r>
      <w:rPr>
        <w:rFonts w:ascii="Verdana" w:hAnsi="Verdana"/>
        <w:b/>
        <w:noProof/>
        <w:color w:val="FFFFFF"/>
        <w:sz w:val="18"/>
        <w:szCs w:val="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4134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7682435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6D72AE15" id="Rectangle 3" o:spid="_x0000_s1026" style="position:absolute;margin-left:225.1pt;margin-top:.35pt;width:31.75pt;height:62.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RsWQIAALkEAAAOAAAAZHJzL2Uyb0RvYy54bWysVN9v2jAQfp+0/8Hy+0hIE36poWIgpklV&#10;i9pOfTaOQyI5tnc2BPbX7+yEQrs9TePB3PmOz3fffcft3bGR5CDA1lrldDiIKRGK66JWu5z+eFl/&#10;mVBiHVMFk1qJnJ6EpXfzz59uWzMTia60LAQQBFF21pqcVs6ZWRRZXomG2YE2QmGw1NAwhy7sogJY&#10;i+iNjJI4HkWthsKA5sJavF11QToP+GUpuHssSysckTnF2lw4IZxbf0bzWzbbATNVzfsy2D9U0bBa&#10;4aNvUCvmGNlD/QdUU3PQVpduwHUT6bKsuQg9YDfD+EM3zxUzIvSC5FjzRpP9f7D84bABUhc4u2w8&#10;miTpTZZQoliDs3pC9pjaSUFuPE+tsTNMfzYb6D2Lpm/6WELjv7Edcgzcnt64FUdHOF6m8U2SZJRw&#10;DI2n2SjLPGZ0+bEB674J3RBv5BTw8cAoO9xb16WeU/xbVsu6WNdSBgd226UEcmB+zMPReJr26O/S&#10;pCJtTpMsjeMA/S5orzHS9WT4ddUlVawQHXIW4+cM3KWHFq5wsCGpfEkiiK8v3VPXkeWtrS5OSDro&#10;To3W8HWNPd8z6zYMUH4oVFwp94hHKTWWrHuLkkrDr7/d+3xUBUYpaVHOObU/9wwEJfK7Qr1Mh2nq&#10;9R+cdDTBPghcR7ZdJBsnGFH7ZqmRyiEur+HB9PlOns0SdPOKm7fwr2KIKY5v53R7NpeuWzLcXC4W&#10;i5CEijfM3atnwz20Z8lP9OX4ysD0Y3eolwd9Fj6bfZh+l4ukX3jsHdyPMIt+l/0CXvsh6/KPM/8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D450b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63</w:t>
    </w:r>
    <w:r>
      <w:rPr>
        <w:rFonts w:ascii="Verdana" w:hAnsi="Verdana"/>
        <w:b/>
        <w:noProof/>
        <w:color w:val="FFFFFF"/>
        <w:sz w:val="18"/>
        <w:szCs w:val="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433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151770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07A01010" id="Rectangle 3" o:spid="_x0000_s1026" style="position:absolute;margin-left:225.1pt;margin-top:.35pt;width:31.75pt;height:62.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7WQIAALkEAAAOAAAAZHJzL2Uyb0RvYy54bWysVE1v2zAMvQ/YfxB0X/1RO2mNOEXWIsOA&#10;oC2aDj0rshwbkCWNUuNkv36U7KRpt9OwHBRSZJ7Ix8fMbvadJDsBttWqpMlFTIlQXFet2pb0x/Py&#10;yxUl1jFVMamVKOlBWHoz//xp1ptCpLrRshJAEETZojclbZwzRRRZ3oiO2QtthMJgraFjDl3YRhWw&#10;HtE7GaVxPIl6DZUBzYW1eHs3BOk84Ne14O6hrq1wRJYUa3PhhHBu/BnNZ6zYAjNNy8cy2D9U0bFW&#10;4aMnqDvmGHmF9g+oruWgra7dBdddpOu65SL0gN0k8Ydu1g0zIvSC5Fhzosn+P1h+v3sE0lY4uzTJ&#10;k+k0jlNKFOtwVk/IHlNbKcil56k3tsD0tXmE0bNo+qb3NXT+G9sh+8Dt4cSt2DvC8TKLL9M0p4Rj&#10;aHqdT/LcY0ZvPzZg3TehO+KNkgI+Hhhlu5V1Q+oxxb9ltWyrZStlcGC7uZVAdsyPOZlMr7MR/V2a&#10;VKQvaZpncRyg3wXtOUa2vEq+3g1JDavEgJzH+DkCD+mhhTMcbEgqX5II4htL99QNZHlro6sDkg56&#10;UKM1fNlizytm3SMDlB8KFVfKPeBRS40l69GipNHw62/3Ph9VgVFKepRzSe3PVwaCEvldoV6ukyzz&#10;+g9ONrnCPgicRzZDJJ+mGFGv3a1GKhNcXsOD6fOdPJo16O4FN2/hX8UQUxzfLunmaN66Yclwc7lY&#10;LEISKt4wt1Jrwz20Z8lP9Hn/wsCMY3eol3t9FD4rPkx/yEXS33gcHdyPMItxl/0Cnvsh6+0fZ/4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wwGf+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64</w:t>
    </w:r>
    <w:r>
      <w:rPr>
        <w:rFonts w:ascii="Verdana" w:hAnsi="Verdana"/>
        <w:b/>
        <w:noProof/>
        <w:color w:val="FFFFFF"/>
        <w:sz w:val="18"/>
        <w:szCs w:val="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p/>
  </w:footnote>
  <w:footnote w:type="continuationSeparator" w:id="0">
    <w:p>
      <w:r>
        <w:continuationSeparator/>
      </w:r>
    </w:p>
    <w:p/>
  </w:footnote>
  <w:footnote w:id="1">
    <w:p>
      <w:pPr>
        <w:pStyle w:val="Footnote"/>
        <w:spacing w:after="60"/>
        <w:rPr>
          <w:sz w:val="18"/>
          <w:szCs w:val="18"/>
        </w:rPr>
      </w:pPr>
      <w:r>
        <w:rPr>
          <w:rStyle w:val="FootnoteReference"/>
          <w:sz w:val="18"/>
        </w:rPr>
        <w:footnoteRef/>
      </w:r>
      <w:r>
        <w:rPr>
          <w:rStyle w:val="FootnoteReference"/>
          <w:sz w:val="20"/>
        </w:rPr>
        <w:t xml:space="preserve"> </w:t>
      </w:r>
      <w:r>
        <w:tab/>
        <w:t>Toissijaisuusperiaatteen mukaan unioni toimii ainoastaan jos ja siltä osin kuin jäsenvaltiot eivät voi riittävällä tavalla saavuttaa suunnitellun toiminnan tavoitteita, vaan ne voidaan suunnitellun toiminnan laajuuden tai vaikutusten vuoksi saavuttaa paremmin unionin tasolla. Suhteellisuusperiaatteen mukaisesti unionin toiminnan sisältö ja muoto eivät saa ylittää sitä, mikä on tarpeen perussopimusten tavoitteiden saavuttamiseksi. Ks. Euroopan unionin toiminnasta tehdyn sopimuksen (SEUT-sopimus) 5 artikla.</w:t>
      </w:r>
    </w:p>
  </w:footnote>
  <w:footnote w:id="2">
    <w:p>
      <w:pPr>
        <w:pStyle w:val="Footnote"/>
      </w:pPr>
      <w:r>
        <w:rPr>
          <w:rStyle w:val="FootnoteReference"/>
          <w:sz w:val="18"/>
        </w:rPr>
        <w:footnoteRef/>
      </w:r>
      <w:r>
        <w:t xml:space="preserve"> </w:t>
      </w:r>
      <w:r>
        <w:tab/>
        <w:t xml:space="preserve">Ks. komission tiedonanto Eurooppa 2020: </w:t>
      </w:r>
      <w:r>
        <w:rPr>
          <w:i/>
        </w:rPr>
        <w:t>Älykkään, kestävän ja osallistavan kasvun strategia,</w:t>
      </w:r>
      <w:r>
        <w:t xml:space="preserve"> KOM(2010) 2020, 3.3.2010.</w:t>
      </w:r>
    </w:p>
  </w:footnote>
  <w:footnote w:id="3">
    <w:p>
      <w:pPr>
        <w:pStyle w:val="FootnoteText"/>
        <w:tabs>
          <w:tab w:val="left" w:pos="426"/>
        </w:tabs>
        <w:ind w:left="284" w:hanging="284"/>
        <w:rPr>
          <w:rFonts w:ascii="Verdana" w:hAnsi="Verdana"/>
          <w:sz w:val="16"/>
        </w:rPr>
      </w:pPr>
      <w:r>
        <w:rPr>
          <w:rStyle w:val="FootnoteReference"/>
          <w:rFonts w:ascii="Verdana" w:hAnsi="Verdana"/>
          <w:sz w:val="18"/>
        </w:rPr>
        <w:footnoteRef/>
      </w:r>
      <w:r>
        <w:t xml:space="preserve"> </w:t>
      </w:r>
      <w:r>
        <w:tab/>
      </w:r>
      <w:r>
        <w:rPr>
          <w:rFonts w:ascii="Verdana" w:hAnsi="Verdana"/>
          <w:sz w:val="16"/>
        </w:rPr>
        <w:t>Komission tiedonanto ”Seuraavat toimet Euroopan kestävän tulevaisuuden varmistamiseksi – Kestävyyttä edistävät EU:n toimet”, COM(2016) 739 final, 22.11.2016.</w:t>
      </w:r>
    </w:p>
  </w:footnote>
  <w:footnote w:id="4">
    <w:p>
      <w:pPr>
        <w:pStyle w:val="Footnote"/>
      </w:pPr>
      <w:r>
        <w:rPr>
          <w:rStyle w:val="FootnoteReference"/>
          <w:sz w:val="18"/>
        </w:rPr>
        <w:footnoteRef/>
      </w:r>
      <w:r>
        <w:t xml:space="preserve"> </w:t>
      </w:r>
      <w:r>
        <w:tab/>
        <w:t>Euroopan parlamentin, neuvoston ja komission välinen toimielinten sopimus, tehty 2 päivänä joulukuuta 2013, talousarviota koskevasta kurinalaisuudesta, talousarvioyhteistyöstä ja moitteettomasta varainhoidosta (EUVL C 373, 20.12.2013, s. 1).</w:t>
      </w:r>
    </w:p>
  </w:footnote>
  <w:footnote w:id="5">
    <w:p>
      <w:pPr>
        <w:pStyle w:val="Footnote"/>
      </w:pPr>
      <w:r>
        <w:rPr>
          <w:rStyle w:val="FootnoteReference"/>
          <w:sz w:val="18"/>
        </w:rPr>
        <w:footnoteRef/>
      </w:r>
      <w:r>
        <w:t xml:space="preserve"> </w:t>
      </w:r>
      <w:r>
        <w:tab/>
        <w:t>Euroopan parlamentin ja neuvoston asetus (EU, Euratom) N:o 2018/1046, annettu 18 päivänä heinäkuuta 2018, unionin yleiseen talousarvioon sovellettavista varainhoitosäännöistä ja neuvoston asetuksen (EY, Euratom) N:o 966/2012 kumoamisesta (EUVL L 193, 30.7.2018, s. 1).</w:t>
      </w:r>
    </w:p>
  </w:footnote>
  <w:footnote w:id="6">
    <w:p>
      <w:pPr>
        <w:pStyle w:val="Footnote"/>
        <w:spacing w:after="60"/>
      </w:pPr>
      <w:r>
        <w:rPr>
          <w:rStyle w:val="FootnoteReference"/>
          <w:sz w:val="18"/>
        </w:rPr>
        <w:footnoteRef/>
      </w:r>
      <w:r>
        <w:t xml:space="preserve"> </w:t>
      </w:r>
      <w:r>
        <w:tab/>
        <w:t>Euroopan unionin toiminnasta tehdyn sopimuksen 317 artikla.</w:t>
      </w:r>
    </w:p>
  </w:footnote>
  <w:footnote w:id="7">
    <w:p>
      <w:pPr>
        <w:pStyle w:val="Footnote"/>
        <w:rPr>
          <w:sz w:val="12"/>
        </w:rPr>
      </w:pPr>
      <w:r>
        <w:rPr>
          <w:rStyle w:val="FootnoteReference"/>
          <w:sz w:val="18"/>
        </w:rPr>
        <w:footnoteRef/>
      </w:r>
      <w:r>
        <w:t xml:space="preserve"> </w:t>
      </w:r>
      <w:r>
        <w:tab/>
        <w:t>Ks. puheenjohtaja Junckerin ja ensimmäisen varapuheenjohtajan Timmermansin tiedonanto komissiolle: Governance in the European Commission, C(2017) 6915 final, 11. lokakuuta 2017, URL-osoite: https://ec.europa.eu/info/sites/info/files/c_2017_6915_final_en.pdf</w:t>
      </w:r>
    </w:p>
  </w:footnote>
  <w:footnote w:id="8">
    <w:p>
      <w:pPr>
        <w:pStyle w:val="Footnote"/>
      </w:pPr>
      <w:r>
        <w:rPr>
          <w:rStyle w:val="FootnoteReference"/>
          <w:sz w:val="18"/>
        </w:rPr>
        <w:footnoteRef/>
      </w:r>
      <w:r>
        <w:t xml:space="preserve"> </w:t>
      </w:r>
      <w:r>
        <w:tab/>
        <w:t>Esimerkiksi sisäisen valvonnan standardit perustuvat COSO 2013-periaatteisiin.</w:t>
      </w:r>
    </w:p>
  </w:footnote>
  <w:footnote w:id="9">
    <w:p>
      <w:pPr>
        <w:pStyle w:val="Footnote"/>
        <w:rPr>
          <w:lang w:val="en-US"/>
        </w:rPr>
      </w:pPr>
      <w:r>
        <w:rPr>
          <w:rStyle w:val="FootnoteReference"/>
          <w:sz w:val="18"/>
        </w:rPr>
        <w:footnoteRef/>
      </w:r>
      <w:r>
        <w:t xml:space="preserve"> </w:t>
      </w:r>
      <w:r>
        <w:tab/>
      </w:r>
      <w:r>
        <w:rPr>
          <w:rStyle w:val="Hyperlink"/>
        </w:rPr>
        <w:t xml:space="preserve">https://ec.europa.eu/info/publications/governance-in-the-commission_en. </w:t>
      </w:r>
      <w:r>
        <w:rPr>
          <w:lang w:val="en-US"/>
        </w:rPr>
        <w:t>Ks. tiedonanto komissiolle, C(2018)7704, ”Streamlining and strengthening corporate governance within the European Commission”, https://ec.europa.eu/info/sites/info/files/file_import/streamlining-strengthening-corporate-governa-nce-european-commission_en.pdf</w:t>
      </w:r>
    </w:p>
  </w:footnote>
  <w:footnote w:id="10">
    <w:p>
      <w:pPr>
        <w:pStyle w:val="FootnoteText"/>
        <w:rPr>
          <w:rFonts w:ascii="Verdana" w:hAnsi="Verdana"/>
          <w:sz w:val="16"/>
        </w:rPr>
      </w:pPr>
      <w:r>
        <w:rPr>
          <w:rStyle w:val="FootnoteReference"/>
          <w:rFonts w:ascii="Verdana" w:hAnsi="Verdana"/>
          <w:sz w:val="18"/>
        </w:rPr>
        <w:footnoteRef/>
      </w:r>
      <w:r>
        <w:t xml:space="preserve"> </w:t>
      </w:r>
      <w:r>
        <w:rPr>
          <w:rFonts w:ascii="Verdana" w:hAnsi="Verdana"/>
          <w:sz w:val="16"/>
        </w:rPr>
        <w:t xml:space="preserve">  Erityiskertomus nro 27/2016 ”Euroopan komission hallintotapa – paras käytäntö?”</w:t>
      </w:r>
    </w:p>
  </w:footnote>
  <w:footnote w:id="11">
    <w:p>
      <w:pPr>
        <w:pStyle w:val="Footnote"/>
        <w:spacing w:after="60"/>
      </w:pPr>
      <w:r>
        <w:rPr>
          <w:rStyle w:val="FootnoteReference"/>
          <w:sz w:val="20"/>
        </w:rPr>
        <w:footnoteRef/>
      </w:r>
      <w:r>
        <w:rPr>
          <w:rStyle w:val="FootnoteReference"/>
          <w:sz w:val="20"/>
        </w:rPr>
        <w:t xml:space="preserve"> </w:t>
      </w:r>
      <w:r>
        <w:tab/>
        <w:t>Näin ollen ilmaisua ”Euroopan komissio” käytetään kuvaamaan sekä toimielintä –komission jäsenten muodostamaa kollegiota – että sen hallintoa, jota johtavat pääosastojen pääjohtajat (ja muiden hallintorakenteiden, kuten yksiköiden, virastojen ja toimeenpanovirastojen, johtajat).</w:t>
      </w:r>
    </w:p>
  </w:footnote>
  <w:footnote w:id="12">
    <w:p>
      <w:pPr>
        <w:pStyle w:val="Text6pNormalLeft"/>
        <w:jc w:val="both"/>
      </w:pPr>
      <w:r>
        <w:rPr>
          <w:rStyle w:val="FootnoteReference"/>
          <w:sz w:val="16"/>
        </w:rPr>
        <w:footnoteRef/>
      </w:r>
      <w:r>
        <w:t xml:space="preserve"> </w:t>
      </w:r>
      <w:r>
        <w:rPr>
          <w:sz w:val="16"/>
        </w:rPr>
        <w:t>EU:n virkamiesten eläkejärjestelmä on etuusperusteinen laskennallinen (virtuaalinen) rahasto, jossa henkilöstön suorittamilla maksuilla rahoitetaan heidän tulevat eläkkeensä. Vaikka tosiasiallista sijoitusrahastoa ei olekaan, katsotaan, että määrä, joka sellaiseen olisi kertynyt, on sijoitettu jäsenvaltioiden pitkäaikaisiin joukkovelkakirjalainoihin ja huomioitu Euroopan unionin tilinpäätökseen kirjatussa eläkevastuussa. Henkilöstösääntöjen 83 artiklan ja Euroopan unionista tehdyn sopimuksen 4 artiklan 3 kohdan mukaan jäsenvaltiot takaavat yhteisesti etuuksien maksamisen (ks. yksityiskohtainen kuvaus järjestelmästä asiakirjasta COM(2018) 829).</w:t>
      </w:r>
    </w:p>
  </w:footnote>
  <w:footnote w:id="13">
    <w:p>
      <w:pPr>
        <w:pStyle w:val="Footnote"/>
        <w:spacing w:after="60"/>
      </w:pPr>
      <w:r>
        <w:rPr>
          <w:rStyle w:val="FootnoteReference"/>
          <w:vertAlign w:val="baseline"/>
        </w:rPr>
        <w:footnoteRef/>
      </w:r>
      <w:r>
        <w:rPr>
          <w:rStyle w:val="FootnoteReference"/>
          <w:vertAlign w:val="baseline"/>
        </w:rPr>
        <w:t xml:space="preserve"> Ks. lisätietoja: Euroopan komissio ”European Economic Forecast Winter 2019”, URL-osoite: https://ec.europa.eu/info/publications/european-economic-forecast-winter-2019_en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rPr>
      <w:t>Euroopan unionin konsolidoitu tilinpäätös 2018</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rPr>
      <w:t>Euroopan unionin konsolidoitu tilinpäätös 2018</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rPr>
      <w:t>Euroopan unionin konsolidoitu tilinpäätös 2018</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rPr>
      <w:t>Euroopan unionin konsolidoitu tilinpäätös 2018</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rPr>
      <w:t>Euroopan unionin konsolidoitu tilinpäätös 2018</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rPr>
      <w:t>Euroopan unionin konsolidoitu tilinpäätös 2018</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rPr>
      <w:t>Euroopan unionin konsolidoitu tilinpäätös 2018</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rPr>
      <w:t>Euroopan unionin konsolidoitu tilinpäätös 2018</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rPr>
      <w:t>Euroopan unionin konsolidoitu tilinpäätös 2018</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rPr>
      <w:t>Euroopan unionin konsolidoitu tilinpäätös 2018</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rPr>
      <w:t>Euroopan unionin konsolidoitu tilinpäätös 2018</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rPr>
      <w:t>Euroopan unionin konsolidoitu tilinpäätös 2018</w: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rPr>
      <w:t>Euroopan unionin konsolidoitu tilinpäätös 2018</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rPr>
      <w:t>Euroopan unionin konsolidoitu tilinpäätös 2018</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Euroopan unionin konsolidoitu tilinpäätös 2018</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B9A8520"/>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pStyle w:val="HEADER2Part3"/>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pStyle w:val="HEADER3Part3"/>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lang w:val="x-none" w:eastAsia="x-none" w:bidi="x-none"/>
        <w:specVanish w:val="0"/>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
    <w:nsid w:val="00000002"/>
    <w:multiLevelType w:val="hybridMultilevel"/>
    <w:tmpl w:val="675ED66A"/>
    <w:lvl w:ilvl="0" w:tplc="38649F72">
      <w:start w:val="1"/>
      <w:numFmt w:val="lowerLetter"/>
      <w:pStyle w:val="Textstand-alonenumberingLetters"/>
      <w:lvlText w:val="%1)"/>
      <w:lvlJc w:val="left"/>
      <w:pPr>
        <w:ind w:left="720" w:hanging="360"/>
      </w:pPr>
      <w:rPr>
        <w:rFonts w:hint="default"/>
      </w:rPr>
    </w:lvl>
    <w:lvl w:ilvl="1" w:tplc="88BC1BCC" w:tentative="1">
      <w:start w:val="1"/>
      <w:numFmt w:val="lowerLetter"/>
      <w:lvlText w:val="%2."/>
      <w:lvlJc w:val="left"/>
      <w:pPr>
        <w:ind w:left="1440" w:hanging="360"/>
      </w:pPr>
    </w:lvl>
    <w:lvl w:ilvl="2" w:tplc="C23E6414" w:tentative="1">
      <w:start w:val="1"/>
      <w:numFmt w:val="lowerRoman"/>
      <w:lvlText w:val="%3."/>
      <w:lvlJc w:val="right"/>
      <w:pPr>
        <w:ind w:left="2160" w:hanging="180"/>
      </w:pPr>
    </w:lvl>
    <w:lvl w:ilvl="3" w:tplc="AC885D4E" w:tentative="1">
      <w:start w:val="1"/>
      <w:numFmt w:val="decimal"/>
      <w:lvlText w:val="%4."/>
      <w:lvlJc w:val="left"/>
      <w:pPr>
        <w:ind w:left="2880" w:hanging="360"/>
      </w:pPr>
    </w:lvl>
    <w:lvl w:ilvl="4" w:tplc="FBFA5016" w:tentative="1">
      <w:start w:val="1"/>
      <w:numFmt w:val="lowerLetter"/>
      <w:lvlText w:val="%5."/>
      <w:lvlJc w:val="left"/>
      <w:pPr>
        <w:ind w:left="3600" w:hanging="360"/>
      </w:pPr>
    </w:lvl>
    <w:lvl w:ilvl="5" w:tplc="D8F00A94" w:tentative="1">
      <w:start w:val="1"/>
      <w:numFmt w:val="lowerRoman"/>
      <w:lvlText w:val="%6."/>
      <w:lvlJc w:val="right"/>
      <w:pPr>
        <w:ind w:left="4320" w:hanging="180"/>
      </w:pPr>
    </w:lvl>
    <w:lvl w:ilvl="6" w:tplc="53403EA4" w:tentative="1">
      <w:start w:val="1"/>
      <w:numFmt w:val="decimal"/>
      <w:lvlText w:val="%7."/>
      <w:lvlJc w:val="left"/>
      <w:pPr>
        <w:ind w:left="5040" w:hanging="360"/>
      </w:pPr>
    </w:lvl>
    <w:lvl w:ilvl="7" w:tplc="72D23B84" w:tentative="1">
      <w:start w:val="1"/>
      <w:numFmt w:val="lowerLetter"/>
      <w:lvlText w:val="%8."/>
      <w:lvlJc w:val="left"/>
      <w:pPr>
        <w:ind w:left="5760" w:hanging="360"/>
      </w:pPr>
    </w:lvl>
    <w:lvl w:ilvl="8" w:tplc="96EA35F8" w:tentative="1">
      <w:start w:val="1"/>
      <w:numFmt w:val="lowerRoman"/>
      <w:lvlText w:val="%9."/>
      <w:lvlJc w:val="right"/>
      <w:pPr>
        <w:ind w:left="6480" w:hanging="180"/>
      </w:pPr>
    </w:lvl>
  </w:abstractNum>
  <w:abstractNum w:abstractNumId="2">
    <w:nsid w:val="00000004"/>
    <w:multiLevelType w:val="hybridMultilevel"/>
    <w:tmpl w:val="7CB6E1C4"/>
    <w:lvl w:ilvl="0" w:tplc="0B2293D0">
      <w:start w:val="1"/>
      <w:numFmt w:val="decimal"/>
      <w:pStyle w:val="DGTextstand-alonenumbering"/>
      <w:lvlText w:val="(%1)"/>
      <w:lvlJc w:val="left"/>
      <w:pPr>
        <w:ind w:left="720" w:hanging="360"/>
      </w:pPr>
      <w:rPr>
        <w:rFonts w:hint="default"/>
      </w:rPr>
    </w:lvl>
    <w:lvl w:ilvl="1" w:tplc="26B07BBC" w:tentative="1">
      <w:start w:val="1"/>
      <w:numFmt w:val="lowerLetter"/>
      <w:lvlText w:val="%2."/>
      <w:lvlJc w:val="left"/>
      <w:pPr>
        <w:ind w:left="1440" w:hanging="360"/>
      </w:pPr>
    </w:lvl>
    <w:lvl w:ilvl="2" w:tplc="5C48AE30" w:tentative="1">
      <w:start w:val="1"/>
      <w:numFmt w:val="lowerRoman"/>
      <w:lvlText w:val="%3."/>
      <w:lvlJc w:val="right"/>
      <w:pPr>
        <w:ind w:left="2160" w:hanging="180"/>
      </w:pPr>
    </w:lvl>
    <w:lvl w:ilvl="3" w:tplc="0DE46966" w:tentative="1">
      <w:start w:val="1"/>
      <w:numFmt w:val="decimal"/>
      <w:lvlText w:val="%4."/>
      <w:lvlJc w:val="left"/>
      <w:pPr>
        <w:ind w:left="2880" w:hanging="360"/>
      </w:pPr>
    </w:lvl>
    <w:lvl w:ilvl="4" w:tplc="F3AA6054" w:tentative="1">
      <w:start w:val="1"/>
      <w:numFmt w:val="lowerLetter"/>
      <w:lvlText w:val="%5."/>
      <w:lvlJc w:val="left"/>
      <w:pPr>
        <w:ind w:left="3600" w:hanging="360"/>
      </w:pPr>
    </w:lvl>
    <w:lvl w:ilvl="5" w:tplc="0F44067E" w:tentative="1">
      <w:start w:val="1"/>
      <w:numFmt w:val="lowerRoman"/>
      <w:lvlText w:val="%6."/>
      <w:lvlJc w:val="right"/>
      <w:pPr>
        <w:ind w:left="4320" w:hanging="180"/>
      </w:pPr>
    </w:lvl>
    <w:lvl w:ilvl="6" w:tplc="6986A8C0" w:tentative="1">
      <w:start w:val="1"/>
      <w:numFmt w:val="decimal"/>
      <w:lvlText w:val="%7."/>
      <w:lvlJc w:val="left"/>
      <w:pPr>
        <w:ind w:left="5040" w:hanging="360"/>
      </w:pPr>
    </w:lvl>
    <w:lvl w:ilvl="7" w:tplc="6C8A5AE8" w:tentative="1">
      <w:start w:val="1"/>
      <w:numFmt w:val="lowerLetter"/>
      <w:lvlText w:val="%8."/>
      <w:lvlJc w:val="left"/>
      <w:pPr>
        <w:ind w:left="5760" w:hanging="360"/>
      </w:pPr>
    </w:lvl>
    <w:lvl w:ilvl="8" w:tplc="FF482B48" w:tentative="1">
      <w:start w:val="1"/>
      <w:numFmt w:val="lowerRoman"/>
      <w:lvlText w:val="%9."/>
      <w:lvlJc w:val="right"/>
      <w:pPr>
        <w:ind w:left="6480" w:hanging="180"/>
      </w:pPr>
    </w:lvl>
  </w:abstractNum>
  <w:abstractNum w:abstractNumId="3">
    <w:nsid w:val="00000006"/>
    <w:multiLevelType w:val="hybridMultilevel"/>
    <w:tmpl w:val="42FC2B20"/>
    <w:lvl w:ilvl="0" w:tplc="D74E6448">
      <w:start w:val="1"/>
      <w:numFmt w:val="lowerRoman"/>
      <w:pStyle w:val="TextSubtitlenumberingRCItalic"/>
      <w:lvlText w:val="(%1)"/>
      <w:lvlJc w:val="left"/>
      <w:pPr>
        <w:ind w:left="720" w:hanging="360"/>
      </w:pPr>
      <w:rPr>
        <w:rFonts w:hint="default"/>
      </w:rPr>
    </w:lvl>
    <w:lvl w:ilvl="1" w:tplc="B01A4F06">
      <w:start w:val="1"/>
      <w:numFmt w:val="lowerLetter"/>
      <w:lvlText w:val="%2."/>
      <w:lvlJc w:val="left"/>
      <w:pPr>
        <w:ind w:left="1440" w:hanging="360"/>
      </w:pPr>
    </w:lvl>
    <w:lvl w:ilvl="2" w:tplc="0C300C20" w:tentative="1">
      <w:start w:val="1"/>
      <w:numFmt w:val="lowerRoman"/>
      <w:lvlText w:val="%3."/>
      <w:lvlJc w:val="right"/>
      <w:pPr>
        <w:ind w:left="2160" w:hanging="180"/>
      </w:pPr>
    </w:lvl>
    <w:lvl w:ilvl="3" w:tplc="7A2669EC" w:tentative="1">
      <w:start w:val="1"/>
      <w:numFmt w:val="decimal"/>
      <w:lvlText w:val="%4."/>
      <w:lvlJc w:val="left"/>
      <w:pPr>
        <w:ind w:left="2880" w:hanging="360"/>
      </w:pPr>
    </w:lvl>
    <w:lvl w:ilvl="4" w:tplc="214CDD56" w:tentative="1">
      <w:start w:val="1"/>
      <w:numFmt w:val="lowerLetter"/>
      <w:lvlText w:val="%5."/>
      <w:lvlJc w:val="left"/>
      <w:pPr>
        <w:ind w:left="3600" w:hanging="360"/>
      </w:pPr>
    </w:lvl>
    <w:lvl w:ilvl="5" w:tplc="D4B25386" w:tentative="1">
      <w:start w:val="1"/>
      <w:numFmt w:val="lowerRoman"/>
      <w:lvlText w:val="%6."/>
      <w:lvlJc w:val="right"/>
      <w:pPr>
        <w:ind w:left="4320" w:hanging="180"/>
      </w:pPr>
    </w:lvl>
    <w:lvl w:ilvl="6" w:tplc="D3723292" w:tentative="1">
      <w:start w:val="1"/>
      <w:numFmt w:val="decimal"/>
      <w:lvlText w:val="%7."/>
      <w:lvlJc w:val="left"/>
      <w:pPr>
        <w:ind w:left="5040" w:hanging="360"/>
      </w:pPr>
    </w:lvl>
    <w:lvl w:ilvl="7" w:tplc="97C854CC" w:tentative="1">
      <w:start w:val="1"/>
      <w:numFmt w:val="lowerLetter"/>
      <w:lvlText w:val="%8."/>
      <w:lvlJc w:val="left"/>
      <w:pPr>
        <w:ind w:left="5760" w:hanging="360"/>
      </w:pPr>
    </w:lvl>
    <w:lvl w:ilvl="8" w:tplc="99D29E10" w:tentative="1">
      <w:start w:val="1"/>
      <w:numFmt w:val="lowerRoman"/>
      <w:lvlText w:val="%9."/>
      <w:lvlJc w:val="right"/>
      <w:pPr>
        <w:ind w:left="6480" w:hanging="180"/>
      </w:pPr>
    </w:lvl>
  </w:abstractNum>
  <w:abstractNum w:abstractNumId="4">
    <w:nsid w:val="00000007"/>
    <w:multiLevelType w:val="hybridMultilevel"/>
    <w:tmpl w:val="5DD0517A"/>
    <w:lvl w:ilvl="0" w:tplc="FC842220">
      <w:start w:val="1"/>
      <w:numFmt w:val="lowerRoman"/>
      <w:pStyle w:val="TextstandalonenumberingRCJustified"/>
      <w:lvlText w:val="(%1)"/>
      <w:lvlJc w:val="left"/>
      <w:pPr>
        <w:tabs>
          <w:tab w:val="num" w:pos="0"/>
        </w:tabs>
        <w:ind w:left="107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B1EE7488" w:tentative="1">
      <w:start w:val="1"/>
      <w:numFmt w:val="lowerLetter"/>
      <w:lvlText w:val="%2."/>
      <w:lvlJc w:val="left"/>
      <w:pPr>
        <w:ind w:left="1797" w:hanging="360"/>
      </w:pPr>
    </w:lvl>
    <w:lvl w:ilvl="2" w:tplc="EC24C698" w:tentative="1">
      <w:start w:val="1"/>
      <w:numFmt w:val="lowerRoman"/>
      <w:lvlText w:val="%3."/>
      <w:lvlJc w:val="right"/>
      <w:pPr>
        <w:ind w:left="2517" w:hanging="180"/>
      </w:pPr>
    </w:lvl>
    <w:lvl w:ilvl="3" w:tplc="27984BDC" w:tentative="1">
      <w:start w:val="1"/>
      <w:numFmt w:val="decimal"/>
      <w:lvlText w:val="%4."/>
      <w:lvlJc w:val="left"/>
      <w:pPr>
        <w:ind w:left="3237" w:hanging="360"/>
      </w:pPr>
    </w:lvl>
    <w:lvl w:ilvl="4" w:tplc="CDA4904A" w:tentative="1">
      <w:start w:val="1"/>
      <w:numFmt w:val="lowerLetter"/>
      <w:lvlText w:val="%5."/>
      <w:lvlJc w:val="left"/>
      <w:pPr>
        <w:ind w:left="3957" w:hanging="360"/>
      </w:pPr>
    </w:lvl>
    <w:lvl w:ilvl="5" w:tplc="D534BCF2" w:tentative="1">
      <w:start w:val="1"/>
      <w:numFmt w:val="lowerRoman"/>
      <w:lvlText w:val="%6."/>
      <w:lvlJc w:val="right"/>
      <w:pPr>
        <w:ind w:left="4677" w:hanging="180"/>
      </w:pPr>
    </w:lvl>
    <w:lvl w:ilvl="6" w:tplc="2A160CEA" w:tentative="1">
      <w:start w:val="1"/>
      <w:numFmt w:val="decimal"/>
      <w:lvlText w:val="%7."/>
      <w:lvlJc w:val="left"/>
      <w:pPr>
        <w:ind w:left="5397" w:hanging="360"/>
      </w:pPr>
    </w:lvl>
    <w:lvl w:ilvl="7" w:tplc="C5AE36F8" w:tentative="1">
      <w:start w:val="1"/>
      <w:numFmt w:val="lowerLetter"/>
      <w:lvlText w:val="%8."/>
      <w:lvlJc w:val="left"/>
      <w:pPr>
        <w:ind w:left="6117" w:hanging="360"/>
      </w:pPr>
    </w:lvl>
    <w:lvl w:ilvl="8" w:tplc="247E57BE" w:tentative="1">
      <w:start w:val="1"/>
      <w:numFmt w:val="lowerRoman"/>
      <w:lvlText w:val="%9."/>
      <w:lvlJc w:val="right"/>
      <w:pPr>
        <w:ind w:left="6837" w:hanging="180"/>
      </w:pPr>
    </w:lvl>
  </w:abstractNum>
  <w:abstractNum w:abstractNumId="5">
    <w:nsid w:val="00000008"/>
    <w:multiLevelType w:val="multilevel"/>
    <w:tmpl w:val="9EC0C04E"/>
    <w:lvl w:ilvl="0">
      <w:start w:val="1"/>
      <w:numFmt w:val="lowerLetter"/>
      <w:pStyle w:val="TextSubtitleItalicnumberinglettera"/>
      <w:lvlText w:val="(%1)"/>
      <w:lvlJc w:val="left"/>
      <w:pPr>
        <w:ind w:left="0" w:firstLine="0"/>
      </w:pPr>
      <w:rPr>
        <w:rFonts w:ascii="Verdana" w:hAnsi="Verdana"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2757792"/>
    <w:multiLevelType w:val="multilevel"/>
    <w:tmpl w:val="B89498CE"/>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02D84663"/>
    <w:multiLevelType w:val="hybridMultilevel"/>
    <w:tmpl w:val="2C8AF8BE"/>
    <w:lvl w:ilvl="0" w:tplc="1198766C">
      <w:start w:val="1"/>
      <w:numFmt w:val="bullet"/>
      <w:lvlText w:val=""/>
      <w:lvlJc w:val="left"/>
      <w:pPr>
        <w:ind w:left="720" w:hanging="360"/>
      </w:pPr>
      <w:rPr>
        <w:rFonts w:ascii="Symbol" w:hAnsi="Symbol" w:hint="default"/>
      </w:rPr>
    </w:lvl>
    <w:lvl w:ilvl="1" w:tplc="9BCC9038" w:tentative="1">
      <w:start w:val="1"/>
      <w:numFmt w:val="bullet"/>
      <w:lvlText w:val="o"/>
      <w:lvlJc w:val="left"/>
      <w:pPr>
        <w:ind w:left="1440" w:hanging="360"/>
      </w:pPr>
      <w:rPr>
        <w:rFonts w:ascii="Courier New" w:hAnsi="Courier New" w:cs="Courier New" w:hint="default"/>
      </w:rPr>
    </w:lvl>
    <w:lvl w:ilvl="2" w:tplc="595A4548" w:tentative="1">
      <w:start w:val="1"/>
      <w:numFmt w:val="bullet"/>
      <w:lvlText w:val=""/>
      <w:lvlJc w:val="left"/>
      <w:pPr>
        <w:ind w:left="2160" w:hanging="360"/>
      </w:pPr>
      <w:rPr>
        <w:rFonts w:ascii="Wingdings" w:hAnsi="Wingdings" w:hint="default"/>
      </w:rPr>
    </w:lvl>
    <w:lvl w:ilvl="3" w:tplc="4ACE4C1A" w:tentative="1">
      <w:start w:val="1"/>
      <w:numFmt w:val="bullet"/>
      <w:lvlText w:val=""/>
      <w:lvlJc w:val="left"/>
      <w:pPr>
        <w:ind w:left="2880" w:hanging="360"/>
      </w:pPr>
      <w:rPr>
        <w:rFonts w:ascii="Symbol" w:hAnsi="Symbol" w:hint="default"/>
      </w:rPr>
    </w:lvl>
    <w:lvl w:ilvl="4" w:tplc="DF160D24" w:tentative="1">
      <w:start w:val="1"/>
      <w:numFmt w:val="bullet"/>
      <w:lvlText w:val="o"/>
      <w:lvlJc w:val="left"/>
      <w:pPr>
        <w:ind w:left="3600" w:hanging="360"/>
      </w:pPr>
      <w:rPr>
        <w:rFonts w:ascii="Courier New" w:hAnsi="Courier New" w:cs="Courier New" w:hint="default"/>
      </w:rPr>
    </w:lvl>
    <w:lvl w:ilvl="5" w:tplc="7D9C521E" w:tentative="1">
      <w:start w:val="1"/>
      <w:numFmt w:val="bullet"/>
      <w:lvlText w:val=""/>
      <w:lvlJc w:val="left"/>
      <w:pPr>
        <w:ind w:left="4320" w:hanging="360"/>
      </w:pPr>
      <w:rPr>
        <w:rFonts w:ascii="Wingdings" w:hAnsi="Wingdings" w:hint="default"/>
      </w:rPr>
    </w:lvl>
    <w:lvl w:ilvl="6" w:tplc="BCEE6E14" w:tentative="1">
      <w:start w:val="1"/>
      <w:numFmt w:val="bullet"/>
      <w:lvlText w:val=""/>
      <w:lvlJc w:val="left"/>
      <w:pPr>
        <w:ind w:left="5040" w:hanging="360"/>
      </w:pPr>
      <w:rPr>
        <w:rFonts w:ascii="Symbol" w:hAnsi="Symbol" w:hint="default"/>
      </w:rPr>
    </w:lvl>
    <w:lvl w:ilvl="7" w:tplc="7242DFDA" w:tentative="1">
      <w:start w:val="1"/>
      <w:numFmt w:val="bullet"/>
      <w:lvlText w:val="o"/>
      <w:lvlJc w:val="left"/>
      <w:pPr>
        <w:ind w:left="5760" w:hanging="360"/>
      </w:pPr>
      <w:rPr>
        <w:rFonts w:ascii="Courier New" w:hAnsi="Courier New" w:cs="Courier New" w:hint="default"/>
      </w:rPr>
    </w:lvl>
    <w:lvl w:ilvl="8" w:tplc="4D26363A" w:tentative="1">
      <w:start w:val="1"/>
      <w:numFmt w:val="bullet"/>
      <w:lvlText w:val=""/>
      <w:lvlJc w:val="left"/>
      <w:pPr>
        <w:ind w:left="6480" w:hanging="360"/>
      </w:pPr>
      <w:rPr>
        <w:rFonts w:ascii="Wingdings" w:hAnsi="Wingdings" w:hint="default"/>
      </w:rPr>
    </w:lvl>
  </w:abstractNum>
  <w:abstractNum w:abstractNumId="8">
    <w:nsid w:val="098A3198"/>
    <w:multiLevelType w:val="hybridMultilevel"/>
    <w:tmpl w:val="A99C3C74"/>
    <w:lvl w:ilvl="0" w:tplc="D97030FA">
      <w:start w:val="1"/>
      <w:numFmt w:val="decimal"/>
      <w:pStyle w:val="HEADER4Part3"/>
      <w:lvlText w:val="%1.1.1.1"/>
      <w:lvlJc w:val="left"/>
      <w:pPr>
        <w:ind w:left="720" w:hanging="360"/>
      </w:pPr>
      <w:rPr>
        <w:rFonts w:ascii="Verdana" w:hAnsi="Verdana" w:hint="default"/>
        <w:sz w:val="18"/>
        <w:szCs w:val="18"/>
      </w:rPr>
    </w:lvl>
    <w:lvl w:ilvl="1" w:tplc="407C2924" w:tentative="1">
      <w:start w:val="1"/>
      <w:numFmt w:val="lowerLetter"/>
      <w:lvlText w:val="%2."/>
      <w:lvlJc w:val="left"/>
      <w:pPr>
        <w:ind w:left="1440" w:hanging="360"/>
      </w:pPr>
    </w:lvl>
    <w:lvl w:ilvl="2" w:tplc="C9A09452" w:tentative="1">
      <w:start w:val="1"/>
      <w:numFmt w:val="lowerRoman"/>
      <w:lvlText w:val="%3."/>
      <w:lvlJc w:val="right"/>
      <w:pPr>
        <w:ind w:left="2160" w:hanging="180"/>
      </w:pPr>
    </w:lvl>
    <w:lvl w:ilvl="3" w:tplc="884A1F2C">
      <w:start w:val="1"/>
      <w:numFmt w:val="decimal"/>
      <w:lvlText w:val="%4."/>
      <w:lvlJc w:val="left"/>
      <w:pPr>
        <w:ind w:left="2880" w:hanging="360"/>
      </w:pPr>
    </w:lvl>
    <w:lvl w:ilvl="4" w:tplc="2EA03A3A" w:tentative="1">
      <w:start w:val="1"/>
      <w:numFmt w:val="lowerLetter"/>
      <w:lvlText w:val="%5."/>
      <w:lvlJc w:val="left"/>
      <w:pPr>
        <w:ind w:left="3600" w:hanging="360"/>
      </w:pPr>
    </w:lvl>
    <w:lvl w:ilvl="5" w:tplc="318C4FE4" w:tentative="1">
      <w:start w:val="1"/>
      <w:numFmt w:val="lowerRoman"/>
      <w:lvlText w:val="%6."/>
      <w:lvlJc w:val="right"/>
      <w:pPr>
        <w:ind w:left="4320" w:hanging="180"/>
      </w:pPr>
    </w:lvl>
    <w:lvl w:ilvl="6" w:tplc="4C82A98C" w:tentative="1">
      <w:start w:val="1"/>
      <w:numFmt w:val="decimal"/>
      <w:lvlText w:val="%7."/>
      <w:lvlJc w:val="left"/>
      <w:pPr>
        <w:ind w:left="5040" w:hanging="360"/>
      </w:pPr>
    </w:lvl>
    <w:lvl w:ilvl="7" w:tplc="FFD66DD2" w:tentative="1">
      <w:start w:val="1"/>
      <w:numFmt w:val="lowerLetter"/>
      <w:lvlText w:val="%8."/>
      <w:lvlJc w:val="left"/>
      <w:pPr>
        <w:ind w:left="5760" w:hanging="360"/>
      </w:pPr>
    </w:lvl>
    <w:lvl w:ilvl="8" w:tplc="A596F2B4" w:tentative="1">
      <w:start w:val="1"/>
      <w:numFmt w:val="lowerRoman"/>
      <w:lvlText w:val="%9."/>
      <w:lvlJc w:val="right"/>
      <w:pPr>
        <w:ind w:left="6480" w:hanging="180"/>
      </w:pPr>
    </w:lvl>
  </w:abstractNum>
  <w:abstractNum w:abstractNumId="9">
    <w:nsid w:val="0F3F1D52"/>
    <w:multiLevelType w:val="multilevel"/>
    <w:tmpl w:val="455EB66A"/>
    <w:lvl w:ilvl="0">
      <w:start w:val="1"/>
      <w:numFmt w:val="decimal"/>
      <w:pStyle w:val="HEADER1NOTES"/>
      <w:lvlText w:val="%1."/>
      <w:lvlJc w:val="left"/>
      <w:pPr>
        <w:ind w:left="907" w:hanging="907"/>
      </w:pPr>
      <w:rPr>
        <w:rFonts w:hint="default"/>
      </w:rPr>
    </w:lvl>
    <w:lvl w:ilvl="1">
      <w:start w:val="1"/>
      <w:numFmt w:val="decimal"/>
      <w:pStyle w:val="HEADER2NOTES"/>
      <w:lvlText w:val="%1.%2."/>
      <w:lvlJc w:val="left"/>
      <w:pPr>
        <w:ind w:left="907" w:hanging="907"/>
      </w:pPr>
      <w:rPr>
        <w:rFonts w:hint="default"/>
      </w:rPr>
    </w:lvl>
    <w:lvl w:ilvl="2">
      <w:start w:val="1"/>
      <w:numFmt w:val="decimal"/>
      <w:pStyle w:val="HEADER3NOTES"/>
      <w:lvlText w:val="%1.%2.%3."/>
      <w:lvlJc w:val="left"/>
      <w:pPr>
        <w:ind w:left="907" w:hanging="907"/>
      </w:pPr>
      <w:rPr>
        <w:rFonts w:hint="default"/>
      </w:rPr>
    </w:lvl>
    <w:lvl w:ilvl="3">
      <w:start w:val="1"/>
      <w:numFmt w:val="decimal"/>
      <w:pStyle w:val="HEADER4NOTES"/>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0">
    <w:nsid w:val="0FEB6FFB"/>
    <w:multiLevelType w:val="hybridMultilevel"/>
    <w:tmpl w:val="6B423194"/>
    <w:lvl w:ilvl="0" w:tplc="AE42A30C">
      <w:start w:val="1"/>
      <w:numFmt w:val="bullet"/>
      <w:lvlText w:val=""/>
      <w:lvlJc w:val="left"/>
      <w:pPr>
        <w:ind w:left="720" w:hanging="360"/>
      </w:pPr>
      <w:rPr>
        <w:rFonts w:ascii="Symbol" w:hAnsi="Symbol" w:hint="default"/>
      </w:rPr>
    </w:lvl>
    <w:lvl w:ilvl="1" w:tplc="7AC8BFE6" w:tentative="1">
      <w:start w:val="1"/>
      <w:numFmt w:val="bullet"/>
      <w:lvlText w:val="o"/>
      <w:lvlJc w:val="left"/>
      <w:pPr>
        <w:ind w:left="1440" w:hanging="360"/>
      </w:pPr>
      <w:rPr>
        <w:rFonts w:ascii="Courier New" w:hAnsi="Courier New" w:cs="Courier New" w:hint="default"/>
      </w:rPr>
    </w:lvl>
    <w:lvl w:ilvl="2" w:tplc="854E83BC" w:tentative="1">
      <w:start w:val="1"/>
      <w:numFmt w:val="bullet"/>
      <w:lvlText w:val=""/>
      <w:lvlJc w:val="left"/>
      <w:pPr>
        <w:ind w:left="2160" w:hanging="360"/>
      </w:pPr>
      <w:rPr>
        <w:rFonts w:ascii="Wingdings" w:hAnsi="Wingdings" w:hint="default"/>
      </w:rPr>
    </w:lvl>
    <w:lvl w:ilvl="3" w:tplc="5456D6A2" w:tentative="1">
      <w:start w:val="1"/>
      <w:numFmt w:val="bullet"/>
      <w:lvlText w:val=""/>
      <w:lvlJc w:val="left"/>
      <w:pPr>
        <w:ind w:left="2880" w:hanging="360"/>
      </w:pPr>
      <w:rPr>
        <w:rFonts w:ascii="Symbol" w:hAnsi="Symbol" w:hint="default"/>
      </w:rPr>
    </w:lvl>
    <w:lvl w:ilvl="4" w:tplc="B6BCD522" w:tentative="1">
      <w:start w:val="1"/>
      <w:numFmt w:val="bullet"/>
      <w:lvlText w:val="o"/>
      <w:lvlJc w:val="left"/>
      <w:pPr>
        <w:ind w:left="3600" w:hanging="360"/>
      </w:pPr>
      <w:rPr>
        <w:rFonts w:ascii="Courier New" w:hAnsi="Courier New" w:cs="Courier New" w:hint="default"/>
      </w:rPr>
    </w:lvl>
    <w:lvl w:ilvl="5" w:tplc="2EFC03F0" w:tentative="1">
      <w:start w:val="1"/>
      <w:numFmt w:val="bullet"/>
      <w:lvlText w:val=""/>
      <w:lvlJc w:val="left"/>
      <w:pPr>
        <w:ind w:left="4320" w:hanging="360"/>
      </w:pPr>
      <w:rPr>
        <w:rFonts w:ascii="Wingdings" w:hAnsi="Wingdings" w:hint="default"/>
      </w:rPr>
    </w:lvl>
    <w:lvl w:ilvl="6" w:tplc="798A1E64" w:tentative="1">
      <w:start w:val="1"/>
      <w:numFmt w:val="bullet"/>
      <w:lvlText w:val=""/>
      <w:lvlJc w:val="left"/>
      <w:pPr>
        <w:ind w:left="5040" w:hanging="360"/>
      </w:pPr>
      <w:rPr>
        <w:rFonts w:ascii="Symbol" w:hAnsi="Symbol" w:hint="default"/>
      </w:rPr>
    </w:lvl>
    <w:lvl w:ilvl="7" w:tplc="42788B50" w:tentative="1">
      <w:start w:val="1"/>
      <w:numFmt w:val="bullet"/>
      <w:lvlText w:val="o"/>
      <w:lvlJc w:val="left"/>
      <w:pPr>
        <w:ind w:left="5760" w:hanging="360"/>
      </w:pPr>
      <w:rPr>
        <w:rFonts w:ascii="Courier New" w:hAnsi="Courier New" w:cs="Courier New" w:hint="default"/>
      </w:rPr>
    </w:lvl>
    <w:lvl w:ilvl="8" w:tplc="08F01B5C" w:tentative="1">
      <w:start w:val="1"/>
      <w:numFmt w:val="bullet"/>
      <w:lvlText w:val=""/>
      <w:lvlJc w:val="left"/>
      <w:pPr>
        <w:ind w:left="6480" w:hanging="360"/>
      </w:pPr>
      <w:rPr>
        <w:rFonts w:ascii="Wingdings" w:hAnsi="Wingdings" w:hint="default"/>
      </w:rPr>
    </w:lvl>
  </w:abstractNum>
  <w:abstractNum w:abstractNumId="11">
    <w:nsid w:val="10FF3492"/>
    <w:multiLevelType w:val="multilevel"/>
    <w:tmpl w:val="3290469E"/>
    <w:lvl w:ilvl="0">
      <w:start w:val="1"/>
      <w:numFmt w:val="decimal"/>
      <w:pStyle w:val="HEADER1PartBUDG"/>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HEADER2PartBUDG"/>
      <w:lvlText w:val="%1.%2."/>
      <w:lvlJc w:val="left"/>
      <w:pPr>
        <w:ind w:left="360" w:hanging="360"/>
      </w:pPr>
      <w:rPr>
        <w:rFonts w:hint="default"/>
      </w:rPr>
    </w:lvl>
    <w:lvl w:ilvl="2">
      <w:start w:val="1"/>
      <w:numFmt w:val="decimal"/>
      <w:pStyle w:val="HEADER3PartBUGD"/>
      <w:lvlText w:val="%1.%2.%3."/>
      <w:lvlJc w:val="right"/>
      <w:pPr>
        <w:ind w:left="180" w:hanging="180"/>
      </w:pPr>
      <w:rPr>
        <w:rFonts w:hint="default"/>
      </w:rPr>
    </w:lvl>
    <w:lvl w:ilvl="3">
      <w:start w:val="1"/>
      <w:numFmt w:val="decimal"/>
      <w:pStyle w:val="HEADER4PartBUDG"/>
      <w:lvlText w:val="%1.%2.%3.%4."/>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il"/>
        <w:shd w:val="clear" w:color="000000" w:fill="000000"/>
        <w:vertAlign w:val="baseli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
    <w:nsid w:val="161C77D2"/>
    <w:multiLevelType w:val="hybridMultilevel"/>
    <w:tmpl w:val="0318EF0E"/>
    <w:lvl w:ilvl="0" w:tplc="DE307112">
      <w:start w:val="1"/>
      <w:numFmt w:val="bullet"/>
      <w:lvlText w:val=""/>
      <w:lvlJc w:val="left"/>
      <w:pPr>
        <w:ind w:left="720" w:hanging="360"/>
      </w:pPr>
      <w:rPr>
        <w:rFonts w:ascii="Symbol" w:hAnsi="Symbol" w:hint="default"/>
      </w:rPr>
    </w:lvl>
    <w:lvl w:ilvl="1" w:tplc="623E5360" w:tentative="1">
      <w:start w:val="1"/>
      <w:numFmt w:val="bullet"/>
      <w:lvlText w:val="o"/>
      <w:lvlJc w:val="left"/>
      <w:pPr>
        <w:ind w:left="1440" w:hanging="360"/>
      </w:pPr>
      <w:rPr>
        <w:rFonts w:ascii="Courier New" w:hAnsi="Courier New" w:cs="Courier New" w:hint="default"/>
      </w:rPr>
    </w:lvl>
    <w:lvl w:ilvl="2" w:tplc="E8464484" w:tentative="1">
      <w:start w:val="1"/>
      <w:numFmt w:val="bullet"/>
      <w:lvlText w:val=""/>
      <w:lvlJc w:val="left"/>
      <w:pPr>
        <w:ind w:left="2160" w:hanging="360"/>
      </w:pPr>
      <w:rPr>
        <w:rFonts w:ascii="Wingdings" w:hAnsi="Wingdings" w:hint="default"/>
      </w:rPr>
    </w:lvl>
    <w:lvl w:ilvl="3" w:tplc="C8145008" w:tentative="1">
      <w:start w:val="1"/>
      <w:numFmt w:val="bullet"/>
      <w:lvlText w:val=""/>
      <w:lvlJc w:val="left"/>
      <w:pPr>
        <w:ind w:left="2880" w:hanging="360"/>
      </w:pPr>
      <w:rPr>
        <w:rFonts w:ascii="Symbol" w:hAnsi="Symbol" w:hint="default"/>
      </w:rPr>
    </w:lvl>
    <w:lvl w:ilvl="4" w:tplc="C2142EC6" w:tentative="1">
      <w:start w:val="1"/>
      <w:numFmt w:val="bullet"/>
      <w:lvlText w:val="o"/>
      <w:lvlJc w:val="left"/>
      <w:pPr>
        <w:ind w:left="3600" w:hanging="360"/>
      </w:pPr>
      <w:rPr>
        <w:rFonts w:ascii="Courier New" w:hAnsi="Courier New" w:cs="Courier New" w:hint="default"/>
      </w:rPr>
    </w:lvl>
    <w:lvl w:ilvl="5" w:tplc="D28612A0" w:tentative="1">
      <w:start w:val="1"/>
      <w:numFmt w:val="bullet"/>
      <w:lvlText w:val=""/>
      <w:lvlJc w:val="left"/>
      <w:pPr>
        <w:ind w:left="4320" w:hanging="360"/>
      </w:pPr>
      <w:rPr>
        <w:rFonts w:ascii="Wingdings" w:hAnsi="Wingdings" w:hint="default"/>
      </w:rPr>
    </w:lvl>
    <w:lvl w:ilvl="6" w:tplc="CDC8182C" w:tentative="1">
      <w:start w:val="1"/>
      <w:numFmt w:val="bullet"/>
      <w:lvlText w:val=""/>
      <w:lvlJc w:val="left"/>
      <w:pPr>
        <w:ind w:left="5040" w:hanging="360"/>
      </w:pPr>
      <w:rPr>
        <w:rFonts w:ascii="Symbol" w:hAnsi="Symbol" w:hint="default"/>
      </w:rPr>
    </w:lvl>
    <w:lvl w:ilvl="7" w:tplc="B94E8DAA" w:tentative="1">
      <w:start w:val="1"/>
      <w:numFmt w:val="bullet"/>
      <w:lvlText w:val="o"/>
      <w:lvlJc w:val="left"/>
      <w:pPr>
        <w:ind w:left="5760" w:hanging="360"/>
      </w:pPr>
      <w:rPr>
        <w:rFonts w:ascii="Courier New" w:hAnsi="Courier New" w:cs="Courier New" w:hint="default"/>
      </w:rPr>
    </w:lvl>
    <w:lvl w:ilvl="8" w:tplc="2F48301C" w:tentative="1">
      <w:start w:val="1"/>
      <w:numFmt w:val="bullet"/>
      <w:lvlText w:val=""/>
      <w:lvlJc w:val="left"/>
      <w:pPr>
        <w:ind w:left="6480" w:hanging="360"/>
      </w:pPr>
      <w:rPr>
        <w:rFonts w:ascii="Wingdings" w:hAnsi="Wingdings" w:hint="default"/>
      </w:rPr>
    </w:lvl>
  </w:abstractNum>
  <w:abstractNum w:abstractNumId="13">
    <w:nsid w:val="16807242"/>
    <w:multiLevelType w:val="hybridMultilevel"/>
    <w:tmpl w:val="F462088C"/>
    <w:lvl w:ilvl="0" w:tplc="856CFB82">
      <w:start w:val="1"/>
      <w:numFmt w:val="bullet"/>
      <w:lvlText w:val=""/>
      <w:lvlJc w:val="left"/>
      <w:pPr>
        <w:ind w:left="720" w:hanging="360"/>
      </w:pPr>
      <w:rPr>
        <w:rFonts w:ascii="Symbol" w:hAnsi="Symbol" w:hint="default"/>
      </w:rPr>
    </w:lvl>
    <w:lvl w:ilvl="1" w:tplc="392A8522" w:tentative="1">
      <w:start w:val="1"/>
      <w:numFmt w:val="bullet"/>
      <w:lvlText w:val="o"/>
      <w:lvlJc w:val="left"/>
      <w:pPr>
        <w:ind w:left="1440" w:hanging="360"/>
      </w:pPr>
      <w:rPr>
        <w:rFonts w:ascii="Courier New" w:hAnsi="Courier New" w:cs="Courier New" w:hint="default"/>
      </w:rPr>
    </w:lvl>
    <w:lvl w:ilvl="2" w:tplc="EFDEC7F6" w:tentative="1">
      <w:start w:val="1"/>
      <w:numFmt w:val="bullet"/>
      <w:lvlText w:val=""/>
      <w:lvlJc w:val="left"/>
      <w:pPr>
        <w:ind w:left="2160" w:hanging="360"/>
      </w:pPr>
      <w:rPr>
        <w:rFonts w:ascii="Wingdings" w:hAnsi="Wingdings" w:hint="default"/>
      </w:rPr>
    </w:lvl>
    <w:lvl w:ilvl="3" w:tplc="9D4865BA" w:tentative="1">
      <w:start w:val="1"/>
      <w:numFmt w:val="bullet"/>
      <w:lvlText w:val=""/>
      <w:lvlJc w:val="left"/>
      <w:pPr>
        <w:ind w:left="2880" w:hanging="360"/>
      </w:pPr>
      <w:rPr>
        <w:rFonts w:ascii="Symbol" w:hAnsi="Symbol" w:hint="default"/>
      </w:rPr>
    </w:lvl>
    <w:lvl w:ilvl="4" w:tplc="028AB238" w:tentative="1">
      <w:start w:val="1"/>
      <w:numFmt w:val="bullet"/>
      <w:lvlText w:val="o"/>
      <w:lvlJc w:val="left"/>
      <w:pPr>
        <w:ind w:left="3600" w:hanging="360"/>
      </w:pPr>
      <w:rPr>
        <w:rFonts w:ascii="Courier New" w:hAnsi="Courier New" w:cs="Courier New" w:hint="default"/>
      </w:rPr>
    </w:lvl>
    <w:lvl w:ilvl="5" w:tplc="868291A0" w:tentative="1">
      <w:start w:val="1"/>
      <w:numFmt w:val="bullet"/>
      <w:lvlText w:val=""/>
      <w:lvlJc w:val="left"/>
      <w:pPr>
        <w:ind w:left="4320" w:hanging="360"/>
      </w:pPr>
      <w:rPr>
        <w:rFonts w:ascii="Wingdings" w:hAnsi="Wingdings" w:hint="default"/>
      </w:rPr>
    </w:lvl>
    <w:lvl w:ilvl="6" w:tplc="3DDEDBD2" w:tentative="1">
      <w:start w:val="1"/>
      <w:numFmt w:val="bullet"/>
      <w:lvlText w:val=""/>
      <w:lvlJc w:val="left"/>
      <w:pPr>
        <w:ind w:left="5040" w:hanging="360"/>
      </w:pPr>
      <w:rPr>
        <w:rFonts w:ascii="Symbol" w:hAnsi="Symbol" w:hint="default"/>
      </w:rPr>
    </w:lvl>
    <w:lvl w:ilvl="7" w:tplc="BD12F33C" w:tentative="1">
      <w:start w:val="1"/>
      <w:numFmt w:val="bullet"/>
      <w:lvlText w:val="o"/>
      <w:lvlJc w:val="left"/>
      <w:pPr>
        <w:ind w:left="5760" w:hanging="360"/>
      </w:pPr>
      <w:rPr>
        <w:rFonts w:ascii="Courier New" w:hAnsi="Courier New" w:cs="Courier New" w:hint="default"/>
      </w:rPr>
    </w:lvl>
    <w:lvl w:ilvl="8" w:tplc="CF6604E4" w:tentative="1">
      <w:start w:val="1"/>
      <w:numFmt w:val="bullet"/>
      <w:lvlText w:val=""/>
      <w:lvlJc w:val="left"/>
      <w:pPr>
        <w:ind w:left="6480" w:hanging="360"/>
      </w:pPr>
      <w:rPr>
        <w:rFonts w:ascii="Wingdings" w:hAnsi="Wingdings" w:hint="default"/>
      </w:rPr>
    </w:lvl>
  </w:abstractNum>
  <w:abstractNum w:abstractNumId="14">
    <w:nsid w:val="1959315C"/>
    <w:multiLevelType w:val="hybridMultilevel"/>
    <w:tmpl w:val="D3562B64"/>
    <w:lvl w:ilvl="0" w:tplc="2B0CE328">
      <w:start w:val="1"/>
      <w:numFmt w:val="bullet"/>
      <w:lvlText w:val=""/>
      <w:lvlJc w:val="left"/>
      <w:pPr>
        <w:ind w:left="720" w:hanging="360"/>
      </w:pPr>
      <w:rPr>
        <w:rFonts w:ascii="Symbol" w:hAnsi="Symbol" w:hint="default"/>
      </w:rPr>
    </w:lvl>
    <w:lvl w:ilvl="1" w:tplc="2F9E1334" w:tentative="1">
      <w:start w:val="1"/>
      <w:numFmt w:val="bullet"/>
      <w:lvlText w:val="o"/>
      <w:lvlJc w:val="left"/>
      <w:pPr>
        <w:ind w:left="1440" w:hanging="360"/>
      </w:pPr>
      <w:rPr>
        <w:rFonts w:ascii="Courier New" w:hAnsi="Courier New" w:cs="Courier New" w:hint="default"/>
      </w:rPr>
    </w:lvl>
    <w:lvl w:ilvl="2" w:tplc="21BA2668" w:tentative="1">
      <w:start w:val="1"/>
      <w:numFmt w:val="bullet"/>
      <w:lvlText w:val=""/>
      <w:lvlJc w:val="left"/>
      <w:pPr>
        <w:ind w:left="2160" w:hanging="360"/>
      </w:pPr>
      <w:rPr>
        <w:rFonts w:ascii="Wingdings" w:hAnsi="Wingdings" w:hint="default"/>
      </w:rPr>
    </w:lvl>
    <w:lvl w:ilvl="3" w:tplc="E1E0DB18" w:tentative="1">
      <w:start w:val="1"/>
      <w:numFmt w:val="bullet"/>
      <w:lvlText w:val=""/>
      <w:lvlJc w:val="left"/>
      <w:pPr>
        <w:ind w:left="2880" w:hanging="360"/>
      </w:pPr>
      <w:rPr>
        <w:rFonts w:ascii="Symbol" w:hAnsi="Symbol" w:hint="default"/>
      </w:rPr>
    </w:lvl>
    <w:lvl w:ilvl="4" w:tplc="BD224C86" w:tentative="1">
      <w:start w:val="1"/>
      <w:numFmt w:val="bullet"/>
      <w:lvlText w:val="o"/>
      <w:lvlJc w:val="left"/>
      <w:pPr>
        <w:ind w:left="3600" w:hanging="360"/>
      </w:pPr>
      <w:rPr>
        <w:rFonts w:ascii="Courier New" w:hAnsi="Courier New" w:cs="Courier New" w:hint="default"/>
      </w:rPr>
    </w:lvl>
    <w:lvl w:ilvl="5" w:tplc="24A8A5C4" w:tentative="1">
      <w:start w:val="1"/>
      <w:numFmt w:val="bullet"/>
      <w:lvlText w:val=""/>
      <w:lvlJc w:val="left"/>
      <w:pPr>
        <w:ind w:left="4320" w:hanging="360"/>
      </w:pPr>
      <w:rPr>
        <w:rFonts w:ascii="Wingdings" w:hAnsi="Wingdings" w:hint="default"/>
      </w:rPr>
    </w:lvl>
    <w:lvl w:ilvl="6" w:tplc="D74C40B2" w:tentative="1">
      <w:start w:val="1"/>
      <w:numFmt w:val="bullet"/>
      <w:lvlText w:val=""/>
      <w:lvlJc w:val="left"/>
      <w:pPr>
        <w:ind w:left="5040" w:hanging="360"/>
      </w:pPr>
      <w:rPr>
        <w:rFonts w:ascii="Symbol" w:hAnsi="Symbol" w:hint="default"/>
      </w:rPr>
    </w:lvl>
    <w:lvl w:ilvl="7" w:tplc="7E76179E" w:tentative="1">
      <w:start w:val="1"/>
      <w:numFmt w:val="bullet"/>
      <w:lvlText w:val="o"/>
      <w:lvlJc w:val="left"/>
      <w:pPr>
        <w:ind w:left="5760" w:hanging="360"/>
      </w:pPr>
      <w:rPr>
        <w:rFonts w:ascii="Courier New" w:hAnsi="Courier New" w:cs="Courier New" w:hint="default"/>
      </w:rPr>
    </w:lvl>
    <w:lvl w:ilvl="8" w:tplc="84703F54" w:tentative="1">
      <w:start w:val="1"/>
      <w:numFmt w:val="bullet"/>
      <w:lvlText w:val=""/>
      <w:lvlJc w:val="left"/>
      <w:pPr>
        <w:ind w:left="6480" w:hanging="360"/>
      </w:pPr>
      <w:rPr>
        <w:rFonts w:ascii="Wingdings" w:hAnsi="Wingdings" w:hint="default"/>
      </w:rPr>
    </w:lvl>
  </w:abstractNum>
  <w:abstractNum w:abstractNumId="15">
    <w:nsid w:val="199F1DAA"/>
    <w:multiLevelType w:val="hybridMultilevel"/>
    <w:tmpl w:val="1248AB5A"/>
    <w:lvl w:ilvl="0" w:tplc="1D84A2B0">
      <w:start w:val="1"/>
      <w:numFmt w:val="decimal"/>
      <w:pStyle w:val="Textstand-alonenumberingJustified"/>
      <w:lvlText w:val="(%1)"/>
      <w:lvlJc w:val="left"/>
      <w:pPr>
        <w:ind w:left="720" w:hanging="360"/>
      </w:pPr>
      <w:rPr>
        <w:rFonts w:ascii="Verdana" w:hAnsi="Verdana" w:hint="default"/>
        <w:b w:val="0"/>
        <w:i w:val="0"/>
        <w:sz w:val="18"/>
      </w:rPr>
    </w:lvl>
    <w:lvl w:ilvl="1" w:tplc="ADE23A02" w:tentative="1">
      <w:start w:val="1"/>
      <w:numFmt w:val="lowerLetter"/>
      <w:lvlText w:val="%2."/>
      <w:lvlJc w:val="left"/>
      <w:pPr>
        <w:ind w:left="1440" w:hanging="360"/>
      </w:pPr>
    </w:lvl>
    <w:lvl w:ilvl="2" w:tplc="C728FA0A" w:tentative="1">
      <w:start w:val="1"/>
      <w:numFmt w:val="lowerRoman"/>
      <w:lvlText w:val="%3."/>
      <w:lvlJc w:val="right"/>
      <w:pPr>
        <w:ind w:left="2160" w:hanging="180"/>
      </w:pPr>
    </w:lvl>
    <w:lvl w:ilvl="3" w:tplc="FA9A7CA4" w:tentative="1">
      <w:start w:val="1"/>
      <w:numFmt w:val="decimal"/>
      <w:lvlText w:val="%4."/>
      <w:lvlJc w:val="left"/>
      <w:pPr>
        <w:ind w:left="2880" w:hanging="360"/>
      </w:pPr>
    </w:lvl>
    <w:lvl w:ilvl="4" w:tplc="3FA04E94" w:tentative="1">
      <w:start w:val="1"/>
      <w:numFmt w:val="lowerLetter"/>
      <w:lvlText w:val="%5."/>
      <w:lvlJc w:val="left"/>
      <w:pPr>
        <w:ind w:left="3600" w:hanging="360"/>
      </w:pPr>
    </w:lvl>
    <w:lvl w:ilvl="5" w:tplc="1DFE1082" w:tentative="1">
      <w:start w:val="1"/>
      <w:numFmt w:val="lowerRoman"/>
      <w:lvlText w:val="%6."/>
      <w:lvlJc w:val="right"/>
      <w:pPr>
        <w:ind w:left="4320" w:hanging="180"/>
      </w:pPr>
    </w:lvl>
    <w:lvl w:ilvl="6" w:tplc="BE0EB4FC" w:tentative="1">
      <w:start w:val="1"/>
      <w:numFmt w:val="decimal"/>
      <w:lvlText w:val="%7."/>
      <w:lvlJc w:val="left"/>
      <w:pPr>
        <w:ind w:left="5040" w:hanging="360"/>
      </w:pPr>
    </w:lvl>
    <w:lvl w:ilvl="7" w:tplc="ADE8223C" w:tentative="1">
      <w:start w:val="1"/>
      <w:numFmt w:val="lowerLetter"/>
      <w:lvlText w:val="%8."/>
      <w:lvlJc w:val="left"/>
      <w:pPr>
        <w:ind w:left="5760" w:hanging="360"/>
      </w:pPr>
    </w:lvl>
    <w:lvl w:ilvl="8" w:tplc="9C68C00C" w:tentative="1">
      <w:start w:val="1"/>
      <w:numFmt w:val="lowerRoman"/>
      <w:lvlText w:val="%9."/>
      <w:lvlJc w:val="right"/>
      <w:pPr>
        <w:ind w:left="6480" w:hanging="180"/>
      </w:pPr>
    </w:lvl>
  </w:abstractNum>
  <w:abstractNum w:abstractNumId="16">
    <w:nsid w:val="1DB1369A"/>
    <w:multiLevelType w:val="hybridMultilevel"/>
    <w:tmpl w:val="CB865896"/>
    <w:lvl w:ilvl="0" w:tplc="D382B230">
      <w:start w:val="1"/>
      <w:numFmt w:val="bullet"/>
      <w:lvlText w:val=""/>
      <w:lvlJc w:val="left"/>
      <w:pPr>
        <w:ind w:left="1080" w:hanging="720"/>
      </w:pPr>
      <w:rPr>
        <w:rFonts w:ascii="Symbol" w:hAnsi="Symbol" w:hint="default"/>
      </w:rPr>
    </w:lvl>
    <w:lvl w:ilvl="1" w:tplc="8F702BE8" w:tentative="1">
      <w:start w:val="1"/>
      <w:numFmt w:val="bullet"/>
      <w:lvlText w:val="o"/>
      <w:lvlJc w:val="left"/>
      <w:pPr>
        <w:ind w:left="1440" w:hanging="360"/>
      </w:pPr>
      <w:rPr>
        <w:rFonts w:ascii="Courier New" w:hAnsi="Courier New" w:cs="Courier New" w:hint="default"/>
      </w:rPr>
    </w:lvl>
    <w:lvl w:ilvl="2" w:tplc="B75E316E" w:tentative="1">
      <w:start w:val="1"/>
      <w:numFmt w:val="bullet"/>
      <w:lvlText w:val=""/>
      <w:lvlJc w:val="left"/>
      <w:pPr>
        <w:ind w:left="2160" w:hanging="360"/>
      </w:pPr>
      <w:rPr>
        <w:rFonts w:ascii="Wingdings" w:hAnsi="Wingdings" w:hint="default"/>
      </w:rPr>
    </w:lvl>
    <w:lvl w:ilvl="3" w:tplc="D3C4B582" w:tentative="1">
      <w:start w:val="1"/>
      <w:numFmt w:val="bullet"/>
      <w:lvlText w:val=""/>
      <w:lvlJc w:val="left"/>
      <w:pPr>
        <w:ind w:left="2880" w:hanging="360"/>
      </w:pPr>
      <w:rPr>
        <w:rFonts w:ascii="Symbol" w:hAnsi="Symbol" w:hint="default"/>
      </w:rPr>
    </w:lvl>
    <w:lvl w:ilvl="4" w:tplc="F086DF18" w:tentative="1">
      <w:start w:val="1"/>
      <w:numFmt w:val="bullet"/>
      <w:lvlText w:val="o"/>
      <w:lvlJc w:val="left"/>
      <w:pPr>
        <w:ind w:left="3600" w:hanging="360"/>
      </w:pPr>
      <w:rPr>
        <w:rFonts w:ascii="Courier New" w:hAnsi="Courier New" w:cs="Courier New" w:hint="default"/>
      </w:rPr>
    </w:lvl>
    <w:lvl w:ilvl="5" w:tplc="26829690" w:tentative="1">
      <w:start w:val="1"/>
      <w:numFmt w:val="bullet"/>
      <w:lvlText w:val=""/>
      <w:lvlJc w:val="left"/>
      <w:pPr>
        <w:ind w:left="4320" w:hanging="360"/>
      </w:pPr>
      <w:rPr>
        <w:rFonts w:ascii="Wingdings" w:hAnsi="Wingdings" w:hint="default"/>
      </w:rPr>
    </w:lvl>
    <w:lvl w:ilvl="6" w:tplc="85E06E68" w:tentative="1">
      <w:start w:val="1"/>
      <w:numFmt w:val="bullet"/>
      <w:lvlText w:val=""/>
      <w:lvlJc w:val="left"/>
      <w:pPr>
        <w:ind w:left="5040" w:hanging="360"/>
      </w:pPr>
      <w:rPr>
        <w:rFonts w:ascii="Symbol" w:hAnsi="Symbol" w:hint="default"/>
      </w:rPr>
    </w:lvl>
    <w:lvl w:ilvl="7" w:tplc="06E608C0" w:tentative="1">
      <w:start w:val="1"/>
      <w:numFmt w:val="bullet"/>
      <w:lvlText w:val="o"/>
      <w:lvlJc w:val="left"/>
      <w:pPr>
        <w:ind w:left="5760" w:hanging="360"/>
      </w:pPr>
      <w:rPr>
        <w:rFonts w:ascii="Courier New" w:hAnsi="Courier New" w:cs="Courier New" w:hint="default"/>
      </w:rPr>
    </w:lvl>
    <w:lvl w:ilvl="8" w:tplc="0C92ACD0" w:tentative="1">
      <w:start w:val="1"/>
      <w:numFmt w:val="bullet"/>
      <w:lvlText w:val=""/>
      <w:lvlJc w:val="left"/>
      <w:pPr>
        <w:ind w:left="6480" w:hanging="360"/>
      </w:pPr>
      <w:rPr>
        <w:rFonts w:ascii="Wingdings" w:hAnsi="Wingdings" w:hint="default"/>
      </w:rPr>
    </w:lvl>
  </w:abstractNum>
  <w:abstractNum w:abstractNumId="17">
    <w:nsid w:val="214F78CA"/>
    <w:multiLevelType w:val="hybridMultilevel"/>
    <w:tmpl w:val="43686B9E"/>
    <w:lvl w:ilvl="0" w:tplc="07BE6CDA">
      <w:start w:val="1"/>
      <w:numFmt w:val="bullet"/>
      <w:lvlText w:val=""/>
      <w:lvlJc w:val="left"/>
      <w:pPr>
        <w:ind w:left="720" w:hanging="360"/>
      </w:pPr>
      <w:rPr>
        <w:rFonts w:ascii="Symbol" w:hAnsi="Symbol" w:hint="default"/>
      </w:rPr>
    </w:lvl>
    <w:lvl w:ilvl="1" w:tplc="59E40B40" w:tentative="1">
      <w:start w:val="1"/>
      <w:numFmt w:val="bullet"/>
      <w:lvlText w:val="o"/>
      <w:lvlJc w:val="left"/>
      <w:pPr>
        <w:ind w:left="1440" w:hanging="360"/>
      </w:pPr>
      <w:rPr>
        <w:rFonts w:ascii="Courier New" w:hAnsi="Courier New" w:cs="Courier New" w:hint="default"/>
      </w:rPr>
    </w:lvl>
    <w:lvl w:ilvl="2" w:tplc="DF70554C" w:tentative="1">
      <w:start w:val="1"/>
      <w:numFmt w:val="bullet"/>
      <w:lvlText w:val=""/>
      <w:lvlJc w:val="left"/>
      <w:pPr>
        <w:ind w:left="2160" w:hanging="360"/>
      </w:pPr>
      <w:rPr>
        <w:rFonts w:ascii="Wingdings" w:hAnsi="Wingdings" w:hint="default"/>
      </w:rPr>
    </w:lvl>
    <w:lvl w:ilvl="3" w:tplc="DACEBCE2" w:tentative="1">
      <w:start w:val="1"/>
      <w:numFmt w:val="bullet"/>
      <w:lvlText w:val=""/>
      <w:lvlJc w:val="left"/>
      <w:pPr>
        <w:ind w:left="2880" w:hanging="360"/>
      </w:pPr>
      <w:rPr>
        <w:rFonts w:ascii="Symbol" w:hAnsi="Symbol" w:hint="default"/>
      </w:rPr>
    </w:lvl>
    <w:lvl w:ilvl="4" w:tplc="AA668B60" w:tentative="1">
      <w:start w:val="1"/>
      <w:numFmt w:val="bullet"/>
      <w:lvlText w:val="o"/>
      <w:lvlJc w:val="left"/>
      <w:pPr>
        <w:ind w:left="3600" w:hanging="360"/>
      </w:pPr>
      <w:rPr>
        <w:rFonts w:ascii="Courier New" w:hAnsi="Courier New" w:cs="Courier New" w:hint="default"/>
      </w:rPr>
    </w:lvl>
    <w:lvl w:ilvl="5" w:tplc="4B0C720E" w:tentative="1">
      <w:start w:val="1"/>
      <w:numFmt w:val="bullet"/>
      <w:lvlText w:val=""/>
      <w:lvlJc w:val="left"/>
      <w:pPr>
        <w:ind w:left="4320" w:hanging="360"/>
      </w:pPr>
      <w:rPr>
        <w:rFonts w:ascii="Wingdings" w:hAnsi="Wingdings" w:hint="default"/>
      </w:rPr>
    </w:lvl>
    <w:lvl w:ilvl="6" w:tplc="012C38B6" w:tentative="1">
      <w:start w:val="1"/>
      <w:numFmt w:val="bullet"/>
      <w:lvlText w:val=""/>
      <w:lvlJc w:val="left"/>
      <w:pPr>
        <w:ind w:left="5040" w:hanging="360"/>
      </w:pPr>
      <w:rPr>
        <w:rFonts w:ascii="Symbol" w:hAnsi="Symbol" w:hint="default"/>
      </w:rPr>
    </w:lvl>
    <w:lvl w:ilvl="7" w:tplc="1FD2102E" w:tentative="1">
      <w:start w:val="1"/>
      <w:numFmt w:val="bullet"/>
      <w:lvlText w:val="o"/>
      <w:lvlJc w:val="left"/>
      <w:pPr>
        <w:ind w:left="5760" w:hanging="360"/>
      </w:pPr>
      <w:rPr>
        <w:rFonts w:ascii="Courier New" w:hAnsi="Courier New" w:cs="Courier New" w:hint="default"/>
      </w:rPr>
    </w:lvl>
    <w:lvl w:ilvl="8" w:tplc="FEA245E6" w:tentative="1">
      <w:start w:val="1"/>
      <w:numFmt w:val="bullet"/>
      <w:lvlText w:val=""/>
      <w:lvlJc w:val="left"/>
      <w:pPr>
        <w:ind w:left="6480" w:hanging="360"/>
      </w:pPr>
      <w:rPr>
        <w:rFonts w:ascii="Wingdings" w:hAnsi="Wingdings" w:hint="default"/>
      </w:rPr>
    </w:lvl>
  </w:abstractNum>
  <w:abstractNum w:abstractNumId="18">
    <w:nsid w:val="263169F2"/>
    <w:multiLevelType w:val="multilevel"/>
    <w:tmpl w:val="2BC217C8"/>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9">
    <w:nsid w:val="26C620F3"/>
    <w:multiLevelType w:val="hybridMultilevel"/>
    <w:tmpl w:val="A81E17F6"/>
    <w:lvl w:ilvl="0" w:tplc="7FF8B3CC">
      <w:start w:val="1"/>
      <w:numFmt w:val="bullet"/>
      <w:lvlText w:val=""/>
      <w:lvlJc w:val="left"/>
      <w:pPr>
        <w:ind w:left="720" w:hanging="360"/>
      </w:pPr>
      <w:rPr>
        <w:rFonts w:ascii="Symbol" w:hAnsi="Symbol" w:hint="default"/>
      </w:rPr>
    </w:lvl>
    <w:lvl w:ilvl="1" w:tplc="517A1C90" w:tentative="1">
      <w:start w:val="1"/>
      <w:numFmt w:val="bullet"/>
      <w:lvlText w:val="o"/>
      <w:lvlJc w:val="left"/>
      <w:pPr>
        <w:ind w:left="1440" w:hanging="360"/>
      </w:pPr>
      <w:rPr>
        <w:rFonts w:ascii="Courier New" w:hAnsi="Courier New" w:cs="Courier New" w:hint="default"/>
      </w:rPr>
    </w:lvl>
    <w:lvl w:ilvl="2" w:tplc="30D4B12C" w:tentative="1">
      <w:start w:val="1"/>
      <w:numFmt w:val="bullet"/>
      <w:lvlText w:val=""/>
      <w:lvlJc w:val="left"/>
      <w:pPr>
        <w:ind w:left="2160" w:hanging="360"/>
      </w:pPr>
      <w:rPr>
        <w:rFonts w:ascii="Wingdings" w:hAnsi="Wingdings" w:hint="default"/>
      </w:rPr>
    </w:lvl>
    <w:lvl w:ilvl="3" w:tplc="69542972" w:tentative="1">
      <w:start w:val="1"/>
      <w:numFmt w:val="bullet"/>
      <w:lvlText w:val=""/>
      <w:lvlJc w:val="left"/>
      <w:pPr>
        <w:ind w:left="2880" w:hanging="360"/>
      </w:pPr>
      <w:rPr>
        <w:rFonts w:ascii="Symbol" w:hAnsi="Symbol" w:hint="default"/>
      </w:rPr>
    </w:lvl>
    <w:lvl w:ilvl="4" w:tplc="57F0E616" w:tentative="1">
      <w:start w:val="1"/>
      <w:numFmt w:val="bullet"/>
      <w:lvlText w:val="o"/>
      <w:lvlJc w:val="left"/>
      <w:pPr>
        <w:ind w:left="3600" w:hanging="360"/>
      </w:pPr>
      <w:rPr>
        <w:rFonts w:ascii="Courier New" w:hAnsi="Courier New" w:cs="Courier New" w:hint="default"/>
      </w:rPr>
    </w:lvl>
    <w:lvl w:ilvl="5" w:tplc="755E07D2" w:tentative="1">
      <w:start w:val="1"/>
      <w:numFmt w:val="bullet"/>
      <w:lvlText w:val=""/>
      <w:lvlJc w:val="left"/>
      <w:pPr>
        <w:ind w:left="4320" w:hanging="360"/>
      </w:pPr>
      <w:rPr>
        <w:rFonts w:ascii="Wingdings" w:hAnsi="Wingdings" w:hint="default"/>
      </w:rPr>
    </w:lvl>
    <w:lvl w:ilvl="6" w:tplc="707EF4DA" w:tentative="1">
      <w:start w:val="1"/>
      <w:numFmt w:val="bullet"/>
      <w:lvlText w:val=""/>
      <w:lvlJc w:val="left"/>
      <w:pPr>
        <w:ind w:left="5040" w:hanging="360"/>
      </w:pPr>
      <w:rPr>
        <w:rFonts w:ascii="Symbol" w:hAnsi="Symbol" w:hint="default"/>
      </w:rPr>
    </w:lvl>
    <w:lvl w:ilvl="7" w:tplc="0DEED1E0" w:tentative="1">
      <w:start w:val="1"/>
      <w:numFmt w:val="bullet"/>
      <w:lvlText w:val="o"/>
      <w:lvlJc w:val="left"/>
      <w:pPr>
        <w:ind w:left="5760" w:hanging="360"/>
      </w:pPr>
      <w:rPr>
        <w:rFonts w:ascii="Courier New" w:hAnsi="Courier New" w:cs="Courier New" w:hint="default"/>
      </w:rPr>
    </w:lvl>
    <w:lvl w:ilvl="8" w:tplc="3DB6F5E0" w:tentative="1">
      <w:start w:val="1"/>
      <w:numFmt w:val="bullet"/>
      <w:lvlText w:val=""/>
      <w:lvlJc w:val="left"/>
      <w:pPr>
        <w:ind w:left="6480" w:hanging="360"/>
      </w:pPr>
      <w:rPr>
        <w:rFonts w:ascii="Wingdings" w:hAnsi="Wingdings" w:hint="default"/>
      </w:rPr>
    </w:lvl>
  </w:abstractNum>
  <w:abstractNum w:abstractNumId="20">
    <w:nsid w:val="2A7C2416"/>
    <w:multiLevelType w:val="multilevel"/>
    <w:tmpl w:val="3F18FD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2DF123A2"/>
    <w:multiLevelType w:val="multilevel"/>
    <w:tmpl w:val="C6C06D3C"/>
    <w:lvl w:ilvl="0">
      <w:start w:val="1"/>
      <w:numFmt w:val="decimal"/>
      <w:pStyle w:val="HEADER1Part4"/>
      <w:lvlText w:val="%1."/>
      <w:lvlJc w:val="left"/>
      <w:pPr>
        <w:ind w:left="360" w:hanging="360"/>
      </w:pPr>
      <w:rPr>
        <w:rFonts w:hint="default"/>
      </w:rPr>
    </w:lvl>
    <w:lvl w:ilvl="1">
      <w:start w:val="1"/>
      <w:numFmt w:val="decimal"/>
      <w:pStyle w:val="HEADER2Part4"/>
      <w:lvlText w:val="%1.%2."/>
      <w:lvlJc w:val="left"/>
      <w:pPr>
        <w:ind w:left="36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
    <w:nsid w:val="31D31BBD"/>
    <w:multiLevelType w:val="hybridMultilevel"/>
    <w:tmpl w:val="AB545582"/>
    <w:lvl w:ilvl="0" w:tplc="901E3966">
      <w:start w:val="1"/>
      <w:numFmt w:val="bullet"/>
      <w:pStyle w:val="Textstand-alonebulletpointJustified"/>
      <w:lvlText w:val=""/>
      <w:lvlJc w:val="left"/>
      <w:pPr>
        <w:ind w:left="1080" w:hanging="360"/>
      </w:pPr>
      <w:rPr>
        <w:rFonts w:ascii="Verdana" w:hAnsi="Verdana" w:hint="default"/>
      </w:rPr>
    </w:lvl>
    <w:lvl w:ilvl="1" w:tplc="619034BC" w:tentative="1">
      <w:start w:val="1"/>
      <w:numFmt w:val="bullet"/>
      <w:lvlText w:val="o"/>
      <w:lvlJc w:val="left"/>
      <w:pPr>
        <w:ind w:left="1800" w:hanging="360"/>
      </w:pPr>
      <w:rPr>
        <w:rFonts w:ascii="Courier New" w:hAnsi="Courier New" w:cs="Courier New" w:hint="default"/>
      </w:rPr>
    </w:lvl>
    <w:lvl w:ilvl="2" w:tplc="91D8AE42" w:tentative="1">
      <w:start w:val="1"/>
      <w:numFmt w:val="bullet"/>
      <w:lvlText w:val=""/>
      <w:lvlJc w:val="left"/>
      <w:pPr>
        <w:ind w:left="2520" w:hanging="360"/>
      </w:pPr>
      <w:rPr>
        <w:rFonts w:ascii="Wingdings" w:hAnsi="Wingdings" w:hint="default"/>
      </w:rPr>
    </w:lvl>
    <w:lvl w:ilvl="3" w:tplc="91C0E92E" w:tentative="1">
      <w:start w:val="1"/>
      <w:numFmt w:val="bullet"/>
      <w:lvlText w:val=""/>
      <w:lvlJc w:val="left"/>
      <w:pPr>
        <w:ind w:left="3240" w:hanging="360"/>
      </w:pPr>
      <w:rPr>
        <w:rFonts w:ascii="Symbol" w:hAnsi="Symbol" w:hint="default"/>
      </w:rPr>
    </w:lvl>
    <w:lvl w:ilvl="4" w:tplc="4BBE4404" w:tentative="1">
      <w:start w:val="1"/>
      <w:numFmt w:val="bullet"/>
      <w:lvlText w:val="o"/>
      <w:lvlJc w:val="left"/>
      <w:pPr>
        <w:ind w:left="3960" w:hanging="360"/>
      </w:pPr>
      <w:rPr>
        <w:rFonts w:ascii="Courier New" w:hAnsi="Courier New" w:cs="Courier New" w:hint="default"/>
      </w:rPr>
    </w:lvl>
    <w:lvl w:ilvl="5" w:tplc="AA3A016C" w:tentative="1">
      <w:start w:val="1"/>
      <w:numFmt w:val="bullet"/>
      <w:lvlText w:val=""/>
      <w:lvlJc w:val="left"/>
      <w:pPr>
        <w:ind w:left="4680" w:hanging="360"/>
      </w:pPr>
      <w:rPr>
        <w:rFonts w:ascii="Wingdings" w:hAnsi="Wingdings" w:hint="default"/>
      </w:rPr>
    </w:lvl>
    <w:lvl w:ilvl="6" w:tplc="EE804FAE" w:tentative="1">
      <w:start w:val="1"/>
      <w:numFmt w:val="bullet"/>
      <w:lvlText w:val=""/>
      <w:lvlJc w:val="left"/>
      <w:pPr>
        <w:ind w:left="5400" w:hanging="360"/>
      </w:pPr>
      <w:rPr>
        <w:rFonts w:ascii="Symbol" w:hAnsi="Symbol" w:hint="default"/>
      </w:rPr>
    </w:lvl>
    <w:lvl w:ilvl="7" w:tplc="603C6BB4" w:tentative="1">
      <w:start w:val="1"/>
      <w:numFmt w:val="bullet"/>
      <w:lvlText w:val="o"/>
      <w:lvlJc w:val="left"/>
      <w:pPr>
        <w:ind w:left="6120" w:hanging="360"/>
      </w:pPr>
      <w:rPr>
        <w:rFonts w:ascii="Courier New" w:hAnsi="Courier New" w:cs="Courier New" w:hint="default"/>
      </w:rPr>
    </w:lvl>
    <w:lvl w:ilvl="8" w:tplc="541C35F2" w:tentative="1">
      <w:start w:val="1"/>
      <w:numFmt w:val="bullet"/>
      <w:lvlText w:val=""/>
      <w:lvlJc w:val="left"/>
      <w:pPr>
        <w:ind w:left="6840" w:hanging="360"/>
      </w:pPr>
      <w:rPr>
        <w:rFonts w:ascii="Wingdings" w:hAnsi="Wingdings" w:hint="default"/>
      </w:rPr>
    </w:lvl>
  </w:abstractNum>
  <w:abstractNum w:abstractNumId="23">
    <w:nsid w:val="468404C8"/>
    <w:multiLevelType w:val="hybridMultilevel"/>
    <w:tmpl w:val="51522B34"/>
    <w:lvl w:ilvl="0" w:tplc="A85A2A4E">
      <w:start w:val="1"/>
      <w:numFmt w:val="lowerLetter"/>
      <w:lvlText w:val="%1)"/>
      <w:lvlJc w:val="left"/>
      <w:pPr>
        <w:ind w:left="720" w:hanging="360"/>
      </w:pPr>
    </w:lvl>
    <w:lvl w:ilvl="1" w:tplc="73FE7950" w:tentative="1">
      <w:start w:val="1"/>
      <w:numFmt w:val="lowerLetter"/>
      <w:lvlText w:val="%2."/>
      <w:lvlJc w:val="left"/>
      <w:pPr>
        <w:ind w:left="1440" w:hanging="360"/>
      </w:pPr>
    </w:lvl>
    <w:lvl w:ilvl="2" w:tplc="6824BF08" w:tentative="1">
      <w:start w:val="1"/>
      <w:numFmt w:val="lowerRoman"/>
      <w:lvlText w:val="%3."/>
      <w:lvlJc w:val="right"/>
      <w:pPr>
        <w:ind w:left="2160" w:hanging="180"/>
      </w:pPr>
    </w:lvl>
    <w:lvl w:ilvl="3" w:tplc="0ED2FAB0" w:tentative="1">
      <w:start w:val="1"/>
      <w:numFmt w:val="decimal"/>
      <w:lvlText w:val="%4."/>
      <w:lvlJc w:val="left"/>
      <w:pPr>
        <w:ind w:left="2880" w:hanging="360"/>
      </w:pPr>
    </w:lvl>
    <w:lvl w:ilvl="4" w:tplc="FC0C00D6" w:tentative="1">
      <w:start w:val="1"/>
      <w:numFmt w:val="lowerLetter"/>
      <w:lvlText w:val="%5."/>
      <w:lvlJc w:val="left"/>
      <w:pPr>
        <w:ind w:left="3600" w:hanging="360"/>
      </w:pPr>
    </w:lvl>
    <w:lvl w:ilvl="5" w:tplc="4C5E0A00" w:tentative="1">
      <w:start w:val="1"/>
      <w:numFmt w:val="lowerRoman"/>
      <w:lvlText w:val="%6."/>
      <w:lvlJc w:val="right"/>
      <w:pPr>
        <w:ind w:left="4320" w:hanging="180"/>
      </w:pPr>
    </w:lvl>
    <w:lvl w:ilvl="6" w:tplc="FEA21896" w:tentative="1">
      <w:start w:val="1"/>
      <w:numFmt w:val="decimal"/>
      <w:lvlText w:val="%7."/>
      <w:lvlJc w:val="left"/>
      <w:pPr>
        <w:ind w:left="5040" w:hanging="360"/>
      </w:pPr>
    </w:lvl>
    <w:lvl w:ilvl="7" w:tplc="73563A6A" w:tentative="1">
      <w:start w:val="1"/>
      <w:numFmt w:val="lowerLetter"/>
      <w:lvlText w:val="%8."/>
      <w:lvlJc w:val="left"/>
      <w:pPr>
        <w:ind w:left="5760" w:hanging="360"/>
      </w:pPr>
    </w:lvl>
    <w:lvl w:ilvl="8" w:tplc="7E76FF78" w:tentative="1">
      <w:start w:val="1"/>
      <w:numFmt w:val="lowerRoman"/>
      <w:lvlText w:val="%9."/>
      <w:lvlJc w:val="right"/>
      <w:pPr>
        <w:ind w:left="6480" w:hanging="180"/>
      </w:pPr>
    </w:lvl>
  </w:abstractNum>
  <w:abstractNum w:abstractNumId="24">
    <w:nsid w:val="46DD467A"/>
    <w:multiLevelType w:val="hybridMultilevel"/>
    <w:tmpl w:val="487E9FC6"/>
    <w:lvl w:ilvl="0" w:tplc="3A6805AE">
      <w:start w:val="1"/>
      <w:numFmt w:val="bullet"/>
      <w:lvlText w:val=""/>
      <w:lvlJc w:val="left"/>
      <w:pPr>
        <w:ind w:left="720" w:hanging="360"/>
      </w:pPr>
      <w:rPr>
        <w:rFonts w:ascii="Symbol" w:hAnsi="Symbol" w:hint="default"/>
      </w:rPr>
    </w:lvl>
    <w:lvl w:ilvl="1" w:tplc="47528E6A" w:tentative="1">
      <w:start w:val="1"/>
      <w:numFmt w:val="bullet"/>
      <w:lvlText w:val="o"/>
      <w:lvlJc w:val="left"/>
      <w:pPr>
        <w:ind w:left="1440" w:hanging="360"/>
      </w:pPr>
      <w:rPr>
        <w:rFonts w:ascii="Courier New" w:hAnsi="Courier New" w:cs="Courier New" w:hint="default"/>
      </w:rPr>
    </w:lvl>
    <w:lvl w:ilvl="2" w:tplc="E8E437EE" w:tentative="1">
      <w:start w:val="1"/>
      <w:numFmt w:val="bullet"/>
      <w:lvlText w:val=""/>
      <w:lvlJc w:val="left"/>
      <w:pPr>
        <w:ind w:left="2160" w:hanging="360"/>
      </w:pPr>
      <w:rPr>
        <w:rFonts w:ascii="Wingdings" w:hAnsi="Wingdings" w:hint="default"/>
      </w:rPr>
    </w:lvl>
    <w:lvl w:ilvl="3" w:tplc="260CF290" w:tentative="1">
      <w:start w:val="1"/>
      <w:numFmt w:val="bullet"/>
      <w:lvlText w:val=""/>
      <w:lvlJc w:val="left"/>
      <w:pPr>
        <w:ind w:left="2880" w:hanging="360"/>
      </w:pPr>
      <w:rPr>
        <w:rFonts w:ascii="Symbol" w:hAnsi="Symbol" w:hint="default"/>
      </w:rPr>
    </w:lvl>
    <w:lvl w:ilvl="4" w:tplc="10F6F1C2" w:tentative="1">
      <w:start w:val="1"/>
      <w:numFmt w:val="bullet"/>
      <w:lvlText w:val="o"/>
      <w:lvlJc w:val="left"/>
      <w:pPr>
        <w:ind w:left="3600" w:hanging="360"/>
      </w:pPr>
      <w:rPr>
        <w:rFonts w:ascii="Courier New" w:hAnsi="Courier New" w:cs="Courier New" w:hint="default"/>
      </w:rPr>
    </w:lvl>
    <w:lvl w:ilvl="5" w:tplc="676C08D8" w:tentative="1">
      <w:start w:val="1"/>
      <w:numFmt w:val="bullet"/>
      <w:lvlText w:val=""/>
      <w:lvlJc w:val="left"/>
      <w:pPr>
        <w:ind w:left="4320" w:hanging="360"/>
      </w:pPr>
      <w:rPr>
        <w:rFonts w:ascii="Wingdings" w:hAnsi="Wingdings" w:hint="default"/>
      </w:rPr>
    </w:lvl>
    <w:lvl w:ilvl="6" w:tplc="965A7682" w:tentative="1">
      <w:start w:val="1"/>
      <w:numFmt w:val="bullet"/>
      <w:lvlText w:val=""/>
      <w:lvlJc w:val="left"/>
      <w:pPr>
        <w:ind w:left="5040" w:hanging="360"/>
      </w:pPr>
      <w:rPr>
        <w:rFonts w:ascii="Symbol" w:hAnsi="Symbol" w:hint="default"/>
      </w:rPr>
    </w:lvl>
    <w:lvl w:ilvl="7" w:tplc="D338C9F2" w:tentative="1">
      <w:start w:val="1"/>
      <w:numFmt w:val="bullet"/>
      <w:lvlText w:val="o"/>
      <w:lvlJc w:val="left"/>
      <w:pPr>
        <w:ind w:left="5760" w:hanging="360"/>
      </w:pPr>
      <w:rPr>
        <w:rFonts w:ascii="Courier New" w:hAnsi="Courier New" w:cs="Courier New" w:hint="default"/>
      </w:rPr>
    </w:lvl>
    <w:lvl w:ilvl="8" w:tplc="CD18CF50" w:tentative="1">
      <w:start w:val="1"/>
      <w:numFmt w:val="bullet"/>
      <w:lvlText w:val=""/>
      <w:lvlJc w:val="left"/>
      <w:pPr>
        <w:ind w:left="6480" w:hanging="360"/>
      </w:pPr>
      <w:rPr>
        <w:rFonts w:ascii="Wingdings" w:hAnsi="Wingdings" w:hint="default"/>
      </w:rPr>
    </w:lvl>
  </w:abstractNum>
  <w:abstractNum w:abstractNumId="25">
    <w:nsid w:val="48AC237C"/>
    <w:multiLevelType w:val="hybridMultilevel"/>
    <w:tmpl w:val="25BE3B7A"/>
    <w:lvl w:ilvl="0" w:tplc="1D2C6C3A">
      <w:start w:val="1"/>
      <w:numFmt w:val="lowerRoman"/>
      <w:lvlText w:val="%1."/>
      <w:lvlJc w:val="right"/>
      <w:pPr>
        <w:ind w:left="720" w:hanging="360"/>
      </w:pPr>
    </w:lvl>
    <w:lvl w:ilvl="1" w:tplc="7C5E969E" w:tentative="1">
      <w:start w:val="1"/>
      <w:numFmt w:val="lowerLetter"/>
      <w:lvlText w:val="%2."/>
      <w:lvlJc w:val="left"/>
      <w:pPr>
        <w:ind w:left="1440" w:hanging="360"/>
      </w:pPr>
    </w:lvl>
    <w:lvl w:ilvl="2" w:tplc="A642B09A" w:tentative="1">
      <w:start w:val="1"/>
      <w:numFmt w:val="lowerRoman"/>
      <w:lvlText w:val="%3."/>
      <w:lvlJc w:val="right"/>
      <w:pPr>
        <w:ind w:left="2160" w:hanging="180"/>
      </w:pPr>
    </w:lvl>
    <w:lvl w:ilvl="3" w:tplc="B6709B5E" w:tentative="1">
      <w:start w:val="1"/>
      <w:numFmt w:val="decimal"/>
      <w:lvlText w:val="%4."/>
      <w:lvlJc w:val="left"/>
      <w:pPr>
        <w:ind w:left="2880" w:hanging="360"/>
      </w:pPr>
    </w:lvl>
    <w:lvl w:ilvl="4" w:tplc="0246A4B2" w:tentative="1">
      <w:start w:val="1"/>
      <w:numFmt w:val="lowerLetter"/>
      <w:lvlText w:val="%5."/>
      <w:lvlJc w:val="left"/>
      <w:pPr>
        <w:ind w:left="3600" w:hanging="360"/>
      </w:pPr>
    </w:lvl>
    <w:lvl w:ilvl="5" w:tplc="DA3CA8D0" w:tentative="1">
      <w:start w:val="1"/>
      <w:numFmt w:val="lowerRoman"/>
      <w:lvlText w:val="%6."/>
      <w:lvlJc w:val="right"/>
      <w:pPr>
        <w:ind w:left="4320" w:hanging="180"/>
      </w:pPr>
    </w:lvl>
    <w:lvl w:ilvl="6" w:tplc="C244219E" w:tentative="1">
      <w:start w:val="1"/>
      <w:numFmt w:val="decimal"/>
      <w:lvlText w:val="%7."/>
      <w:lvlJc w:val="left"/>
      <w:pPr>
        <w:ind w:left="5040" w:hanging="360"/>
      </w:pPr>
    </w:lvl>
    <w:lvl w:ilvl="7" w:tplc="EB62C230" w:tentative="1">
      <w:start w:val="1"/>
      <w:numFmt w:val="lowerLetter"/>
      <w:lvlText w:val="%8."/>
      <w:lvlJc w:val="left"/>
      <w:pPr>
        <w:ind w:left="5760" w:hanging="360"/>
      </w:pPr>
    </w:lvl>
    <w:lvl w:ilvl="8" w:tplc="6624D4C2" w:tentative="1">
      <w:start w:val="1"/>
      <w:numFmt w:val="lowerRoman"/>
      <w:lvlText w:val="%9."/>
      <w:lvlJc w:val="right"/>
      <w:pPr>
        <w:ind w:left="6480" w:hanging="180"/>
      </w:pPr>
    </w:lvl>
  </w:abstractNum>
  <w:abstractNum w:abstractNumId="26">
    <w:nsid w:val="4F6804A1"/>
    <w:multiLevelType w:val="hybridMultilevel"/>
    <w:tmpl w:val="BFF0D1CA"/>
    <w:lvl w:ilvl="0" w:tplc="798C5BBE">
      <w:start w:val="1"/>
      <w:numFmt w:val="bullet"/>
      <w:lvlText w:val=""/>
      <w:lvlJc w:val="left"/>
      <w:pPr>
        <w:ind w:left="720" w:hanging="360"/>
      </w:pPr>
      <w:rPr>
        <w:rFonts w:ascii="Symbol" w:hAnsi="Symbol" w:hint="default"/>
      </w:rPr>
    </w:lvl>
    <w:lvl w:ilvl="1" w:tplc="FBD83E22" w:tentative="1">
      <w:start w:val="1"/>
      <w:numFmt w:val="bullet"/>
      <w:lvlText w:val="o"/>
      <w:lvlJc w:val="left"/>
      <w:pPr>
        <w:ind w:left="1440" w:hanging="360"/>
      </w:pPr>
      <w:rPr>
        <w:rFonts w:ascii="Courier New" w:hAnsi="Courier New" w:cs="Courier New" w:hint="default"/>
      </w:rPr>
    </w:lvl>
    <w:lvl w:ilvl="2" w:tplc="0D6EA7C8" w:tentative="1">
      <w:start w:val="1"/>
      <w:numFmt w:val="bullet"/>
      <w:lvlText w:val=""/>
      <w:lvlJc w:val="left"/>
      <w:pPr>
        <w:ind w:left="2160" w:hanging="360"/>
      </w:pPr>
      <w:rPr>
        <w:rFonts w:ascii="Wingdings" w:hAnsi="Wingdings" w:hint="default"/>
      </w:rPr>
    </w:lvl>
    <w:lvl w:ilvl="3" w:tplc="51AA719E" w:tentative="1">
      <w:start w:val="1"/>
      <w:numFmt w:val="bullet"/>
      <w:lvlText w:val=""/>
      <w:lvlJc w:val="left"/>
      <w:pPr>
        <w:ind w:left="2880" w:hanging="360"/>
      </w:pPr>
      <w:rPr>
        <w:rFonts w:ascii="Symbol" w:hAnsi="Symbol" w:hint="default"/>
      </w:rPr>
    </w:lvl>
    <w:lvl w:ilvl="4" w:tplc="3402BEBE" w:tentative="1">
      <w:start w:val="1"/>
      <w:numFmt w:val="bullet"/>
      <w:lvlText w:val="o"/>
      <w:lvlJc w:val="left"/>
      <w:pPr>
        <w:ind w:left="3600" w:hanging="360"/>
      </w:pPr>
      <w:rPr>
        <w:rFonts w:ascii="Courier New" w:hAnsi="Courier New" w:cs="Courier New" w:hint="default"/>
      </w:rPr>
    </w:lvl>
    <w:lvl w:ilvl="5" w:tplc="F33AB1C6" w:tentative="1">
      <w:start w:val="1"/>
      <w:numFmt w:val="bullet"/>
      <w:lvlText w:val=""/>
      <w:lvlJc w:val="left"/>
      <w:pPr>
        <w:ind w:left="4320" w:hanging="360"/>
      </w:pPr>
      <w:rPr>
        <w:rFonts w:ascii="Wingdings" w:hAnsi="Wingdings" w:hint="default"/>
      </w:rPr>
    </w:lvl>
    <w:lvl w:ilvl="6" w:tplc="791A7E48" w:tentative="1">
      <w:start w:val="1"/>
      <w:numFmt w:val="bullet"/>
      <w:lvlText w:val=""/>
      <w:lvlJc w:val="left"/>
      <w:pPr>
        <w:ind w:left="5040" w:hanging="360"/>
      </w:pPr>
      <w:rPr>
        <w:rFonts w:ascii="Symbol" w:hAnsi="Symbol" w:hint="default"/>
      </w:rPr>
    </w:lvl>
    <w:lvl w:ilvl="7" w:tplc="11A653A4" w:tentative="1">
      <w:start w:val="1"/>
      <w:numFmt w:val="bullet"/>
      <w:lvlText w:val="o"/>
      <w:lvlJc w:val="left"/>
      <w:pPr>
        <w:ind w:left="5760" w:hanging="360"/>
      </w:pPr>
      <w:rPr>
        <w:rFonts w:ascii="Courier New" w:hAnsi="Courier New" w:cs="Courier New" w:hint="default"/>
      </w:rPr>
    </w:lvl>
    <w:lvl w:ilvl="8" w:tplc="485AF946" w:tentative="1">
      <w:start w:val="1"/>
      <w:numFmt w:val="bullet"/>
      <w:lvlText w:val=""/>
      <w:lvlJc w:val="left"/>
      <w:pPr>
        <w:ind w:left="6480" w:hanging="360"/>
      </w:pPr>
      <w:rPr>
        <w:rFonts w:ascii="Wingdings" w:hAnsi="Wingdings" w:hint="default"/>
      </w:rPr>
    </w:lvl>
  </w:abstractNum>
  <w:abstractNum w:abstractNumId="27">
    <w:nsid w:val="506043DF"/>
    <w:multiLevelType w:val="hybridMultilevel"/>
    <w:tmpl w:val="2C3EBA06"/>
    <w:lvl w:ilvl="0" w:tplc="302686DC">
      <w:start w:val="1"/>
      <w:numFmt w:val="bullet"/>
      <w:lvlText w:val=""/>
      <w:lvlJc w:val="left"/>
      <w:pPr>
        <w:ind w:left="720" w:hanging="360"/>
      </w:pPr>
      <w:rPr>
        <w:rFonts w:ascii="Symbol" w:hAnsi="Symbol" w:hint="default"/>
      </w:rPr>
    </w:lvl>
    <w:lvl w:ilvl="1" w:tplc="47F60136" w:tentative="1">
      <w:start w:val="1"/>
      <w:numFmt w:val="bullet"/>
      <w:lvlText w:val="o"/>
      <w:lvlJc w:val="left"/>
      <w:pPr>
        <w:ind w:left="1440" w:hanging="360"/>
      </w:pPr>
      <w:rPr>
        <w:rFonts w:ascii="Courier New" w:hAnsi="Courier New" w:cs="Courier New" w:hint="default"/>
      </w:rPr>
    </w:lvl>
    <w:lvl w:ilvl="2" w:tplc="D9203BD0" w:tentative="1">
      <w:start w:val="1"/>
      <w:numFmt w:val="bullet"/>
      <w:lvlText w:val=""/>
      <w:lvlJc w:val="left"/>
      <w:pPr>
        <w:ind w:left="2160" w:hanging="360"/>
      </w:pPr>
      <w:rPr>
        <w:rFonts w:ascii="Wingdings" w:hAnsi="Wingdings" w:hint="default"/>
      </w:rPr>
    </w:lvl>
    <w:lvl w:ilvl="3" w:tplc="0E2AC704" w:tentative="1">
      <w:start w:val="1"/>
      <w:numFmt w:val="bullet"/>
      <w:lvlText w:val=""/>
      <w:lvlJc w:val="left"/>
      <w:pPr>
        <w:ind w:left="2880" w:hanging="360"/>
      </w:pPr>
      <w:rPr>
        <w:rFonts w:ascii="Symbol" w:hAnsi="Symbol" w:hint="default"/>
      </w:rPr>
    </w:lvl>
    <w:lvl w:ilvl="4" w:tplc="A13CF4EA" w:tentative="1">
      <w:start w:val="1"/>
      <w:numFmt w:val="bullet"/>
      <w:lvlText w:val="o"/>
      <w:lvlJc w:val="left"/>
      <w:pPr>
        <w:ind w:left="3600" w:hanging="360"/>
      </w:pPr>
      <w:rPr>
        <w:rFonts w:ascii="Courier New" w:hAnsi="Courier New" w:cs="Courier New" w:hint="default"/>
      </w:rPr>
    </w:lvl>
    <w:lvl w:ilvl="5" w:tplc="69A67E9C" w:tentative="1">
      <w:start w:val="1"/>
      <w:numFmt w:val="bullet"/>
      <w:lvlText w:val=""/>
      <w:lvlJc w:val="left"/>
      <w:pPr>
        <w:ind w:left="4320" w:hanging="360"/>
      </w:pPr>
      <w:rPr>
        <w:rFonts w:ascii="Wingdings" w:hAnsi="Wingdings" w:hint="default"/>
      </w:rPr>
    </w:lvl>
    <w:lvl w:ilvl="6" w:tplc="A2368A9C" w:tentative="1">
      <w:start w:val="1"/>
      <w:numFmt w:val="bullet"/>
      <w:lvlText w:val=""/>
      <w:lvlJc w:val="left"/>
      <w:pPr>
        <w:ind w:left="5040" w:hanging="360"/>
      </w:pPr>
      <w:rPr>
        <w:rFonts w:ascii="Symbol" w:hAnsi="Symbol" w:hint="default"/>
      </w:rPr>
    </w:lvl>
    <w:lvl w:ilvl="7" w:tplc="E8165BD4" w:tentative="1">
      <w:start w:val="1"/>
      <w:numFmt w:val="bullet"/>
      <w:lvlText w:val="o"/>
      <w:lvlJc w:val="left"/>
      <w:pPr>
        <w:ind w:left="5760" w:hanging="360"/>
      </w:pPr>
      <w:rPr>
        <w:rFonts w:ascii="Courier New" w:hAnsi="Courier New" w:cs="Courier New" w:hint="default"/>
      </w:rPr>
    </w:lvl>
    <w:lvl w:ilvl="8" w:tplc="704817B0" w:tentative="1">
      <w:start w:val="1"/>
      <w:numFmt w:val="bullet"/>
      <w:lvlText w:val=""/>
      <w:lvlJc w:val="left"/>
      <w:pPr>
        <w:ind w:left="6480" w:hanging="360"/>
      </w:pPr>
      <w:rPr>
        <w:rFonts w:ascii="Wingdings" w:hAnsi="Wingdings" w:hint="default"/>
      </w:rPr>
    </w:lvl>
  </w:abstractNum>
  <w:abstractNum w:abstractNumId="28">
    <w:nsid w:val="52F542F7"/>
    <w:multiLevelType w:val="hybridMultilevel"/>
    <w:tmpl w:val="6B704140"/>
    <w:lvl w:ilvl="0" w:tplc="47D08420">
      <w:start w:val="1"/>
      <w:numFmt w:val="bullet"/>
      <w:lvlText w:val=""/>
      <w:lvlJc w:val="left"/>
      <w:pPr>
        <w:ind w:left="720" w:hanging="360"/>
      </w:pPr>
      <w:rPr>
        <w:rFonts w:ascii="Symbol" w:hAnsi="Symbol" w:hint="default"/>
      </w:rPr>
    </w:lvl>
    <w:lvl w:ilvl="1" w:tplc="4D922C76" w:tentative="1">
      <w:start w:val="1"/>
      <w:numFmt w:val="bullet"/>
      <w:lvlText w:val="o"/>
      <w:lvlJc w:val="left"/>
      <w:pPr>
        <w:ind w:left="1440" w:hanging="360"/>
      </w:pPr>
      <w:rPr>
        <w:rFonts w:ascii="Courier New" w:hAnsi="Courier New" w:cs="Courier New" w:hint="default"/>
      </w:rPr>
    </w:lvl>
    <w:lvl w:ilvl="2" w:tplc="1B3AE1D6" w:tentative="1">
      <w:start w:val="1"/>
      <w:numFmt w:val="bullet"/>
      <w:lvlText w:val=""/>
      <w:lvlJc w:val="left"/>
      <w:pPr>
        <w:ind w:left="2160" w:hanging="360"/>
      </w:pPr>
      <w:rPr>
        <w:rFonts w:ascii="Wingdings" w:hAnsi="Wingdings" w:hint="default"/>
      </w:rPr>
    </w:lvl>
    <w:lvl w:ilvl="3" w:tplc="7890BC4E" w:tentative="1">
      <w:start w:val="1"/>
      <w:numFmt w:val="bullet"/>
      <w:lvlText w:val=""/>
      <w:lvlJc w:val="left"/>
      <w:pPr>
        <w:ind w:left="2880" w:hanging="360"/>
      </w:pPr>
      <w:rPr>
        <w:rFonts w:ascii="Symbol" w:hAnsi="Symbol" w:hint="default"/>
      </w:rPr>
    </w:lvl>
    <w:lvl w:ilvl="4" w:tplc="A746B93C" w:tentative="1">
      <w:start w:val="1"/>
      <w:numFmt w:val="bullet"/>
      <w:lvlText w:val="o"/>
      <w:lvlJc w:val="left"/>
      <w:pPr>
        <w:ind w:left="3600" w:hanging="360"/>
      </w:pPr>
      <w:rPr>
        <w:rFonts w:ascii="Courier New" w:hAnsi="Courier New" w:cs="Courier New" w:hint="default"/>
      </w:rPr>
    </w:lvl>
    <w:lvl w:ilvl="5" w:tplc="D72A1550" w:tentative="1">
      <w:start w:val="1"/>
      <w:numFmt w:val="bullet"/>
      <w:lvlText w:val=""/>
      <w:lvlJc w:val="left"/>
      <w:pPr>
        <w:ind w:left="4320" w:hanging="360"/>
      </w:pPr>
      <w:rPr>
        <w:rFonts w:ascii="Wingdings" w:hAnsi="Wingdings" w:hint="default"/>
      </w:rPr>
    </w:lvl>
    <w:lvl w:ilvl="6" w:tplc="262CE1CC" w:tentative="1">
      <w:start w:val="1"/>
      <w:numFmt w:val="bullet"/>
      <w:lvlText w:val=""/>
      <w:lvlJc w:val="left"/>
      <w:pPr>
        <w:ind w:left="5040" w:hanging="360"/>
      </w:pPr>
      <w:rPr>
        <w:rFonts w:ascii="Symbol" w:hAnsi="Symbol" w:hint="default"/>
      </w:rPr>
    </w:lvl>
    <w:lvl w:ilvl="7" w:tplc="0D223752" w:tentative="1">
      <w:start w:val="1"/>
      <w:numFmt w:val="bullet"/>
      <w:lvlText w:val="o"/>
      <w:lvlJc w:val="left"/>
      <w:pPr>
        <w:ind w:left="5760" w:hanging="360"/>
      </w:pPr>
      <w:rPr>
        <w:rFonts w:ascii="Courier New" w:hAnsi="Courier New" w:cs="Courier New" w:hint="default"/>
      </w:rPr>
    </w:lvl>
    <w:lvl w:ilvl="8" w:tplc="C172E36E" w:tentative="1">
      <w:start w:val="1"/>
      <w:numFmt w:val="bullet"/>
      <w:lvlText w:val=""/>
      <w:lvlJc w:val="left"/>
      <w:pPr>
        <w:ind w:left="6480" w:hanging="360"/>
      </w:pPr>
      <w:rPr>
        <w:rFonts w:ascii="Wingdings" w:hAnsi="Wingdings" w:hint="default"/>
      </w:rPr>
    </w:lvl>
  </w:abstractNum>
  <w:abstractNum w:abstractNumId="29">
    <w:nsid w:val="53E40607"/>
    <w:multiLevelType w:val="hybridMultilevel"/>
    <w:tmpl w:val="E328F9F2"/>
    <w:lvl w:ilvl="0" w:tplc="92068B5E">
      <w:start w:val="1"/>
      <w:numFmt w:val="bullet"/>
      <w:lvlText w:val=""/>
      <w:lvlJc w:val="left"/>
      <w:pPr>
        <w:ind w:left="360" w:hanging="360"/>
      </w:pPr>
      <w:rPr>
        <w:rFonts w:ascii="Symbol" w:hAnsi="Symbol" w:hint="default"/>
      </w:rPr>
    </w:lvl>
    <w:lvl w:ilvl="1" w:tplc="0226C64C" w:tentative="1">
      <w:start w:val="1"/>
      <w:numFmt w:val="bullet"/>
      <w:lvlText w:val="o"/>
      <w:lvlJc w:val="left"/>
      <w:pPr>
        <w:ind w:left="1080" w:hanging="360"/>
      </w:pPr>
      <w:rPr>
        <w:rFonts w:ascii="Courier New" w:hAnsi="Courier New" w:cs="Courier New" w:hint="default"/>
      </w:rPr>
    </w:lvl>
    <w:lvl w:ilvl="2" w:tplc="0276D200" w:tentative="1">
      <w:start w:val="1"/>
      <w:numFmt w:val="bullet"/>
      <w:lvlText w:val=""/>
      <w:lvlJc w:val="left"/>
      <w:pPr>
        <w:ind w:left="1800" w:hanging="360"/>
      </w:pPr>
      <w:rPr>
        <w:rFonts w:ascii="Wingdings" w:hAnsi="Wingdings" w:hint="default"/>
      </w:rPr>
    </w:lvl>
    <w:lvl w:ilvl="3" w:tplc="09E61426" w:tentative="1">
      <w:start w:val="1"/>
      <w:numFmt w:val="bullet"/>
      <w:lvlText w:val=""/>
      <w:lvlJc w:val="left"/>
      <w:pPr>
        <w:ind w:left="2520" w:hanging="360"/>
      </w:pPr>
      <w:rPr>
        <w:rFonts w:ascii="Symbol" w:hAnsi="Symbol" w:hint="default"/>
      </w:rPr>
    </w:lvl>
    <w:lvl w:ilvl="4" w:tplc="7C5C686E" w:tentative="1">
      <w:start w:val="1"/>
      <w:numFmt w:val="bullet"/>
      <w:lvlText w:val="o"/>
      <w:lvlJc w:val="left"/>
      <w:pPr>
        <w:ind w:left="3240" w:hanging="360"/>
      </w:pPr>
      <w:rPr>
        <w:rFonts w:ascii="Courier New" w:hAnsi="Courier New" w:cs="Courier New" w:hint="default"/>
      </w:rPr>
    </w:lvl>
    <w:lvl w:ilvl="5" w:tplc="A7F04EC6" w:tentative="1">
      <w:start w:val="1"/>
      <w:numFmt w:val="bullet"/>
      <w:lvlText w:val=""/>
      <w:lvlJc w:val="left"/>
      <w:pPr>
        <w:ind w:left="3960" w:hanging="360"/>
      </w:pPr>
      <w:rPr>
        <w:rFonts w:ascii="Wingdings" w:hAnsi="Wingdings" w:hint="default"/>
      </w:rPr>
    </w:lvl>
    <w:lvl w:ilvl="6" w:tplc="86E44052" w:tentative="1">
      <w:start w:val="1"/>
      <w:numFmt w:val="bullet"/>
      <w:lvlText w:val=""/>
      <w:lvlJc w:val="left"/>
      <w:pPr>
        <w:ind w:left="4680" w:hanging="360"/>
      </w:pPr>
      <w:rPr>
        <w:rFonts w:ascii="Symbol" w:hAnsi="Symbol" w:hint="default"/>
      </w:rPr>
    </w:lvl>
    <w:lvl w:ilvl="7" w:tplc="1A6ACA96" w:tentative="1">
      <w:start w:val="1"/>
      <w:numFmt w:val="bullet"/>
      <w:lvlText w:val="o"/>
      <w:lvlJc w:val="left"/>
      <w:pPr>
        <w:ind w:left="5400" w:hanging="360"/>
      </w:pPr>
      <w:rPr>
        <w:rFonts w:ascii="Courier New" w:hAnsi="Courier New" w:cs="Courier New" w:hint="default"/>
      </w:rPr>
    </w:lvl>
    <w:lvl w:ilvl="8" w:tplc="944E0BD0" w:tentative="1">
      <w:start w:val="1"/>
      <w:numFmt w:val="bullet"/>
      <w:lvlText w:val=""/>
      <w:lvlJc w:val="left"/>
      <w:pPr>
        <w:ind w:left="6120" w:hanging="360"/>
      </w:pPr>
      <w:rPr>
        <w:rFonts w:ascii="Wingdings" w:hAnsi="Wingdings" w:hint="default"/>
      </w:rPr>
    </w:lvl>
  </w:abstractNum>
  <w:abstractNum w:abstractNumId="30">
    <w:nsid w:val="569843EB"/>
    <w:multiLevelType w:val="hybridMultilevel"/>
    <w:tmpl w:val="0A107A4A"/>
    <w:lvl w:ilvl="0" w:tplc="7F58BECC">
      <w:start w:val="1"/>
      <w:numFmt w:val="bullet"/>
      <w:lvlText w:val=""/>
      <w:lvlJc w:val="left"/>
      <w:pPr>
        <w:ind w:left="720" w:hanging="360"/>
      </w:pPr>
      <w:rPr>
        <w:rFonts w:ascii="Symbol" w:hAnsi="Symbol" w:hint="default"/>
      </w:rPr>
    </w:lvl>
    <w:lvl w:ilvl="1" w:tplc="21401CD2" w:tentative="1">
      <w:start w:val="1"/>
      <w:numFmt w:val="bullet"/>
      <w:lvlText w:val="o"/>
      <w:lvlJc w:val="left"/>
      <w:pPr>
        <w:ind w:left="1440" w:hanging="360"/>
      </w:pPr>
      <w:rPr>
        <w:rFonts w:ascii="Courier New" w:hAnsi="Courier New" w:cs="Courier New" w:hint="default"/>
      </w:rPr>
    </w:lvl>
    <w:lvl w:ilvl="2" w:tplc="161C85F2" w:tentative="1">
      <w:start w:val="1"/>
      <w:numFmt w:val="bullet"/>
      <w:lvlText w:val=""/>
      <w:lvlJc w:val="left"/>
      <w:pPr>
        <w:ind w:left="2160" w:hanging="360"/>
      </w:pPr>
      <w:rPr>
        <w:rFonts w:ascii="Wingdings" w:hAnsi="Wingdings" w:hint="default"/>
      </w:rPr>
    </w:lvl>
    <w:lvl w:ilvl="3" w:tplc="05DE7A14" w:tentative="1">
      <w:start w:val="1"/>
      <w:numFmt w:val="bullet"/>
      <w:lvlText w:val=""/>
      <w:lvlJc w:val="left"/>
      <w:pPr>
        <w:ind w:left="2880" w:hanging="360"/>
      </w:pPr>
      <w:rPr>
        <w:rFonts w:ascii="Symbol" w:hAnsi="Symbol" w:hint="default"/>
      </w:rPr>
    </w:lvl>
    <w:lvl w:ilvl="4" w:tplc="C2A846C2" w:tentative="1">
      <w:start w:val="1"/>
      <w:numFmt w:val="bullet"/>
      <w:lvlText w:val="o"/>
      <w:lvlJc w:val="left"/>
      <w:pPr>
        <w:ind w:left="3600" w:hanging="360"/>
      </w:pPr>
      <w:rPr>
        <w:rFonts w:ascii="Courier New" w:hAnsi="Courier New" w:cs="Courier New" w:hint="default"/>
      </w:rPr>
    </w:lvl>
    <w:lvl w:ilvl="5" w:tplc="E660A9D8" w:tentative="1">
      <w:start w:val="1"/>
      <w:numFmt w:val="bullet"/>
      <w:lvlText w:val=""/>
      <w:lvlJc w:val="left"/>
      <w:pPr>
        <w:ind w:left="4320" w:hanging="360"/>
      </w:pPr>
      <w:rPr>
        <w:rFonts w:ascii="Wingdings" w:hAnsi="Wingdings" w:hint="default"/>
      </w:rPr>
    </w:lvl>
    <w:lvl w:ilvl="6" w:tplc="3560FFF0" w:tentative="1">
      <w:start w:val="1"/>
      <w:numFmt w:val="bullet"/>
      <w:lvlText w:val=""/>
      <w:lvlJc w:val="left"/>
      <w:pPr>
        <w:ind w:left="5040" w:hanging="360"/>
      </w:pPr>
      <w:rPr>
        <w:rFonts w:ascii="Symbol" w:hAnsi="Symbol" w:hint="default"/>
      </w:rPr>
    </w:lvl>
    <w:lvl w:ilvl="7" w:tplc="57AA9DCE" w:tentative="1">
      <w:start w:val="1"/>
      <w:numFmt w:val="bullet"/>
      <w:lvlText w:val="o"/>
      <w:lvlJc w:val="left"/>
      <w:pPr>
        <w:ind w:left="5760" w:hanging="360"/>
      </w:pPr>
      <w:rPr>
        <w:rFonts w:ascii="Courier New" w:hAnsi="Courier New" w:cs="Courier New" w:hint="default"/>
      </w:rPr>
    </w:lvl>
    <w:lvl w:ilvl="8" w:tplc="66D8E246" w:tentative="1">
      <w:start w:val="1"/>
      <w:numFmt w:val="bullet"/>
      <w:lvlText w:val=""/>
      <w:lvlJc w:val="left"/>
      <w:pPr>
        <w:ind w:left="6480" w:hanging="360"/>
      </w:pPr>
      <w:rPr>
        <w:rFonts w:ascii="Wingdings" w:hAnsi="Wingdings" w:hint="default"/>
      </w:rPr>
    </w:lvl>
  </w:abstractNum>
  <w:abstractNum w:abstractNumId="31">
    <w:nsid w:val="57EA7EB0"/>
    <w:multiLevelType w:val="hybridMultilevel"/>
    <w:tmpl w:val="E6387B90"/>
    <w:lvl w:ilvl="0" w:tplc="F0AC7664">
      <w:start w:val="1"/>
      <w:numFmt w:val="bullet"/>
      <w:lvlText w:val=""/>
      <w:lvlJc w:val="left"/>
      <w:pPr>
        <w:ind w:left="720" w:hanging="360"/>
      </w:pPr>
      <w:rPr>
        <w:rFonts w:ascii="Symbol" w:hAnsi="Symbol" w:hint="default"/>
      </w:rPr>
    </w:lvl>
    <w:lvl w:ilvl="1" w:tplc="8076CDB0" w:tentative="1">
      <w:start w:val="1"/>
      <w:numFmt w:val="bullet"/>
      <w:lvlText w:val="o"/>
      <w:lvlJc w:val="left"/>
      <w:pPr>
        <w:ind w:left="1440" w:hanging="360"/>
      </w:pPr>
      <w:rPr>
        <w:rFonts w:ascii="Courier New" w:hAnsi="Courier New" w:cs="Courier New" w:hint="default"/>
      </w:rPr>
    </w:lvl>
    <w:lvl w:ilvl="2" w:tplc="9414598E" w:tentative="1">
      <w:start w:val="1"/>
      <w:numFmt w:val="bullet"/>
      <w:lvlText w:val=""/>
      <w:lvlJc w:val="left"/>
      <w:pPr>
        <w:ind w:left="2160" w:hanging="360"/>
      </w:pPr>
      <w:rPr>
        <w:rFonts w:ascii="Wingdings" w:hAnsi="Wingdings" w:hint="default"/>
      </w:rPr>
    </w:lvl>
    <w:lvl w:ilvl="3" w:tplc="F71A6D3C" w:tentative="1">
      <w:start w:val="1"/>
      <w:numFmt w:val="bullet"/>
      <w:lvlText w:val=""/>
      <w:lvlJc w:val="left"/>
      <w:pPr>
        <w:ind w:left="2880" w:hanging="360"/>
      </w:pPr>
      <w:rPr>
        <w:rFonts w:ascii="Symbol" w:hAnsi="Symbol" w:hint="default"/>
      </w:rPr>
    </w:lvl>
    <w:lvl w:ilvl="4" w:tplc="21F66310" w:tentative="1">
      <w:start w:val="1"/>
      <w:numFmt w:val="bullet"/>
      <w:lvlText w:val="o"/>
      <w:lvlJc w:val="left"/>
      <w:pPr>
        <w:ind w:left="3600" w:hanging="360"/>
      </w:pPr>
      <w:rPr>
        <w:rFonts w:ascii="Courier New" w:hAnsi="Courier New" w:cs="Courier New" w:hint="default"/>
      </w:rPr>
    </w:lvl>
    <w:lvl w:ilvl="5" w:tplc="C24ECF9C" w:tentative="1">
      <w:start w:val="1"/>
      <w:numFmt w:val="bullet"/>
      <w:lvlText w:val=""/>
      <w:lvlJc w:val="left"/>
      <w:pPr>
        <w:ind w:left="4320" w:hanging="360"/>
      </w:pPr>
      <w:rPr>
        <w:rFonts w:ascii="Wingdings" w:hAnsi="Wingdings" w:hint="default"/>
      </w:rPr>
    </w:lvl>
    <w:lvl w:ilvl="6" w:tplc="3AE02882" w:tentative="1">
      <w:start w:val="1"/>
      <w:numFmt w:val="bullet"/>
      <w:lvlText w:val=""/>
      <w:lvlJc w:val="left"/>
      <w:pPr>
        <w:ind w:left="5040" w:hanging="360"/>
      </w:pPr>
      <w:rPr>
        <w:rFonts w:ascii="Symbol" w:hAnsi="Symbol" w:hint="default"/>
      </w:rPr>
    </w:lvl>
    <w:lvl w:ilvl="7" w:tplc="676AD2D0" w:tentative="1">
      <w:start w:val="1"/>
      <w:numFmt w:val="bullet"/>
      <w:lvlText w:val="o"/>
      <w:lvlJc w:val="left"/>
      <w:pPr>
        <w:ind w:left="5760" w:hanging="360"/>
      </w:pPr>
      <w:rPr>
        <w:rFonts w:ascii="Courier New" w:hAnsi="Courier New" w:cs="Courier New" w:hint="default"/>
      </w:rPr>
    </w:lvl>
    <w:lvl w:ilvl="8" w:tplc="F35EF1EE" w:tentative="1">
      <w:start w:val="1"/>
      <w:numFmt w:val="bullet"/>
      <w:lvlText w:val=""/>
      <w:lvlJc w:val="left"/>
      <w:pPr>
        <w:ind w:left="6480" w:hanging="360"/>
      </w:pPr>
      <w:rPr>
        <w:rFonts w:ascii="Wingdings" w:hAnsi="Wingdings" w:hint="default"/>
      </w:rPr>
    </w:lvl>
  </w:abstractNum>
  <w:abstractNum w:abstractNumId="32">
    <w:nsid w:val="5EA07653"/>
    <w:multiLevelType w:val="hybridMultilevel"/>
    <w:tmpl w:val="549C48F2"/>
    <w:lvl w:ilvl="0" w:tplc="6C3CAF14">
      <w:start w:val="1"/>
      <w:numFmt w:val="bullet"/>
      <w:pStyle w:val="Textstand-aloneBulletpoint"/>
      <w:lvlText w:val="-"/>
      <w:lvlJc w:val="left"/>
      <w:pPr>
        <w:ind w:left="1080" w:hanging="360"/>
      </w:pPr>
      <w:rPr>
        <w:rFonts w:ascii="Verdana" w:hAnsi="Verdana" w:hint="default"/>
      </w:rPr>
    </w:lvl>
    <w:lvl w:ilvl="1" w:tplc="30603AC4" w:tentative="1">
      <w:start w:val="1"/>
      <w:numFmt w:val="bullet"/>
      <w:lvlText w:val="o"/>
      <w:lvlJc w:val="left"/>
      <w:pPr>
        <w:ind w:left="1800" w:hanging="360"/>
      </w:pPr>
      <w:rPr>
        <w:rFonts w:ascii="Courier New" w:hAnsi="Courier New" w:cs="Courier New" w:hint="default"/>
      </w:rPr>
    </w:lvl>
    <w:lvl w:ilvl="2" w:tplc="C938059C" w:tentative="1">
      <w:start w:val="1"/>
      <w:numFmt w:val="bullet"/>
      <w:lvlText w:val=""/>
      <w:lvlJc w:val="left"/>
      <w:pPr>
        <w:ind w:left="2520" w:hanging="360"/>
      </w:pPr>
      <w:rPr>
        <w:rFonts w:ascii="Wingdings" w:hAnsi="Wingdings" w:hint="default"/>
      </w:rPr>
    </w:lvl>
    <w:lvl w:ilvl="3" w:tplc="992C95C8" w:tentative="1">
      <w:start w:val="1"/>
      <w:numFmt w:val="bullet"/>
      <w:lvlText w:val=""/>
      <w:lvlJc w:val="left"/>
      <w:pPr>
        <w:ind w:left="3240" w:hanging="360"/>
      </w:pPr>
      <w:rPr>
        <w:rFonts w:ascii="Symbol" w:hAnsi="Symbol" w:hint="default"/>
      </w:rPr>
    </w:lvl>
    <w:lvl w:ilvl="4" w:tplc="80026CFA" w:tentative="1">
      <w:start w:val="1"/>
      <w:numFmt w:val="bullet"/>
      <w:lvlText w:val="o"/>
      <w:lvlJc w:val="left"/>
      <w:pPr>
        <w:ind w:left="3960" w:hanging="360"/>
      </w:pPr>
      <w:rPr>
        <w:rFonts w:ascii="Courier New" w:hAnsi="Courier New" w:cs="Courier New" w:hint="default"/>
      </w:rPr>
    </w:lvl>
    <w:lvl w:ilvl="5" w:tplc="0D9681BC" w:tentative="1">
      <w:start w:val="1"/>
      <w:numFmt w:val="bullet"/>
      <w:lvlText w:val=""/>
      <w:lvlJc w:val="left"/>
      <w:pPr>
        <w:ind w:left="4680" w:hanging="360"/>
      </w:pPr>
      <w:rPr>
        <w:rFonts w:ascii="Wingdings" w:hAnsi="Wingdings" w:hint="default"/>
      </w:rPr>
    </w:lvl>
    <w:lvl w:ilvl="6" w:tplc="76EA918A" w:tentative="1">
      <w:start w:val="1"/>
      <w:numFmt w:val="bullet"/>
      <w:lvlText w:val=""/>
      <w:lvlJc w:val="left"/>
      <w:pPr>
        <w:ind w:left="5400" w:hanging="360"/>
      </w:pPr>
      <w:rPr>
        <w:rFonts w:ascii="Symbol" w:hAnsi="Symbol" w:hint="default"/>
      </w:rPr>
    </w:lvl>
    <w:lvl w:ilvl="7" w:tplc="CAD611A4" w:tentative="1">
      <w:start w:val="1"/>
      <w:numFmt w:val="bullet"/>
      <w:lvlText w:val="o"/>
      <w:lvlJc w:val="left"/>
      <w:pPr>
        <w:ind w:left="6120" w:hanging="360"/>
      </w:pPr>
      <w:rPr>
        <w:rFonts w:ascii="Courier New" w:hAnsi="Courier New" w:cs="Courier New" w:hint="default"/>
      </w:rPr>
    </w:lvl>
    <w:lvl w:ilvl="8" w:tplc="31527A86" w:tentative="1">
      <w:start w:val="1"/>
      <w:numFmt w:val="bullet"/>
      <w:lvlText w:val=""/>
      <w:lvlJc w:val="left"/>
      <w:pPr>
        <w:ind w:left="6840" w:hanging="360"/>
      </w:pPr>
      <w:rPr>
        <w:rFonts w:ascii="Wingdings" w:hAnsi="Wingdings" w:hint="default"/>
      </w:rPr>
    </w:lvl>
  </w:abstractNum>
  <w:abstractNum w:abstractNumId="33">
    <w:nsid w:val="6189026D"/>
    <w:multiLevelType w:val="hybridMultilevel"/>
    <w:tmpl w:val="3EC20C2E"/>
    <w:lvl w:ilvl="0" w:tplc="64048618">
      <w:start w:val="1"/>
      <w:numFmt w:val="bullet"/>
      <w:lvlText w:val=""/>
      <w:lvlJc w:val="left"/>
      <w:pPr>
        <w:ind w:left="720" w:hanging="360"/>
      </w:pPr>
      <w:rPr>
        <w:rFonts w:ascii="Symbol" w:hAnsi="Symbol" w:hint="default"/>
      </w:rPr>
    </w:lvl>
    <w:lvl w:ilvl="1" w:tplc="E6364634" w:tentative="1">
      <w:start w:val="1"/>
      <w:numFmt w:val="bullet"/>
      <w:lvlText w:val="o"/>
      <w:lvlJc w:val="left"/>
      <w:pPr>
        <w:ind w:left="1440" w:hanging="360"/>
      </w:pPr>
      <w:rPr>
        <w:rFonts w:ascii="Courier New" w:hAnsi="Courier New" w:cs="Courier New" w:hint="default"/>
      </w:rPr>
    </w:lvl>
    <w:lvl w:ilvl="2" w:tplc="ABA4269E" w:tentative="1">
      <w:start w:val="1"/>
      <w:numFmt w:val="bullet"/>
      <w:lvlText w:val=""/>
      <w:lvlJc w:val="left"/>
      <w:pPr>
        <w:ind w:left="2160" w:hanging="360"/>
      </w:pPr>
      <w:rPr>
        <w:rFonts w:ascii="Wingdings" w:hAnsi="Wingdings" w:hint="default"/>
      </w:rPr>
    </w:lvl>
    <w:lvl w:ilvl="3" w:tplc="C9E265CC" w:tentative="1">
      <w:start w:val="1"/>
      <w:numFmt w:val="bullet"/>
      <w:lvlText w:val=""/>
      <w:lvlJc w:val="left"/>
      <w:pPr>
        <w:ind w:left="2880" w:hanging="360"/>
      </w:pPr>
      <w:rPr>
        <w:rFonts w:ascii="Symbol" w:hAnsi="Symbol" w:hint="default"/>
      </w:rPr>
    </w:lvl>
    <w:lvl w:ilvl="4" w:tplc="B73AA9DE" w:tentative="1">
      <w:start w:val="1"/>
      <w:numFmt w:val="bullet"/>
      <w:lvlText w:val="o"/>
      <w:lvlJc w:val="left"/>
      <w:pPr>
        <w:ind w:left="3600" w:hanging="360"/>
      </w:pPr>
      <w:rPr>
        <w:rFonts w:ascii="Courier New" w:hAnsi="Courier New" w:cs="Courier New" w:hint="default"/>
      </w:rPr>
    </w:lvl>
    <w:lvl w:ilvl="5" w:tplc="569869C2" w:tentative="1">
      <w:start w:val="1"/>
      <w:numFmt w:val="bullet"/>
      <w:lvlText w:val=""/>
      <w:lvlJc w:val="left"/>
      <w:pPr>
        <w:ind w:left="4320" w:hanging="360"/>
      </w:pPr>
      <w:rPr>
        <w:rFonts w:ascii="Wingdings" w:hAnsi="Wingdings" w:hint="default"/>
      </w:rPr>
    </w:lvl>
    <w:lvl w:ilvl="6" w:tplc="B88EC79A" w:tentative="1">
      <w:start w:val="1"/>
      <w:numFmt w:val="bullet"/>
      <w:lvlText w:val=""/>
      <w:lvlJc w:val="left"/>
      <w:pPr>
        <w:ind w:left="5040" w:hanging="360"/>
      </w:pPr>
      <w:rPr>
        <w:rFonts w:ascii="Symbol" w:hAnsi="Symbol" w:hint="default"/>
      </w:rPr>
    </w:lvl>
    <w:lvl w:ilvl="7" w:tplc="15689BE0" w:tentative="1">
      <w:start w:val="1"/>
      <w:numFmt w:val="bullet"/>
      <w:lvlText w:val="o"/>
      <w:lvlJc w:val="left"/>
      <w:pPr>
        <w:ind w:left="5760" w:hanging="360"/>
      </w:pPr>
      <w:rPr>
        <w:rFonts w:ascii="Courier New" w:hAnsi="Courier New" w:cs="Courier New" w:hint="default"/>
      </w:rPr>
    </w:lvl>
    <w:lvl w:ilvl="8" w:tplc="72BC1CFE" w:tentative="1">
      <w:start w:val="1"/>
      <w:numFmt w:val="bullet"/>
      <w:lvlText w:val=""/>
      <w:lvlJc w:val="left"/>
      <w:pPr>
        <w:ind w:left="6480" w:hanging="360"/>
      </w:pPr>
      <w:rPr>
        <w:rFonts w:ascii="Wingdings" w:hAnsi="Wingdings" w:hint="default"/>
      </w:rPr>
    </w:lvl>
  </w:abstractNum>
  <w:abstractNum w:abstractNumId="34">
    <w:nsid w:val="64AF4E6A"/>
    <w:multiLevelType w:val="hybridMultilevel"/>
    <w:tmpl w:val="F7122C9E"/>
    <w:lvl w:ilvl="0" w:tplc="C3DC4632">
      <w:start w:val="1"/>
      <w:numFmt w:val="bullet"/>
      <w:lvlText w:val=""/>
      <w:lvlJc w:val="left"/>
      <w:pPr>
        <w:ind w:left="720" w:hanging="360"/>
      </w:pPr>
      <w:rPr>
        <w:rFonts w:ascii="Symbol" w:hAnsi="Symbol" w:hint="default"/>
      </w:rPr>
    </w:lvl>
    <w:lvl w:ilvl="1" w:tplc="6310BB5C" w:tentative="1">
      <w:start w:val="1"/>
      <w:numFmt w:val="bullet"/>
      <w:lvlText w:val="o"/>
      <w:lvlJc w:val="left"/>
      <w:pPr>
        <w:ind w:left="1440" w:hanging="360"/>
      </w:pPr>
      <w:rPr>
        <w:rFonts w:ascii="Courier New" w:hAnsi="Courier New" w:cs="Courier New" w:hint="default"/>
      </w:rPr>
    </w:lvl>
    <w:lvl w:ilvl="2" w:tplc="3EE8B638" w:tentative="1">
      <w:start w:val="1"/>
      <w:numFmt w:val="bullet"/>
      <w:lvlText w:val=""/>
      <w:lvlJc w:val="left"/>
      <w:pPr>
        <w:ind w:left="2160" w:hanging="360"/>
      </w:pPr>
      <w:rPr>
        <w:rFonts w:ascii="Wingdings" w:hAnsi="Wingdings" w:hint="default"/>
      </w:rPr>
    </w:lvl>
    <w:lvl w:ilvl="3" w:tplc="0F966C00" w:tentative="1">
      <w:start w:val="1"/>
      <w:numFmt w:val="bullet"/>
      <w:lvlText w:val=""/>
      <w:lvlJc w:val="left"/>
      <w:pPr>
        <w:ind w:left="2880" w:hanging="360"/>
      </w:pPr>
      <w:rPr>
        <w:rFonts w:ascii="Symbol" w:hAnsi="Symbol" w:hint="default"/>
      </w:rPr>
    </w:lvl>
    <w:lvl w:ilvl="4" w:tplc="97180098" w:tentative="1">
      <w:start w:val="1"/>
      <w:numFmt w:val="bullet"/>
      <w:lvlText w:val="o"/>
      <w:lvlJc w:val="left"/>
      <w:pPr>
        <w:ind w:left="3600" w:hanging="360"/>
      </w:pPr>
      <w:rPr>
        <w:rFonts w:ascii="Courier New" w:hAnsi="Courier New" w:cs="Courier New" w:hint="default"/>
      </w:rPr>
    </w:lvl>
    <w:lvl w:ilvl="5" w:tplc="02EC72CC" w:tentative="1">
      <w:start w:val="1"/>
      <w:numFmt w:val="bullet"/>
      <w:lvlText w:val=""/>
      <w:lvlJc w:val="left"/>
      <w:pPr>
        <w:ind w:left="4320" w:hanging="360"/>
      </w:pPr>
      <w:rPr>
        <w:rFonts w:ascii="Wingdings" w:hAnsi="Wingdings" w:hint="default"/>
      </w:rPr>
    </w:lvl>
    <w:lvl w:ilvl="6" w:tplc="7E5E43E2" w:tentative="1">
      <w:start w:val="1"/>
      <w:numFmt w:val="bullet"/>
      <w:lvlText w:val=""/>
      <w:lvlJc w:val="left"/>
      <w:pPr>
        <w:ind w:left="5040" w:hanging="360"/>
      </w:pPr>
      <w:rPr>
        <w:rFonts w:ascii="Symbol" w:hAnsi="Symbol" w:hint="default"/>
      </w:rPr>
    </w:lvl>
    <w:lvl w:ilvl="7" w:tplc="918C0E10" w:tentative="1">
      <w:start w:val="1"/>
      <w:numFmt w:val="bullet"/>
      <w:lvlText w:val="o"/>
      <w:lvlJc w:val="left"/>
      <w:pPr>
        <w:ind w:left="5760" w:hanging="360"/>
      </w:pPr>
      <w:rPr>
        <w:rFonts w:ascii="Courier New" w:hAnsi="Courier New" w:cs="Courier New" w:hint="default"/>
      </w:rPr>
    </w:lvl>
    <w:lvl w:ilvl="8" w:tplc="DF9C0D5C" w:tentative="1">
      <w:start w:val="1"/>
      <w:numFmt w:val="bullet"/>
      <w:lvlText w:val=""/>
      <w:lvlJc w:val="left"/>
      <w:pPr>
        <w:ind w:left="6480" w:hanging="360"/>
      </w:pPr>
      <w:rPr>
        <w:rFonts w:ascii="Wingdings" w:hAnsi="Wingdings" w:hint="default"/>
      </w:rPr>
    </w:lvl>
  </w:abstractNum>
  <w:abstractNum w:abstractNumId="35">
    <w:nsid w:val="6E2E225E"/>
    <w:multiLevelType w:val="hybridMultilevel"/>
    <w:tmpl w:val="39804DFE"/>
    <w:lvl w:ilvl="0" w:tplc="B21C7498">
      <w:start w:val="1"/>
      <w:numFmt w:val="bullet"/>
      <w:lvlText w:val=""/>
      <w:lvlJc w:val="left"/>
      <w:pPr>
        <w:ind w:left="720" w:hanging="360"/>
      </w:pPr>
      <w:rPr>
        <w:rFonts w:ascii="Symbol" w:hAnsi="Symbol" w:hint="default"/>
      </w:rPr>
    </w:lvl>
    <w:lvl w:ilvl="1" w:tplc="88FA885E" w:tentative="1">
      <w:start w:val="1"/>
      <w:numFmt w:val="bullet"/>
      <w:lvlText w:val="o"/>
      <w:lvlJc w:val="left"/>
      <w:pPr>
        <w:ind w:left="1440" w:hanging="360"/>
      </w:pPr>
      <w:rPr>
        <w:rFonts w:ascii="Courier New" w:hAnsi="Courier New" w:cs="Courier New" w:hint="default"/>
      </w:rPr>
    </w:lvl>
    <w:lvl w:ilvl="2" w:tplc="28163810" w:tentative="1">
      <w:start w:val="1"/>
      <w:numFmt w:val="bullet"/>
      <w:lvlText w:val=""/>
      <w:lvlJc w:val="left"/>
      <w:pPr>
        <w:ind w:left="2160" w:hanging="360"/>
      </w:pPr>
      <w:rPr>
        <w:rFonts w:ascii="Wingdings" w:hAnsi="Wingdings" w:hint="default"/>
      </w:rPr>
    </w:lvl>
    <w:lvl w:ilvl="3" w:tplc="405680A4" w:tentative="1">
      <w:start w:val="1"/>
      <w:numFmt w:val="bullet"/>
      <w:lvlText w:val=""/>
      <w:lvlJc w:val="left"/>
      <w:pPr>
        <w:ind w:left="2880" w:hanging="360"/>
      </w:pPr>
      <w:rPr>
        <w:rFonts w:ascii="Symbol" w:hAnsi="Symbol" w:hint="default"/>
      </w:rPr>
    </w:lvl>
    <w:lvl w:ilvl="4" w:tplc="734EFD98" w:tentative="1">
      <w:start w:val="1"/>
      <w:numFmt w:val="bullet"/>
      <w:lvlText w:val="o"/>
      <w:lvlJc w:val="left"/>
      <w:pPr>
        <w:ind w:left="3600" w:hanging="360"/>
      </w:pPr>
      <w:rPr>
        <w:rFonts w:ascii="Courier New" w:hAnsi="Courier New" w:cs="Courier New" w:hint="default"/>
      </w:rPr>
    </w:lvl>
    <w:lvl w:ilvl="5" w:tplc="7C6A8FF6" w:tentative="1">
      <w:start w:val="1"/>
      <w:numFmt w:val="bullet"/>
      <w:lvlText w:val=""/>
      <w:lvlJc w:val="left"/>
      <w:pPr>
        <w:ind w:left="4320" w:hanging="360"/>
      </w:pPr>
      <w:rPr>
        <w:rFonts w:ascii="Wingdings" w:hAnsi="Wingdings" w:hint="default"/>
      </w:rPr>
    </w:lvl>
    <w:lvl w:ilvl="6" w:tplc="700AA5E4" w:tentative="1">
      <w:start w:val="1"/>
      <w:numFmt w:val="bullet"/>
      <w:lvlText w:val=""/>
      <w:lvlJc w:val="left"/>
      <w:pPr>
        <w:ind w:left="5040" w:hanging="360"/>
      </w:pPr>
      <w:rPr>
        <w:rFonts w:ascii="Symbol" w:hAnsi="Symbol" w:hint="default"/>
      </w:rPr>
    </w:lvl>
    <w:lvl w:ilvl="7" w:tplc="987EBB6C" w:tentative="1">
      <w:start w:val="1"/>
      <w:numFmt w:val="bullet"/>
      <w:lvlText w:val="o"/>
      <w:lvlJc w:val="left"/>
      <w:pPr>
        <w:ind w:left="5760" w:hanging="360"/>
      </w:pPr>
      <w:rPr>
        <w:rFonts w:ascii="Courier New" w:hAnsi="Courier New" w:cs="Courier New" w:hint="default"/>
      </w:rPr>
    </w:lvl>
    <w:lvl w:ilvl="8" w:tplc="97C02700" w:tentative="1">
      <w:start w:val="1"/>
      <w:numFmt w:val="bullet"/>
      <w:lvlText w:val=""/>
      <w:lvlJc w:val="left"/>
      <w:pPr>
        <w:ind w:left="6480" w:hanging="360"/>
      </w:pPr>
      <w:rPr>
        <w:rFonts w:ascii="Wingdings" w:hAnsi="Wingdings" w:hint="default"/>
      </w:rPr>
    </w:lvl>
  </w:abstractNum>
  <w:abstractNum w:abstractNumId="36">
    <w:nsid w:val="6E866C12"/>
    <w:multiLevelType w:val="hybridMultilevel"/>
    <w:tmpl w:val="D4901814"/>
    <w:lvl w:ilvl="0" w:tplc="17D47C2E">
      <w:start w:val="1"/>
      <w:numFmt w:val="bullet"/>
      <w:lvlText w:val=""/>
      <w:lvlJc w:val="left"/>
      <w:pPr>
        <w:ind w:left="720" w:hanging="360"/>
      </w:pPr>
      <w:rPr>
        <w:rFonts w:ascii="Symbol" w:hAnsi="Symbol" w:hint="default"/>
      </w:rPr>
    </w:lvl>
    <w:lvl w:ilvl="1" w:tplc="8CEE30E6" w:tentative="1">
      <w:start w:val="1"/>
      <w:numFmt w:val="bullet"/>
      <w:lvlText w:val="o"/>
      <w:lvlJc w:val="left"/>
      <w:pPr>
        <w:ind w:left="1440" w:hanging="360"/>
      </w:pPr>
      <w:rPr>
        <w:rFonts w:ascii="Courier New" w:hAnsi="Courier New" w:cs="Courier New" w:hint="default"/>
      </w:rPr>
    </w:lvl>
    <w:lvl w:ilvl="2" w:tplc="3B442E10" w:tentative="1">
      <w:start w:val="1"/>
      <w:numFmt w:val="bullet"/>
      <w:lvlText w:val=""/>
      <w:lvlJc w:val="left"/>
      <w:pPr>
        <w:ind w:left="2160" w:hanging="360"/>
      </w:pPr>
      <w:rPr>
        <w:rFonts w:ascii="Wingdings" w:hAnsi="Wingdings" w:hint="default"/>
      </w:rPr>
    </w:lvl>
    <w:lvl w:ilvl="3" w:tplc="89ECCE7E" w:tentative="1">
      <w:start w:val="1"/>
      <w:numFmt w:val="bullet"/>
      <w:lvlText w:val=""/>
      <w:lvlJc w:val="left"/>
      <w:pPr>
        <w:ind w:left="2880" w:hanging="360"/>
      </w:pPr>
      <w:rPr>
        <w:rFonts w:ascii="Symbol" w:hAnsi="Symbol" w:hint="default"/>
      </w:rPr>
    </w:lvl>
    <w:lvl w:ilvl="4" w:tplc="6ECE4268" w:tentative="1">
      <w:start w:val="1"/>
      <w:numFmt w:val="bullet"/>
      <w:lvlText w:val="o"/>
      <w:lvlJc w:val="left"/>
      <w:pPr>
        <w:ind w:left="3600" w:hanging="360"/>
      </w:pPr>
      <w:rPr>
        <w:rFonts w:ascii="Courier New" w:hAnsi="Courier New" w:cs="Courier New" w:hint="default"/>
      </w:rPr>
    </w:lvl>
    <w:lvl w:ilvl="5" w:tplc="E3BEA2BC" w:tentative="1">
      <w:start w:val="1"/>
      <w:numFmt w:val="bullet"/>
      <w:lvlText w:val=""/>
      <w:lvlJc w:val="left"/>
      <w:pPr>
        <w:ind w:left="4320" w:hanging="360"/>
      </w:pPr>
      <w:rPr>
        <w:rFonts w:ascii="Wingdings" w:hAnsi="Wingdings" w:hint="default"/>
      </w:rPr>
    </w:lvl>
    <w:lvl w:ilvl="6" w:tplc="83C82FC8" w:tentative="1">
      <w:start w:val="1"/>
      <w:numFmt w:val="bullet"/>
      <w:lvlText w:val=""/>
      <w:lvlJc w:val="left"/>
      <w:pPr>
        <w:ind w:left="5040" w:hanging="360"/>
      </w:pPr>
      <w:rPr>
        <w:rFonts w:ascii="Symbol" w:hAnsi="Symbol" w:hint="default"/>
      </w:rPr>
    </w:lvl>
    <w:lvl w:ilvl="7" w:tplc="596E3E84" w:tentative="1">
      <w:start w:val="1"/>
      <w:numFmt w:val="bullet"/>
      <w:lvlText w:val="o"/>
      <w:lvlJc w:val="left"/>
      <w:pPr>
        <w:ind w:left="5760" w:hanging="360"/>
      </w:pPr>
      <w:rPr>
        <w:rFonts w:ascii="Courier New" w:hAnsi="Courier New" w:cs="Courier New" w:hint="default"/>
      </w:rPr>
    </w:lvl>
    <w:lvl w:ilvl="8" w:tplc="C53ABDC0" w:tentative="1">
      <w:start w:val="1"/>
      <w:numFmt w:val="bullet"/>
      <w:lvlText w:val=""/>
      <w:lvlJc w:val="left"/>
      <w:pPr>
        <w:ind w:left="6480" w:hanging="360"/>
      </w:pPr>
      <w:rPr>
        <w:rFonts w:ascii="Wingdings" w:hAnsi="Wingdings" w:hint="default"/>
      </w:rPr>
    </w:lvl>
  </w:abstractNum>
  <w:abstractNum w:abstractNumId="37">
    <w:nsid w:val="6F351A53"/>
    <w:multiLevelType w:val="hybridMultilevel"/>
    <w:tmpl w:val="A22E4046"/>
    <w:lvl w:ilvl="0" w:tplc="AB66042A">
      <w:start w:val="1"/>
      <w:numFmt w:val="lowerRoman"/>
      <w:pStyle w:val="Textstand-alonenumberingRCIndentJustified"/>
      <w:lvlText w:val="(%1)"/>
      <w:lvlJc w:val="left"/>
      <w:pPr>
        <w:ind w:left="720" w:hanging="360"/>
      </w:pPr>
      <w:rPr>
        <w:rFonts w:hint="default"/>
      </w:rPr>
    </w:lvl>
    <w:lvl w:ilvl="1" w:tplc="245062D6" w:tentative="1">
      <w:start w:val="1"/>
      <w:numFmt w:val="lowerLetter"/>
      <w:lvlText w:val="%2."/>
      <w:lvlJc w:val="left"/>
      <w:pPr>
        <w:ind w:left="1440" w:hanging="360"/>
      </w:pPr>
    </w:lvl>
    <w:lvl w:ilvl="2" w:tplc="2F367C7A" w:tentative="1">
      <w:start w:val="1"/>
      <w:numFmt w:val="lowerRoman"/>
      <w:lvlText w:val="%3."/>
      <w:lvlJc w:val="right"/>
      <w:pPr>
        <w:ind w:left="2160" w:hanging="180"/>
      </w:pPr>
    </w:lvl>
    <w:lvl w:ilvl="3" w:tplc="DD686442" w:tentative="1">
      <w:start w:val="1"/>
      <w:numFmt w:val="decimal"/>
      <w:lvlText w:val="%4."/>
      <w:lvlJc w:val="left"/>
      <w:pPr>
        <w:ind w:left="2880" w:hanging="360"/>
      </w:pPr>
    </w:lvl>
    <w:lvl w:ilvl="4" w:tplc="A23E9A16" w:tentative="1">
      <w:start w:val="1"/>
      <w:numFmt w:val="lowerLetter"/>
      <w:lvlText w:val="%5."/>
      <w:lvlJc w:val="left"/>
      <w:pPr>
        <w:ind w:left="3600" w:hanging="360"/>
      </w:pPr>
    </w:lvl>
    <w:lvl w:ilvl="5" w:tplc="AAE8F584" w:tentative="1">
      <w:start w:val="1"/>
      <w:numFmt w:val="lowerRoman"/>
      <w:lvlText w:val="%6."/>
      <w:lvlJc w:val="right"/>
      <w:pPr>
        <w:ind w:left="4320" w:hanging="180"/>
      </w:pPr>
    </w:lvl>
    <w:lvl w:ilvl="6" w:tplc="71B24C38" w:tentative="1">
      <w:start w:val="1"/>
      <w:numFmt w:val="decimal"/>
      <w:lvlText w:val="%7."/>
      <w:lvlJc w:val="left"/>
      <w:pPr>
        <w:ind w:left="5040" w:hanging="360"/>
      </w:pPr>
    </w:lvl>
    <w:lvl w:ilvl="7" w:tplc="7222F902" w:tentative="1">
      <w:start w:val="1"/>
      <w:numFmt w:val="lowerLetter"/>
      <w:lvlText w:val="%8."/>
      <w:lvlJc w:val="left"/>
      <w:pPr>
        <w:ind w:left="5760" w:hanging="360"/>
      </w:pPr>
    </w:lvl>
    <w:lvl w:ilvl="8" w:tplc="5276CF8C" w:tentative="1">
      <w:start w:val="1"/>
      <w:numFmt w:val="lowerRoman"/>
      <w:lvlText w:val="%9."/>
      <w:lvlJc w:val="right"/>
      <w:pPr>
        <w:ind w:left="6480" w:hanging="180"/>
      </w:pPr>
    </w:lvl>
  </w:abstractNum>
  <w:abstractNum w:abstractNumId="38">
    <w:nsid w:val="6F351A54"/>
    <w:multiLevelType w:val="hybridMultilevel"/>
    <w:tmpl w:val="0C4AF42A"/>
    <w:lvl w:ilvl="0" w:tplc="26BE99CA">
      <w:start w:val="1"/>
      <w:numFmt w:val="bullet"/>
      <w:lvlText w:val=""/>
      <w:lvlJc w:val="left"/>
      <w:pPr>
        <w:ind w:left="720" w:hanging="360"/>
      </w:pPr>
      <w:rPr>
        <w:rFonts w:ascii="Symbol" w:hAnsi="Symbol" w:hint="default"/>
      </w:rPr>
    </w:lvl>
    <w:lvl w:ilvl="1" w:tplc="89620804" w:tentative="1">
      <w:start w:val="1"/>
      <w:numFmt w:val="bullet"/>
      <w:lvlText w:val="o"/>
      <w:lvlJc w:val="left"/>
      <w:pPr>
        <w:ind w:left="1440" w:hanging="360"/>
      </w:pPr>
      <w:rPr>
        <w:rFonts w:ascii="Courier New" w:hAnsi="Courier New" w:cs="Courier New" w:hint="default"/>
      </w:rPr>
    </w:lvl>
    <w:lvl w:ilvl="2" w:tplc="D342306E" w:tentative="1">
      <w:start w:val="1"/>
      <w:numFmt w:val="bullet"/>
      <w:lvlText w:val=""/>
      <w:lvlJc w:val="left"/>
      <w:pPr>
        <w:ind w:left="2160" w:hanging="360"/>
      </w:pPr>
      <w:rPr>
        <w:rFonts w:ascii="Wingdings" w:hAnsi="Wingdings" w:hint="default"/>
      </w:rPr>
    </w:lvl>
    <w:lvl w:ilvl="3" w:tplc="76B8D4C0" w:tentative="1">
      <w:start w:val="1"/>
      <w:numFmt w:val="bullet"/>
      <w:lvlText w:val=""/>
      <w:lvlJc w:val="left"/>
      <w:pPr>
        <w:ind w:left="2880" w:hanging="360"/>
      </w:pPr>
      <w:rPr>
        <w:rFonts w:ascii="Symbol" w:hAnsi="Symbol" w:hint="default"/>
      </w:rPr>
    </w:lvl>
    <w:lvl w:ilvl="4" w:tplc="8BA2589C" w:tentative="1">
      <w:start w:val="1"/>
      <w:numFmt w:val="bullet"/>
      <w:lvlText w:val="o"/>
      <w:lvlJc w:val="left"/>
      <w:pPr>
        <w:ind w:left="3600" w:hanging="360"/>
      </w:pPr>
      <w:rPr>
        <w:rFonts w:ascii="Courier New" w:hAnsi="Courier New" w:cs="Courier New" w:hint="default"/>
      </w:rPr>
    </w:lvl>
    <w:lvl w:ilvl="5" w:tplc="D37279CE" w:tentative="1">
      <w:start w:val="1"/>
      <w:numFmt w:val="bullet"/>
      <w:lvlText w:val=""/>
      <w:lvlJc w:val="left"/>
      <w:pPr>
        <w:ind w:left="4320" w:hanging="360"/>
      </w:pPr>
      <w:rPr>
        <w:rFonts w:ascii="Wingdings" w:hAnsi="Wingdings" w:hint="default"/>
      </w:rPr>
    </w:lvl>
    <w:lvl w:ilvl="6" w:tplc="3F4CD136" w:tentative="1">
      <w:start w:val="1"/>
      <w:numFmt w:val="bullet"/>
      <w:lvlText w:val=""/>
      <w:lvlJc w:val="left"/>
      <w:pPr>
        <w:ind w:left="5040" w:hanging="360"/>
      </w:pPr>
      <w:rPr>
        <w:rFonts w:ascii="Symbol" w:hAnsi="Symbol" w:hint="default"/>
      </w:rPr>
    </w:lvl>
    <w:lvl w:ilvl="7" w:tplc="B0C625CA" w:tentative="1">
      <w:start w:val="1"/>
      <w:numFmt w:val="bullet"/>
      <w:lvlText w:val="o"/>
      <w:lvlJc w:val="left"/>
      <w:pPr>
        <w:ind w:left="5760" w:hanging="360"/>
      </w:pPr>
      <w:rPr>
        <w:rFonts w:ascii="Courier New" w:hAnsi="Courier New" w:cs="Courier New" w:hint="default"/>
      </w:rPr>
    </w:lvl>
    <w:lvl w:ilvl="8" w:tplc="0672BD40" w:tentative="1">
      <w:start w:val="1"/>
      <w:numFmt w:val="bullet"/>
      <w:lvlText w:val=""/>
      <w:lvlJc w:val="left"/>
      <w:pPr>
        <w:ind w:left="6480" w:hanging="360"/>
      </w:pPr>
      <w:rPr>
        <w:rFonts w:ascii="Wingdings" w:hAnsi="Wingdings" w:hint="default"/>
      </w:rPr>
    </w:lvl>
  </w:abstractNum>
  <w:abstractNum w:abstractNumId="39">
    <w:nsid w:val="6F351A55"/>
    <w:multiLevelType w:val="hybridMultilevel"/>
    <w:tmpl w:val="1B526418"/>
    <w:lvl w:ilvl="0" w:tplc="09729602">
      <w:numFmt w:val="bullet"/>
      <w:lvlText w:val="–"/>
      <w:lvlJc w:val="left"/>
      <w:pPr>
        <w:tabs>
          <w:tab w:val="num" w:pos="0"/>
        </w:tabs>
        <w:ind w:left="720" w:hanging="360"/>
      </w:pPr>
      <w:rPr>
        <w:rFonts w:ascii="Verdana" w:eastAsia="Calibri" w:hAnsi="Verdana" w:cs="Times New Roman" w:hint="default"/>
        <w:b w:val="0"/>
        <w:bCs w:val="0"/>
        <w:i w:val="0"/>
        <w:iCs w:val="0"/>
        <w:caps w:val="0"/>
        <w:smallCaps w:val="0"/>
        <w:strike w:val="0"/>
        <w:dstrike w:val="0"/>
        <w:noProof w:val="0"/>
        <w:vanish w:val="0"/>
        <w:color w:val="auto"/>
        <w:spacing w:val="0"/>
        <w:w w:val="100"/>
        <w:kern w:val="0"/>
        <w:position w:val="0"/>
        <w:sz w:val="20"/>
        <w:szCs w:val="20"/>
        <w:highlight w:val="none"/>
        <w:u w:val="none"/>
        <w:effect w:val="none"/>
        <w:bdr w:val="nil"/>
        <w:shd w:val="clear" w:color="auto" w:fill="auto"/>
        <w:rtl w:val="0"/>
        <w:cs w:val="0"/>
      </w:rPr>
    </w:lvl>
    <w:lvl w:ilvl="1" w:tplc="39DAE92C">
      <w:start w:val="1"/>
      <w:numFmt w:val="bullet"/>
      <w:lvlText w:val="o"/>
      <w:lvlJc w:val="left"/>
      <w:pPr>
        <w:ind w:left="1440" w:hanging="360"/>
      </w:pPr>
      <w:rPr>
        <w:rFonts w:ascii="Courier New" w:hAnsi="Courier New" w:cs="Courier New" w:hint="default"/>
      </w:rPr>
    </w:lvl>
    <w:lvl w:ilvl="2" w:tplc="BCA0ED64" w:tentative="1">
      <w:start w:val="1"/>
      <w:numFmt w:val="bullet"/>
      <w:lvlText w:val=""/>
      <w:lvlJc w:val="left"/>
      <w:pPr>
        <w:ind w:left="2160" w:hanging="360"/>
      </w:pPr>
      <w:rPr>
        <w:rFonts w:ascii="Wingdings" w:hAnsi="Wingdings" w:hint="default"/>
      </w:rPr>
    </w:lvl>
    <w:lvl w:ilvl="3" w:tplc="AD201DB2" w:tentative="1">
      <w:start w:val="1"/>
      <w:numFmt w:val="bullet"/>
      <w:lvlText w:val=""/>
      <w:lvlJc w:val="left"/>
      <w:pPr>
        <w:ind w:left="2880" w:hanging="360"/>
      </w:pPr>
      <w:rPr>
        <w:rFonts w:ascii="Symbol" w:hAnsi="Symbol" w:hint="default"/>
      </w:rPr>
    </w:lvl>
    <w:lvl w:ilvl="4" w:tplc="9E6E7748" w:tentative="1">
      <w:start w:val="1"/>
      <w:numFmt w:val="bullet"/>
      <w:lvlText w:val="o"/>
      <w:lvlJc w:val="left"/>
      <w:pPr>
        <w:ind w:left="3600" w:hanging="360"/>
      </w:pPr>
      <w:rPr>
        <w:rFonts w:ascii="Courier New" w:hAnsi="Courier New" w:cs="Courier New" w:hint="default"/>
      </w:rPr>
    </w:lvl>
    <w:lvl w:ilvl="5" w:tplc="89366D1C" w:tentative="1">
      <w:start w:val="1"/>
      <w:numFmt w:val="bullet"/>
      <w:lvlText w:val=""/>
      <w:lvlJc w:val="left"/>
      <w:pPr>
        <w:ind w:left="4320" w:hanging="360"/>
      </w:pPr>
      <w:rPr>
        <w:rFonts w:ascii="Wingdings" w:hAnsi="Wingdings" w:hint="default"/>
      </w:rPr>
    </w:lvl>
    <w:lvl w:ilvl="6" w:tplc="4BEE52C6" w:tentative="1">
      <w:start w:val="1"/>
      <w:numFmt w:val="bullet"/>
      <w:lvlText w:val=""/>
      <w:lvlJc w:val="left"/>
      <w:pPr>
        <w:ind w:left="5040" w:hanging="360"/>
      </w:pPr>
      <w:rPr>
        <w:rFonts w:ascii="Symbol" w:hAnsi="Symbol" w:hint="default"/>
      </w:rPr>
    </w:lvl>
    <w:lvl w:ilvl="7" w:tplc="F6CA3BD0" w:tentative="1">
      <w:start w:val="1"/>
      <w:numFmt w:val="bullet"/>
      <w:lvlText w:val="o"/>
      <w:lvlJc w:val="left"/>
      <w:pPr>
        <w:ind w:left="5760" w:hanging="360"/>
      </w:pPr>
      <w:rPr>
        <w:rFonts w:ascii="Courier New" w:hAnsi="Courier New" w:cs="Courier New" w:hint="default"/>
      </w:rPr>
    </w:lvl>
    <w:lvl w:ilvl="8" w:tplc="2EC4A128" w:tentative="1">
      <w:start w:val="1"/>
      <w:numFmt w:val="bullet"/>
      <w:lvlText w:val=""/>
      <w:lvlJc w:val="left"/>
      <w:pPr>
        <w:ind w:left="6480" w:hanging="360"/>
      </w:pPr>
      <w:rPr>
        <w:rFonts w:ascii="Wingdings" w:hAnsi="Wingdings" w:hint="default"/>
      </w:rPr>
    </w:lvl>
  </w:abstractNum>
  <w:abstractNum w:abstractNumId="40">
    <w:nsid w:val="6F351A61"/>
    <w:multiLevelType w:val="hybridMultilevel"/>
    <w:tmpl w:val="7200EC64"/>
    <w:lvl w:ilvl="0" w:tplc="28247498">
      <w:start w:val="1"/>
      <w:numFmt w:val="bullet"/>
      <w:lvlText w:val=""/>
      <w:lvlJc w:val="left"/>
      <w:pPr>
        <w:ind w:left="720" w:hanging="360"/>
      </w:pPr>
      <w:rPr>
        <w:rFonts w:ascii="Symbol" w:hAnsi="Symbol" w:hint="default"/>
      </w:rPr>
    </w:lvl>
    <w:lvl w:ilvl="1" w:tplc="6330B770" w:tentative="1">
      <w:start w:val="1"/>
      <w:numFmt w:val="bullet"/>
      <w:lvlText w:val="o"/>
      <w:lvlJc w:val="left"/>
      <w:pPr>
        <w:ind w:left="1440" w:hanging="360"/>
      </w:pPr>
      <w:rPr>
        <w:rFonts w:ascii="Courier New" w:hAnsi="Courier New" w:cs="Courier New" w:hint="default"/>
      </w:rPr>
    </w:lvl>
    <w:lvl w:ilvl="2" w:tplc="EC96D0AE" w:tentative="1">
      <w:start w:val="1"/>
      <w:numFmt w:val="bullet"/>
      <w:lvlText w:val=""/>
      <w:lvlJc w:val="left"/>
      <w:pPr>
        <w:ind w:left="2160" w:hanging="360"/>
      </w:pPr>
      <w:rPr>
        <w:rFonts w:ascii="Wingdings" w:hAnsi="Wingdings" w:hint="default"/>
      </w:rPr>
    </w:lvl>
    <w:lvl w:ilvl="3" w:tplc="2CA2D042" w:tentative="1">
      <w:start w:val="1"/>
      <w:numFmt w:val="bullet"/>
      <w:lvlText w:val=""/>
      <w:lvlJc w:val="left"/>
      <w:pPr>
        <w:ind w:left="2880" w:hanging="360"/>
      </w:pPr>
      <w:rPr>
        <w:rFonts w:ascii="Symbol" w:hAnsi="Symbol" w:hint="default"/>
      </w:rPr>
    </w:lvl>
    <w:lvl w:ilvl="4" w:tplc="EFCACEBE" w:tentative="1">
      <w:start w:val="1"/>
      <w:numFmt w:val="bullet"/>
      <w:lvlText w:val="o"/>
      <w:lvlJc w:val="left"/>
      <w:pPr>
        <w:ind w:left="3600" w:hanging="360"/>
      </w:pPr>
      <w:rPr>
        <w:rFonts w:ascii="Courier New" w:hAnsi="Courier New" w:cs="Courier New" w:hint="default"/>
      </w:rPr>
    </w:lvl>
    <w:lvl w:ilvl="5" w:tplc="F228AE16" w:tentative="1">
      <w:start w:val="1"/>
      <w:numFmt w:val="bullet"/>
      <w:lvlText w:val=""/>
      <w:lvlJc w:val="left"/>
      <w:pPr>
        <w:ind w:left="4320" w:hanging="360"/>
      </w:pPr>
      <w:rPr>
        <w:rFonts w:ascii="Wingdings" w:hAnsi="Wingdings" w:hint="default"/>
      </w:rPr>
    </w:lvl>
    <w:lvl w:ilvl="6" w:tplc="FCC2452E" w:tentative="1">
      <w:start w:val="1"/>
      <w:numFmt w:val="bullet"/>
      <w:lvlText w:val=""/>
      <w:lvlJc w:val="left"/>
      <w:pPr>
        <w:ind w:left="5040" w:hanging="360"/>
      </w:pPr>
      <w:rPr>
        <w:rFonts w:ascii="Symbol" w:hAnsi="Symbol" w:hint="default"/>
      </w:rPr>
    </w:lvl>
    <w:lvl w:ilvl="7" w:tplc="435C9E7E" w:tentative="1">
      <w:start w:val="1"/>
      <w:numFmt w:val="bullet"/>
      <w:lvlText w:val="o"/>
      <w:lvlJc w:val="left"/>
      <w:pPr>
        <w:ind w:left="5760" w:hanging="360"/>
      </w:pPr>
      <w:rPr>
        <w:rFonts w:ascii="Courier New" w:hAnsi="Courier New" w:cs="Courier New" w:hint="default"/>
      </w:rPr>
    </w:lvl>
    <w:lvl w:ilvl="8" w:tplc="E4F8AB16" w:tentative="1">
      <w:start w:val="1"/>
      <w:numFmt w:val="bullet"/>
      <w:lvlText w:val=""/>
      <w:lvlJc w:val="left"/>
      <w:pPr>
        <w:ind w:left="6480" w:hanging="360"/>
      </w:pPr>
      <w:rPr>
        <w:rFonts w:ascii="Wingdings" w:hAnsi="Wingdings" w:hint="default"/>
      </w:rPr>
    </w:lvl>
  </w:abstractNum>
  <w:abstractNum w:abstractNumId="41">
    <w:nsid w:val="6F351A62"/>
    <w:multiLevelType w:val="hybridMultilevel"/>
    <w:tmpl w:val="E9BA324C"/>
    <w:lvl w:ilvl="0" w:tplc="63F420D6">
      <w:start w:val="1"/>
      <w:numFmt w:val="bullet"/>
      <w:lvlText w:val=""/>
      <w:lvlJc w:val="left"/>
      <w:pPr>
        <w:ind w:left="720" w:hanging="360"/>
      </w:pPr>
      <w:rPr>
        <w:rFonts w:ascii="Symbol" w:hAnsi="Symbol" w:hint="default"/>
      </w:rPr>
    </w:lvl>
    <w:lvl w:ilvl="1" w:tplc="1BD2CD7A" w:tentative="1">
      <w:start w:val="1"/>
      <w:numFmt w:val="bullet"/>
      <w:lvlText w:val="o"/>
      <w:lvlJc w:val="left"/>
      <w:pPr>
        <w:ind w:left="1440" w:hanging="360"/>
      </w:pPr>
      <w:rPr>
        <w:rFonts w:ascii="Courier New" w:hAnsi="Courier New" w:cs="Courier New" w:hint="default"/>
      </w:rPr>
    </w:lvl>
    <w:lvl w:ilvl="2" w:tplc="453EBC86" w:tentative="1">
      <w:start w:val="1"/>
      <w:numFmt w:val="bullet"/>
      <w:lvlText w:val=""/>
      <w:lvlJc w:val="left"/>
      <w:pPr>
        <w:ind w:left="2160" w:hanging="360"/>
      </w:pPr>
      <w:rPr>
        <w:rFonts w:ascii="Wingdings" w:hAnsi="Wingdings" w:hint="default"/>
      </w:rPr>
    </w:lvl>
    <w:lvl w:ilvl="3" w:tplc="E424C048" w:tentative="1">
      <w:start w:val="1"/>
      <w:numFmt w:val="bullet"/>
      <w:lvlText w:val=""/>
      <w:lvlJc w:val="left"/>
      <w:pPr>
        <w:ind w:left="2880" w:hanging="360"/>
      </w:pPr>
      <w:rPr>
        <w:rFonts w:ascii="Symbol" w:hAnsi="Symbol" w:hint="default"/>
      </w:rPr>
    </w:lvl>
    <w:lvl w:ilvl="4" w:tplc="45309A4C" w:tentative="1">
      <w:start w:val="1"/>
      <w:numFmt w:val="bullet"/>
      <w:lvlText w:val="o"/>
      <w:lvlJc w:val="left"/>
      <w:pPr>
        <w:ind w:left="3600" w:hanging="360"/>
      </w:pPr>
      <w:rPr>
        <w:rFonts w:ascii="Courier New" w:hAnsi="Courier New" w:cs="Courier New" w:hint="default"/>
      </w:rPr>
    </w:lvl>
    <w:lvl w:ilvl="5" w:tplc="02188C94" w:tentative="1">
      <w:start w:val="1"/>
      <w:numFmt w:val="bullet"/>
      <w:lvlText w:val=""/>
      <w:lvlJc w:val="left"/>
      <w:pPr>
        <w:ind w:left="4320" w:hanging="360"/>
      </w:pPr>
      <w:rPr>
        <w:rFonts w:ascii="Wingdings" w:hAnsi="Wingdings" w:hint="default"/>
      </w:rPr>
    </w:lvl>
    <w:lvl w:ilvl="6" w:tplc="7B086120" w:tentative="1">
      <w:start w:val="1"/>
      <w:numFmt w:val="bullet"/>
      <w:lvlText w:val=""/>
      <w:lvlJc w:val="left"/>
      <w:pPr>
        <w:ind w:left="5040" w:hanging="360"/>
      </w:pPr>
      <w:rPr>
        <w:rFonts w:ascii="Symbol" w:hAnsi="Symbol" w:hint="default"/>
      </w:rPr>
    </w:lvl>
    <w:lvl w:ilvl="7" w:tplc="8F4CC330" w:tentative="1">
      <w:start w:val="1"/>
      <w:numFmt w:val="bullet"/>
      <w:lvlText w:val="o"/>
      <w:lvlJc w:val="left"/>
      <w:pPr>
        <w:ind w:left="5760" w:hanging="360"/>
      </w:pPr>
      <w:rPr>
        <w:rFonts w:ascii="Courier New" w:hAnsi="Courier New" w:cs="Courier New" w:hint="default"/>
      </w:rPr>
    </w:lvl>
    <w:lvl w:ilvl="8" w:tplc="A4002750" w:tentative="1">
      <w:start w:val="1"/>
      <w:numFmt w:val="bullet"/>
      <w:lvlText w:val=""/>
      <w:lvlJc w:val="left"/>
      <w:pPr>
        <w:ind w:left="6480" w:hanging="360"/>
      </w:pPr>
      <w:rPr>
        <w:rFonts w:ascii="Wingdings" w:hAnsi="Wingdings" w:hint="default"/>
      </w:rPr>
    </w:lvl>
  </w:abstractNum>
  <w:abstractNum w:abstractNumId="42">
    <w:nsid w:val="6F351A66"/>
    <w:multiLevelType w:val="hybridMultilevel"/>
    <w:tmpl w:val="14BE167C"/>
    <w:lvl w:ilvl="0" w:tplc="DBBA027A">
      <w:start w:val="1"/>
      <w:numFmt w:val="bullet"/>
      <w:lvlText w:val=""/>
      <w:lvlJc w:val="left"/>
      <w:pPr>
        <w:ind w:left="720" w:hanging="360"/>
      </w:pPr>
      <w:rPr>
        <w:rFonts w:ascii="Symbol" w:hAnsi="Symbol" w:hint="default"/>
      </w:rPr>
    </w:lvl>
    <w:lvl w:ilvl="1" w:tplc="6B38C1E8" w:tentative="1">
      <w:start w:val="1"/>
      <w:numFmt w:val="bullet"/>
      <w:lvlText w:val="o"/>
      <w:lvlJc w:val="left"/>
      <w:pPr>
        <w:ind w:left="1440" w:hanging="360"/>
      </w:pPr>
      <w:rPr>
        <w:rFonts w:ascii="Courier New" w:hAnsi="Courier New" w:cs="Courier New" w:hint="default"/>
      </w:rPr>
    </w:lvl>
    <w:lvl w:ilvl="2" w:tplc="8F26263A" w:tentative="1">
      <w:start w:val="1"/>
      <w:numFmt w:val="bullet"/>
      <w:lvlText w:val=""/>
      <w:lvlJc w:val="left"/>
      <w:pPr>
        <w:ind w:left="2160" w:hanging="360"/>
      </w:pPr>
      <w:rPr>
        <w:rFonts w:ascii="Wingdings" w:hAnsi="Wingdings" w:hint="default"/>
      </w:rPr>
    </w:lvl>
    <w:lvl w:ilvl="3" w:tplc="049884E8" w:tentative="1">
      <w:start w:val="1"/>
      <w:numFmt w:val="bullet"/>
      <w:lvlText w:val=""/>
      <w:lvlJc w:val="left"/>
      <w:pPr>
        <w:ind w:left="2880" w:hanging="360"/>
      </w:pPr>
      <w:rPr>
        <w:rFonts w:ascii="Symbol" w:hAnsi="Symbol" w:hint="default"/>
      </w:rPr>
    </w:lvl>
    <w:lvl w:ilvl="4" w:tplc="412492C4" w:tentative="1">
      <w:start w:val="1"/>
      <w:numFmt w:val="bullet"/>
      <w:lvlText w:val="o"/>
      <w:lvlJc w:val="left"/>
      <w:pPr>
        <w:ind w:left="3600" w:hanging="360"/>
      </w:pPr>
      <w:rPr>
        <w:rFonts w:ascii="Courier New" w:hAnsi="Courier New" w:cs="Courier New" w:hint="default"/>
      </w:rPr>
    </w:lvl>
    <w:lvl w:ilvl="5" w:tplc="04B02066" w:tentative="1">
      <w:start w:val="1"/>
      <w:numFmt w:val="bullet"/>
      <w:lvlText w:val=""/>
      <w:lvlJc w:val="left"/>
      <w:pPr>
        <w:ind w:left="4320" w:hanging="360"/>
      </w:pPr>
      <w:rPr>
        <w:rFonts w:ascii="Wingdings" w:hAnsi="Wingdings" w:hint="default"/>
      </w:rPr>
    </w:lvl>
    <w:lvl w:ilvl="6" w:tplc="61CA009E" w:tentative="1">
      <w:start w:val="1"/>
      <w:numFmt w:val="bullet"/>
      <w:lvlText w:val=""/>
      <w:lvlJc w:val="left"/>
      <w:pPr>
        <w:ind w:left="5040" w:hanging="360"/>
      </w:pPr>
      <w:rPr>
        <w:rFonts w:ascii="Symbol" w:hAnsi="Symbol" w:hint="default"/>
      </w:rPr>
    </w:lvl>
    <w:lvl w:ilvl="7" w:tplc="22187C70" w:tentative="1">
      <w:start w:val="1"/>
      <w:numFmt w:val="bullet"/>
      <w:lvlText w:val="o"/>
      <w:lvlJc w:val="left"/>
      <w:pPr>
        <w:ind w:left="5760" w:hanging="360"/>
      </w:pPr>
      <w:rPr>
        <w:rFonts w:ascii="Courier New" w:hAnsi="Courier New" w:cs="Courier New" w:hint="default"/>
      </w:rPr>
    </w:lvl>
    <w:lvl w:ilvl="8" w:tplc="3F22778A" w:tentative="1">
      <w:start w:val="1"/>
      <w:numFmt w:val="bullet"/>
      <w:lvlText w:val=""/>
      <w:lvlJc w:val="left"/>
      <w:pPr>
        <w:ind w:left="6480" w:hanging="360"/>
      </w:pPr>
      <w:rPr>
        <w:rFonts w:ascii="Wingdings" w:hAnsi="Wingdings" w:hint="default"/>
      </w:rPr>
    </w:lvl>
  </w:abstractNum>
  <w:abstractNum w:abstractNumId="43">
    <w:nsid w:val="6F351A6D"/>
    <w:multiLevelType w:val="hybridMultilevel"/>
    <w:tmpl w:val="6CE4E562"/>
    <w:lvl w:ilvl="0" w:tplc="E14A5FFC">
      <w:start w:val="1"/>
      <w:numFmt w:val="bullet"/>
      <w:lvlText w:val=""/>
      <w:lvlJc w:val="left"/>
      <w:pPr>
        <w:ind w:left="720" w:hanging="360"/>
      </w:pPr>
      <w:rPr>
        <w:rFonts w:ascii="Symbol" w:hAnsi="Symbol" w:hint="default"/>
      </w:rPr>
    </w:lvl>
    <w:lvl w:ilvl="1" w:tplc="D79C330C">
      <w:start w:val="1"/>
      <w:numFmt w:val="bullet"/>
      <w:lvlText w:val="o"/>
      <w:lvlJc w:val="left"/>
      <w:pPr>
        <w:ind w:left="1440" w:hanging="360"/>
      </w:pPr>
      <w:rPr>
        <w:rFonts w:ascii="Courier New" w:hAnsi="Courier New" w:cs="Courier New" w:hint="default"/>
      </w:rPr>
    </w:lvl>
    <w:lvl w:ilvl="2" w:tplc="D1AA1546">
      <w:start w:val="1"/>
      <w:numFmt w:val="bullet"/>
      <w:lvlText w:val=""/>
      <w:lvlJc w:val="left"/>
      <w:pPr>
        <w:ind w:left="2160" w:hanging="360"/>
      </w:pPr>
      <w:rPr>
        <w:rFonts w:ascii="Wingdings" w:hAnsi="Wingdings" w:hint="default"/>
      </w:rPr>
    </w:lvl>
    <w:lvl w:ilvl="3" w:tplc="8E7A47B4">
      <w:start w:val="1"/>
      <w:numFmt w:val="bullet"/>
      <w:lvlText w:val=""/>
      <w:lvlJc w:val="left"/>
      <w:pPr>
        <w:ind w:left="2880" w:hanging="360"/>
      </w:pPr>
      <w:rPr>
        <w:rFonts w:ascii="Symbol" w:hAnsi="Symbol" w:hint="default"/>
      </w:rPr>
    </w:lvl>
    <w:lvl w:ilvl="4" w:tplc="475CE37C">
      <w:start w:val="1"/>
      <w:numFmt w:val="bullet"/>
      <w:lvlText w:val="o"/>
      <w:lvlJc w:val="left"/>
      <w:pPr>
        <w:ind w:left="3600" w:hanging="360"/>
      </w:pPr>
      <w:rPr>
        <w:rFonts w:ascii="Courier New" w:hAnsi="Courier New" w:cs="Courier New" w:hint="default"/>
      </w:rPr>
    </w:lvl>
    <w:lvl w:ilvl="5" w:tplc="8D963538">
      <w:start w:val="1"/>
      <w:numFmt w:val="bullet"/>
      <w:lvlText w:val=""/>
      <w:lvlJc w:val="left"/>
      <w:pPr>
        <w:ind w:left="4320" w:hanging="360"/>
      </w:pPr>
      <w:rPr>
        <w:rFonts w:ascii="Wingdings" w:hAnsi="Wingdings" w:hint="default"/>
      </w:rPr>
    </w:lvl>
    <w:lvl w:ilvl="6" w:tplc="FE0CB7AC">
      <w:start w:val="1"/>
      <w:numFmt w:val="bullet"/>
      <w:lvlText w:val=""/>
      <w:lvlJc w:val="left"/>
      <w:pPr>
        <w:ind w:left="5040" w:hanging="360"/>
      </w:pPr>
      <w:rPr>
        <w:rFonts w:ascii="Symbol" w:hAnsi="Symbol" w:hint="default"/>
      </w:rPr>
    </w:lvl>
    <w:lvl w:ilvl="7" w:tplc="EEB41024">
      <w:start w:val="1"/>
      <w:numFmt w:val="bullet"/>
      <w:lvlText w:val="o"/>
      <w:lvlJc w:val="left"/>
      <w:pPr>
        <w:ind w:left="5760" w:hanging="360"/>
      </w:pPr>
      <w:rPr>
        <w:rFonts w:ascii="Courier New" w:hAnsi="Courier New" w:cs="Courier New" w:hint="default"/>
      </w:rPr>
    </w:lvl>
    <w:lvl w:ilvl="8" w:tplc="8EB42F24">
      <w:start w:val="1"/>
      <w:numFmt w:val="bullet"/>
      <w:lvlText w:val=""/>
      <w:lvlJc w:val="left"/>
      <w:pPr>
        <w:ind w:left="6480" w:hanging="360"/>
      </w:pPr>
      <w:rPr>
        <w:rFonts w:ascii="Wingdings" w:hAnsi="Wingdings" w:hint="default"/>
      </w:rPr>
    </w:lvl>
  </w:abstractNum>
  <w:abstractNum w:abstractNumId="44">
    <w:nsid w:val="6F351A70"/>
    <w:multiLevelType w:val="hybridMultilevel"/>
    <w:tmpl w:val="7A0489D2"/>
    <w:lvl w:ilvl="0" w:tplc="D18A1DEE">
      <w:start w:val="1"/>
      <w:numFmt w:val="bullet"/>
      <w:lvlText w:val=""/>
      <w:lvlJc w:val="left"/>
      <w:pPr>
        <w:ind w:left="720" w:hanging="360"/>
      </w:pPr>
      <w:rPr>
        <w:rFonts w:ascii="Symbol" w:hAnsi="Symbol" w:hint="default"/>
      </w:rPr>
    </w:lvl>
    <w:lvl w:ilvl="1" w:tplc="7EBC650A">
      <w:start w:val="1"/>
      <w:numFmt w:val="bullet"/>
      <w:lvlText w:val="o"/>
      <w:lvlJc w:val="left"/>
      <w:pPr>
        <w:ind w:left="1440" w:hanging="360"/>
      </w:pPr>
      <w:rPr>
        <w:rFonts w:ascii="Courier New" w:hAnsi="Courier New" w:cs="Courier New" w:hint="default"/>
      </w:rPr>
    </w:lvl>
    <w:lvl w:ilvl="2" w:tplc="C0FAB282">
      <w:start w:val="1"/>
      <w:numFmt w:val="bullet"/>
      <w:lvlText w:val=""/>
      <w:lvlJc w:val="left"/>
      <w:pPr>
        <w:ind w:left="2160" w:hanging="360"/>
      </w:pPr>
      <w:rPr>
        <w:rFonts w:ascii="Wingdings" w:hAnsi="Wingdings" w:hint="default"/>
      </w:rPr>
    </w:lvl>
    <w:lvl w:ilvl="3" w:tplc="B76C47F6">
      <w:start w:val="1"/>
      <w:numFmt w:val="bullet"/>
      <w:lvlText w:val=""/>
      <w:lvlJc w:val="left"/>
      <w:pPr>
        <w:ind w:left="2880" w:hanging="360"/>
      </w:pPr>
      <w:rPr>
        <w:rFonts w:ascii="Symbol" w:hAnsi="Symbol" w:hint="default"/>
      </w:rPr>
    </w:lvl>
    <w:lvl w:ilvl="4" w:tplc="34B0CC3A">
      <w:start w:val="1"/>
      <w:numFmt w:val="bullet"/>
      <w:lvlText w:val="o"/>
      <w:lvlJc w:val="left"/>
      <w:pPr>
        <w:ind w:left="3600" w:hanging="360"/>
      </w:pPr>
      <w:rPr>
        <w:rFonts w:ascii="Courier New" w:hAnsi="Courier New" w:cs="Courier New" w:hint="default"/>
      </w:rPr>
    </w:lvl>
    <w:lvl w:ilvl="5" w:tplc="6742B638">
      <w:start w:val="1"/>
      <w:numFmt w:val="bullet"/>
      <w:lvlText w:val=""/>
      <w:lvlJc w:val="left"/>
      <w:pPr>
        <w:ind w:left="4320" w:hanging="360"/>
      </w:pPr>
      <w:rPr>
        <w:rFonts w:ascii="Wingdings" w:hAnsi="Wingdings" w:hint="default"/>
      </w:rPr>
    </w:lvl>
    <w:lvl w:ilvl="6" w:tplc="1128902C">
      <w:start w:val="1"/>
      <w:numFmt w:val="bullet"/>
      <w:lvlText w:val=""/>
      <w:lvlJc w:val="left"/>
      <w:pPr>
        <w:ind w:left="5040" w:hanging="360"/>
      </w:pPr>
      <w:rPr>
        <w:rFonts w:ascii="Symbol" w:hAnsi="Symbol" w:hint="default"/>
      </w:rPr>
    </w:lvl>
    <w:lvl w:ilvl="7" w:tplc="6BE00EB8">
      <w:start w:val="1"/>
      <w:numFmt w:val="bullet"/>
      <w:lvlText w:val="o"/>
      <w:lvlJc w:val="left"/>
      <w:pPr>
        <w:ind w:left="5760" w:hanging="360"/>
      </w:pPr>
      <w:rPr>
        <w:rFonts w:ascii="Courier New" w:hAnsi="Courier New" w:cs="Courier New" w:hint="default"/>
      </w:rPr>
    </w:lvl>
    <w:lvl w:ilvl="8" w:tplc="FE329030">
      <w:start w:val="1"/>
      <w:numFmt w:val="bullet"/>
      <w:lvlText w:val=""/>
      <w:lvlJc w:val="left"/>
      <w:pPr>
        <w:ind w:left="6480" w:hanging="360"/>
      </w:pPr>
      <w:rPr>
        <w:rFonts w:ascii="Wingdings" w:hAnsi="Wingdings" w:hint="default"/>
      </w:rPr>
    </w:lvl>
  </w:abstractNum>
  <w:abstractNum w:abstractNumId="45">
    <w:nsid w:val="6FC76223"/>
    <w:multiLevelType w:val="hybridMultilevel"/>
    <w:tmpl w:val="2A682C6A"/>
    <w:lvl w:ilvl="0" w:tplc="FE84BFF6">
      <w:start w:val="1"/>
      <w:numFmt w:val="lowerLetter"/>
      <w:lvlText w:val="%1)"/>
      <w:lvlJc w:val="left"/>
      <w:pPr>
        <w:ind w:left="720" w:hanging="360"/>
      </w:pPr>
    </w:lvl>
    <w:lvl w:ilvl="1" w:tplc="F8FC5FA4" w:tentative="1">
      <w:start w:val="1"/>
      <w:numFmt w:val="lowerLetter"/>
      <w:lvlText w:val="%2."/>
      <w:lvlJc w:val="left"/>
      <w:pPr>
        <w:ind w:left="1440" w:hanging="360"/>
      </w:pPr>
    </w:lvl>
    <w:lvl w:ilvl="2" w:tplc="903CB280" w:tentative="1">
      <w:start w:val="1"/>
      <w:numFmt w:val="lowerRoman"/>
      <w:lvlText w:val="%3."/>
      <w:lvlJc w:val="right"/>
      <w:pPr>
        <w:ind w:left="2160" w:hanging="180"/>
      </w:pPr>
    </w:lvl>
    <w:lvl w:ilvl="3" w:tplc="52563BB8" w:tentative="1">
      <w:start w:val="1"/>
      <w:numFmt w:val="decimal"/>
      <w:lvlText w:val="%4."/>
      <w:lvlJc w:val="left"/>
      <w:pPr>
        <w:ind w:left="2880" w:hanging="360"/>
      </w:pPr>
    </w:lvl>
    <w:lvl w:ilvl="4" w:tplc="844E18A8" w:tentative="1">
      <w:start w:val="1"/>
      <w:numFmt w:val="lowerLetter"/>
      <w:lvlText w:val="%5."/>
      <w:lvlJc w:val="left"/>
      <w:pPr>
        <w:ind w:left="3600" w:hanging="360"/>
      </w:pPr>
    </w:lvl>
    <w:lvl w:ilvl="5" w:tplc="5B309A9C" w:tentative="1">
      <w:start w:val="1"/>
      <w:numFmt w:val="lowerRoman"/>
      <w:lvlText w:val="%6."/>
      <w:lvlJc w:val="right"/>
      <w:pPr>
        <w:ind w:left="4320" w:hanging="180"/>
      </w:pPr>
    </w:lvl>
    <w:lvl w:ilvl="6" w:tplc="B802CE44" w:tentative="1">
      <w:start w:val="1"/>
      <w:numFmt w:val="decimal"/>
      <w:lvlText w:val="%7."/>
      <w:lvlJc w:val="left"/>
      <w:pPr>
        <w:ind w:left="5040" w:hanging="360"/>
      </w:pPr>
    </w:lvl>
    <w:lvl w:ilvl="7" w:tplc="BB400FB6" w:tentative="1">
      <w:start w:val="1"/>
      <w:numFmt w:val="lowerLetter"/>
      <w:lvlText w:val="%8."/>
      <w:lvlJc w:val="left"/>
      <w:pPr>
        <w:ind w:left="5760" w:hanging="360"/>
      </w:pPr>
    </w:lvl>
    <w:lvl w:ilvl="8" w:tplc="02AA77B2" w:tentative="1">
      <w:start w:val="1"/>
      <w:numFmt w:val="lowerRoman"/>
      <w:lvlText w:val="%9."/>
      <w:lvlJc w:val="right"/>
      <w:pPr>
        <w:ind w:left="6480" w:hanging="180"/>
      </w:pPr>
    </w:lvl>
  </w:abstractNum>
  <w:abstractNum w:abstractNumId="46">
    <w:nsid w:val="73CD595F"/>
    <w:multiLevelType w:val="hybridMultilevel"/>
    <w:tmpl w:val="B4CCA9D4"/>
    <w:lvl w:ilvl="0" w:tplc="6B5ABE64">
      <w:start w:val="1"/>
      <w:numFmt w:val="bullet"/>
      <w:lvlText w:val=""/>
      <w:lvlJc w:val="left"/>
      <w:pPr>
        <w:ind w:left="720" w:hanging="360"/>
      </w:pPr>
      <w:rPr>
        <w:rFonts w:ascii="Symbol" w:hAnsi="Symbol" w:hint="default"/>
      </w:rPr>
    </w:lvl>
    <w:lvl w:ilvl="1" w:tplc="8424FCC0" w:tentative="1">
      <w:start w:val="1"/>
      <w:numFmt w:val="bullet"/>
      <w:lvlText w:val="o"/>
      <w:lvlJc w:val="left"/>
      <w:pPr>
        <w:ind w:left="1440" w:hanging="360"/>
      </w:pPr>
      <w:rPr>
        <w:rFonts w:ascii="Courier New" w:hAnsi="Courier New" w:cs="Courier New" w:hint="default"/>
      </w:rPr>
    </w:lvl>
    <w:lvl w:ilvl="2" w:tplc="069C0BE4" w:tentative="1">
      <w:start w:val="1"/>
      <w:numFmt w:val="bullet"/>
      <w:lvlText w:val=""/>
      <w:lvlJc w:val="left"/>
      <w:pPr>
        <w:ind w:left="2160" w:hanging="360"/>
      </w:pPr>
      <w:rPr>
        <w:rFonts w:ascii="Wingdings" w:hAnsi="Wingdings" w:hint="default"/>
      </w:rPr>
    </w:lvl>
    <w:lvl w:ilvl="3" w:tplc="8F089AC0" w:tentative="1">
      <w:start w:val="1"/>
      <w:numFmt w:val="bullet"/>
      <w:lvlText w:val=""/>
      <w:lvlJc w:val="left"/>
      <w:pPr>
        <w:ind w:left="2880" w:hanging="360"/>
      </w:pPr>
      <w:rPr>
        <w:rFonts w:ascii="Symbol" w:hAnsi="Symbol" w:hint="default"/>
      </w:rPr>
    </w:lvl>
    <w:lvl w:ilvl="4" w:tplc="322ADB2A" w:tentative="1">
      <w:start w:val="1"/>
      <w:numFmt w:val="bullet"/>
      <w:lvlText w:val="o"/>
      <w:lvlJc w:val="left"/>
      <w:pPr>
        <w:ind w:left="3600" w:hanging="360"/>
      </w:pPr>
      <w:rPr>
        <w:rFonts w:ascii="Courier New" w:hAnsi="Courier New" w:cs="Courier New" w:hint="default"/>
      </w:rPr>
    </w:lvl>
    <w:lvl w:ilvl="5" w:tplc="7E64639E" w:tentative="1">
      <w:start w:val="1"/>
      <w:numFmt w:val="bullet"/>
      <w:lvlText w:val=""/>
      <w:lvlJc w:val="left"/>
      <w:pPr>
        <w:ind w:left="4320" w:hanging="360"/>
      </w:pPr>
      <w:rPr>
        <w:rFonts w:ascii="Wingdings" w:hAnsi="Wingdings" w:hint="default"/>
      </w:rPr>
    </w:lvl>
    <w:lvl w:ilvl="6" w:tplc="29D0671C" w:tentative="1">
      <w:start w:val="1"/>
      <w:numFmt w:val="bullet"/>
      <w:lvlText w:val=""/>
      <w:lvlJc w:val="left"/>
      <w:pPr>
        <w:ind w:left="5040" w:hanging="360"/>
      </w:pPr>
      <w:rPr>
        <w:rFonts w:ascii="Symbol" w:hAnsi="Symbol" w:hint="default"/>
      </w:rPr>
    </w:lvl>
    <w:lvl w:ilvl="7" w:tplc="F60E351C" w:tentative="1">
      <w:start w:val="1"/>
      <w:numFmt w:val="bullet"/>
      <w:lvlText w:val="o"/>
      <w:lvlJc w:val="left"/>
      <w:pPr>
        <w:ind w:left="5760" w:hanging="360"/>
      </w:pPr>
      <w:rPr>
        <w:rFonts w:ascii="Courier New" w:hAnsi="Courier New" w:cs="Courier New" w:hint="default"/>
      </w:rPr>
    </w:lvl>
    <w:lvl w:ilvl="8" w:tplc="F9BEA57E"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6"/>
  </w:num>
  <w:num w:numId="5">
    <w:abstractNumId w:val="0"/>
  </w:num>
  <w:num w:numId="6">
    <w:abstractNumId w:val="15"/>
  </w:num>
  <w:num w:numId="7">
    <w:abstractNumId w:val="22"/>
  </w:num>
  <w:num w:numId="8">
    <w:abstractNumId w:val="4"/>
  </w:num>
  <w:num w:numId="9">
    <w:abstractNumId w:val="32"/>
  </w:num>
  <w:num w:numId="10">
    <w:abstractNumId w:val="18"/>
  </w:num>
  <w:num w:numId="11">
    <w:abstractNumId w:val="37"/>
  </w:num>
  <w:num w:numId="12">
    <w:abstractNumId w:val="2"/>
  </w:num>
  <w:num w:numId="13">
    <w:abstractNumId w:val="8"/>
  </w:num>
  <w:num w:numId="14">
    <w:abstractNumId w:val="21"/>
  </w:num>
  <w:num w:numId="15">
    <w:abstractNumId w:val="9"/>
  </w:num>
  <w:num w:numId="16">
    <w:abstractNumId w:val="11"/>
  </w:num>
  <w:num w:numId="17">
    <w:abstractNumId w:val="14"/>
  </w:num>
  <w:num w:numId="18">
    <w:abstractNumId w:val="16"/>
  </w:num>
  <w:num w:numId="19">
    <w:abstractNumId w:val="46"/>
  </w:num>
  <w:num w:numId="20">
    <w:abstractNumId w:val="36"/>
  </w:num>
  <w:num w:numId="21">
    <w:abstractNumId w:val="29"/>
  </w:num>
  <w:num w:numId="22">
    <w:abstractNumId w:val="26"/>
  </w:num>
  <w:num w:numId="23">
    <w:abstractNumId w:val="33"/>
  </w:num>
  <w:num w:numId="24">
    <w:abstractNumId w:val="45"/>
  </w:num>
  <w:num w:numId="25">
    <w:abstractNumId w:val="25"/>
  </w:num>
  <w:num w:numId="26">
    <w:abstractNumId w:val="23"/>
  </w:num>
  <w:num w:numId="27">
    <w:abstractNumId w:val="35"/>
  </w:num>
  <w:num w:numId="28">
    <w:abstractNumId w:val="12"/>
  </w:num>
  <w:num w:numId="29">
    <w:abstractNumId w:val="31"/>
  </w:num>
  <w:num w:numId="30">
    <w:abstractNumId w:val="40"/>
  </w:num>
  <w:num w:numId="31">
    <w:abstractNumId w:val="41"/>
  </w:num>
  <w:num w:numId="32">
    <w:abstractNumId w:val="7"/>
  </w:num>
  <w:num w:numId="33">
    <w:abstractNumId w:val="17"/>
  </w:num>
  <w:num w:numId="34">
    <w:abstractNumId w:val="19"/>
  </w:num>
  <w:num w:numId="35">
    <w:abstractNumId w:val="42"/>
  </w:num>
  <w:num w:numId="36">
    <w:abstractNumId w:val="24"/>
  </w:num>
  <w:num w:numId="37">
    <w:abstractNumId w:val="13"/>
  </w:num>
  <w:num w:numId="38">
    <w:abstractNumId w:val="27"/>
  </w:num>
  <w:num w:numId="39">
    <w:abstractNumId w:val="28"/>
  </w:num>
  <w:num w:numId="40">
    <w:abstractNumId w:val="10"/>
  </w:num>
  <w:num w:numId="41">
    <w:abstractNumId w:val="43"/>
  </w:num>
  <w:num w:numId="42">
    <w:abstractNumId w:val="34"/>
  </w:num>
  <w:num w:numId="43">
    <w:abstractNumId w:val="44"/>
  </w:num>
  <w:num w:numId="44">
    <w:abstractNumId w:val="30"/>
  </w:num>
  <w:num w:numId="45">
    <w:abstractNumId w:val="20"/>
  </w:num>
  <w:num w:numId="46">
    <w:abstractNumId w:val="38"/>
  </w:num>
  <w:num w:numId="47">
    <w:abstractNumId w:val="3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907"/>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IP_META_" w:val="&lt;OBJECT&gt;&lt;META&gt;&lt;ID&gt;&lt;/ID&gt;&lt;NAME&gt;&lt;/NAME&gt;&lt;TYPE&gt;&lt;ID&gt;23&lt;/ID&gt;&lt;FRIENDLYNAME&gt;Field&lt;/FRIENDLYNAME&gt;&lt;LABEL&gt;&lt;/LABEL&gt;&lt;/TYPE&gt;&lt;STATUS&gt;NEW&lt;/STATUS&gt;&lt;INFO&gt;&lt;/INFO&gt;&lt;/META&gt;&lt;UPDATE&gt;&lt;DATE&gt;&lt;/DATE&gt;&lt;/UPDATE&gt;&lt;QUERIES&gt;&lt;META&gt;&lt;DATAPROVIDER&gt;&lt;/DATAPROVIDER&gt;&lt;/META&gt;&lt;QUERY reftype=&quot;&quot; elmntsel=&quot;&quot;&gt;&lt;META&gt;&lt;REFERENCE&gt;&lt;/REFERENCE&gt;&lt;/META&gt;&lt;SELECT&gt;&lt;/SELECT&gt;&lt;FILTERS&gt;&lt;FILTER&gt;&lt;/FILTER&gt;&lt;/FILTERS&gt;&lt;/QUERY&gt;&lt;/QUERIES&gt;&lt;/OBJECT&gt;"/>
    <w:docVar w:name="BIP_META_DOC_TBL00001" w:val="&lt;OBJECT&gt;&lt;META&gt;&lt;ID&gt;&lt;/ID&gt;&lt;NAME&gt;DOC_TBL0000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0.36&lt;/DATE&gt;&lt;DYNAMIZEDBY&gt;vignoal&lt;/DYNAMIZEDBY&gt;&lt;DYNAMIZEDON&gt;3/10/2015 1:54:27 PM&lt;/DYNAMIZEDON&gt;&lt;LASTUPDATEDBY&gt;mileuma&lt;/LASTUPDATEDBY&gt;&lt;LASTUPDATEDON&gt;6/12/2019 10:54:20 AM&lt;/LASTUPDATEDON&gt;&lt;UTC&gt;1&lt;/UTC&gt;&lt;/UPDATE&gt;&lt;QUERIES bbk=&quot;14820&quot; bbkdesc=&quot;2018 Annual Accounts/EU Annual Accounts/DC - Balance Sheet&quot; datapro=&quot;BS&quot; tdatapro=&quot;BS&quot; author=&quot;&quot; modtime=&quot;6/12/2019 8:54:05 AM&quot; moduser=&quot;milemar&quot; rolluptime=&quot;&quot; syuser=&quot;milemar&quot; syuzeit=&quot;6/12/2019 8:54:05 AM&quot; root=&quot;/BBOOK/DATAPROVIDER[./META/PROPS/ID='BS']/DATA&quot; colcount=&quot;4&quot; rowcount=&quot;37&quot; url=&quot;&quot; dynamizeds=&quot;SAP Disclosure Management - Production&quot; dynamizedstype=&quot;9&quot; refreshds=&quot;&quot; viewtype=&quot;1&quot;&gt;&lt;QUERY reftype=&quot;ABS&quot; elmntsel=&quot;TABLE&quot; bbk=&quot;14820&quot; bbkdesc=&quot;2018 Annual Accounts/EU Annual Accounts/DC - Balance Sheet&quot; datapro=&quot;BS&quot; infos=&quot;&quot; iscomment=&quot;0&quot;&gt;&lt;SELECT&gt;/BBOOK/DATAPROVIDER[./META/PROPS/ID='BS']/DATA/ROW&lt;/SELECT&gt;&lt;FILTERS&gt;&lt;FILTER&gt;&lt;/FILTER&gt;&lt;/FILTERS&gt;&lt;/QUERY&gt;&lt;/QUERIES&gt;&lt;/OBJECT&gt;"/>
    <w:docVar w:name="BIP_META_DOC_TBL00002" w:val="&lt;OBJECT&gt;&lt;META&gt;&lt;ID&gt;&lt;/ID&gt;&lt;NAME&gt;DOC_TBL0000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preutan&lt;/DYNAMIZEDBY&gt;&lt;DYNAMIZEDON&gt;23/03/2018 14:44:41&lt;/DYNAMIZEDON&gt;&lt;LASTUPDATEDBY&gt;milemar&lt;/LASTUPDATEDBY&gt;&lt;LASTUPDATEDON&gt;6/12/2019 8:53:02 AM&lt;/LASTUPDATEDON&gt;&lt;UTC&gt;1&lt;/UTC&gt;&lt;/UPDATE&gt;&lt;QUERIES bbk=&quot;14836&quot; bbkdesc=&quot;2018 Annual Accounts/EU Annual Accounts/DC - Statement of Financial Performance&quot; datapro=&quot;FP&quot; tdatapro=&quot;FP&quot; author=&quot;&quot; modtime=&quot;3/24/2017 1:27:07 PM&quot; moduser=&quot;porteca&quot; rolluptime=&quot;&quot; syuser=&quot;porteca&quot; syuzeit=&quot;3/24/2017 1:27:07 PM&quot; root=&quot;/DATA&quot; colcount=&quot;4&quot; rowcount=&quot;34&quot; url=&quot;&quot; dynamizeds=&quot;SAP Disclosure Management - Production&quot; dynamizedstype=&quot;9&quot; refreshds=&quot;&quot; viewtype=&quot;1&quot;&gt;&lt;QUERY reftype=&quot;ABS&quot; elmntsel=&quot;TABLE&quot; bbk=&quot;14836&quot; bbkdesc=&quot;2018 Annual Accounts/EU Annual Accounts/DC - Statement of Financial Performance&quot; datapro=&quot;FP&quot; infos=&quot;&quot; iscomment=&quot;0&quot;&gt;&lt;SELECT&gt;/BBOOK/DATAPROVIDER[./META/PROPS/ID='FP']/DATA/ROW&lt;/SELECT&gt;&lt;FILTERS&gt;&lt;FILTER&gt;&lt;/FILTER&gt;&lt;/FILTERS&gt;&lt;/QUERY&gt;&lt;/QUERIES&gt;&lt;/OBJECT&gt;"/>
    <w:docVar w:name="BIP_META_DOC_TBL00003" w:val="&lt;OBJECT&gt;&lt;META&gt;&lt;ID&gt;&lt;/ID&gt;&lt;NAME&gt;DOC_TBL0000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preutan&lt;/DYNAMIZEDBY&gt;&lt;DYNAMIZEDON&gt;27/03/2018 08:14:49&lt;/DYNAMIZEDON&gt;&lt;LASTUPDATEDBY&gt;milemar&lt;/LASTUPDATEDBY&gt;&lt;LASTUPDATEDON&gt;6/12/2019 8:51:43 AM&lt;/LASTUPDATEDON&gt;&lt;UTC&gt;1&lt;/UTC&gt;&lt;/UPDATE&gt;&lt;QUERIES bbk=&quot;14837&quot; bbkdesc=&quot;2018 Annual Accounts/EU Annual Accounts/DC - Cashflow statement&quot; datapro=&quot;CF&quot; tdatapro=&quot;CF&quot; author=&quot;&quot; modtime=&quot;3/13/2015 3:44:48 PM&quot; moduser=&quot;servela&quot; rolluptime=&quot;&quot; syuser=&quot;servela&quot; syuzeit=&quot;3/13/2015 3:44:48 PM&quot; root=&quot;/DATA&quot; colcount=&quot;3&quot; rowcount=&quot;30&quot; url=&quot;&quot; dynamizeds=&quot;SAP Disclosure Management - Production&quot; dynamizedstype=&quot;9&quot; refreshds=&quot;&quot; viewtype=&quot;1&quot;&gt;&lt;QUERY reftype=&quot;ABS&quot; elmntsel=&quot;TABLE&quot; bbk=&quot;14837&quot; bbkdesc=&quot;2018 Annual Accounts/EU Annual Accounts/DC - Cashflow statement&quot; datapro=&quot;CF&quot; infos=&quot;&quot; iscomment=&quot;0&quot;&gt;&lt;SELECT&gt;/BBOOK/DATAPROVIDER[./META/PROPS/ID='CF']/DATA/ROW&lt;/SELECT&gt;&lt;FILTERS&gt;&lt;FILTER&gt;&lt;/FILTER&gt;&lt;/FILTERS&gt;&lt;/QUERY&gt;&lt;/QUERIES&gt;&lt;/OBJECT&gt;"/>
    <w:docVar w:name="BIP_META_DOC_TBL00004" w:val="&lt;OBJECT&gt;&lt;META&gt;&lt;ID&gt;&lt;/ID&gt;&lt;NAME&gt;DOC_TBL0000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mileuma&lt;/DYNAMIZEDBY&gt;&lt;DYNAMIZEDON&gt;15/01/2019 15:15:50&lt;/DYNAMIZEDON&gt;&lt;LASTUPDATEDBY&gt;ruberla&lt;/LASTUPDATEDBY&gt;&lt;LASTUPDATEDON&gt;6/12/2019 1:57:18 PM&lt;/LASTUPDATEDON&gt;&lt;UTC&gt;1&lt;/UTC&gt;&lt;/UPDATE&gt;&lt;QUERIES bbk=&quot;14807&quot; bbkdesc=&quot;2018 Annual Accounts/EU Annual Accounts/DC - Statement of changes in net assets EU&quot; datapro=&quot;SOC&quot; tdatapro=&quot;SOC&quot; author=&quot;&quot; modtime=&quot;6/12/2019 1:53:23 PM&quot; moduser=&quot;Ruberla&quot; rolluptime=&quot;&quot; syuser=&quot;Ruberla&quot; syuzeit=&quot;6/12/2019 1:53:23 PM&quot; root=&quot;/BBOOK/DATAPROVIDER[./META/PROPS/ID='SOC']/DATA&quot; colcount=&quot;5&quot; rowcount=&quot;16&quot; url=&quot;&quot; dynamizeds=&quot;SAP Disclosure Management - Production&quot; dynamizedstype=&quot;9&quot; refreshds=&quot;&quot; viewtype=&quot;1&quot;&gt;&lt;QUERY reftype=&quot;ABS&quot; elmntsel=&quot;TABLE&quot; bbk=&quot;14807&quot; bbkdesc=&quot;2018 Annual Accounts/EU Annual Accounts/DC - Statement of changes in net assets EU&quot; datapro=&quot;SOC&quot; infos=&quot;&quot; iscomment=&quot;0&quot;&gt;&lt;SELECT&gt;/BBOOK/DATAPROVIDER[./META/PROPS/ID='SOC']/DATA/ROW&lt;/SELECT&gt;&lt;FILTERS&gt;&lt;FILTER&gt;&lt;/FILTER&gt;&lt;/FILTERS&gt;&lt;/QUERY&gt;&lt;/QUERIES&gt;&lt;/OBJECT&gt;"/>
    <w:docVar w:name="BIP_META_DOC_TBL00005" w:val="&lt;OBJECT&gt;&lt;META&gt;&lt;ID&gt;&lt;/ID&gt;&lt;NAME&gt;DOC_TBL0000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16/03/2017 10:02:58&lt;/DYNAMIZEDON&gt;&lt;LASTUPDATEDBY&gt;milemar&lt;/LASTUPDATEDBY&gt;&lt;LASTUPDATEDON&gt;6/12/2019 8:49:19 AM&lt;/LASTUPDATEDON&gt;&lt;UTC&gt;1&lt;/UTC&gt;&lt;/UPDATE&gt;&lt;QUERIES bbk=&quot;14767&quot; bbkdesc=&quot;2018 Annual Accounts/EU Annual Accounts/DC - Currency table&quot; datapro=&quot;CURRENCY&quot; tdatapro=&quot;CURRENCY&quot; author=&quot;&quot; modtime=&quot;6/12/2019 8:49:14 AM&quot; moduser=&quot;milemar&quot; rolluptime=&quot;&quot; syuser=&quot;milemar&quot; syuzeit=&quot;6/12/2019 8:49:14 AM&quot; root=&quot;/BBOOK/DATAPROVIDER[./META/PROPS/ID='CURRENCY']/DATA&quot; colcount=&quot;6&quot; rowcount=&quot;7&quot; url=&quot;&quot; dynamizeds=&quot;SAP Disclosure Management - Production&quot; dynamizedstype=&quot;9&quot; refreshds=&quot;&quot; viewtype=&quot;1&quot;&gt;&lt;QUERY reftype=&quot;ABS&quot; elmntsel=&quot;TABLE&quot; bbk=&quot;14767&quot; bbkdesc=&quot;2018 Annual Accounts/EU Annual Accounts/DC - Currency table&quot; datapro=&quot;CURRENCY&quot; infos=&quot;&quot; iscomment=&quot;0&quot;&gt;&lt;SELECT&gt;/BBOOK/DATAPROVIDER[./META/PROPS/ID='CURRENCY']/DATA/ROW&lt;/SELECT&gt;&lt;FILTERS&gt;&lt;FILTER&gt;&lt;/FILTER&gt;&lt;/FILTERS&gt;&lt;/QUERY&gt;&lt;/QUERIES&gt;&lt;/OBJECT&gt;"/>
    <w:docVar w:name="BIP_META_DOC_TBL00006" w:val="&lt;OBJECT&gt;&lt;META&gt;&lt;ID&gt;&lt;/ID&gt;&lt;NAME&gt;DOC_TBL0000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koehlmn&lt;/DYNAMIZEDBY&gt;&lt;DYNAMIZEDON&gt;3/26/2017 1:14:35 PM&lt;/DYNAMIZEDON&gt;&lt;LASTUPDATEDBY&gt;milemar&lt;/LASTUPDATEDBY&gt;&lt;LASTUPDATEDON&gt;6/12/2019 8:49:19 AM&lt;/LASTUPDATEDON&gt;&lt;UTC&gt;1&lt;/UTC&gt;&lt;/UPDATE&gt;&lt;QUERIES bbk=&quot;14785&quot; bbkdesc=&quot;2018 Annual Accounts/EU Annual Accounts/DC - DeprecRates&quot; datapro=&quot;DEPRECRATES&quot; tdatapro=&quot;DEPRECRATES&quot; author=&quot;&quot; modtime=&quot;2/8/2016 12:25:42 PM&quot; moduser=&quot;koehlmn&quot; rolluptime=&quot;&quot; syuser=&quot;koehlmn&quot; syuzeit=&quot;2/8/2016 12:25:42 PM&quot; root=&quot;/DATA&quot; colcount=&quot;2&quot; rowcount=&quot;8&quot; url=&quot;&quot; dynamizeds=&quot;SAP Disclosure Management - Production&quot; dynamizedstype=&quot;9&quot; refreshds=&quot;&quot; viewtype=&quot;1&quot;&gt;&lt;QUERY reftype=&quot;ABS&quot; elmntsel=&quot;TABLE&quot; bbk=&quot;14785&quot; bbkdesc=&quot;2018 Annual Accounts/EU Annual Accounts/DC - DeprecRates&quot; datapro=&quot;DEPRECRATES&quot; infos=&quot;&quot; iscomment=&quot;0&quot;&gt;&lt;SELECT&gt;/BBOOK/DATAPROVIDER[./META/PROPS/ID='DEPRECRATES']/DATA/ROW&lt;/SELECT&gt;&lt;FILTERS&gt;&lt;FILTER&gt;&lt;/FILTER&gt;&lt;/FILTERS&gt;&lt;/QUERY&gt;&lt;/QUERIES&gt;&lt;/OBJECT&gt;"/>
    <w:docVar w:name="BIP_META_DOC_TBL00007" w:val="&lt;OBJECT&gt;&lt;META&gt;&lt;ID&gt;&lt;/ID&gt;&lt;NAME&gt;DOC_TBL0000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preutan&lt;/DYNAMIZEDBY&gt;&lt;DYNAMIZEDON&gt;20-03-2019 09:51:01&lt;/DYNAMIZEDON&gt;&lt;LASTUPDATEDBY&gt;milemar&lt;/LASTUPDATEDBY&gt;&lt;LASTUPDATEDON&gt;6/12/2019 8:50:08 AM&lt;/LASTUPDATEDON&gt;&lt;UTC&gt;1&lt;/UTC&gt;&lt;/UPDATE&gt;&lt;QUERIES bbk=&quot;14806&quot; bbkdesc=&quot;2018 Annual Accounts/EU Annual Accounts/DC - Intangible fixed assets&quot; datapro=&quot;ITFA&quot; tdatapro=&quot;ITFA&quot; author=&quot;&quot; modtime=&quot;3/12/2015 9:54:58 AM&quot; moduser=&quot;servela&quot; rolluptime=&quot;&quot; syuser=&quot;servela&quot; syuzeit=&quot;3/12/2015 9:54:58 AM&quot; root=&quot;/DATA&quot; colcount=&quot;2&quot; rowcount=&quot;19&quot; url=&quot;&quot; dynamizeds=&quot;SAP Disclosure Management - Production&quot; dynamizedstype=&quot;9&quot; refreshds=&quot;&quot; viewtype=&quot;1&quot;&gt;&lt;QUERY reftype=&quot;ABS&quot; elmntsel=&quot;TABLE&quot; bbk=&quot;14806&quot; bbkdesc=&quot;2018 Annual Accounts/EU Annual Accounts/DC - Intangible fixed assets&quot; datapro=&quot;ITFA&quot; infos=&quot;&quot; iscomment=&quot;0&quot;&gt;&lt;SELECT&gt;/BBOOK/DATAPROVIDER[./META/PROPS/ID='ITFA']/DATA/ROW&lt;/SELECT&gt;&lt;FILTERS&gt;&lt;FILTER&gt;&lt;/FILTER&gt;&lt;/FILTERS&gt;&lt;/QUERY&gt;&lt;/QUERIES&gt;&lt;/OBJECT&gt;"/>
    <w:docVar w:name="BIP_META_DOC_TBL00008" w:val="&lt;OBJECT&gt;&lt;META&gt;&lt;ID&gt;&lt;/ID&gt;&lt;NAME&gt;DOC_TBL0000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preutan&lt;/DYNAMIZEDBY&gt;&lt;DYNAMIZEDON&gt;15/06/2017 14:52:04&lt;/DYNAMIZEDON&gt;&lt;LASTUPDATEDBY&gt;koehlmn&lt;/LASTUPDATEDBY&gt;&lt;LASTUPDATEDON&gt;6/17/2019 9:09:47 AM&lt;/LASTUPDATEDON&gt;&lt;UTC&gt;1&lt;/UTC&gt;&lt;/UPDATE&gt;&lt;QUERIES bbk=&quot;14808&quot; bbkdesc=&quot;2018 Annual Accounts/EU Annual Accounts/DC - PPE&quot; datapro=&quot;PPE&quot; tdatapro=&quot;PPE&quot; author=&quot;&quot; modtime=&quot;6/17/2019 9:09:11 AM&quot; moduser=&quot;koehlmn&quot; rolluptime=&quot;&quot; syuser=&quot;koehlmn&quot; syuzeit=&quot;6/17/2019 9:09:11 AM&quot; root=&quot;/BBOOK/DATAPROVIDER[./META/PROPS/ID='PPE']/DATA&quot; colcount=&quot;10&quot; rowcount=&quot;18&quot; url=&quot;&quot; dynamizeds=&quot;SAP Disclosure Management - Production&quot; dynamizedstype=&quot;9&quot; refreshds=&quot;&quot; viewtype=&quot;1&quot;&gt;&lt;QUERY reftype=&quot;ABS&quot; elmntsel=&quot;TABLE&quot; bbk=&quot;14808&quot; bbkdesc=&quot;2018 Annual Accounts/EU Annual Accounts/DC - PPE&quot; datapro=&quot;PPE&quot; infos=&quot;&quot; iscomment=&quot;0&quot;&gt;&lt;SELECT&gt;/BBOOK/DATAPROVIDER[./META/PROPS/ID='PPE']/DATA/ROW&lt;/SELECT&gt;&lt;FILTERS&gt;&lt;FILTER&gt;&lt;/FILTER&gt;&lt;/FILTERS&gt;&lt;/QUERY&gt;&lt;/QUERIES&gt;&lt;/OBJECT&gt;"/>
    <w:docVar w:name="BIP_META_DOC_TBL00009" w:val="&lt;OBJECT&gt;&lt;META&gt;&lt;ID&gt;&lt;/ID&gt;&lt;NAME&gt;DOC_TBL0000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preutan&lt;/DYNAMIZEDBY&gt;&lt;DYNAMIZEDON&gt;23/03/2018 15:10:45&lt;/DYNAMIZEDON&gt;&lt;LASTUPDATEDBY&gt;milemar&lt;/LASTUPDATEDBY&gt;&lt;LASTUPDATEDON&gt;6/12/2019 8:52:46 AM&lt;/LASTUPDATEDON&gt;&lt;UTC&gt;1&lt;/UTC&gt;&lt;/UPDATE&gt;&lt;QUERIES bbk=&quot;14045&quot; bbkdesc=&quot;2018 Annual Accounts/EC Annual Accounts/DC - Investments accounted for using the equity method new&quot; datapro=&quot;PARTASS1&quot; tdatapro=&quot;PARTASS1&quot; author=&quot;&quot; modtime=&quot;3/21/2018 9:55:18 AM&quot; moduser=&quot;preutan&quot; rolluptime=&quot;&quot; syuser=&quot;preutan&quot; syuzeit=&quot;3/21/2018 9:55:18 AM&quot; root=&quot;/DATA&quot; colcount=&quot;2&quot; rowcount=&quot;10&quot; url=&quot;&quot; dynamizeds=&quot;SAP Disclosure Management - Production&quot; dynamizedstype=&quot;9&quot; refreshds=&quot;&quot; viewtype=&quot;1&quot;&gt;&lt;QUERY reftype=&quot;ABS&quot; elmntsel=&quot;TABLE&quot; bbk=&quot;14045&quot; bbkdesc=&quot;2018 Annual Accounts/EC Annual Accounts/DC - Investments accounted for using the equity method new&quot; datapro=&quot;PARTASS1&quot; infos=&quot;&quot; iscomment=&quot;0&quot;&gt;&lt;SELECT&gt;/BBOOK/DATAPROVIDER[./META/PROPS/ID='PARTASS1']/DATA/ROW&lt;/SELECT&gt;&lt;FILTERS&gt;&lt;FILTER&gt;&lt;/FILTER&gt;&lt;/FILTERS&gt;&lt;/QUERY&gt;&lt;/QUERIES&gt;&lt;/OBJECT&gt;"/>
    <w:docVar w:name="BIP_META_DOC_TBL00010" w:val="&lt;OBJECT&gt;&lt;META&gt;&lt;ID&gt;&lt;/ID&gt;&lt;NAME&gt;DOC_TBL0001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servela&lt;/DYNAMIZEDBY&gt;&lt;DYNAMIZEDON&gt;10/2/2017 4:07:31 PM&lt;/DYNAMIZEDON&gt;&lt;LASTUPDATEDBY&gt;milemar&lt;/LASTUPDATEDBY&gt;&lt;LASTUPDATEDON&gt;6/12/2019 8:52:46 AM&lt;/LASTUPDATEDON&gt;&lt;UTC&gt;1&lt;/UTC&gt;&lt;/UPDATE&gt;&lt;QUERIES bbk=&quot;14045&quot; bbkdesc=&quot;2018 Annual Accounts/EC Annual Accounts/DC - Investments accounted for using the equity method new&quot; datapro=&quot;PARTASS2&quot; tdatapro=&quot;PARTASS2&quot; author=&quot;&quot; modtime=&quot;6/6/2019 5:19:21 PM&quot; moduser=&quot;milemar&quot; rolluptime=&quot;&quot; syuser=&quot;milemar&quot; syuzeit=&quot;6/6/2019 5:19:21 PM&quot; root=&quot;/BBOOK/DATAPROVIDER[./META/PROPS/ID='PARTASS2']/DATA&quot; colcount=&quot;3&quot; rowcount=&quot;8&quot; url=&quot;&quot; dynamizeds=&quot;SAP Disclosure Management - Production&quot; dynamizedstype=&quot;9&quot; refreshds=&quot;&quot; viewtype=&quot;1&quot;&gt;&lt;QUERY reftype=&quot;ABS&quot; elmntsel=&quot;TABLE&quot; bbk=&quot;14045&quot; bbkdesc=&quot;2018 Annual Accounts/EC Annual Accounts/DC - Investments accounted for using the equity method new&quot; datapro=&quot;PARTASS2&quot; infos=&quot;&quot; iscomment=&quot;0&quot;&gt;&lt;SELECT&gt;/BBOOK/DATAPROVIDER[./META/PROPS/ID='PARTASS2']/DATA/ROW&lt;/SELECT&gt;&lt;FILTERS&gt;&lt;FILTER&gt;&lt;/FILTER&gt;&lt;/FILTERS&gt;&lt;/QUERY&gt;&lt;/QUERIES&gt;&lt;/OBJECT&gt;"/>
    <w:docVar w:name="BIP_META_DOC_TBL00011" w:val="&lt;OBJECT&gt;&lt;META&gt;&lt;ID&gt;&lt;/ID&gt;&lt;NAME&gt;DOC_TBL0001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servela&lt;/DYNAMIZEDBY&gt;&lt;DYNAMIZEDON&gt;3/20/2018 3:03:11 PM&lt;/DYNAMIZEDON&gt;&lt;LASTUPDATEDBY&gt;milemar&lt;/LASTUPDATEDBY&gt;&lt;LASTUPDATEDON&gt;6/12/2019 8:52:46 AM&lt;/LASTUPDATEDON&gt;&lt;UTC&gt;1&lt;/UTC&gt;&lt;/UPDATE&gt;&lt;QUERIES bbk=&quot;14045&quot; bbkdesc=&quot;2018 Annual Accounts/EC Annual Accounts/DC - Investments accounted for using the equity method new&quot; datapro=&quot;EM&quot; tdatapro=&quot;EM&quot; author=&quot;&quot; modtime=&quot;6/6/2019 5:19:21 PM&quot; moduser=&quot;milemar&quot; rolluptime=&quot;&quot; syuser=&quot;milemar&quot; syuzeit=&quot;6/6/2019 5:19:21 PM&quot; root=&quot;/BBOOK/DATAPROVIDER[./META/PROPS/ID='EM']/DATA&quot; colcount=&quot;3&quot; rowcount=&quot;5&quot; url=&quot;&quot; dynamizeds=&quot;SAP Disclosure Management - Production&quot; dynamizedstype=&quot;9&quot; refreshds=&quot;&quot; viewtype=&quot;1&quot;&gt;&lt;QUERY reftype=&quot;ABS&quot; elmntsel=&quot;TABLE&quot; bbk=&quot;14045&quot; bbkdesc=&quot;2018 Annual Accounts/EC Annual Accounts/DC - Investments accounted for using the equity method new&quot; datapro=&quot;EM&quot; infos=&quot;&quot; iscomment=&quot;0&quot;&gt;&lt;SELECT&gt;/BBOOK/DATAPROVIDER[./META/PROPS/ID='EM']/DATA/ROW&lt;/SELECT&gt;&lt;FILTERS&gt;&lt;FILTER&gt;&lt;/FILTER&gt;&lt;/FILTERS&gt;&lt;/QUERY&gt;&lt;/QUERIES&gt;&lt;/OBJECT&gt;"/>
    <w:docVar w:name="BIP_META_DOC_TBL00012" w:val="&lt;OBJECT&gt;&lt;META&gt;&lt;ID&gt;&lt;/ID&gt;&lt;NAME&gt;DOC_TBL0001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servela&lt;/DYNAMIZEDBY&gt;&lt;DYNAMIZEDON&gt;10/3/2017 1:10:26 PM&lt;/DYNAMIZEDON&gt;&lt;LASTUPDATEDBY&gt;milemar&lt;/LASTUPDATEDBY&gt;&lt;LASTUPDATEDON&gt;6/12/2019 8:52:46 AM&lt;/LASTUPDATEDON&gt;&lt;UTC&gt;1&lt;/UTC&gt;&lt;/UPDATE&gt;&lt;QUERIES bbk=&quot;14045&quot; bbkdesc=&quot;2018 Annual Accounts/EC Annual Accounts/DC - Investments accounted for using the equity method new&quot; datapro=&quot;EIF&quot; tdatapro=&quot;EIF&quot; author=&quot;&quot; modtime=&quot;6/6/2019 5:19:21 PM&quot; moduser=&quot;milemar&quot; rolluptime=&quot;&quot; syuser=&quot;milemar&quot; syuzeit=&quot;6/6/2019 5:19:21 PM&quot; root=&quot;/BBOOK/DATAPROVIDER[./META/PROPS/ID='EIF']/DATA&quot; colcount=&quot;3&quot; rowcount=&quot;6&quot; url=&quot;&quot; dynamizeds=&quot;SAP Disclosure Management - Production&quot; dynamizedstype=&quot;9&quot; refreshds=&quot;&quot; viewtype=&quot;1&quot;&gt;&lt;QUERY reftype=&quot;ABS&quot; elmntsel=&quot;TABLE&quot; bbk=&quot;14045&quot; bbkdesc=&quot;2018 Annual Accounts/EC Annual Accounts/DC - Investments accounted for using the equity method new&quot; datapro=&quot;EIF&quot; infos=&quot;&quot; iscomment=&quot;0&quot;&gt;&lt;SELECT&gt;/BBOOK/DATAPROVIDER[./META/PROPS/ID='EIF']/DATA/ROW&lt;/SELECT&gt;&lt;FILTERS&gt;&lt;FILTER&gt;&lt;/FILTER&gt;&lt;/FILTERS&gt;&lt;/QUERY&gt;&lt;/QUERIES&gt;&lt;/OBJECT&gt;"/>
    <w:docVar w:name="BIP_META_DOC_TBL00013" w:val="&lt;OBJECT&gt;&lt;META&gt;&lt;ID&gt;&lt;/ID&gt;&lt;NAME&gt;DOC_TBL0001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servela&lt;/DYNAMIZEDBY&gt;&lt;DYNAMIZEDON&gt;10/3/2017 8:17:31 AM&lt;/DYNAMIZEDON&gt;&lt;LASTUPDATEDBY&gt;milemar&lt;/LASTUPDATEDBY&gt;&lt;LASTUPDATEDON&gt;6/12/2019 8:52:05 AM&lt;/LASTUPDATEDON&gt;&lt;UTC&gt;1&lt;/UTC&gt;&lt;/UPDATE&gt;&lt;QUERIES bbk=&quot;14847&quot; bbkdesc=&quot;2018 Annual Accounts/EU Annual Accounts/DC - Financial assets&quot; datapro=&quot;FINA&quot; tdatapro=&quot;FINA&quot; author=&quot;&quot; modtime=&quot;6/12/2019 8:51:51 AM&quot; moduser=&quot;milemar&quot; rolluptime=&quot;&quot; syuser=&quot;milemar&quot; syuzeit=&quot;6/12/2019 8:51:51 AM&quot; root=&quot;/BBOOK/DATAPROVIDER[./META/PROPS/ID='FINA']/DATA&quot; colcount=&quot;4&quot; rowcount=&quot;14&quot; url=&quot;&quot; dynamizeds=&quot;SAP Disclosure Management - Production&quot; dynamizedstype=&quot;9&quot; refreshds=&quot;&quot; viewtype=&quot;1&quot;&gt;&lt;QUERY reftype=&quot;ABS&quot; elmntsel=&quot;TABLE&quot; bbk=&quot;14847&quot; bbkdesc=&quot;2018 Annual Accounts/EU Annual Accounts/DC - Financial assets&quot; datapro=&quot;FINA&quot; infos=&quot;&quot; iscomment=&quot;0&quot;&gt;&lt;SELECT&gt;/BBOOK/DATAPROVIDER[./META/PROPS/ID='FINA']/DATA/ROW&lt;/SELECT&gt;&lt;FILTERS&gt;&lt;FILTER&gt;&lt;/FILTER&gt;&lt;/FILTERS&gt;&lt;/QUERY&gt;&lt;/QUERIES&gt;&lt;/OBJECT&gt;"/>
    <w:docVar w:name="BIP_META_DOC_TBL00014" w:val="&lt;OBJECT&gt;&lt;META&gt;&lt;ID&gt;&lt;/ID&gt;&lt;NAME&gt;DOC_TBL0001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mileuma&lt;/DYNAMIZEDBY&gt;&lt;DYNAMIZEDON&gt;08/02/2019 13:38:50&lt;/DYNAMIZEDON&gt;&lt;LASTUPDATEDBY&gt;milemar&lt;/LASTUPDATEDBY&gt;&lt;LASTUPDATEDON&gt;6/12/2019 8:52:05 AM&lt;/LASTUPDATEDON&gt;&lt;UTC&gt;1&lt;/UTC&gt;&lt;/UPDATE&gt;&lt;QUERIES bbk=&quot;14847&quot; bbkdesc=&quot;2018 Annual Accounts/EU Annual Accounts/DC - Financial assets&quot; datapro=&quot;AFS&quot; tdatapro=&quot;AFS&quot; author=&quot;&quot; modtime=&quot;2/7/2019 3:27:17 PM&quot; moduser=&quot;ducudmi&quot; rolluptime=&quot;&quot; syuser=&quot;ducudmi&quot; syuzeit=&quot;2/7/2019 3:27:17 PM&quot; root=&quot;/DATA&quot; colcount=&quot;3&quot; rowcount=&quot;23&quot; url=&quot;&quot; dynamizeds=&quot;SAP Disclosure Management - Production&quot; dynamizedstype=&quot;9&quot; refreshds=&quot;&quot; viewtype=&quot;1&quot;&gt;&lt;QUERY reftype=&quot;ABS&quot; elmntsel=&quot;TABLE&quot; bbk=&quot;14847&quot; bbkdesc=&quot;2018 Annual Accounts/EU Annual Accounts/DC - Financial assets&quot; datapro=&quot;AFS&quot; infos=&quot;&quot; iscomment=&quot;0&quot;&gt;&lt;SELECT&gt;/BBOOK/DATAPROVIDER[./META/PROPS/ID='AFS']/DATA/ROW&lt;/SELECT&gt;&lt;FILTERS&gt;&lt;FILTER&gt;&lt;/FILTER&gt;&lt;/FILTERS&gt;&lt;/QUERY&gt;&lt;/QUERIES&gt;&lt;/OBJECT&gt;"/>
    <w:docVar w:name="BIP_META_DOC_TBL00015" w:val="&lt;OBJECT&gt;&lt;META&gt;&lt;ID&gt;&lt;/ID&gt;&lt;NAME&gt;DOC_TBL0001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mileuma&lt;/DYNAMIZEDBY&gt;&lt;DYNAMIZEDON&gt;06/02/2019 13:08:16&lt;/DYNAMIZEDON&gt;&lt;LASTUPDATEDBY&gt;milemar&lt;/LASTUPDATEDBY&gt;&lt;LASTUPDATEDON&gt;6/12/2019 8:52:05 AM&lt;/LASTUPDATEDON&gt;&lt;UTC&gt;1&lt;/UTC&gt;&lt;/UPDATE&gt;&lt;QUERIES bbk=&quot;14020&quot; bbkdesc=&quot;2018 Annual Accounts/EC Annual Accounts/DC - Financial assets&quot; datapro=&quot;FAFVTSD&quot; tdatapro=&quot;FAFVTSD&quot; author=&quot;&quot; modtime=&quot;6/12/2019 7:56:10 AM&quot; moduser=&quot;milemar&quot; rolluptime=&quot;&quot; syuser=&quot;milemar&quot; syuzeit=&quot;6/12/2019 7:56:10 AM&quot; root=&quot;/BBOOK/DATAPROVIDER[./META/PROPS/ID='FAFVTSD']/DATA&quot; colcount=&quot;7&quot; rowcount=&quot;8&quot; url=&quot;&quot; dynamizeds=&quot;SAP Disclosure Management - Production&quot; dynamizedstype=&quot;9&quot; refreshds=&quot;&quot; viewtype=&quot;1&quot;&gt;&lt;QUERY reftype=&quot;ABS&quot; elmntsel=&quot;TABLE&quot; bbk=&quot;14020&quot; bbkdesc=&quot;2018 Annual Accounts/EC Annual Accounts/DC - Financial assets&quot; datapro=&quot;FAFVTSD&quot; infos=&quot;&quot; iscomment=&quot;0&quot;&gt;&lt;SELECT&gt;/BBOOK/DATAPROVIDER[./META/PROPS/ID='FAFVTSD']/DATA/ROW&lt;/SELECT&gt;&lt;FILTERS&gt;&lt;FILTER&gt;&lt;/FILTER&gt;&lt;/FILTERS&gt;&lt;/QUERY&gt;&lt;/QUERIES&gt;&lt;/OBJECT&gt;"/>
    <w:docVar w:name="BIP_META_DOC_TBL00016" w:val="&lt;OBJECT&gt;&lt;META&gt;&lt;ID&gt;&lt;/ID&gt;&lt;NAME&gt;DOC_TBL0001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servela&lt;/DYNAMIZEDBY&gt;&lt;DYNAMIZEDON&gt;3/20/2018 3:09:35 PM&lt;/DYNAMIZEDON&gt;&lt;LASTUPDATEDBY&gt;milemar&lt;/LASTUPDATEDBY&gt;&lt;LASTUPDATEDON&gt;6/12/2019 8:52:05 AM&lt;/LASTUPDATEDON&gt;&lt;UTC&gt;1&lt;/UTC&gt;&lt;/UPDATE&gt;&lt;QUERIES bbk=&quot;14822&quot; bbkdesc=&quot;2018 Annual Accounts/EU Annual Accounts/DC - Fair value hierarchy of available for sale financial assets&quot; datapro=&quot;FVH&quot; tdatapro=&quot;FVH&quot; author=&quot;&quot; modtime=&quot;6/9/2017 1:22:08 PM&quot; moduser=&quot;preutan&quot; rolluptime=&quot;&quot; syuser=&quot;preutan&quot; syuzeit=&quot;6/9/2017 1:22:08 PM&quot; root=&quot;/DATA&quot; colcount=&quot;3&quot; rowcount=&quot;7&quot; url=&quot;&quot; dynamizeds=&quot;SAP Disclosure Management - Production&quot; dynamizedstype=&quot;9&quot; refreshds=&quot;&quot; viewtype=&quot;1&quot;&gt;&lt;QUERY reftype=&quot;ABS&quot; elmntsel=&quot;TABLE&quot; bbk=&quot;14822&quot; bbkdesc=&quot;2018 Annual Accounts/EU Annual Accounts/DC - Fair value hierarchy of available for sale financial assets&quot; datapro=&quot;FVH&quot; infos=&quot;&quot; iscomment=&quot;0&quot;&gt;&lt;SELECT&gt;/BBOOK/DATAPROVIDER[./META/PROPS/ID='FVH']/DATA/ROW&lt;/SELECT&gt;&lt;FILTERS&gt;&lt;FILTER&gt;&lt;/FILTER&gt;&lt;/FILTERS&gt;&lt;/QUERY&gt;&lt;/QUERIES&gt;&lt;/OBJECT&gt;"/>
    <w:docVar w:name="BIP_META_DOC_TBL00017" w:val="&lt;OBJECT&gt;&lt;META&gt;&lt;ID&gt;&lt;/ID&gt;&lt;NAME&gt;DOC_TBL0001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mileuma&lt;/DYNAMIZEDBY&gt;&lt;DYNAMIZEDON&gt;30/01/2019 11:09:00&lt;/DYNAMIZEDON&gt;&lt;LASTUPDATEDBY&gt;milemar&lt;/LASTUPDATEDBY&gt;&lt;LASTUPDATEDON&gt;6/12/2019 8:52:05 AM&lt;/LASTUPDATEDON&gt;&lt;UTC&gt;1&lt;/UTC&gt;&lt;/UPDATE&gt;&lt;QUERIES bbk=&quot;14020&quot; bbkdesc=&quot;2018 Annual Accounts/EC Annual Accounts/DC - Financial assets&quot; datapro=&quot;RECOFINA&quot; tdatapro=&quot;RECOFINA&quot; author=&quot;&quot; modtime=&quot;6/12/2019 7:56:10 AM&quot; moduser=&quot;milemar&quot; rolluptime=&quot;&quot; syuser=&quot;milemar&quot; syuzeit=&quot;6/12/2019 7:56:10 AM&quot; root=&quot;/BBOOK/DATAPROVIDER[./META/PROPS/ID='RECOFINA']/DATA&quot; colcount=&quot;2&quot; rowcount=&quot;11&quot; url=&quot;&quot; dynamizeds=&quot;SAP Disclosure Management - Production&quot; dynamizedstype=&quot;9&quot; refreshds=&quot;&quot; viewtype=&quot;1&quot;&gt;&lt;QUERY reftype=&quot;ABS&quot; elmntsel=&quot;TABLE&quot; bbk=&quot;14020&quot; bbkdesc=&quot;2018 Annual Accounts/EC Annual Accounts/DC - Financial assets&quot; datapro=&quot;RECOFINA&quot; infos=&quot;&quot; iscomment=&quot;0&quot;&gt;&lt;SELECT&gt;/BBOOK/DATAPROVIDER[./META/PROPS/ID='RECOFINA']/DATA/ROW&lt;/SELECT&gt;&lt;FILTERS&gt;&lt;FILTER&gt;&lt;/FILTER&gt;&lt;/FILTERS&gt;&lt;/QUERY&gt;&lt;/QUERIES&gt;&lt;/OBJECT&gt;"/>
    <w:docVar w:name="BIP_META_DOC_TBL00018" w:val="&lt;OBJECT&gt;&lt;META&gt;&lt;ID&gt;&lt;/ID&gt;&lt;NAME&gt;DOC_TBL0001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preutan&lt;/DYNAMIZEDBY&gt;&lt;DYNAMIZEDON&gt;3/20/2019 3:28:51 PM&lt;/DYNAMIZEDON&gt;&lt;LASTUPDATEDBY&gt;milemar&lt;/LASTUPDATEDBY&gt;&lt;LASTUPDATEDON&gt;6/12/2019 8:52:05 AM&lt;/LASTUPDATEDON&gt;&lt;UTC&gt;1&lt;/UTC&gt;&lt;/UPDATE&gt;&lt;QUERIES bbk=&quot;14847&quot; bbkdesc=&quot;2018 Annual Accounts/EU Annual Accounts/DC - Financial assets&quot; datapro=&quot;LO&quot; tdatapro=&quot;LO&quot; author=&quot;&quot; modtime=&quot;6/12/2019 8:51:51 AM&quot; moduser=&quot;milemar&quot; rolluptime=&quot;&quot; syuser=&quot;milemar&quot; syuzeit=&quot;6/12/2019 8:51:51 AM&quot; root=&quot;/BBOOK/DATAPROVIDER[./META/PROPS/ID='LO']/DATA&quot; colcount=&quot;4&quot; rowcount=&quot;7&quot; url=&quot;&quot; dynamizeds=&quot;SAP Disclosure Management - Production&quot; dynamizedstype=&quot;9&quot; refreshds=&quot;&quot; viewtype=&quot;1&quot;&gt;&lt;QUERY reftype=&quot;ABS&quot; elmntsel=&quot;TABLE&quot; bbk=&quot;14847&quot; bbkdesc=&quot;2018 Annual Accounts/EU Annual Accounts/DC - Financial assets&quot; datapro=&quot;LO&quot; infos=&quot;&quot; iscomment=&quot;0&quot;&gt;&lt;SELECT&gt;/BBOOK/DATAPROVIDER[./META/PROPS/ID='LO']/DATA/ROW&lt;/SELECT&gt;&lt;FILTERS&gt;&lt;FILTER&gt;&lt;/FILTER&gt;&lt;/FILTERS&gt;&lt;/QUERY&gt;&lt;/QUERIES&gt;&lt;/OBJECT&gt;"/>
    <w:docVar w:name="BIP_META_DOC_TBL00019" w:val="&lt;OBJECT&gt;&lt;META&gt;&lt;ID&gt;&lt;/ID&gt;&lt;NAME&gt;DOC_TBL0001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4.9&lt;/DATE&gt;&lt;DYNAMIZEDBY&gt;porteca&lt;/DYNAMIZEDBY&gt;&lt;DYNAMIZEDON&gt;22/03/2016 12:45:57&lt;/DYNAMIZEDON&gt;&lt;LASTUPDATEDBY&gt;koehlmn&lt;/LASTUPDATEDBY&gt;&lt;LASTUPDATEDON&gt;6/17/2019 3:25:36 PM&lt;/LASTUPDATEDON&gt;&lt;UTC&gt;1&lt;/UTC&gt;&lt;/UPDATE&gt;&lt;QUERIES bbk=&quot;14752&quot; bbkdesc=&quot;2018 Annual Accounts/EU Annual Accounts/DC - Loans granted from borrowed funds LINKED TO EC&quot; datapro=&quot;LGFBF&quot; tdatapro=&quot;LGFBF&quot; author=&quot;&quot; modtime=&quot;3/16/2016 9:04:47 PM&quot; moduser=&quot;koehlmn&quot; rolluptime=&quot;&quot; syuser=&quot;koehlmn&quot; syuzeit=&quot;3/16/2016 9:04:47 PM&quot; root=&quot;/DATA&quot; colcount=&quot;7&quot; rowcount=&quot;11&quot; url=&quot;&quot; dynamizeds=&quot;SAP Disclosure Management - Production&quot; dynamizedstype=&quot;9&quot; refreshds=&quot;&quot; viewtype=&quot;1&quot;&gt;&lt;QUERY reftype=&quot;ABS&quot; elmntsel=&quot;TABLE&quot; bbk=&quot;14752&quot; bbkdesc=&quot;2018 Annual Accounts/EU Annual Accounts/DC - Loans granted from borrowed funds LINKED TO EC&quot; datapro=&quot;LGFBF&quot; infos=&quot;&quot; iscomment=&quot;0&quot;&gt;&lt;SELECT&gt;/BBOOK/DATAPROVIDER[./META/PROPS/ID='LGFBF']/DATA/ROW&lt;/SELECT&gt;&lt;FILTERS&gt;&lt;FILTER&gt;&lt;/FILTER&gt;&lt;/FILTERS&gt;&lt;/QUERY&gt;&lt;/QUERIES&gt;&lt;/OBJECT&gt;"/>
    <w:docVar w:name="BIP_META_DOC_TBL00020" w:val="&lt;OBJECT&gt;&lt;META&gt;&lt;ID&gt;&lt;/ID&gt;&lt;NAME&gt;DOC_TBL0002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4.9&lt;/DATE&gt;&lt;DYNAMIZEDBY&gt;porteca&lt;/DYNAMIZEDBY&gt;&lt;DYNAMIZEDON&gt;23/03/2016 10:35:26&lt;/DYNAMIZEDON&gt;&lt;LASTUPDATEDBY&gt;milemar&lt;/LASTUPDATEDBY&gt;&lt;LASTUPDATEDON&gt;6/12/2019 8:52:05 AM&lt;/LASTUPDATEDON&gt;&lt;UTC&gt;1&lt;/UTC&gt;&lt;/UPDATE&gt;&lt;QUERIES bbk=&quot;14814&quot; bbkdesc=&quot;2018 Annual Accounts/EU Annual Accounts/DC - Financial Support Mechanisms&quot; datapro=&quot;BORR2&quot; tdatapro=&quot;BORR2&quot; author=&quot;&quot; modtime=&quot;3/21/2016 1:14:42 PM&quot; moduser=&quot;koehlmn&quot; rolluptime=&quot;&quot; syuser=&quot;koehlmn&quot; syuzeit=&quot;3/21/2016 1:14:42 PM&quot; root=&quot;/DATA&quot; colcount=&quot;3&quot; rowcount=&quot;6&quot; url=&quot;&quot; dynamizeds=&quot;SAP Disclosure Management - Production&quot; dynamizedstype=&quot;9&quot; refreshds=&quot;&quot; viewtype=&quot;1&quot;&gt;&lt;QUERY reftype=&quot;ABS&quot; elmntsel=&quot;TABLE&quot; bbk=&quot;14814&quot; bbkdesc=&quot;2018 Annual Accounts/EU Annual Accounts/DC - Financial Support Mechanisms&quot; datapro=&quot;BORR2&quot; infos=&quot;&quot; iscomment=&quot;0&quot;&gt;&lt;SELECT&gt;/BBOOK/DATAPROVIDER[./META/PROPS/ID='BORR2']/DATA/ROW&lt;/SELECT&gt;&lt;FILTERS&gt;&lt;FILTER&gt;&lt;/FILTER&gt;&lt;/FILTERS&gt;&lt;/QUERY&gt;&lt;/QUERIES&gt;&lt;/OBJECT&gt;"/>
    <w:docVar w:name="BIP_META_DOC_TBL00021" w:val="&lt;OBJECT&gt;&lt;META&gt;&lt;ID&gt;&lt;/ID&gt;&lt;NAME&gt;DOC_TBL0002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10.2&lt;/DATE&gt;&lt;DYNAMIZEDBY&gt;preutan&lt;/DYNAMIZEDBY&gt;&lt;DYNAMIZEDON&gt;19/03/2018 13:56:53&lt;/DYNAMIZEDON&gt;&lt;LASTUPDATEDBY&gt;milemar&lt;/LASTUPDATEDBY&gt;&lt;LASTUPDATEDON&gt;6/12/2019 8:52:05 AM&lt;/LASTUPDATEDON&gt;&lt;UTC&gt;1&lt;/UTC&gt;&lt;/UPDATE&gt;&lt;QUERIES bbk=&quot;14847&quot; bbkdesc=&quot;2018 Annual Accounts/EU Annual Accounts/DC - Financial assets&quot; datapro=&quot;LOBUDG&quot; tdatapro=&quot;LOBUDG&quot; author=&quot;&quot; modtime=&quot;6/12/2019 8:51:51 AM&quot; moduser=&quot;milemar&quot; rolluptime=&quot;&quot; syuser=&quot;milemar&quot; syuzeit=&quot;6/12/2019 8:51:51 AM&quot; root=&quot;/BBOOK/DATAPROVIDER[./META/PROPS/ID='LOBUDG']/DATA&quot; colcount=&quot;3&quot; rowcount=&quot;9&quot; url=&quot;&quot; dynamizeds=&quot;SAP Disclosure Management - Production&quot; dynamizedstype=&quot;9&quot; refreshds=&quot;&quot; viewtype=&quot;1&quot;&gt;&lt;QUERY reftype=&quot;ABS&quot; elmntsel=&quot;TABLE&quot; bbk=&quot;14847&quot; bbkdesc=&quot;2018 Annual Accounts/EU Annual Accounts/DC - Financial assets&quot; datapro=&quot;LOBUDG&quot; infos=&quot;&quot; iscomment=&quot;0&quot;&gt;&lt;SELECT&gt;/BBOOK/DATAPROVIDER[./META/PROPS/ID='LOBUDG']/DATA/ROW&lt;/SELECT&gt;&lt;FILTERS&gt;&lt;FILTER&gt;&lt;/FILTER&gt;&lt;/FILTERS&gt;&lt;/QUERY&gt;&lt;/QUERIES&gt;&lt;/OBJECT&gt;"/>
    <w:docVar w:name="BIP_META_DOC_TBL00022" w:val="&lt;OBJECT&gt;&lt;META&gt;&lt;ID&gt;&lt;/ID&gt;&lt;NAME&gt;DOC_TBL0002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preutan&lt;/DYNAMIZEDBY&gt;&lt;DYNAMIZEDON&gt;19/03/2018 15:36:55&lt;/DYNAMIZEDON&gt;&lt;LASTUPDATEDBY&gt;milemar&lt;/LASTUPDATEDBY&gt;&lt;LASTUPDATEDON&gt;6/12/2019 8:52:05 AM&lt;/LASTUPDATEDON&gt;&lt;UTC&gt;1&lt;/UTC&gt;&lt;/UPDATE&gt;&lt;QUERIES bbk=&quot;14847&quot; bbkdesc=&quot;2018 Annual Accounts/EU Annual Accounts/DC - Financial assets&quot; datapro=&quot;IMP&quot; tdatapro=&quot;IMP&quot; author=&quot;&quot; modtime=&quot;3/19/2018 1:46:04 PM&quot; moduser=&quot;preutan&quot; rolluptime=&quot;&quot; syuser=&quot;preutan&quot; syuzeit=&quot;3/19/2018 1:46:04 PM&quot; root=&quot;/DATA&quot; colcount=&quot;7&quot; rowcount=&quot;6&quot; url=&quot;&quot; dynamizeds=&quot;SAP Disclosure Management - Production&quot; dynamizedstype=&quot;9&quot; refreshds=&quot;&quot; viewtype=&quot;1&quot;&gt;&lt;QUERY reftype=&quot;ABS&quot; elmntsel=&quot;TABLE&quot; bbk=&quot;14847&quot; bbkdesc=&quot;2018 Annual Accounts/EU Annual Accounts/DC - Financial assets&quot; datapro=&quot;IMP&quot; infos=&quot;&quot; iscomment=&quot;0&quot;&gt;&lt;SELECT&gt;/BBOOK/DATAPROVIDER[./META/PROPS/ID='IMP']/DATA/ROW&lt;/SELECT&gt;&lt;FILTERS&gt;&lt;FILTER&gt;&lt;/FILTER&gt;&lt;/FILTERS&gt;&lt;/QUERY&gt;&lt;/QUERIES&gt;&lt;/OBJECT&gt;"/>
    <w:docVar w:name="BIP_META_DOC_TBL00023" w:val="&lt;OBJECT&gt;&lt;META&gt;&lt;ID&gt;&lt;/ID&gt;&lt;NAME&gt;DOC_TBL0002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servela&lt;/DYNAMIZEDBY&gt;&lt;DYNAMIZEDON&gt;10/3/2017 8:54:46 AM&lt;/DYNAMIZEDON&gt;&lt;LASTUPDATEDBY&gt;koehlmn&lt;/LASTUPDATEDBY&gt;&lt;LASTUPDATEDON&gt;6/12/2019 12:39:03 PM&lt;/LASTUPDATEDON&gt;&lt;UTC&gt;1&lt;/UTC&gt;&lt;/UPDATE&gt;&lt;QUERIES bbk=&quot;14848&quot; bbkdesc=&quot;2018 Annual Accounts/EU Annual Accounts/DC - Pre-financing&quot; datapro=&quot;PF&quot; tdatapro=&quot;PF&quot; author=&quot;&quot; modtime=&quot;3/12/2015 2:52:02 PM&quot; moduser=&quot;servela&quot; rolluptime=&quot;&quot; syuser=&quot;servela&quot; syuzeit=&quot;3/12/2015 2:52:02 PM&quot; root=&quot;/DATA&quot; colcount=&quot;4&quot; rowcount=&quot;13&quot; url=&quot;&quot; dynamizeds=&quot;SAP Disclosure Management - Production&quot; dynamizedstype=&quot;9&quot; refreshds=&quot;&quot; viewtype=&quot;1&quot;&gt;&lt;QUERY reftype=&quot;ABS&quot; elmntsel=&quot;TABLE&quot; bbk=&quot;14848&quot; bbkdesc=&quot;2018 Annual Accounts/EU Annual Accounts/DC - Pre-financing&quot; datapro=&quot;PF&quot; infos=&quot;&quot; iscomment=&quot;0&quot;&gt;&lt;SELECT&gt;/BBOOK/DATAPROVIDER[./META/PROPS/ID='PF']/DATA/ROW&lt;/SELECT&gt;&lt;FILTERS&gt;&lt;FILTER&gt;&lt;/FILTER&gt;&lt;/FILTERS&gt;&lt;/QUERY&gt;&lt;/QUERIES&gt;&lt;/OBJECT&gt;"/>
    <w:docVar w:name="BIP_META_DOC_TBL00024" w:val="&lt;OBJECT&gt;&lt;META&gt;&lt;ID&gt;&lt;/ID&gt;&lt;NAME&gt;DOC_TBL0002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4.9&lt;/DATE&gt;&lt;DYNAMIZEDBY&gt;servela&lt;/DYNAMIZEDBY&gt;&lt;DYNAMIZEDON&gt;05/02/2016 11:29:15&lt;/DYNAMIZEDON&gt;&lt;LASTUPDATEDBY&gt;koehlmn&lt;/LASTUPDATEDBY&gt;&lt;LASTUPDATEDON&gt;6/12/2019 12:39:00 PM&lt;/LASTUPDATEDON&gt;&lt;UTC&gt;1&lt;/UTC&gt;&lt;/UPDATE&gt;&lt;QUERIES bbk=&quot;14823&quot; bbkdesc=&quot;2018 Annual Accounts/EU Annual Accounts/DC - Pre-financing detailed&quot; datapro=&quot;PFD&quot; tdatapro=&quot;PFD&quot; author=&quot;&quot; modtime=&quot;6/12/2019 12:37:47 PM&quot; moduser=&quot;koehlmn&quot; rolluptime=&quot;&quot; syuser=&quot;koehlmn&quot; syuzeit=&quot;6/12/2019 12:37:47 PM&quot; root=&quot;/BBOOK/DATAPROVIDER[./META/PROPS/ID='PFD']/DATA&quot; colcount=&quot;7&quot; rowcount=&quot;24&quot; url=&quot;&quot; dynamizeds=&quot;SAP Disclosure Management - Production&quot; dynamizedstype=&quot;9&quot; refreshds=&quot;&quot; viewtype=&quot;1&quot;&gt;&lt;QUERY reftype=&quot;ABS&quot; elmntsel=&quot;TABLE&quot; bbk=&quot;14823&quot; bbkdesc=&quot;2018 Annual Accounts/EU Annual Accounts/DC - Pre-financing detailed&quot; datapro=&quot;PFD&quot; infos=&quot;&quot; iscomment=&quot;0&quot;&gt;&lt;SELECT&gt;/BBOOK/DATAPROVIDER[./META/PROPS/ID='PFD']/DATA/ROW&lt;/SELECT&gt;&lt;FILTERS&gt;&lt;FILTER&gt;&lt;/FILTER&gt;&lt;/FILTERS&gt;&lt;/QUERY&gt;&lt;/QUERIES&gt;&lt;/OBJECT&gt;"/>
    <w:docVar w:name="BIP_META_DOC_TBL00025" w:val="&lt;OBJECT&gt;&lt;META&gt;&lt;ID&gt;&lt;/ID&gt;&lt;NAME&gt;DOC_TBL0002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preutan&lt;/DYNAMIZEDBY&gt;&lt;DYNAMIZEDON&gt;16/06/2017 08:59:48&lt;/DYNAMIZEDON&gt;&lt;LASTUPDATEDBY&gt;koehlmn&lt;/LASTUPDATEDBY&gt;&lt;LASTUPDATEDON&gt;6/12/2019 12:39:07 PM&lt;/LASTUPDATEDON&gt;&lt;UTC&gt;1&lt;/UTC&gt;&lt;/UPDATE&gt;&lt;QUERIES bbk=&quot;14022&quot; bbkdesc=&quot;2018 Annual Accounts/EC Annual Accounts/DC - Pre-financing&quot; datapro=&quot;FEIAS&quot; tdatapro=&quot;FEIAS&quot; author=&quot;&quot; modtime=&quot;3/16/2016 5:02:21 PM&quot; moduser=&quot;koehlmn&quot; rolluptime=&quot;&quot; syuser=&quot;koehlmn&quot; syuzeit=&quot;3/16/2016 5:02:21 PM&quot; root=&quot;/DATA&quot; colcount=&quot;3&quot; rowcount=&quot;7&quot; url=&quot;&quot; dynamizeds=&quot;SAP Disclosure Management - Production&quot; dynamizedstype=&quot;9&quot; refreshds=&quot;&quot; viewtype=&quot;1&quot;&gt;&lt;QUERY reftype=&quot;ABS&quot; elmntsel=&quot;TABLE&quot; bbk=&quot;14022&quot; bbkdesc=&quot;2018 Annual Accounts/EC Annual Accounts/DC - Pre-financing&quot; datapro=&quot;FEIAS&quot; infos=&quot;&quot; iscomment=&quot;0&quot;&gt;&lt;SELECT&gt;/BBOOK/DATAPROVIDER[./META/PROPS/ID='FEIAS']/DATA/ROW&lt;/SELECT&gt;&lt;FILTERS&gt;&lt;FILTER&gt;&lt;/FILTER&gt;&lt;/FILTERS&gt;&lt;/QUERY&gt;&lt;/QUERIES&gt;&lt;/OBJECT&gt;"/>
    <w:docVar w:name="BIP_META_DOC_TBL00026" w:val="&lt;OBJECT&gt;&lt;META&gt;&lt;ID&gt;&lt;/ID&gt;&lt;NAME&gt;DOC_TBL0002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servela&lt;/DYNAMIZEDBY&gt;&lt;DYNAMIZEDON&gt;3/20/2018 3:15:57 PM&lt;/DYNAMIZEDON&gt;&lt;LASTUPDATEDBY&gt;koehlmn&lt;/LASTUPDATEDBY&gt;&lt;LASTUPDATEDON&gt;6/17/2019 9:12:08 AM&lt;/LASTUPDATEDON&gt;&lt;UTC&gt;1&lt;/UTC&gt;&lt;/UPDATE&gt;&lt;QUERIES bbk=&quot;14824&quot; bbkdesc=&quot;2018 Annual Accounts/EU Annual Accounts/DC - Exchange receivables and Non-exchange recoverables&quot; datapro=&quot;ERNER&quot; tdatapro=&quot;ERNER&quot; author=&quot;&quot; modtime=&quot;3/12/2015 3:29:26 PM&quot; moduser=&quot;servela&quot; rolluptime=&quot;&quot; syuser=&quot;servela&quot; syuzeit=&quot;3/12/2015 3:29:26 PM&quot; root=&quot;/DATA&quot; colcount=&quot;4&quot; rowcount=&quot;12&quot; url=&quot;&quot; dynamizeds=&quot;SAP Disclosure Management - Production&quot; dynamizedstype=&quot;9&quot; refreshds=&quot;&quot; viewtype=&quot;1&quot;&gt;&lt;QUERY reftype=&quot;ABS&quot; elmntsel=&quot;TABLE&quot; bbk=&quot;14824&quot; bbkdesc=&quot;2018 Annual Accounts/EU Annual Accounts/DC - Exchange receivables and Non-exchange recoverables&quot; datapro=&quot;ERNER&quot; infos=&quot;&quot; iscomment=&quot;0&quot;&gt;&lt;SELECT&gt;/BBOOK/DATAPROVIDER[./META/PROPS/ID='ERNER']/DATA/ROW&lt;/SELECT&gt;&lt;FILTERS&gt;&lt;FILTER&gt;&lt;/FILTER&gt;&lt;/FILTERS&gt;&lt;/QUERY&gt;&lt;/QUERIES&gt;&lt;/OBJECT&gt;"/>
    <w:docVar w:name="BIP_META_DOC_TBL00027" w:val="&lt;OBJECT&gt;&lt;META&gt;&lt;ID&gt;&lt;/ID&gt;&lt;NAME&gt;DOC_TBL0002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preutan&lt;/DYNAMIZEDBY&gt;&lt;DYNAMIZEDON&gt;23/03/2018 15:13:42&lt;/DYNAMIZEDON&gt;&lt;LASTUPDATEDBY&gt;milemar&lt;/LASTUPDATEDBY&gt;&lt;LASTUPDATEDON&gt;6/12/2019 8:48:44 AM&lt;/LASTUPDATEDON&gt;&lt;UTC&gt;1&lt;/UTC&gt;&lt;/UPDATE&gt;&lt;QUERIES bbk=&quot;14824&quot; bbkdesc=&quot;2018 Annual Accounts/EU Annual Accounts/DC - Exchange receivables and Non-exchange recoverables&quot; datapro=&quot;RNET&quot; tdatapro=&quot;RNET&quot; author=&quot;&quot; modtime=&quot;6/12/2019 8:48:28 AM&quot; moduser=&quot;milemar&quot; rolluptime=&quot;&quot; syuser=&quot;milemar&quot; syuzeit=&quot;6/12/2019 8:48:28 AM&quot; root=&quot;/BBOOK/DATAPROVIDER[./META/PROPS/ID='RNET']/DATA&quot; colcount=&quot;4&quot; rowcount=&quot;15&quot; url=&quot;&quot; dynamizeds=&quot;SAP Disclosure Management - Production&quot; dynamizedstype=&quot;9&quot; refreshds=&quot;&quot; viewtype=&quot;1&quot;&gt;&lt;QUERY reftype=&quot;ABS&quot; elmntsel=&quot;TABLE&quot; bbk=&quot;14824&quot; bbkdesc=&quot;2018 Annual Accounts/EU Annual Accounts/DC - Exchange receivables and Non-exchange recoverables&quot; datapro=&quot;RNET&quot; infos=&quot;&quot; iscomment=&quot;0&quot;&gt;&lt;SELECT&gt;/BBOOK/DATAPROVIDER[./META/PROPS/ID='RNET']/DATA/ROW&lt;/SELECT&gt;&lt;FILTERS&gt;&lt;FILTER&gt;&lt;/FILTER&gt;&lt;/FILTERS&gt;&lt;/QUERY&gt;&lt;/QUERIES&gt;&lt;/OBJECT&gt;"/>
    <w:docVar w:name="BIP_META_DOC_TBL00028" w:val="&lt;OBJECT&gt;&lt;META&gt;&lt;ID&gt;&lt;/ID&gt;&lt;NAME&gt;DOC_TBL0002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servela&lt;/DYNAMIZEDBY&gt;&lt;DYNAMIZEDON&gt;10/3/2017 9:16:24 AM&lt;/DYNAMIZEDON&gt;&lt;LASTUPDATEDBY&gt;koehlmn&lt;/LASTUPDATEDBY&gt;&lt;LASTUPDATEDON&gt;6/17/2019 8:47:56 AM&lt;/LASTUPDATEDON&gt;&lt;UTC&gt;1&lt;/UTC&gt;&lt;/UPDATE&gt;&lt;QUERIES bbk=&quot;14825&quot; bbkdesc=&quot;2018 Annual Accounts/EU Annual Accounts/DC - Recoverables from Member States&quot; datapro=&quot;RMS&quot; tdatapro=&quot;RMS&quot; author=&quot;&quot; modtime=&quot;10/30/2015 1:35:11 PM&quot; moduser=&quot;milemar&quot; rolluptime=&quot;&quot; syuser=&quot;milemar&quot; syuzeit=&quot;10/30/2015 1:35:11 PM&quot; root=&quot;/DATA&quot; colcount=&quot;3&quot; rowcount=&quot;20&quot; url=&quot;&quot; dynamizeds=&quot;SAP Disclosure Management - Production&quot; dynamizedstype=&quot;9&quot; refreshds=&quot;&quot; viewtype=&quot;1&quot;&gt;&lt;QUERY reftype=&quot;ABS&quot; elmntsel=&quot;TABLE&quot; bbk=&quot;14825&quot; bbkdesc=&quot;2018 Annual Accounts/EU Annual Accounts/DC - Recoverables from Member States&quot; datapro=&quot;RMS&quot; infos=&quot;&quot; iscomment=&quot;0&quot;&gt;&lt;SELECT&gt;/BBOOK/DATAPROVIDER[./META/PROPS/ID='RMS']/DATA/ROW&lt;/SELECT&gt;&lt;FILTERS&gt;&lt;FILTER&gt;&lt;/FILTER&gt;&lt;/FILTERS&gt;&lt;/QUERY&gt;&lt;/QUERIES&gt;&lt;/OBJECT&gt;"/>
    <w:docVar w:name="BIP_META_DOC_TBL00029" w:val="&lt;OBJECT&gt;&lt;META&gt;&lt;ID&gt;&lt;/ID&gt;&lt;NAME&gt;DOC_TBL0002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preutan&lt;/DYNAMIZEDBY&gt;&lt;DYNAMIZEDON&gt;22/03/2018 17:21:12&lt;/DYNAMIZEDON&gt;&lt;LASTUPDATEDBY&gt;milemar&lt;/LASTUPDATEDBY&gt;&lt;LASTUPDATEDON&gt;6/12/2019 8:48:44 AM&lt;/LASTUPDATEDON&gt;&lt;UTC&gt;1&lt;/UTC&gt;&lt;/UPDATE&gt;&lt;QUERIES bbk=&quot;14824&quot; bbkdesc=&quot;2018 Annual Accounts/EU Annual Accounts/DC - Exchange receivables and Non-exchange recoverables&quot; datapro=&quot;FINES&quot; tdatapro=&quot;FINES&quot; author=&quot;&quot; modtime=&quot;3/22/2018 4:16:03 PM&quot; moduser=&quot;preutan&quot; rolluptime=&quot;&quot; syuser=&quot;preutan&quot; syuzeit=&quot;3/22/2018 4:16:03 PM&quot; root=&quot;/DATA&quot; colcount=&quot;3&quot; rowcount=&quot;9&quot; url=&quot;&quot; dynamizeds=&quot;SAP Disclosure Management - Production&quot; dynamizedstype=&quot;9&quot; refreshds=&quot;&quot; viewtype=&quot;1&quot;&gt;&lt;QUERY reftype=&quot;ABS&quot; elmntsel=&quot;TABLE&quot; bbk=&quot;14824&quot; bbkdesc=&quot;2018 Annual Accounts/EU Annual Accounts/DC - Exchange receivables and Non-exchange recoverables&quot; datapro=&quot;FINES&quot; infos=&quot;&quot; iscomment=&quot;0&quot;&gt;&lt;SELECT&gt;/BBOOK/DATAPROVIDER[./META/PROPS/ID='FINES']/DATA/ROW&lt;/SELECT&gt;&lt;FILTERS&gt;&lt;FILTER&gt;&lt;/FILTER&gt;&lt;/FILTERS&gt;&lt;/QUERY&gt;&lt;/QUERIES&gt;&lt;/OBJECT&gt;"/>
    <w:docVar w:name="BIP_META_DOC_TBL00030" w:val="&lt;OBJECT&gt;&lt;META&gt;&lt;ID&gt;&lt;/ID&gt;&lt;NAME&gt;DOC_TBL0003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preutan&lt;/DYNAMIZEDBY&gt;&lt;DYNAMIZEDON&gt;21-03-2019 08:47:45&lt;/DYNAMIZEDON&gt;&lt;LASTUPDATEDBY&gt;koehlmn&lt;/LASTUPDATEDBY&gt;&lt;LASTUPDATEDON&gt;6/17/2019 1:00:22 PM&lt;/LASTUPDATEDON&gt;&lt;UTC&gt;1&lt;/UTC&gt;&lt;/UPDATE&gt;&lt;QUERIES bbk=&quot;14826&quot; bbkdesc=&quot;2018 Annual Accounts/EU Annual Accounts/DC - Accrued income and Deferred charges&quot; datapro=&quot;AIDC&quot; tdatapro=&quot;AIDC&quot; author=&quot;&quot; modtime=&quot;3/21/2016 4:04:45 PM&quot; moduser=&quot;koehlmn&quot; rolluptime=&quot;&quot; syuser=&quot;koehlmn&quot; syuzeit=&quot;3/21/2016 4:04:45 PM&quot; root=&quot;/DATA&quot; colcount=&quot;3&quot; rowcount=&quot;10&quot; url=&quot;&quot; dynamizeds=&quot;SAP Disclosure Management - Production&quot; dynamizedstype=&quot;9&quot; refreshds=&quot;&quot; viewtype=&quot;1&quot;&gt;&lt;QUERY reftype=&quot;ABS&quot; elmntsel=&quot;TABLE&quot; bbk=&quot;14826&quot; bbkdesc=&quot;2018 Annual Accounts/EU Annual Accounts/DC - Accrued income and Deferred charges&quot; datapro=&quot;AIDC&quot; infos=&quot;&quot; iscomment=&quot;0&quot;&gt;&lt;SELECT&gt;/BBOOK/DATAPROVIDER[./META/PROPS/ID='AIDC']/DATA/ROW&lt;/SELECT&gt;&lt;FILTERS&gt;&lt;FILTER&gt;&lt;/FILTER&gt;&lt;/FILTERS&gt;&lt;/QUERY&gt;&lt;/QUERIES&gt;&lt;/OBJECT&gt;"/>
    <w:docVar w:name="BIP_META_DOC_TBL00031" w:val="&lt;OBJECT&gt;&lt;META&gt;&lt;ID&gt;&lt;/ID&gt;&lt;NAME&gt;DOC_TBL0003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preutan&lt;/DYNAMIZEDBY&gt;&lt;DYNAMIZEDON&gt;23/03/2018 14:50:09&lt;/DYNAMIZEDON&gt;&lt;LASTUPDATEDBY&gt;milemar&lt;/LASTUPDATEDBY&gt;&lt;LASTUPDATEDON&gt;6/12/2019 8:48:44 AM&lt;/LASTUPDATEDON&gt;&lt;UTC&gt;1&lt;/UTC&gt;&lt;/UPDATE&gt;&lt;QUERIES bbk=&quot;14824&quot; bbkdesc=&quot;2018 Annual Accounts/EU Annual Accounts/DC - Exchange receivables and Non-exchange recoverables&quot; datapro=&quot;RET&quot; tdatapro=&quot;RET&quot; author=&quot;&quot; modtime=&quot;3/23/2018 10:29:45 AM&quot; moduser=&quot;preutan&quot; rolluptime=&quot;&quot; syuser=&quot;preutan&quot; syuzeit=&quot;3/23/2018 10:29:45 AM&quot; root=&quot;/DATA&quot; colcount=&quot;3&quot; rowcount=&quot;13&quot; url=&quot;&quot; dynamizeds=&quot;SAP Disclosure Management - Production&quot; dynamizedstype=&quot;9&quot; refreshds=&quot;&quot; viewtype=&quot;1&quot;&gt;&lt;QUERY reftype=&quot;ABS&quot; elmntsel=&quot;TABLE&quot; bbk=&quot;14824&quot; bbkdesc=&quot;2018 Annual Accounts/EU Annual Accounts/DC - Exchange receivables and Non-exchange recoverables&quot; datapro=&quot;RET&quot; infos=&quot;&quot; iscomment=&quot;0&quot;&gt;&lt;SELECT&gt;/BBOOK/DATAPROVIDER[./META/PROPS/ID='RET']/DATA/ROW&lt;/SELECT&gt;&lt;FILTERS&gt;&lt;FILTER&gt;&lt;/FILTER&gt;&lt;/FILTERS&gt;&lt;/QUERY&gt;&lt;/QUERIES&gt;&lt;/OBJECT&gt;"/>
    <w:docVar w:name="BIP_META_DOC_TBL00032" w:val="&lt;OBJECT&gt;&lt;META&gt;&lt;ID&gt;&lt;/ID&gt;&lt;NAME&gt;DOC_TBL0003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0.5.25&lt;/DATE&gt;&lt;DYNAMIZEDBY&gt;vignoal&lt;/DYNAMIZEDBY&gt;&lt;DYNAMIZEDON&gt;17/11/2014 14:33:11&lt;/DYNAMIZEDON&gt;&lt;LASTUPDATEDBY&gt;milemar&lt;/LASTUPDATEDBY&gt;&lt;LASTUPDATEDON&gt;6/12/2019 8:49:46 AM&lt;/LASTUPDATEDON&gt;&lt;UTC&gt;1&lt;/UTC&gt;&lt;/UPDATE&gt;&lt;QUERIES bbk=&quot;14849&quot; bbkdesc=&quot;2018 Annual Accounts/EU Annual Accounts/DC - Inventories&quot; datapro=&quot;INV&quot; tdatapro=&quot;INV&quot; author=&quot;&quot; modtime=&quot;6/12/2019 8:49:41 AM&quot; moduser=&quot;milemar&quot; rolluptime=&quot;&quot; syuser=&quot;milemar&quot; syuzeit=&quot;6/12/2019 8:49:41 AM&quot; root=&quot;/BBOOK/DATAPROVIDER[./META/PROPS/ID='INV']/DATA&quot; colcount=&quot;3&quot; rowcount=&quot;5&quot; url=&quot;&quot; dynamizeds=&quot;SAP Disclosure Management - Production&quot; dynamizedstype=&quot;9&quot; refreshds=&quot;&quot; viewtype=&quot;1&quot;&gt;&lt;QUERY reftype=&quot;ABS&quot; elmntsel=&quot;TABLE&quot; bbk=&quot;14849&quot; bbkdesc=&quot;2018 Annual Accounts/EU Annual Accounts/DC - Inventories&quot; datapro=&quot;INV&quot; infos=&quot;&quot; iscomment=&quot;0&quot;&gt;&lt;SELECT&gt;/BBOOK/DATAPROVIDER[./META/PROPS/ID='INV']/DATA/ROW&lt;/SELECT&gt;&lt;FILTERS&gt;&lt;FILTER&gt;&lt;/FILTER&gt;&lt;/FILTERS&gt;&lt;/QUERY&gt;&lt;/QUERIES&gt;&lt;/OBJECT&gt;"/>
    <w:docVar w:name="BIP_META_DOC_TBL00033" w:val="&lt;OBJECT&gt;&lt;META&gt;&lt;ID&gt;&lt;/ID&gt;&lt;NAME&gt;DOC_TBL0003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servela&lt;/DYNAMIZEDBY&gt;&lt;DYNAMIZEDON&gt;23/03/2018 10:43:27&lt;/DYNAMIZEDON&gt;&lt;LASTUPDATEDBY&gt;milemar&lt;/LASTUPDATEDBY&gt;&lt;LASTUPDATEDON&gt;6/12/2019 8:48:53 AM&lt;/LASTUPDATEDON&gt;&lt;UTC&gt;1&lt;/UTC&gt;&lt;/UPDATE&gt;&lt;QUERIES bbk=&quot;14850&quot; bbkdesc=&quot;2018 Annual Accounts/EU Annual Accounts/DC - Cash and cash equivalents&quot; datapro=&quot;CCE&quot; tdatapro=&quot;CCE&quot; author=&quot;&quot; modtime=&quot;3/18/2016 12:51:08 PM&quot; moduser=&quot;koehlmn&quot; rolluptime=&quot;&quot; syuser=&quot;koehlmn&quot; syuzeit=&quot;3/18/2016 12:51:08 PM&quot; root=&quot;/DATA&quot; colcount=&quot;4&quot; rowcount=&quot;13&quot; url=&quot;&quot; dynamizeds=&quot;SAP Disclosure Management - Production&quot; dynamizedstype=&quot;9&quot; refreshds=&quot;&quot; viewtype=&quot;1&quot;&gt;&lt;QUERY reftype=&quot;ABS&quot; elmntsel=&quot;TABLE&quot; bbk=&quot;14850&quot; bbkdesc=&quot;2018 Annual Accounts/EU Annual Accounts/DC - Cash and cash equivalents&quot; datapro=&quot;CCE&quot; infos=&quot;&quot; iscomment=&quot;0&quot;&gt;&lt;SELECT&gt;/BBOOK/DATAPROVIDER[./META/PROPS/ID='CCE']/DATA/ROW&lt;/SELECT&gt;&lt;FILTERS&gt;&lt;FILTER&gt;&lt;/FILTER&gt;&lt;/FILTERS&gt;&lt;/QUERY&gt;&lt;/QUERIES&gt;&lt;/OBJECT&gt;"/>
    <w:docVar w:name="BIP_META_DOC_TBL00034" w:val="&lt;OBJECT&gt;&lt;META&gt;&lt;ID&gt;&lt;/ID&gt;&lt;NAME&gt;DOC_TBL0003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servela&lt;/DYNAMIZEDBY&gt;&lt;DYNAMIZEDON&gt;10/3/2017 9:39:42 AM&lt;/DYNAMIZEDON&gt;&lt;LASTUPDATEDBY&gt;milemar&lt;/LASTUPDATEDBY&gt;&lt;LASTUPDATEDON&gt;6/12/2019 8:49:57 AM&lt;/LASTUPDATEDON&gt;&lt;UTC&gt;1&lt;/UTC&gt;&lt;/UPDATE&gt;&lt;QUERIES bbk=&quot;14851&quot; bbkdesc=&quot;2018 Annual Accounts/EU Annual Accounts/DC - Pension and other employee benefits&quot; datapro=&quot;PENS1&quot; tdatapro=&quot;PENS1&quot; author=&quot;&quot; modtime=&quot;6/9/2017 1:31:08 PM&quot; moduser=&quot;oerboan&quot; rolluptime=&quot;&quot; syuser=&quot;oerboan&quot; syuzeit=&quot;6/9/2017 1:31:08 PM&quot; root=&quot;/DATA&quot; colcount=&quot;6&quot; rowcount=&quot;7&quot; url=&quot;&quot; dynamizeds=&quot;SAP Disclosure Management - Production&quot; dynamizedstype=&quot;9&quot; refreshds=&quot;&quot; viewtype=&quot;1&quot;&gt;&lt;QUERY reftype=&quot;ABS&quot; elmntsel=&quot;TABLE&quot; bbk=&quot;14851&quot; bbkdesc=&quot;2018 Annual Accounts/EU Annual Accounts/DC - Pension and other employee benefits&quot; datapro=&quot;PENS1&quot; infos=&quot;&quot; iscomment=&quot;0&quot;&gt;&lt;SELECT&gt;/BBOOK/DATAPROVIDER[./META/PROPS/ID='PENS1']/DATA/ROW&lt;/SELECT&gt;&lt;FILTERS&gt;&lt;FILTER&gt;&lt;/FILTER&gt;&lt;/FILTERS&gt;&lt;/QUERY&gt;&lt;/QUERIES&gt;&lt;/OBJECT&gt;"/>
    <w:docVar w:name="BIP_META_DOC_TBL00035" w:val="&lt;OBJECT&gt;&lt;META&gt;&lt;ID&gt;&lt;/ID&gt;&lt;NAME&gt;DOC_TBL0003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mileuma&lt;/DYNAMIZEDBY&gt;&lt;DYNAMIZEDON&gt;14/02/2019 09:27:11&lt;/DYNAMIZEDON&gt;&lt;LASTUPDATEDBY&gt;milemar&lt;/LASTUPDATEDBY&gt;&lt;LASTUPDATEDON&gt;6/12/2019 8:49:57 AM&lt;/LASTUPDATEDON&gt;&lt;UTC&gt;1&lt;/UTC&gt;&lt;/UPDATE&gt;&lt;QUERIES bbk=&quot;14851&quot; bbkdesc=&quot;2018 Annual Accounts/EU Annual Accounts/DC - Pension and other employee benefits&quot; datapro=&quot;PENS2&quot; tdatapro=&quot;PENS2&quot; author=&quot;&quot; modtime=&quot;6/12/2019 8:49:51 AM&quot; moduser=&quot;milemar&quot; rolluptime=&quot;&quot; syuser=&quot;milemar&quot; syuzeit=&quot;6/12/2019 8:49:51 AM&quot; root=&quot;/BBOOK/DATAPROVIDER[./META/PROPS/ID='PENS2']/DATA&quot; colcount=&quot;5&quot; rowcount=&quot;14&quot; url=&quot;&quot; dynamizeds=&quot;SAP Disclosure Management - Production&quot; dynamizedstype=&quot;9&quot; refreshds=&quot;&quot; viewtype=&quot;1&quot;&gt;&lt;QUERY reftype=&quot;ABS&quot; elmntsel=&quot;TABLE&quot; bbk=&quot;14851&quot; bbkdesc=&quot;2018 Annual Accounts/EU Annual Accounts/DC - Pension and other employee benefits&quot; datapro=&quot;PENS2&quot; infos=&quot;&quot; iscomment=&quot;0&quot;&gt;&lt;SELECT&gt;/BBOOK/DATAPROVIDER[./META/PROPS/ID='PENS2']/DATA/ROW&lt;/SELECT&gt;&lt;FILTERS&gt;&lt;FILTER&gt;&lt;/FILTER&gt;&lt;/FILTERS&gt;&lt;/QUERY&gt;&lt;/QUERIES&gt;&lt;/OBJECT&gt;"/>
    <w:docVar w:name="BIP_META_DOC_TBL00036" w:val="&lt;OBJECT&gt;&lt;META&gt;&lt;ID&gt;&lt;/ID&gt;&lt;NAME&gt;DOC_TBL0003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ivanovy&lt;/DYNAMIZEDBY&gt;&lt;DYNAMIZEDON&gt;25-03-2019 13:36:10&lt;/DYNAMIZEDON&gt;&lt;LASTUPDATEDBY&gt;milemar&lt;/LASTUPDATEDBY&gt;&lt;LASTUPDATEDON&gt;6/12/2019 8:49:57 AM&lt;/LASTUPDATEDON&gt;&lt;UTC&gt;1&lt;/UTC&gt;&lt;/UPDATE&gt;&lt;QUERIES bbk=&quot;14851&quot; bbkdesc=&quot;2018 Annual Accounts/EU Annual Accounts/DC - Pension and other employee benefits&quot; datapro=&quot;PENS3&quot; tdatapro=&quot;PENS3&quot; author=&quot;&quot; modtime=&quot;6/12/2019 8:49:51 AM&quot; moduser=&quot;milemar&quot; rolluptime=&quot;&quot; syuser=&quot;milemar&quot; syuzeit=&quot;6/12/2019 8:49:51 AM&quot; root=&quot;/BBOOK/DATAPROVIDER[./META/PROPS/ID='PENS3']/DATA&quot; colcount=&quot;4&quot; rowcount=&quot;6&quot; url=&quot;&quot; dynamizeds=&quot;SAP Disclosure Management - Production&quot; dynamizedstype=&quot;9&quot; refreshds=&quot;&quot; viewtype=&quot;1&quot;&gt;&lt;QUERY reftype=&quot;ABS&quot; elmntsel=&quot;TABLE&quot; bbk=&quot;14851&quot; bbkdesc=&quot;2018 Annual Accounts/EU Annual Accounts/DC - Pension and other employee benefits&quot; datapro=&quot;PENS3&quot; infos=&quot;&quot; iscomment=&quot;0&quot;&gt;&lt;SELECT&gt;/BBOOK/DATAPROVIDER[./META/PROPS/ID='PENS3']/DATA/ROW&lt;/SELECT&gt;&lt;FILTERS&gt;&lt;FILTER&gt;&lt;/FILTER&gt;&lt;/FILTERS&gt;&lt;/QUERY&gt;&lt;/QUERIES&gt;&lt;/OBJECT&gt;"/>
    <w:docVar w:name="BIP_META_DOC_TBL00037" w:val="&lt;OBJECT&gt;&lt;META&gt;&lt;ID&gt;&lt;/ID&gt;&lt;NAME&gt;DOC_TBL0003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4.9&lt;/DATE&gt;&lt;DYNAMIZEDBY&gt;porteca&lt;/DYNAMIZEDBY&gt;&lt;DYNAMIZEDON&gt;21/03/2016 14:14:34&lt;/DYNAMIZEDON&gt;&lt;LASTUPDATEDBY&gt;milemar&lt;/LASTUPDATEDBY&gt;&lt;LASTUPDATEDON&gt;6/12/2019 8:49:57 AM&lt;/LASTUPDATEDON&gt;&lt;UTC&gt;1&lt;/UTC&gt;&lt;/UPDATE&gt;&lt;QUERIES bbk=&quot;14851&quot; bbkdesc=&quot;2018 Annual Accounts/EU Annual Accounts/DC - Pension and other employee benefits&quot; datapro=&quot;SPL&quot; tdatapro=&quot;SPL&quot; author=&quot;&quot; modtime=&quot;6/12/2019 8:49:51 AM&quot; moduser=&quot;milemar&quot; rolluptime=&quot;&quot; syuser=&quot;milemar&quot; syuzeit=&quot;6/12/2019 8:49:51 AM&quot; root=&quot;/BBOOK/DATAPROVIDER[./META/PROPS/ID='SPL']/DATA&quot; colcount=&quot;3&quot; rowcount=&quot;15&quot; url=&quot;&quot; dynamizeds=&quot;SAP Disclosure Management - Production&quot; dynamizedstype=&quot;9&quot; refreshds=&quot;&quot; viewtype=&quot;1&quot;&gt;&lt;QUERY reftype=&quot;ABS&quot; elmntsel=&quot;TABLE&quot; bbk=&quot;14851&quot; bbkdesc=&quot;2018 Annual Accounts/EU Annual Accounts/DC - Pension and other employee benefits&quot; datapro=&quot;SPL&quot; infos=&quot;&quot; iscomment=&quot;0&quot;&gt;&lt;SELECT&gt;/BBOOK/DATAPROVIDER[./META/PROPS/ID='SPL']/DATA/ROW&lt;/SELECT&gt;&lt;FILTERS&gt;&lt;FILTER&gt;&lt;/FILTER&gt;&lt;/FILTERS&gt;&lt;/QUERY&gt;&lt;/QUERIES&gt;&lt;/OBJECT&gt;"/>
    <w:docVar w:name="BIP_META_DOC_TBL00038" w:val="&lt;OBJECT&gt;&lt;META&gt;&lt;ID&gt;&lt;/ID&gt;&lt;NAME&gt;DOC_TBL0003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mileuma&lt;/DYNAMIZEDBY&gt;&lt;DYNAMIZEDON&gt;2/12/2019 8:47:36 AM&lt;/DYNAMIZEDON&gt;&lt;LASTUPDATEDBY&gt;milemar&lt;/LASTUPDATEDBY&gt;&lt;LASTUPDATEDON&gt;6/12/2019 8:49:57 AM&lt;/LASTUPDATEDON&gt;&lt;UTC&gt;1&lt;/UTC&gt;&lt;/UPDATE&gt;&lt;QUERIES bbk=&quot;14851&quot; bbkdesc=&quot;2018 Annual Accounts/EU Annual Accounts/DC - Pension and other employee benefits&quot; datapro=&quot;PENS6&quot; tdatapro=&quot;PENS6&quot; author=&quot;&quot; modtime=&quot;6/12/2019 8:49:51 AM&quot; moduser=&quot;milemar&quot; rolluptime=&quot;&quot; syuser=&quot;milemar&quot; syuzeit=&quot;6/12/2019 8:49:51 AM&quot; root=&quot;/BBOOK/DATAPROVIDER[./META/PROPS/ID='PENS6']/DATA&quot; colcount=&quot;5&quot; rowcount=&quot;5&quot; url=&quot;&quot; dynamizeds=&quot;SAP Disclosure Management - Production&quot; dynamizedstype=&quot;9&quot; refreshds=&quot;&quot; viewtype=&quot;1&quot;&gt;&lt;QUERY reftype=&quot;ABS&quot; elmntsel=&quot;TABLE&quot; bbk=&quot;14851&quot; bbkdesc=&quot;2018 Annual Accounts/EU Annual Accounts/DC - Pension and other employee benefits&quot; datapro=&quot;PENS6&quot; infos=&quot;&quot; iscomment=&quot;0&quot;&gt;&lt;SELECT&gt;/BBOOK/DATAPROVIDER[./META/PROPS/ID='PENS6']/DATA/ROW&lt;/SELECT&gt;&lt;FILTERS&gt;&lt;FILTER&gt;&lt;/FILTER&gt;&lt;/FILTERS&gt;&lt;/QUERY&gt;&lt;/QUERIES&gt;&lt;/OBJECT&gt;"/>
    <w:docVar w:name="BIP_META_DOC_TBL00039" w:val="&lt;OBJECT&gt;&lt;META&gt;&lt;ID&gt;&lt;/ID&gt;&lt;NAME&gt;DOC_TBL0003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mileuma&lt;/DYNAMIZEDBY&gt;&lt;DYNAMIZEDON&gt;2/12/2019 8:49:58 AM&lt;/DYNAMIZEDON&gt;&lt;LASTUPDATEDBY&gt;milemar&lt;/LASTUPDATEDBY&gt;&lt;LASTUPDATEDON&gt;6/12/2019 8:49:57 AM&lt;/LASTUPDATEDON&gt;&lt;UTC&gt;1&lt;/UTC&gt;&lt;/UPDATE&gt;&lt;QUERIES bbk=&quot;14851&quot; bbkdesc=&quot;2018 Annual Accounts/EU Annual Accounts/DC - Pension and other employee benefits&quot; datapro=&quot;PENS7&quot; tdatapro=&quot;PENS7&quot; author=&quot;&quot; modtime=&quot;6/12/2019 8:49:51 AM&quot; moduser=&quot;milemar&quot; rolluptime=&quot;&quot; syuser=&quot;milemar&quot; syuzeit=&quot;6/12/2019 8:49:51 AM&quot; root=&quot;/BBOOK/DATAPROVIDER[./META/PROPS/ID='PENS7']/DATA&quot; colcount=&quot;5&quot; rowcount=&quot;4&quot; url=&quot;&quot; dynamizeds=&quot;SAP Disclosure Management - Production&quot; dynamizedstype=&quot;9&quot; refreshds=&quot;&quot; viewtype=&quot;1&quot;&gt;&lt;QUERY reftype=&quot;ABS&quot; elmntsel=&quot;TABLE&quot; bbk=&quot;14851&quot; bbkdesc=&quot;2018 Annual Accounts/EU Annual Accounts/DC - Pension and other employee benefits&quot; datapro=&quot;PENS7&quot; infos=&quot;&quot; iscomment=&quot;0&quot;&gt;&lt;SELECT&gt;/BBOOK/DATAPROVIDER[./META/PROPS/ID='PENS7']/DATA/ROW&lt;/SELECT&gt;&lt;FILTERS&gt;&lt;FILTER&gt;&lt;/FILTER&gt;&lt;/FILTERS&gt;&lt;/QUERY&gt;&lt;/QUERIES&gt;&lt;/OBJECT&gt;"/>
    <w:docVar w:name="BIP_META_DOC_TBL00040" w:val="&lt;OBJECT&gt;&lt;META&gt;&lt;ID&gt;&lt;/ID&gt;&lt;NAME&gt;DOC_TBL0004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ivanovy&lt;/DYNAMIZEDBY&gt;&lt;DYNAMIZEDON&gt;18-03-2019 10:48:09&lt;/DYNAMIZEDON&gt;&lt;LASTUPDATEDBY&gt;milemar&lt;/LASTUPDATEDBY&gt;&lt;LASTUPDATEDON&gt;6/12/2019 8:49:57 AM&lt;/LASTUPDATEDON&gt;&lt;UTC&gt;1&lt;/UTC&gt;&lt;/UPDATE&gt;&lt;QUERIES bbk=&quot;14851&quot; bbkdesc=&quot;2018 Annual Accounts/EU Annual Accounts/DC - Pension and other employee benefits&quot; datapro=&quot;PENS8&quot; tdatapro=&quot;PENS8&quot; author=&quot;&quot; modtime=&quot;6/12/2019 8:49:51 AM&quot; moduser=&quot;milemar&quot; rolluptime=&quot;&quot; syuser=&quot;milemar&quot; syuzeit=&quot;6/12/2019 8:49:51 AM&quot; root=&quot;/BBOOK/DATAPROVIDER[./META/PROPS/ID='PENS8']/DATA&quot; colcount=&quot;5&quot; rowcount=&quot;4&quot; url=&quot;&quot; dynamizeds=&quot;SAP Disclosure Management - Production&quot; dynamizedstype=&quot;9&quot; refreshds=&quot;&quot; viewtype=&quot;1&quot;&gt;&lt;QUERY reftype=&quot;ABS&quot; elmntsel=&quot;TABLE&quot; bbk=&quot;14851&quot; bbkdesc=&quot;2018 Annual Accounts/EU Annual Accounts/DC - Pension and other employee benefits&quot; datapro=&quot;PENS8&quot; infos=&quot;&quot; iscomment=&quot;0&quot;&gt;&lt;SELECT&gt;/BBOOK/DATAPROVIDER[./META/PROPS/ID='PENS8']/DATA/ROW&lt;/SELECT&gt;&lt;FILTERS&gt;&lt;FILTER&gt;&lt;/FILTER&gt;&lt;/FILTERS&gt;&lt;/QUERY&gt;&lt;/QUERIES&gt;&lt;/OBJECT&gt;"/>
    <w:docVar w:name="BIP_META_DOC_TBL00041" w:val="&lt;OBJECT&gt;&lt;META&gt;&lt;ID&gt;&lt;/ID&gt;&lt;NAME&gt;DOC_TBL0004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ivanovy&lt;/DYNAMIZEDBY&gt;&lt;DYNAMIZEDON&gt;18-03-2019 10:48:36&lt;/DYNAMIZEDON&gt;&lt;LASTUPDATEDBY&gt;milemar&lt;/LASTUPDATEDBY&gt;&lt;LASTUPDATEDON&gt;6/12/2019 8:49:57 AM&lt;/LASTUPDATEDON&gt;&lt;UTC&gt;1&lt;/UTC&gt;&lt;/UPDATE&gt;&lt;QUERIES bbk=&quot;14851&quot; bbkdesc=&quot;2018 Annual Accounts/EU Annual Accounts/DC - Pension and other employee benefits&quot; datapro=&quot;PENS9&quot; tdatapro=&quot;PENS9&quot; author=&quot;&quot; modtime=&quot;6/12/2019 8:49:51 AM&quot; moduser=&quot;milemar&quot; rolluptime=&quot;&quot; syuser=&quot;milemar&quot; syuzeit=&quot;6/12/2019 8:49:51 AM&quot; root=&quot;/BBOOK/DATAPROVIDER[./META/PROPS/ID='PENS9']/DATA&quot; colcount=&quot;5&quot; rowcount=&quot;4&quot; url=&quot;&quot; dynamizeds=&quot;SAP Disclosure Management - Production&quot; dynamizedstype=&quot;9&quot; refreshds=&quot;&quot; viewtype=&quot;1&quot;&gt;&lt;QUERY reftype=&quot;ABS&quot; elmntsel=&quot;TABLE&quot; bbk=&quot;14851&quot; bbkdesc=&quot;2018 Annual Accounts/EU Annual Accounts/DC - Pension and other employee benefits&quot; datapro=&quot;PENS9&quot; infos=&quot;&quot; iscomment=&quot;0&quot;&gt;&lt;SELECT&gt;/BBOOK/DATAPROVIDER[./META/PROPS/ID='PENS9']/DATA/ROW&lt;/SELECT&gt;&lt;FILTERS&gt;&lt;FILTER&gt;&lt;/FILTER&gt;&lt;/FILTERS&gt;&lt;/QUERY&gt;&lt;/QUERIES&gt;&lt;/OBJECT&gt;"/>
    <w:docVar w:name="BIP_META_DOC_TBL00042" w:val="&lt;OBJECT&gt;&lt;META&gt;&lt;ID&gt;&lt;/ID&gt;&lt;NAME&gt;DOC_TBL0004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mileuma&lt;/DYNAMIZEDBY&gt;&lt;DYNAMIZEDON&gt;2/12/2019 8:59:16 AM&lt;/DYNAMIZEDON&gt;&lt;LASTUPDATEDBY&gt;milemar&lt;/LASTUPDATEDBY&gt;&lt;LASTUPDATEDON&gt;6/12/2019 8:49:57 AM&lt;/LASTUPDATEDON&gt;&lt;UTC&gt;1&lt;/UTC&gt;&lt;/UPDATE&gt;&lt;QUERIES bbk=&quot;14851&quot; bbkdesc=&quot;2018 Annual Accounts/EU Annual Accounts/DC - Pension and other employee benefits&quot; datapro=&quot;PENS10&quot; tdatapro=&quot;PENS10&quot; author=&quot;&quot; modtime=&quot;6/12/2019 8:49:51 AM&quot; moduser=&quot;milemar&quot; rolluptime=&quot;&quot; syuser=&quot;milemar&quot; syuzeit=&quot;6/12/2019 8:49:51 AM&quot; root=&quot;/BBOOK/DATAPROVIDER[./META/PROPS/ID='PENS10']/DATA&quot; colcount=&quot;5&quot; rowcount=&quot;4&quot; url=&quot;&quot; dynamizeds=&quot;SAP Disclosure Management - Production&quot; dynamizedstype=&quot;9&quot; refreshds=&quot;&quot; viewtype=&quot;1&quot;&gt;&lt;QUERY reftype=&quot;ABS&quot; elmntsel=&quot;TABLE&quot; bbk=&quot;14851&quot; bbkdesc=&quot;2018 Annual Accounts/EU Annual Accounts/DC - Pension and other employee benefits&quot; datapro=&quot;PENS10&quot; infos=&quot;&quot; iscomment=&quot;0&quot;&gt;&lt;SELECT&gt;/BBOOK/DATAPROVIDER[./META/PROPS/ID='PENS10']/DATA/ROW&lt;/SELECT&gt;&lt;FILTERS&gt;&lt;FILTER&gt;&lt;/FILTER&gt;&lt;/FILTERS&gt;&lt;/QUERY&gt;&lt;/QUERIES&gt;&lt;/OBJECT&gt;"/>
    <w:docVar w:name="BIP_META_DOC_TBL00043" w:val="&lt;OBJECT&gt;&lt;META&gt;&lt;ID&gt;&lt;/ID&gt;&lt;NAME&gt;DOC_TBL0004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mileuma&lt;/DYNAMIZEDBY&gt;&lt;DYNAMIZEDON&gt;2/12/2019 9:01:21 AM&lt;/DYNAMIZEDON&gt;&lt;LASTUPDATEDBY&gt;milemar&lt;/LASTUPDATEDBY&gt;&lt;LASTUPDATEDON&gt;6/12/2019 8:49:57 AM&lt;/LASTUPDATEDON&gt;&lt;UTC&gt;1&lt;/UTC&gt;&lt;/UPDATE&gt;&lt;QUERIES bbk=&quot;14851&quot; bbkdesc=&quot;2018 Annual Accounts/EU Annual Accounts/DC - Pension and other employee benefits&quot; datapro=&quot;PENS11&quot; tdatapro=&quot;PENS11&quot; author=&quot;&quot; modtime=&quot;6/12/2019 8:49:51 AM&quot; moduser=&quot;milemar&quot; rolluptime=&quot;&quot; syuser=&quot;milemar&quot; syuzeit=&quot;6/12/2019 8:49:51 AM&quot; root=&quot;/BBOOK/DATAPROVIDER[./META/PROPS/ID='PENS11']/DATA&quot; colcount=&quot;5&quot; rowcount=&quot;4&quot; url=&quot;&quot; dynamizeds=&quot;SAP Disclosure Management - Production&quot; dynamizedstype=&quot;9&quot; refreshds=&quot;&quot; viewtype=&quot;1&quot;&gt;&lt;QUERY reftype=&quot;ABS&quot; elmntsel=&quot;TABLE&quot; bbk=&quot;14851&quot; bbkdesc=&quot;2018 Annual Accounts/EU Annual Accounts/DC - Pension and other employee benefits&quot; datapro=&quot;PENS11&quot; infos=&quot;&quot; iscomment=&quot;0&quot;&gt;&lt;SELECT&gt;/BBOOK/DATAPROVIDER[./META/PROPS/ID='PENS11']/DATA/ROW&lt;/SELECT&gt;&lt;FILTERS&gt;&lt;FILTER&gt;&lt;/FILTER&gt;&lt;/FILTERS&gt;&lt;/QUERY&gt;&lt;/QUERIES&gt;&lt;/OBJECT&gt;"/>
    <w:docVar w:name="BIP_META_DOC_TBL00044" w:val="&lt;OBJECT&gt;&lt;META&gt;&lt;ID&gt;&lt;/ID&gt;&lt;NAME&gt;DOC_TBL0004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ivanovy&lt;/DYNAMIZEDBY&gt;&lt;DYNAMIZEDON&gt;18-03-2019 10:53:55&lt;/DYNAMIZEDON&gt;&lt;LASTUPDATEDBY&gt;milemar&lt;/LASTUPDATEDBY&gt;&lt;LASTUPDATEDON&gt;6/12/2019 8:49:57 AM&lt;/LASTUPDATEDON&gt;&lt;UTC&gt;1&lt;/UTC&gt;&lt;/UPDATE&gt;&lt;QUERIES bbk=&quot;14851&quot; bbkdesc=&quot;2018 Annual Accounts/EU Annual Accounts/DC - Pension and other employee benefits&quot; datapro=&quot;PENS12&quot; tdatapro=&quot;PENS12&quot; author=&quot;&quot; modtime=&quot;6/12/2019 8:49:51 AM&quot; moduser=&quot;milemar&quot; rolluptime=&quot;&quot; syuser=&quot;milemar&quot; syuzeit=&quot;6/12/2019 8:49:51 AM&quot; root=&quot;/BBOOK/DATAPROVIDER[./META/PROPS/ID='PENS12']/DATA&quot; colcount=&quot;5&quot; rowcount=&quot;4&quot; url=&quot;&quot; dynamizeds=&quot;SAP Disclosure Management - Production&quot; dynamizedstype=&quot;9&quot; refreshds=&quot;&quot; viewtype=&quot;1&quot;&gt;&lt;QUERY reftype=&quot;ABS&quot; elmntsel=&quot;TABLE&quot; bbk=&quot;14851&quot; bbkdesc=&quot;2018 Annual Accounts/EU Annual Accounts/DC - Pension and other employee benefits&quot; datapro=&quot;PENS12&quot; infos=&quot;&quot; iscomment=&quot;0&quot;&gt;&lt;SELECT&gt;/BBOOK/DATAPROVIDER[./META/PROPS/ID='PENS12']/DATA/ROW&lt;/SELECT&gt;&lt;FILTERS&gt;&lt;FILTER&gt;&lt;/FILTER&gt;&lt;/FILTERS&gt;&lt;/QUERY&gt;&lt;/QUERIES&gt;&lt;/OBJECT&gt;"/>
    <w:docVar w:name="BIP_META_DOC_TBL00045" w:val="&lt;OBJECT&gt;&lt;META&gt;&lt;ID&gt;&lt;/ID&gt;&lt;NAME&gt;DOC_TBL0004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servela&lt;/DYNAMIZEDBY&gt;&lt;DYNAMIZEDON&gt;30/08/2017 09:00:47&lt;/DYNAMIZEDON&gt;&lt;LASTUPDATEDBY&gt;ruberla&lt;/LASTUPDATEDBY&gt;&lt;LASTUPDATEDON&gt;6/12/2019 1:37:58 PM&lt;/LASTUPDATEDON&gt;&lt;UTC&gt;1&lt;/UTC&gt;&lt;/UPDATE&gt;&lt;QUERIES bbk=&quot;14852&quot; bbkdesc=&quot;2018 Annual Accounts/EU Annual Accounts/DC - Provisions&quot; datapro=&quot;PROV&quot; tdatapro=&quot;PROV&quot; author=&quot;&quot; modtime=&quot;10/30/2015 1:50:11 PM&quot; moduser=&quot;milemar&quot; rolluptime=&quot;&quot; syuser=&quot;milemar&quot; syuzeit=&quot;10/30/2015 1:50:11 PM&quot; root=&quot;/DATA&quot; colcount=&quot;8&quot; rowcount=&quot;14&quot; url=&quot;&quot; dynamizeds=&quot;SAP Disclosure Management - Production&quot; dynamizedstype=&quot;9&quot; refreshds=&quot;&quot; viewtype=&quot;1&quot;&gt;&lt;QUERY reftype=&quot;ABS&quot; elmntsel=&quot;TABLE&quot; bbk=&quot;14852&quot; bbkdesc=&quot;2018 Annual Accounts/EU Annual Accounts/DC - Provisions&quot; datapro=&quot;PROV&quot; infos=&quot;&quot; iscomment=&quot;0&quot;&gt;&lt;SELECT&gt;/BBOOK/DATAPROVIDER[./META/PROPS/ID='PROV']/DATA/ROW&lt;/SELECT&gt;&lt;FILTERS&gt;&lt;FILTER&gt;&lt;/FILTER&gt;&lt;/FILTERS&gt;&lt;/QUERY&gt;&lt;/QUERIES&gt;&lt;/OBJECT&gt;"/>
    <w:docVar w:name="BIP_META_DOC_TBL00046" w:val="&lt;OBJECT&gt;&lt;META&gt;&lt;ID&gt;&lt;/ID&gt;&lt;NAME&gt;DOC_TBL0004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preutan&lt;/DYNAMIZEDBY&gt;&lt;DYNAMIZEDON&gt;19/03/2018 16:24:49&lt;/DYNAMIZEDON&gt;&lt;LASTUPDATEDBY&gt;koehlmn&lt;/LASTUPDATEDBY&gt;&lt;LASTUPDATEDON&gt;6/17/2019 9:15:22 AM&lt;/LASTUPDATEDON&gt;&lt;UTC&gt;1&lt;/UTC&gt;&lt;/UPDATE&gt;&lt;QUERIES bbk=&quot;14853&quot; bbkdesc=&quot;2018 Annual Accounts/EU Annual Accounts/DC - Financial liabilities&quot; datapro=&quot;FinL&quot; tdatapro=&quot;FinL&quot; author=&quot;&quot; modtime=&quot;11/21/2018 9:59:29 AM&quot; moduser=&quot;preutan&quot; rolluptime=&quot;&quot; syuser=&quot;preutan&quot; syuzeit=&quot;11/21/2018 9:59:29 AM&quot; root=&quot;/BBOOK/DATAPROVIDER[./META/PROPS/ID='FinLiabFVTPL']/DATA&quot; colcount=&quot;4&quot; rowcount=&quot;14&quot; url=&quot;&quot; dynamizeds=&quot;SAP Disclosure Management - Production&quot; dynamizedstype=&quot;9&quot; refreshds=&quot;&quot; viewtype=&quot;1&quot;&gt;&lt;QUERY reftype=&quot;ABS&quot; elmntsel=&quot;TABLE&quot; bbk=&quot;14853&quot; bbkdesc=&quot;2018 Annual Accounts/EU Annual Accounts/DC - Financial liabilities&quot; datapro=&quot;FinL&quot; infos=&quot;&quot; iscomment=&quot;0&quot;&gt;&lt;SELECT&gt;/BBOOK/DATAPROVIDER[./META/PROPS/ID='FinL']/DATA/ROW&lt;/SELECT&gt;&lt;FILTERS&gt;&lt;FILTER&gt;&lt;/FILTER&gt;&lt;/FILTERS&gt;&lt;/QUERY&gt;&lt;/QUERIES&gt;&lt;/OBJECT&gt;"/>
    <w:docVar w:name="BIP_META_DOC_TBL00047" w:val="&lt;OBJECT&gt;&lt;META&gt;&lt;ID&gt;&lt;/ID&gt;&lt;NAME&gt;DOC_TBL0004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servela&lt;/DYNAMIZEDBY&gt;&lt;DYNAMIZEDON&gt;10/3/2017 10:56:47 AM&lt;/DYNAMIZEDON&gt;&lt;LASTUPDATEDBY&gt;milemar&lt;/LASTUPDATEDBY&gt;&lt;LASTUPDATEDON&gt;6/12/2019 8:50:45 AM&lt;/LASTUPDATEDON&gt;&lt;UTC&gt;1&lt;/UTC&gt;&lt;/UPDATE&gt;&lt;QUERIES bbk=&quot;14853&quot; bbkdesc=&quot;2018 Annual Accounts/EU Annual Accounts/DC - Financial liabilities&quot; datapro=&quot;FinLiabBorrowings&quot; tdatapro=&quot;FinLiabBorrowings&quot; author=&quot;&quot; modtime=&quot;6/9/2017 1:22:11 PM&quot; moduser=&quot;preutan&quot; rolluptime=&quot;&quot; syuser=&quot;preutan&quot; syuzeit=&quot;6/9/2017 1:22:11 PM&quot; root=&quot;/DATA&quot; colcount=&quot;4&quot; rowcount=&quot;7&quot; url=&quot;&quot; dynamizeds=&quot;SAP Disclosure Management - Production&quot; dynamizedstype=&quot;9&quot; refreshds=&quot;&quot; viewtype=&quot;1&quot;&gt;&lt;QUERY reftype=&quot;ABS&quot; elmntsel=&quot;TABLE&quot; bbk=&quot;14853&quot; bbkdesc=&quot;2018 Annual Accounts/EU Annual Accounts/DC - Financial liabilities&quot; datapro=&quot;FinLiabBorrowings&quot; infos=&quot;&quot; iscomment=&quot;0&quot;&gt;&lt;SELECT&gt;/BBOOK/DATAPROVIDER[./META/PROPS/ID='FinLiabBorrowings']/DATA/ROW&lt;/SELECT&gt;&lt;FILTERS&gt;&lt;FILTER&gt;&lt;/FILTER&gt;&lt;/FILTERS&gt;&lt;/QUERY&gt;&lt;/QUERIES&gt;&lt;/OBJECT&gt;"/>
    <w:docVar w:name="BIP_META_DOC_TBL00048" w:val="&lt;OBJECT&gt;&lt;META&gt;&lt;ID&gt;&lt;/ID&gt;&lt;NAME&gt;DOC_TBL0004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servela&lt;/DYNAMIZEDBY&gt;&lt;DYNAMIZEDON&gt;2/23/2017 9:57:57 AM&lt;/DYNAMIZEDON&gt;&lt;LASTUPDATEDBY&gt;koehlmn&lt;/LASTUPDATEDBY&gt;&lt;LASTUPDATEDON&gt;6/17/2019 3:28:16 PM&lt;/LASTUPDATEDON&gt;&lt;UTC&gt;1&lt;/UTC&gt;&lt;/UPDATE&gt;&lt;QUERIES bbk=&quot;14747&quot; bbkdesc=&quot;2018 Annual Accounts/EU Annual Accounts/DC - Borrowings by Financial instruments&quot; datapro=&quot;BFI&quot; tdatapro=&quot;BFI&quot; author=&quot;&quot; modtime=&quot;11/21/2014 8:16:57 AM&quot; moduser=&quot;vignale&quot; rolluptime=&quot;&quot; syuser=&quot;vignale&quot; syuzeit=&quot;11/21/2014 8:16:57 AM&quot; root=&quot;/BBOOK/DATAPROVIDER[./META/PROPS/ID='FinLiabBorrowings']/DATA&quot; colcount=&quot;7&quot; rowcount=&quot;10&quot; url=&quot;&quot; dynamizeds=&quot;SAP Disclosure Management - Production&quot; dynamizedstype=&quot;9&quot; refreshds=&quot;&quot; viewtype=&quot;1&quot;&gt;&lt;QUERY reftype=&quot;ABS&quot; elmntsel=&quot;TABLE&quot; bbk=&quot;14747&quot; bbkdesc=&quot;2018 Annual Accounts/EU Annual Accounts/DC - Borrowings by Financial instruments&quot; datapro=&quot;BFI&quot; infos=&quot;&quot; iscomment=&quot;0&quot;&gt;&lt;SELECT&gt;/BBOOK/DATAPROVIDER[./META/PROPS/ID='BFI']/DATA/ROW&lt;/SELECT&gt;&lt;FILTERS&gt;&lt;FILTER&gt;&lt;/FILTER&gt;&lt;/FILTERS&gt;&lt;/QUERY&gt;&lt;/QUERIES&gt;&lt;/OBJECT&gt;"/>
    <w:docVar w:name="BIP_META_DOC_TBL00049" w:val="&lt;OBJECT&gt;&lt;META&gt;&lt;ID&gt;&lt;/ID&gt;&lt;NAME&gt;DOC_TBL0004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4.9&lt;/DATE&gt;&lt;DYNAMIZEDBY&gt;porteca&lt;/DYNAMIZEDBY&gt;&lt;DYNAMIZEDON&gt;23/03/2016 10:37:02&lt;/DYNAMIZEDON&gt;&lt;LASTUPDATEDBY&gt;milemar&lt;/LASTUPDATEDBY&gt;&lt;LASTUPDATEDON&gt;6/12/2019 8:50:45 AM&lt;/LASTUPDATEDON&gt;&lt;UTC&gt;1&lt;/UTC&gt;&lt;/UPDATE&gt;&lt;QUERIES bbk=&quot;14814&quot; bbkdesc=&quot;2018 Annual Accounts/EU Annual Accounts/DC - Financial Support Mechanisms&quot; datapro=&quot;BORR3&quot; tdatapro=&quot;BORR3&quot; author=&quot;&quot; modtime=&quot;6/12/2019 8:50:25 AM&quot; moduser=&quot;milemar&quot; rolluptime=&quot;&quot; syuser=&quot;milemar&quot; syuzeit=&quot;6/12/2019 8:50:25 AM&quot; root=&quot;/BBOOK/DATAPROVIDER[./META/PROPS/ID='BORR3']/DATA&quot; colcount=&quot;3&quot; rowcount=&quot;6&quot; url=&quot;&quot; dynamizeds=&quot;SAP Disclosure Management - Production&quot; dynamizedstype=&quot;9&quot; refreshds=&quot;&quot; viewtype=&quot;1&quot;&gt;&lt;QUERY reftype=&quot;ABS&quot; elmntsel=&quot;TABLE&quot; bbk=&quot;14814&quot; bbkdesc=&quot;2018 Annual Accounts/EU Annual Accounts/DC - Financial Support Mechanisms&quot; datapro=&quot;BORR3&quot; infos=&quot;&quot; iscomment=&quot;0&quot;&gt;&lt;SELECT&gt;/BBOOK/DATAPROVIDER[./META/PROPS/ID='BORR3']/DATA/ROW&lt;/SELECT&gt;&lt;FILTERS&gt;&lt;FILTER&gt;&lt;/FILTER&gt;&lt;/FILTERS&gt;&lt;/QUERY&gt;&lt;/QUERIES&gt;&lt;/OBJECT&gt;"/>
    <w:docVar w:name="BIP_META_DOC_TBL00050" w:val="&lt;OBJECT&gt;&lt;META&gt;&lt;ID&gt;&lt;/ID&gt;&lt;NAME&gt;DOC_TBL0005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preutan&lt;/DYNAMIZEDBY&gt;&lt;DYNAMIZEDON&gt;21-11-2018 15:24:40&lt;/DYNAMIZEDON&gt;&lt;LASTUPDATEDBY&gt;milemar&lt;/LASTUPDATEDBY&gt;&lt;LASTUPDATEDON&gt;6/12/2019 8:50:45 AM&lt;/LASTUPDATEDON&gt;&lt;UTC&gt;1&lt;/UTC&gt;&lt;/UPDATE&gt;&lt;QUERIES bbk=&quot;14854&quot; bbkdesc=&quot;2018 Annual Accounts/EU Annual Accounts/DC - Other financial liabilities&quot; datapro=&quot;OthFinanL&quot; tdatapro=&quot;OthFinanL&quot; author=&quot;&quot; modtime=&quot;11/18/2014 8:39:48 AM&quot; moduser=&quot;vignale&quot; rolluptime=&quot;&quot; syuser=&quot;vignale&quot; syuzeit=&quot;11/18/2014 8:39:48 AM&quot; root=&quot;/BBOOK/DATAPROVIDER[./META/PROPS/ID='BFIEC']/DATA&quot; colcount=&quot;3&quot; rowcount=&quot;15&quot; url=&quot;&quot; dynamizeds=&quot;SAP Disclosure Management - Production&quot; dynamizedstype=&quot;9&quot; refreshds=&quot;&quot; viewtype=&quot;1&quot;&gt;&lt;QUERY reftype=&quot;ABS&quot; elmntsel=&quot;TABLE&quot; bbk=&quot;14854&quot; bbkdesc=&quot;2018 Annual Accounts/EU Annual Accounts/DC - Other financial liabilities&quot; datapro=&quot;OthFinanL&quot; infos=&quot;&quot; iscomment=&quot;0&quot;&gt;&lt;SELECT&gt;/BBOOK/DATAPROVIDER[./META/PROPS/ID='OthFinanL']/DATA/ROW&lt;/SELECT&gt;&lt;FILTERS&gt;&lt;FILTER&gt;&lt;/FILTER&gt;&lt;/FILTERS&gt;&lt;/QUERY&gt;&lt;/QUERIES&gt;&lt;/OBJECT&gt;"/>
    <w:docVar w:name="BIP_META_DOC_TBL00051" w:val="&lt;OBJECT&gt;&lt;META&gt;&lt;ID&gt;&lt;/ID&gt;&lt;NAME&gt;DOC_TBL0005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preutan&lt;/DYNAMIZEDBY&gt;&lt;DYNAMIZEDON&gt;21-11-2018 15:34:58&lt;/DYNAMIZEDON&gt;&lt;LASTUPDATEDBY&gt;milemar&lt;/LASTUPDATEDBY&gt;&lt;LASTUPDATEDON&gt;6/12/2019 8:50:45 AM&lt;/LASTUPDATEDON&gt;&lt;UTC&gt;1&lt;/UTC&gt;&lt;/UPDATE&gt;&lt;QUERIES bbk=&quot;14855&quot; bbkdesc=&quot;2018 Annual Accounts/EU Annual Accounts/DC - Finance Lease liabilities&quot; datapro=&quot;FL&quot; tdatapro=&quot;FL&quot; author=&quot;&quot; modtime=&quot;11/18/2014 8:39:58 AM&quot; moduser=&quot;vignale&quot; rolluptime=&quot;&quot; syuser=&quot;vignale&quot; syuzeit=&quot;11/18/2014 8:39:58 AM&quot; root=&quot;/DATA&quot; colcount=&quot;5&quot; rowcount=&quot;9&quot; url=&quot;&quot; dynamizeds=&quot;SAP Disclosure Management - Production&quot; dynamizedstype=&quot;9&quot; refreshds=&quot;&quot; viewtype=&quot;1&quot;&gt;&lt;QUERY reftype=&quot;ABS&quot; elmntsel=&quot;TABLE&quot; bbk=&quot;14855&quot; bbkdesc=&quot;2018 Annual Accounts/EU Annual Accounts/DC - Finance Lease liabilities&quot; datapro=&quot;FL&quot; infos=&quot;&quot; iscomment=&quot;0&quot;&gt;&lt;SELECT&gt;/BBOOK/DATAPROVIDER[./META/PROPS/ID='FL']/DATA/ROW&lt;/SELECT&gt;&lt;FILTERS&gt;&lt;FILTER&gt;&lt;/FILTER&gt;&lt;/FILTERS&gt;&lt;/QUERY&gt;&lt;/QUERIES&gt;&lt;/OBJECT&gt;"/>
    <w:docVar w:name="BIP_META_DOC_TBL00052" w:val="&lt;OBJECT&gt;&lt;META&gt;&lt;ID&gt;&lt;/ID&gt;&lt;NAME&gt;DOC_TBL0005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preutan&lt;/DYNAMIZEDBY&gt;&lt;DYNAMIZEDON&gt;21-11-2018 14:29:21&lt;/DYNAMIZEDON&gt;&lt;LASTUPDATEDBY&gt;milemar&lt;/LASTUPDATEDBY&gt;&lt;LASTUPDATEDON&gt;6/12/2019 8:50:45 AM&lt;/LASTUPDATEDON&gt;&lt;UTC&gt;1&lt;/UTC&gt;&lt;/UPDATE&gt;&lt;QUERIES bbk=&quot;14027&quot; bbkdesc=&quot;2018 Annual Accounts/EC Annual Accounts/DC - Financial liabilities&quot; datapro=&quot;NotionalFL&quot; tdatapro=&quot;NotionalFL&quot; author=&quot;&quot; modtime=&quot;6/6/2019 5:16:37 PM&quot; moduser=&quot;milemar&quot; rolluptime=&quot;&quot; syuser=&quot;milemar&quot; syuzeit=&quot;6/6/2019 5:16:37 PM&quot; root=&quot;/BBOOK/DATAPROVIDER[./META/PROPS/ID='NotionalFL']/DATA&quot; colcount=&quot;5&quot; rowcount=&quot;9&quot; url=&quot;&quot; dynamizeds=&quot;SAP Disclosure Management - Production&quot; dynamizedstype=&quot;9&quot; refreshds=&quot;&quot; viewtype=&quot;1&quot;&gt;&lt;QUERY reftype=&quot;ABS&quot; elmntsel=&quot;TABLE&quot; bbk=&quot;14027&quot; bbkdesc=&quot;2018 Annual Accounts/EC Annual Accounts/DC - Financial liabilities&quot; datapro=&quot;NotionalFL&quot; infos=&quot;&quot; iscomment=&quot;0&quot;&gt;&lt;SELECT&gt;/BBOOK/DATAPROVIDER[./META/PROPS/ID='NotionalFL']/DATA/ROW&lt;/SELECT&gt;&lt;FILTERS&gt;&lt;FILTER&gt;&lt;/FILTER&gt;&lt;/FILTERS&gt;&lt;/QUERY&gt;&lt;/QUERIES&gt;&lt;/OBJECT&gt;"/>
    <w:docVar w:name="BIP_META_DOC_TBL00053" w:val="&lt;OBJECT&gt;&lt;META&gt;&lt;ID&gt;&lt;/ID&gt;&lt;NAME&gt;DOC_TBL0005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preutan&lt;/DYNAMIZEDBY&gt;&lt;DYNAMIZEDON&gt;19-03-2019 08:49:15&lt;/DYNAMIZEDON&gt;&lt;LASTUPDATEDBY&gt;milemar&lt;/LASTUPDATEDBY&gt;&lt;LASTUPDATEDON&gt;6/12/2019 8:50:45 AM&lt;/LASTUPDATEDON&gt;&lt;UTC&gt;1&lt;/UTC&gt;&lt;/UPDATE&gt;&lt;QUERIES bbk=&quot;14027&quot; bbkdesc=&quot;2018 Annual Accounts/EC Annual Accounts/DC - Financial liabilities&quot; datapro=&quot;FVH&quot; tdatapro=&quot;FVH&quot; author=&quot;&quot; modtime=&quot;6/6/2019 5:16:37 PM&quot; moduser=&quot;milemar&quot; rolluptime=&quot;&quot; syuser=&quot;milemar&quot; syuzeit=&quot;6/6/2019 5:16:37 PM&quot; root=&quot;/BBOOK/DATAPROVIDER[./META/PROPS/ID='FVH']/DATA&quot; colcount=&quot;3&quot; rowcount=&quot;7&quot; url=&quot;&quot; dynamizeds=&quot;SAP Disclosure Management - Production&quot; dynamizedstype=&quot;9&quot; refreshds=&quot;&quot; viewtype=&quot;1&quot;&gt;&lt;QUERY reftype=&quot;ABS&quot; elmntsel=&quot;TABLE&quot; bbk=&quot;14027&quot; bbkdesc=&quot;2018 Annual Accounts/EC Annual Accounts/DC - Financial liabilities&quot; datapro=&quot;FVH&quot; infos=&quot;&quot; iscomment=&quot;0&quot;&gt;&lt;SELECT&gt;/BBOOK/DATAPROVIDER[./META/PROPS/ID='FVH']/DATA/ROW&lt;/SELECT&gt;&lt;FILTERS&gt;&lt;FILTER&gt;&lt;/FILTER&gt;&lt;/FILTERS&gt;&lt;/QUERY&gt;&lt;/QUERIES&gt;&lt;/OBJECT&gt;"/>
    <w:docVar w:name="BIP_META_DOC_TBL00054" w:val="&lt;OBJECT&gt;&lt;META&gt;&lt;ID&gt;&lt;/ID&gt;&lt;NAME&gt;DOC_TBL0005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servela&lt;/DYNAMIZEDBY&gt;&lt;DYNAMIZEDON&gt;10/3/2017 11:21:03 AM&lt;/DYNAMIZEDON&gt;&lt;LASTUPDATEDBY&gt;koehlmn&lt;/LASTUPDATEDBY&gt;&lt;LASTUPDATEDON&gt;6/12/2019 12:59:45 PM&lt;/LASTUPDATEDON&gt;&lt;UTC&gt;1&lt;/UTC&gt;&lt;/UPDATE&gt;&lt;QUERIES bbk=&quot;14827&quot; bbkdesc=&quot;2018 Annual Accounts/EU Annual Accounts/DC - Payables&quot; datapro=&quot;PAYAB&quot; tdatapro=&quot;PAYAB&quot; author=&quot;&quot; modtime=&quot;6/12/2019 12:58:17 PM&quot; moduser=&quot;koehlmn&quot; rolluptime=&quot;&quot; syuser=&quot;koehlmn&quot; syuzeit=&quot;6/12/2019 12:58:17 PM&quot; root=&quot;/BBOOK/DATAPROVIDER[./META/PROPS/ID='PAYAB']/DATA&quot; colcount=&quot;7&quot; rowcount=&quot;15&quot; url=&quot;&quot; dynamizeds=&quot;SAP Disclosure Management - Production&quot; dynamizedstype=&quot;9&quot; refreshds=&quot;&quot; viewtype=&quot;1&quot;&gt;&lt;QUERY reftype=&quot;ABS&quot; elmntsel=&quot;TABLE&quot; bbk=&quot;14827&quot; bbkdesc=&quot;2018 Annual Accounts/EU Annual Accounts/DC - Payables&quot; datapro=&quot;PAYAB&quot; infos=&quot;&quot; iscomment=&quot;0&quot;&gt;&lt;SELECT&gt;/BBOOK/DATAPROVIDER[./META/PROPS/ID='PAYAB']/DATA/ROW&lt;/SELECT&gt;&lt;FILTERS&gt;&lt;FILTER&gt;&lt;/FILTER&gt;&lt;/FILTERS&gt;&lt;/QUERY&gt;&lt;/QUERIES&gt;&lt;/OBJECT&gt;"/>
    <w:docVar w:name="BIP_META_DOC_TBL00055" w:val="&lt;OBJECT&gt;&lt;META&gt;&lt;ID&gt;&lt;/ID&gt;&lt;NAME&gt;DOC_TBL0005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servela&lt;/DYNAMIZEDBY&gt;&lt;DYNAMIZEDON&gt;10/3/2017 11:23:11 AM&lt;/DYNAMIZEDON&gt;&lt;LASTUPDATEDBY&gt;koehlmn&lt;/LASTUPDATEDBY&gt;&lt;LASTUPDATEDON&gt;6/17/2019 8:52:12 AM&lt;/LASTUPDATEDON&gt;&lt;UTC&gt;1&lt;/UTC&gt;&lt;/UPDATE&gt;&lt;QUERIES bbk=&quot;14856&quot; bbkdesc=&quot;2018 Annual Accounts/EU Annual Accounts/DC - Accrued charges and Deferred income&quot; datapro=&quot;ACCDEF&quot; tdatapro=&quot;ACCDEF&quot; author=&quot;&quot; modtime=&quot;6/17/2019 8:51:57 AM&quot; moduser=&quot;koehlmn&quot; rolluptime=&quot;&quot; syuser=&quot;koehlmn&quot; syuzeit=&quot;6/17/2019 8:51:57 AM&quot; root=&quot;/BBOOK/DATAPROVIDER[./META/PROPS/ID='ACCDEF']/DATA&quot; colcount=&quot;3&quot; rowcount=&quot;6&quot; url=&quot;&quot; dynamizeds=&quot;SAP Disclosure Management - Production&quot; dynamizedstype=&quot;9&quot; refreshds=&quot;&quot; viewtype=&quot;1&quot;&gt;&lt;QUERY reftype=&quot;ABS&quot; elmntsel=&quot;TABLE&quot; bbk=&quot;14856&quot; bbkdesc=&quot;2018 Annual Accounts/EU Annual Accounts/DC - Accrued charges and Deferred income&quot; datapro=&quot;ACCDEF&quot; infos=&quot;&quot; iscomment=&quot;0&quot;&gt;&lt;SELECT&gt;/BBOOK/DATAPROVIDER[./META/PROPS/ID='ACCDEF']/DATA/ROW&lt;/SELECT&gt;&lt;FILTERS&gt;&lt;FILTER&gt;&lt;/FILTER&gt;&lt;/FILTERS&gt;&lt;/QUERY&gt;&lt;/QUERIES&gt;&lt;/OBJECT&gt;"/>
    <w:docVar w:name="BIP_META_DOC_TBL00056" w:val="&lt;OBJECT&gt;&lt;META&gt;&lt;ID&gt;&lt;/ID&gt;&lt;NAME&gt;DOC_TBL0005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servela&lt;/DYNAMIZEDBY&gt;&lt;DYNAMIZEDON&gt;10/3/2017 11:32:51 AM&lt;/DYNAMIZEDON&gt;&lt;LASTUPDATEDBY&gt;koehlmn&lt;/LASTUPDATEDBY&gt;&lt;LASTUPDATEDON&gt;6/17/2019 8:52:15 AM&lt;/LASTUPDATEDON&gt;&lt;UTC&gt;1&lt;/UTC&gt;&lt;/UPDATE&gt;&lt;QUERIES bbk=&quot;14856&quot; bbkdesc=&quot;2018 Annual Accounts/EU Annual Accounts/DC - Accrued charges and Deferred income&quot; datapro=&quot;SPLITACC&quot; tdatapro=&quot;SPLITACC&quot; author=&quot;&quot; modtime=&quot;6/17/2019 8:51:57 AM&quot; moduser=&quot;koehlmn&quot; rolluptime=&quot;&quot; syuser=&quot;koehlmn&quot; syuzeit=&quot;6/17/2019 8:51:57 AM&quot; root=&quot;/BBOOK/DATAPROVIDER[./META/PROPS/ID='ACCDEF']/DATA&quot; colcount=&quot;3&quot; rowcount=&quot;9&quot; url=&quot;&quot; dynamizeds=&quot;SAP Disclosure Management - Production&quot; dynamizedstype=&quot;9&quot; refreshds=&quot;&quot; viewtype=&quot;1&quot;&gt;&lt;QUERY reftype=&quot;ABS&quot; elmntsel=&quot;TABLE&quot; bbk=&quot;14856&quot; bbkdesc=&quot;2018 Annual Accounts/EU Annual Accounts/DC - Accrued charges and Deferred income&quot; datapro=&quot;SPLITACC&quot; infos=&quot;&quot; iscomment=&quot;0&quot;&gt;&lt;SELECT&gt;/BBOOK/DATAPROVIDER[./META/PROPS/ID='SPLITACC']/DATA/ROW&lt;/SELECT&gt;&lt;FILTERS&gt;&lt;FILTER&gt;&lt;/FILTER&gt;&lt;/FILTERS&gt;&lt;/QUERY&gt;&lt;/QUERIES&gt;&lt;/OBJECT&gt;"/>
    <w:docVar w:name="BIP_META_DOC_TBL00057" w:val="&lt;OBJECT&gt;&lt;META&gt;&lt;ID&gt;&lt;/ID&gt;&lt;NAME&gt;DOC_TBL0005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0.36&lt;/DATE&gt;&lt;DYNAMIZEDBY&gt;vignoal&lt;/DYNAMIZEDBY&gt;&lt;DYNAMIZEDON&gt;26/01/2015 15:34:19&lt;/DYNAMIZEDON&gt;&lt;LASTUPDATEDBY&gt;milemar&lt;/LASTUPDATEDBY&gt;&lt;LASTUPDATEDON&gt;6/12/2019 8:52:29 AM&lt;/LASTUPDATEDON&gt;&lt;UTC&gt;1&lt;/UTC&gt;&lt;/UPDATE&gt;&lt;QUERIES bbk=&quot;14857&quot; bbkdesc=&quot;2018 Annual Accounts/EU Annual Accounts/DC - Reserves&quot; datapro=&quot;RES&quot; tdatapro=&quot;RES&quot; author=&quot;&quot; modtime=&quot;6/12/2019 8:52:20 AM&quot; moduser=&quot;milemar&quot; rolluptime=&quot;&quot; syuser=&quot;milemar&quot; syuzeit=&quot;6/12/2019 8:52:20 AM&quot; root=&quot;/BBOOK/DATAPROVIDER[./META/PROPS/ID='RES']/DATA&quot; colcount=&quot;4&quot; rowcount=&quot;6&quot; url=&quot;&quot; dynamizeds=&quot;SAP Disclosure Management - Production&quot; dynamizedstype=&quot;9&quot; refreshds=&quot;&quot; viewtype=&quot;1&quot;&gt;&lt;QUERY reftype=&quot;ABS&quot; elmntsel=&quot;TABLE&quot; bbk=&quot;14857&quot; bbkdesc=&quot;2018 Annual Accounts/EU Annual Accounts/DC - Reserves&quot; datapro=&quot;RES&quot; infos=&quot;&quot; iscomment=&quot;0&quot;&gt;&lt;SELECT&gt;/BBOOK/DATAPROVIDER[./META/PROPS/ID='RES']/DATA/ROW&lt;/SELECT&gt;&lt;FILTERS&gt;&lt;FILTER&gt;&lt;/FILTER&gt;&lt;/FILTERS&gt;&lt;/QUERY&gt;&lt;/QUERIES&gt;&lt;/OBJECT&gt;"/>
    <w:docVar w:name="BIP_META_DOC_TBL00058" w:val="&lt;OBJECT&gt;&lt;META&gt;&lt;ID&gt;&lt;/ID&gt;&lt;NAME&gt;DOC_TBL0005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preutan&lt;/DYNAMIZEDBY&gt;&lt;DYNAMIZEDON&gt;06/03/2018 14:51:48&lt;/DYNAMIZEDON&gt;&lt;LASTUPDATEDBY&gt;milemar&lt;/LASTUPDATEDBY&gt;&lt;LASTUPDATEDON&gt;6/12/2019 8:52:29 AM&lt;/LASTUPDATEDON&gt;&lt;UTC&gt;1&lt;/UTC&gt;&lt;/UPDATE&gt;&lt;QUERIES bbk=&quot;14862&quot; bbkdesc=&quot;2018 Annual Accounts/EU Annual Accounts/DC - Fair value movements of available for sale financial assets&quot; datapro=&quot;FVMAFS&quot; tdatapro=&quot;FVMAFS&quot; author=&quot;&quot; modtime=&quot;11/18/2014 9:45:08 AM&quot; moduser=&quot;vignale&quot; rolluptime=&quot;&quot; syuser=&quot;vignale&quot; syuzeit=&quot;11/18/2014 9:45:08 AM&quot; root=&quot;/DATA&quot; colcount=&quot;3&quot; rowcount=&quot;6&quot; url=&quot;&quot; dynamizeds=&quot;SAP Disclosure Management - Production&quot; dynamizedstype=&quot;9&quot; refreshds=&quot;&quot; viewtype=&quot;1&quot;&gt;&lt;QUERY reftype=&quot;ABS&quot; elmntsel=&quot;TABLE&quot; bbk=&quot;14862&quot; bbkdesc=&quot;2018 Annual Accounts/EU Annual Accounts/DC - Fair value movements of available for sale financial assets&quot; datapro=&quot;FVMAFS&quot; infos=&quot;&quot; iscomment=&quot;0&quot;&gt;&lt;SELECT&gt;/BBOOK/DATAPROVIDER[./META/PROPS/ID='FVMAFS']/DATA/ROW&lt;/SELECT&gt;&lt;FILTERS&gt;&lt;FILTER&gt;&lt;/FILTER&gt;&lt;/FILTERS&gt;&lt;/QUERY&gt;&lt;/QUERIES&gt;&lt;/OBJECT&gt;"/>
    <w:docVar w:name="BIP_META_DOC_TBL00059" w:val="&lt;OBJECT&gt;&lt;META&gt;&lt;ID&gt;&lt;/ID&gt;&lt;NAME&gt;DOC_TBL0005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servela&lt;/DYNAMIZEDBY&gt;&lt;DYNAMIZEDON&gt;10/3/2017 11:50:14 AM&lt;/DYNAMIZEDON&gt;&lt;LASTUPDATEDBY&gt;ruberla&lt;/LASTUPDATEDBY&gt;&lt;LASTUPDATEDON&gt;6/12/2019 2:04:34 PM&lt;/LASTUPDATEDON&gt;&lt;UTC&gt;1&lt;/UTC&gt;&lt;/UPDATE&gt;&lt;QUERIES bbk=&quot;14858&quot; bbkdesc=&quot;2018 Annual Accounts/EU Annual Accounts/DC - Amounts to be called from member states&quot; datapro=&quot;MEMST1&quot; tdatapro=&quot;MEMST1&quot; author=&quot;&quot; modtime=&quot;11/18/2014 9:47:08 AM&quot; moduser=&quot;vignale&quot; rolluptime=&quot;&quot; syuser=&quot;vignale&quot; syuzeit=&quot;11/18/2014 9:47:08 AM&quot; root=&quot;/DATA&quot; colcount=&quot;2&quot; rowcount=&quot;9&quot; url=&quot;&quot; dynamizeds=&quot;SAP Disclosure Management - Production&quot; dynamizedstype=&quot;9&quot; refreshds=&quot;&quot; viewtype=&quot;1&quot;&gt;&lt;QUERY reftype=&quot;ABS&quot; elmntsel=&quot;TABLE&quot; bbk=&quot;14858&quot; bbkdesc=&quot;2018 Annual Accounts/EU Annual Accounts/DC - Amounts to be called from member states&quot; datapro=&quot;MEMST1&quot; infos=&quot;&quot; iscomment=&quot;0&quot;&gt;&lt;SELECT&gt;/BBOOK/DATAPROVIDER[./META/PROPS/ID='MEMST1']/DATA/ROW&lt;/SELECT&gt;&lt;FILTERS&gt;&lt;FILTER&gt;&lt;/FILTER&gt;&lt;/FILTERS&gt;&lt;/QUERY&gt;&lt;/QUERIES&gt;&lt;/OBJECT&gt;"/>
    <w:docVar w:name="BIP_META_DOC_TBL00060" w:val="&lt;OBJECT&gt;&lt;META&gt;&lt;ID&gt;&lt;/ID&gt;&lt;NAME&gt;DOC_TBL0006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4.9&lt;/DATE&gt;&lt;DYNAMIZEDBY&gt;koehlmn&lt;/DYNAMIZEDBY&gt;&lt;DYNAMIZEDON&gt;10/03/2016 18:46:59&lt;/DYNAMIZEDON&gt;&lt;LASTUPDATEDBY&gt;milemar&lt;/LASTUPDATEDBY&gt;&lt;LASTUPDATEDON&gt;6/12/2019 8:53:13 AM&lt;/LASTUPDATEDON&gt;&lt;UTC&gt;1&lt;/UTC&gt;&lt;/UPDATE&gt;&lt;QUERIES bbk=&quot;14037&quot; bbkdesc=&quot;2018 Annual Accounts/EC Annual Accounts/DC - Traditional own resources&quot; datapro=&quot;TOR&quot; tdatapro=&quot;TOR&quot; author=&quot;&quot; modtime=&quot;6/6/2019 5:15:04 PM&quot; moduser=&quot;milemar&quot; rolluptime=&quot;&quot; syuser=&quot;milemar&quot; syuzeit=&quot;6/6/2019 5:15:04 PM&quot; root=&quot;/BBOOK/DATAPROVIDER[./META/PROPS/ID='TOR']/DATA&quot; colcount=&quot;3&quot; rowcount=&quot;5&quot; url=&quot;&quot; dynamizeds=&quot;SAP Disclosure Management - Production&quot; dynamizedstype=&quot;9&quot; refreshds=&quot;&quot; viewtype=&quot;1&quot;&gt;&lt;QUERY reftype=&quot;ABS&quot; elmntsel=&quot;TABLE&quot; bbk=&quot;14037&quot; bbkdesc=&quot;2018 Annual Accounts/EC Annual Accounts/DC - Traditional own resources&quot; datapro=&quot;TOR&quot; infos=&quot;&quot; iscomment=&quot;0&quot;&gt;&lt;SELECT&gt;/BBOOK/DATAPROVIDER[./META/PROPS/ID='TOR']/DATA/ROW&lt;/SELECT&gt;&lt;FILTERS&gt;&lt;FILTER&gt;&lt;/FILTER&gt;&lt;/FILTERS&gt;&lt;/QUERY&gt;&lt;/QUERIES&gt;&lt;/OBJECT&gt;"/>
    <w:docVar w:name="BIP_META_DOC_TBL00061" w:val="&lt;OBJECT&gt;&lt;META&gt;&lt;ID&gt;&lt;/ID&gt;&lt;NAME&gt;DOC_TBL0006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4.9&lt;/DATE&gt;&lt;DYNAMIZEDBY&gt;koehlmn&lt;/DYNAMIZEDBY&gt;&lt;DYNAMIZEDON&gt;23/02/2016 17:23:14&lt;/DYNAMIZEDON&gt;&lt;LASTUPDATEDBY&gt;milemar&lt;/LASTUPDATEDBY&gt;&lt;LASTUPDATEDON&gt;6/12/2019 8:49:37 AM&lt;/LASTUPDATEDON&gt;&lt;UTC&gt;1&lt;/UTC&gt;&lt;/UPDATE&gt;&lt;QUERIES bbk=&quot;14859&quot; bbkdesc=&quot;2018 Annual Accounts/EU Annual Accounts/DC - Recovery of expenses&quot; datapro=&quot;RecovExp&quot; tdatapro=&quot;RecovExp&quot; author=&quot;&quot; modtime=&quot;11/18/2014 12:19:16 PM&quot; moduser=&quot;vignale&quot; rolluptime=&quot;&quot; syuser=&quot;vignale&quot; syuzeit=&quot;11/18/2014 12:19:16 PM&quot; root=&quot;/DATA&quot; colcount=&quot;4&quot; rowcount=&quot;6&quot; url=&quot;&quot; dynamizeds=&quot;SAP Disclosure Management - Production&quot; dynamizedstype=&quot;9&quot; refreshds=&quot;&quot; viewtype=&quot;1&quot;&gt;&lt;QUERY reftype=&quot;ABS&quot; elmntsel=&quot;TABLE&quot; bbk=&quot;14859&quot; bbkdesc=&quot;2018 Annual Accounts/EU Annual Accounts/DC - Recovery of expenses&quot; datapro=&quot;RecovExp&quot; infos=&quot;&quot; iscomment=&quot;0&quot;&gt;&lt;SELECT&gt;/BBOOK/DATAPROVIDER[./META/PROPS/ID='RecovExp']/DATA/ROW&lt;/SELECT&gt;&lt;FILTERS&gt;&lt;FILTER&gt;&lt;/FILTER&gt;&lt;/FILTERS&gt;&lt;/QUERY&gt;&lt;/QUERIES&gt;&lt;/OBJECT&gt;"/>
    <w:docVar w:name="BIP_META_DOC_TBL00062" w:val="&lt;OBJECT&gt;&lt;META&gt;&lt;ID&gt;&lt;/ID&gt;&lt;NAME&gt;DOC_TBL0006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0.36&lt;/DATE&gt;&lt;DYNAMIZEDBY&gt;vignoal&lt;/DYNAMIZEDBY&gt;&lt;DYNAMIZEDON&gt;02/03/2015 17:01:20&lt;/DYNAMIZEDON&gt;&lt;LASTUPDATEDBY&gt;milemar&lt;/LASTUPDATEDBY&gt;&lt;LASTUPDATEDON&gt;6/12/2019 8:46:11 AM&lt;/LASTUPDATEDON&gt;&lt;UTC&gt;1&lt;/UTC&gt;&lt;/UPDATE&gt;&lt;QUERIES bbk=&quot;14828&quot; bbkdesc=&quot;2018 Annual Accounts/EU Annual Accounts/DC - Other non-exchange revenue&quot; datapro=&quot;ONER&quot; tdatapro=&quot;ONER&quot; author=&quot;&quot; modtime=&quot;6/12/2019 8:46:06 AM&quot; moduser=&quot;milemar&quot; rolluptime=&quot;&quot; syuser=&quot;milemar&quot; syuzeit=&quot;6/12/2019 8:46:06 AM&quot; root=&quot;/BBOOK/DATAPROVIDER[./META/PROPS/ID='ONER']/DATA&quot; colcount=&quot;4&quot; rowcount=&quot;11&quot; url=&quot;&quot; dynamizeds=&quot;SAP Disclosure Management - Production&quot; dynamizedstype=&quot;9&quot; refreshds=&quot;&quot; viewtype=&quot;1&quot;&gt;&lt;QUERY reftype=&quot;ABS&quot; elmntsel=&quot;TABLE&quot; bbk=&quot;14828&quot; bbkdesc=&quot;2018 Annual Accounts/EU Annual Accounts/DC - Other non-exchange revenue&quot; datapro=&quot;ONER&quot; infos=&quot;&quot; iscomment=&quot;0&quot;&gt;&lt;SELECT&gt;/BBOOK/DATAPROVIDER[./META/PROPS/ID='ONER']/DATA/ROW&lt;/SELECT&gt;&lt;FILTERS&gt;&lt;FILTER&gt;&lt;/FILTER&gt;&lt;/FILTERS&gt;&lt;/QUERY&gt;&lt;/QUERIES&gt;&lt;/OBJECT&gt;"/>
    <w:docVar w:name="BIP_META_DOC_TBL00063" w:val="&lt;OBJECT&gt;&lt;META&gt;&lt;ID&gt;&lt;/ID&gt;&lt;NAME&gt;DOC_TBL0006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preutan&lt;/DYNAMIZEDBY&gt;&lt;DYNAMIZEDON&gt;19/03/2018 16:44:07&lt;/DYNAMIZEDON&gt;&lt;LASTUPDATEDBY&gt;milemar&lt;/LASTUPDATEDBY&gt;&lt;LASTUPDATEDON&gt;6/12/2019 8:47:45 AM&lt;/LASTUPDATEDON&gt;&lt;UTC&gt;1&lt;/UTC&gt;&lt;/UPDATE&gt;&lt;QUERIES bbk=&quot;14838&quot; bbkdesc=&quot;2018 Annual Accounts/EU Annual Accounts/DC - Financial revenue&quot; datapro=&quot;FINREV&quot; tdatapro=&quot;FINREV&quot; author=&quot;&quot; modtime=&quot;6/12/2019 8:47:37 AM&quot; moduser=&quot;milemar&quot; rolluptime=&quot;&quot; syuser=&quot;milemar&quot; syuzeit=&quot;6/12/2019 8:47:37 AM&quot; root=&quot;/BBOOK/DATAPROVIDER[./META/PROPS/ID='FINREV']/DATA&quot; colcount=&quot;3&quot; rowcount=&quot;12&quot; url=&quot;&quot; dynamizeds=&quot;SAP Disclosure Management - Production&quot; dynamizedstype=&quot;9&quot; refreshds=&quot;&quot; viewtype=&quot;1&quot;&gt;&lt;QUERY reftype=&quot;ABS&quot; elmntsel=&quot;TABLE&quot; bbk=&quot;14838&quot; bbkdesc=&quot;2018 Annual Accounts/EU Annual Accounts/DC - Financial revenue&quot; datapro=&quot;FINREV&quot; infos=&quot;&quot; iscomment=&quot;0&quot;&gt;&lt;SELECT&gt;/BBOOK/DATAPROVIDER[./META/PROPS/ID='FINREV']/DATA/ROW&lt;/SELECT&gt;&lt;FILTERS&gt;&lt;FILTER&gt;&lt;/FILTER&gt;&lt;/FILTERS&gt;&lt;/QUERY&gt;&lt;/QUERIES&gt;&lt;/OBJECT&gt;"/>
    <w:docVar w:name="BIP_META_DOC_TBL00064" w:val="&lt;OBJECT&gt;&lt;META&gt;&lt;ID&gt;&lt;/ID&gt;&lt;NAME&gt;DOC_TBL0006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0.36&lt;/DATE&gt;&lt;DYNAMIZEDBY&gt;koehlmn&lt;/DYNAMIZEDBY&gt;&lt;DYNAMIZEDON&gt;09/07/2015 09:49:11&lt;/DYNAMIZEDON&gt;&lt;LASTUPDATEDBY&gt;milemar&lt;/LASTUPDATEDBY&gt;&lt;LASTUPDATEDON&gt;6/12/2019 8:47:33 AM&lt;/LASTUPDATEDON&gt;&lt;UTC&gt;1&lt;/UTC&gt;&lt;/UPDATE&gt;&lt;QUERIES bbk=&quot;14860&quot; bbkdesc=&quot;2018 Annual Accounts/EU Annual Accounts/DC - Other exchange revenue&quot; datapro=&quot;OER&quot; tdatapro=&quot;OER&quot; author=&quot;&quot; modtime=&quot;6/12/2019 8:47:28 AM&quot; moduser=&quot;milemar&quot; rolluptime=&quot;&quot; syuser=&quot;milemar&quot; syuzeit=&quot;6/12/2019 8:47:28 AM&quot; root=&quot;/BBOOK/DATAPROVIDER[./META/PROPS/ID='OER']/DATA&quot; colcount=&quot;3&quot; rowcount=&quot;10&quot; url=&quot;&quot; dynamizeds=&quot;SAP Disclosure Management - Production&quot; dynamizedstype=&quot;9&quot; refreshds=&quot;&quot; viewtype=&quot;1&quot;&gt;&lt;QUERY reftype=&quot;ABS&quot; elmntsel=&quot;TABLE&quot; bbk=&quot;14860&quot; bbkdesc=&quot;2018 Annual Accounts/EU Annual Accounts/DC - Other exchange revenue&quot; datapro=&quot;OER&quot; infos=&quot;&quot; iscomment=&quot;0&quot;&gt;&lt;SELECT&gt;/BBOOK/DATAPROVIDER[./META/PROPS/ID='OER']/DATA/ROW&lt;/SELECT&gt;&lt;FILTERS&gt;&lt;FILTER&gt;&lt;/FILTER&gt;&lt;/FILTERS&gt;&lt;/QUERY&gt;&lt;/QUERIES&gt;&lt;/OBJECT&gt;"/>
    <w:docVar w:name="BIP_META_DOC_TBL00065" w:val="&lt;OBJECT&gt;&lt;META&gt;&lt;ID&gt;&lt;/ID&gt;&lt;NAME&gt;DOC_TBL0006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porteca&lt;/DYNAMIZEDBY&gt;&lt;DYNAMIZEDON&gt;21/03/2017 13:50:33&lt;/DYNAMIZEDON&gt;&lt;LASTUPDATEDBY&gt;milemar&lt;/LASTUPDATEDBY&gt;&lt;LASTUPDATEDON&gt;6/12/2019 8:48:05 AM&lt;/LASTUPDATEDON&gt;&lt;UTC&gt;1&lt;/UTC&gt;&lt;/UPDATE&gt;&lt;QUERIES bbk=&quot;13966&quot; bbkdesc=&quot;2018 Annual Accounts/EC Annual Accounts/DC - Shared Direct and Indirect Management&quot; datapro=&quot;SM&quot; tdatapro=&quot;SM&quot; author=&quot;&quot; modtime=&quot;6/6/2019 5:15:28 PM&quot; moduser=&quot;milemar&quot; rolluptime=&quot;&quot; syuser=&quot;milemar&quot; syuzeit=&quot;6/6/2019 5:15:28 PM&quot; root=&quot;/BBOOK/DATAPROVIDER[./META/PROPS/ID='SM']/DATA&quot; colcount=&quot;3&quot; rowcount=&quot;8&quot; url=&quot;&quot; dynamizeds=&quot;SAP Disclosure Management - Production&quot; dynamizedstype=&quot;9&quot; refreshds=&quot;&quot; viewtype=&quot;1&quot;&gt;&lt;QUERY reftype=&quot;ABS&quot; elmntsel=&quot;TABLE&quot; bbk=&quot;13966&quot; bbkdesc=&quot;2018 Annual Accounts/EC Annual Accounts/DC - Shared Direct and Indirect Management&quot; datapro=&quot;SM&quot; infos=&quot;&quot; iscomment=&quot;0&quot;&gt;&lt;SELECT&gt;/BBOOK/DATAPROVIDER[./META/PROPS/ID='SM']/DATA/ROW&lt;/SELECT&gt;&lt;FILTERS&gt;&lt;FILTER&gt;&lt;/FILTER&gt;&lt;/FILTERS&gt;&lt;/QUERY&gt;&lt;/QUERIES&gt;&lt;/OBJECT&gt;"/>
    <w:docVar w:name="BIP_META_DOC_TBL00066" w:val="&lt;OBJECT&gt;&lt;META&gt;&lt;ID&gt;&lt;/ID&gt;&lt;NAME&gt;DOC_TBL0006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porteca&lt;/DYNAMIZEDBY&gt;&lt;DYNAMIZEDON&gt;21/03/2017 13:56:05&lt;/DYNAMIZEDON&gt;&lt;LASTUPDATEDBY&gt;milemar&lt;/LASTUPDATEDBY&gt;&lt;LASTUPDATEDON&gt;6/12/2019 8:52:14 AM&lt;/LASTUPDATEDON&gt;&lt;UTC&gt;1&lt;/UTC&gt;&lt;/UPDATE&gt;&lt;QUERIES bbk=&quot;14829&quot; bbkdesc=&quot;2018 Annual Accounts/EU Annual Accounts/DC - Direct and Indirect Management&quot; datapro=&quot;DM&quot; tdatapro=&quot;DM&quot; author=&quot;&quot; modtime=&quot;6/12/2019 8:46:36 AM&quot; moduser=&quot;milemar&quot; rolluptime=&quot;&quot; syuser=&quot;milemar&quot; syuzeit=&quot;6/12/2019 8:46:36 AM&quot; root=&quot;/BBOOK/DATAPROVIDER[./META/PROPS/ID='DM']/DATA&quot; colcount=&quot;3&quot; rowcount=&quot;6&quot; url=&quot;&quot; dynamizeds=&quot;SAP Disclosure Management - Production&quot; dynamizedstype=&quot;9&quot; refreshds=&quot;&quot; viewtype=&quot;1&quot;&gt;&lt;QUERY reftype=&quot;ABS&quot; elmntsel=&quot;TABLE&quot; bbk=&quot;14829&quot; bbkdesc=&quot;2018 Annual Accounts/EU Annual Accounts/DC - Direct and Indirect Management&quot; datapro=&quot;DM&quot; infos=&quot;&quot; iscomment=&quot;0&quot;&gt;&lt;SELECT&gt;/BBOOK/DATAPROVIDER[./META/PROPS/ID='DM']/DATA/ROW&lt;/SELECT&gt;&lt;FILTERS&gt;&lt;FILTER&gt;&lt;/FILTER&gt;&lt;/FILTERS&gt;&lt;/QUERY&gt;&lt;/QUERIES&gt;&lt;/OBJECT&gt;"/>
    <w:docVar w:name="BIP_META_DOC_TBL00067" w:val="&lt;OBJECT&gt;&lt;META&gt;&lt;ID&gt;&lt;/ID&gt;&lt;NAME&gt;DOC_TBL0006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porteca&lt;/DYNAMIZEDBY&gt;&lt;DYNAMIZEDON&gt;21/03/2017 13:57:42&lt;/DYNAMIZEDON&gt;&lt;LASTUPDATEDBY&gt;milemar&lt;/LASTUPDATEDBY&gt;&lt;LASTUPDATEDON&gt;6/12/2019 8:46:41 AM&lt;/LASTUPDATEDON&gt;&lt;UTC&gt;1&lt;/UTC&gt;&lt;/UPDATE&gt;&lt;QUERIES bbk=&quot;14829&quot; bbkdesc=&quot;2018 Annual Accounts/EU Annual Accounts/DC - Direct and Indirect Management&quot; datapro=&quot;IM&quot; tdatapro=&quot;IM&quot; author=&quot;&quot; modtime=&quot;6/12/2019 8:46:36 AM&quot; moduser=&quot;milemar&quot; rolluptime=&quot;&quot; syuser=&quot;milemar&quot; syuzeit=&quot;6/12/2019 8:46:36 AM&quot; root=&quot;/BBOOK/DATAPROVIDER[./META/PROPS/ID='IM']/DATA&quot; colcount=&quot;4&quot; rowcount=&quot;7&quot; url=&quot;&quot; dynamizeds=&quot;SAP Disclosure Management - Production&quot; dynamizedstype=&quot;9&quot; refreshds=&quot;&quot; viewtype=&quot;1&quot;&gt;&lt;QUERY reftype=&quot;ABS&quot; elmntsel=&quot;TABLE&quot; bbk=&quot;14829&quot; bbkdesc=&quot;2018 Annual Accounts/EU Annual Accounts/DC - Direct and Indirect Management&quot; datapro=&quot;IM&quot; infos=&quot;&quot; iscomment=&quot;0&quot;&gt;&lt;SELECT&gt;/BBOOK/DATAPROVIDER[./META/PROPS/ID='IM']/DATA/ROW&lt;/SELECT&gt;&lt;FILTERS&gt;&lt;FILTER&gt;&lt;/FILTER&gt;&lt;/FILTERS&gt;&lt;/QUERY&gt;&lt;/QUERIES&gt;&lt;/OBJECT&gt;"/>
    <w:docVar w:name="BIP_META_DOC_TBL00068" w:val="&lt;OBJECT&gt;&lt;META&gt;&lt;ID&gt;&lt;/ID&gt;&lt;NAME&gt;DOC_TBL0006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maclali&lt;/DYNAMIZEDBY&gt;&lt;DYNAMIZEDON&gt;18/01/2018 11:21:58&lt;/DYNAMIZEDON&gt;&lt;LASTUPDATEDBY&gt;milemar&lt;/LASTUPDATEDBY&gt;&lt;LASTUPDATEDON&gt;6/12/2019 8:48:04 AM&lt;/LASTUPDATEDON&gt;&lt;UTC&gt;1&lt;/UTC&gt;&lt;/UPDATE&gt;&lt;QUERIES bbk=&quot;14861&quot; bbkdesc=&quot;2018 Annual Accounts/EU Annual Accounts/DC - Staff and Pension costs&quot; datapro=&quot;SPC&quot; tdatapro=&quot;SPC&quot; author=&quot;&quot; modtime=&quot;6/12/2019 8:47:58 AM&quot; moduser=&quot;milemar&quot; rolluptime=&quot;&quot; syuser=&quot;milemar&quot; syuzeit=&quot;6/12/2019 8:47:58 AM&quot; root=&quot;/BBOOK/DATAPROVIDER[./META/PROPS/ID='SPC']/DATA&quot; colcount=&quot;3&quot; rowcount=&quot;5&quot; url=&quot;&quot; dynamizeds=&quot;SAP Disclosure Management - Production&quot; dynamizedstype=&quot;9&quot; refreshds=&quot;&quot; viewtype=&quot;1&quot;&gt;&lt;QUERY reftype=&quot;ABS&quot; elmntsel=&quot;TABLE&quot; bbk=&quot;14861&quot; bbkdesc=&quot;2018 Annual Accounts/EU Annual Accounts/DC - Staff and Pension costs&quot; datapro=&quot;SPC&quot; infos=&quot;&quot; iscomment=&quot;0&quot;&gt;&lt;SELECT&gt;/BBOOK/DATAPROVIDER[./META/PROPS/ID='SPC']/DATA/ROW&lt;/SELECT&gt;&lt;FILTERS&gt;&lt;FILTER&gt;&lt;/FILTER&gt;&lt;/FILTERS&gt;&lt;/QUERY&gt;&lt;/QUERIES&gt;&lt;/OBJECT&gt;"/>
    <w:docVar w:name="BIP_META_DOC_TBL00069" w:val="&lt;OBJECT&gt;&lt;META&gt;&lt;ID&gt;&lt;/ID&gt;&lt;NAME&gt;DOC_TBL0006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koehlmn&lt;/DYNAMIZEDBY&gt;&lt;DYNAMIZEDON&gt;3/22/2017 10:07:22 AM&lt;/DYNAMIZEDON&gt;&lt;LASTUPDATEDBY&gt;milemar&lt;/LASTUPDATEDBY&gt;&lt;LASTUPDATEDON&gt;6/12/2019 8:49:03 AM&lt;/LASTUPDATEDON&gt;&lt;UTC&gt;1&lt;/UTC&gt;&lt;/UPDATE&gt;&lt;QUERIES bbk=&quot;14839&quot; bbkdesc=&quot;2018 Annual Accounts/EU Annual Accounts/DC - Finance costs&quot; datapro=&quot;FINEXP&quot; tdatapro=&quot;FINEXP&quot; author=&quot;&quot; modtime=&quot;6/12/2019 8:48:56 AM&quot; moduser=&quot;milemar&quot; rolluptime=&quot;&quot; syuser=&quot;milemar&quot; syuzeit=&quot;6/12/2019 8:48:56 AM&quot; root=&quot;/BBOOK/DATAPROVIDER[./META/PROPS/ID='FINEXP']/DATA&quot; colcount=&quot;3&quot; rowcount=&quot;12&quot; url=&quot;&quot; dynamizeds=&quot;SAP Disclosure Management - Production&quot; dynamizedstype=&quot;9&quot; refreshds=&quot;&quot; viewtype=&quot;1&quot;&gt;&lt;QUERY reftype=&quot;ABS&quot; elmntsel=&quot;TABLE&quot; bbk=&quot;14839&quot; bbkdesc=&quot;2018 Annual Accounts/EU Annual Accounts/DC - Finance costs&quot; datapro=&quot;FINEXP&quot; infos=&quot;&quot; iscomment=&quot;0&quot;&gt;&lt;SELECT&gt;/BBOOK/DATAPROVIDER[./META/PROPS/ID='FINEXP']/DATA/ROW&lt;/SELECT&gt;&lt;FILTERS&gt;&lt;FILTER&gt;&lt;/FILTER&gt;&lt;/FILTERS&gt;&lt;/QUERY&gt;&lt;/QUERIES&gt;&lt;/OBJECT&gt;"/>
    <w:docVar w:name="BIP_META_DOC_TBL00070" w:val="&lt;OBJECT&gt;&lt;META&gt;&lt;ID&gt;&lt;/ID&gt;&lt;NAME&gt;DOC_TBL0007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servela&lt;/DYNAMIZEDBY&gt;&lt;DYNAMIZEDON&gt;10/3/2017 12:14:56 PM&lt;/DYNAMIZEDON&gt;&lt;LASTUPDATEDBY&gt;milemar&lt;/LASTUPDATEDBY&gt;&lt;LASTUPDATEDON&gt;6/12/2019 8:47:10 AM&lt;/LASTUPDATEDON&gt;&lt;UTC&gt;1&lt;/UTC&gt;&lt;/UPDATE&gt;&lt;QUERIES bbk=&quot;14830&quot; bbkdesc=&quot;2018 Annual Accounts/EU Annual Accounts/DC - Other expenses&quot; datapro=&quot;OE&quot; tdatapro=&quot;OE&quot; author=&quot;&quot; modtime=&quot;6/12/2019 8:47:03 AM&quot; moduser=&quot;milemar&quot; rolluptime=&quot;&quot; syuser=&quot;milemar&quot; syuzeit=&quot;6/12/2019 8:47:03 AM&quot; root=&quot;/BBOOK/DATAPROVIDER[./META/PROPS/ID='OE']/DATA&quot; colcount=&quot;3&quot; rowcount=&quot;10&quot; url=&quot;&quot; dynamizeds=&quot;SAP Disclosure Management - Production&quot; dynamizedstype=&quot;9&quot; refreshds=&quot;&quot; viewtype=&quot;1&quot;&gt;&lt;QUERY reftype=&quot;ABS&quot; elmntsel=&quot;TABLE&quot; bbk=&quot;14830&quot; bbkdesc=&quot;2018 Annual Accounts/EU Annual Accounts/DC - Other expenses&quot; datapro=&quot;OE&quot; infos=&quot;&quot; iscomment=&quot;0&quot;&gt;&lt;SELECT&gt;/BBOOK/DATAPROVIDER[./META/PROPS/ID='OE']/DATA/ROW&lt;/SELECT&gt;&lt;FILTERS&gt;&lt;FILTER&gt;&lt;/FILTER&gt;&lt;/FILTERS&gt;&lt;/QUERY&gt;&lt;/QUERIES&gt;&lt;/OBJECT&gt;"/>
    <w:docVar w:name="BIP_META_DOC_TBL00071" w:val="&lt;OBJECT&gt;&lt;META&gt;&lt;ID&gt;&lt;/ID&gt;&lt;NAME&gt;DOC_TBL0007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servela&lt;/DYNAMIZEDBY&gt;&lt;DYNAMIZEDON&gt;3/20/2018 3:46:03 PM&lt;/DYNAMIZEDON&gt;&lt;LASTUPDATEDBY&gt;milemar&lt;/LASTUPDATEDBY&gt;&lt;LASTUPDATEDON&gt;6/12/2019 8:47:10 AM&lt;/LASTUPDATEDON&gt;&lt;UTC&gt;1&lt;/UTC&gt;&lt;/UPDATE&gt;&lt;QUERIES bbk=&quot;14841&quot; bbkdesc=&quot;2018 Annual Accounts/EU Annual Accounts/DC - Research and Development costs&quot; datapro=&quot;RESCHDEV&quot; tdatapro=&quot;RESCHDEV&quot; author=&quot;&quot; modtime=&quot;6/12/2019 8:47:04 AM&quot; moduser=&quot;milemar&quot; rolluptime=&quot;&quot; syuser=&quot;milemar&quot; syuzeit=&quot;6/12/2019 8:47:04 AM&quot; root=&quot;/BBOOK/DATAPROVIDER[./META/PROPS/ID='RESCHDEV']/DATA&quot; colcount=&quot;3&quot; rowcount=&quot;6&quot; url=&quot;&quot; dynamizeds=&quot;SAP Disclosure Management - Production&quot; dynamizedstype=&quot;9&quot; refreshds=&quot;&quot; viewtype=&quot;1&quot;&gt;&lt;QUERY reftype=&quot;ABS&quot; elmntsel=&quot;TABLE&quot; bbk=&quot;14841&quot; bbkdesc=&quot;2018 Annual Accounts/EU Annual Accounts/DC - Research and Development costs&quot; datapro=&quot;RESCHDEV&quot; infos=&quot;&quot; iscomment=&quot;0&quot;&gt;&lt;SELECT&gt;/BBOOK/DATAPROVIDER[./META/PROPS/ID='RESCHDEV']/DATA/ROW&lt;/SELECT&gt;&lt;FILTERS&gt;&lt;FILTER&gt;&lt;/FILTER&gt;&lt;/FILTERS&gt;&lt;/QUERY&gt;&lt;/QUERIES&gt;&lt;/OBJECT&gt;"/>
    <w:docVar w:name="BIP_META_DOC_TBL00072" w:val="&lt;OBJECT&gt;&lt;META&gt;&lt;ID&gt;&lt;/ID&gt;&lt;NAME&gt;DOC_TBL0007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servela&lt;/DYNAMIZEDBY&gt;&lt;DYNAMIZEDON&gt;3/20/2018 3:36:29 PM&lt;/DYNAMIZEDON&gt;&lt;LASTUPDATEDBY&gt;preutan&lt;/LASTUPDATEDBY&gt;&lt;LASTUPDATEDON&gt;6/13/2019 3:00:59 PM&lt;/LASTUPDATEDON&gt;&lt;UTC&gt;1&lt;/UTC&gt;&lt;/UPDATE&gt;&lt;QUERIES bbk=&quot;14831&quot; bbkdesc=&quot;2018 Annual Accounts/EU Annual Accounts/DC - Segment report&quot; datapro=&quot;SRMFH&quot; tdatapro=&quot;SRMFH&quot; author=&quot;&quot; modtime=&quot;3/4/2016 4:50:24 PM&quot; moduser=&quot;koehlmn&quot; rolluptime=&quot;&quot; syuser=&quot;koehlmn&quot; syuzeit=&quot;3/4/2016 4:50:24 PM&quot; root=&quot;/DATA&quot; colcount=&quot;8&quot; rowcount=&quot;29&quot; url=&quot;&quot; dynamizeds=&quot;SAP Disclosure Management - Production&quot; dynamizedstype=&quot;9&quot; refreshds=&quot;&quot; viewtype=&quot;1&quot;&gt;&lt;QUERY reftype=&quot;ABS&quot; elmntsel=&quot;TABLE&quot; bbk=&quot;14831&quot; bbkdesc=&quot;2018 Annual Accounts/EU Annual Accounts/DC - Segment report&quot; datapro=&quot;SRMFH&quot; infos=&quot;&quot; iscomment=&quot;0&quot;&gt;&lt;SELECT&gt;/BBOOK/DATAPROVIDER[./META/PROPS/ID='SRMFH']/DATA/ROW&lt;/SELECT&gt;&lt;FILTERS&gt;&lt;FILTER&gt;&lt;/FILTER&gt;&lt;/FILTERS&gt;&lt;/QUERY&gt;&lt;/QUERIES&gt;&lt;/OBJECT&gt;"/>
    <w:docVar w:name="BIP_META_DOC_TBL00073" w:val="&lt;OBJECT&gt;&lt;META&gt;&lt;ID&gt;&lt;/ID&gt;&lt;NAME&gt;DOC_TBL0007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10.2&lt;/DATE&gt;&lt;DYNAMIZEDBY&gt;mileuma&lt;/DYNAMIZEDBY&gt;&lt;DYNAMIZEDON&gt;08/02/2019 12:12:55&lt;/DYNAMIZEDON&gt;&lt;LASTUPDATEDBY&gt;milemar&lt;/LASTUPDATEDBY&gt;&lt;LASTUPDATEDON&gt;6/12/2019 8:46:58 AM&lt;/LASTUPDATEDON&gt;&lt;UTC&gt;1&lt;/UTC&gt;&lt;/UPDATE&gt;&lt;QUERIES bbk=&quot;14034&quot; bbkdesc=&quot;2018 Annual Accounts/EC Annual Accounts/DC - Guarantees given&quot; datapro=&quot;GUAR&quot; tdatapro=&quot;GUAR&quot; author=&quot;&quot; modtime=&quot;11/22/2018 1:38:38 PM&quot; moduser=&quot;preutan&quot; rolluptime=&quot;&quot; syuser=&quot;preutan&quot; syuzeit=&quot;11/22/2018 1:38:38 PM&quot; root=&quot;/DATA&quot; colcount=&quot;7&quot; rowcount=&quot;7&quot; url=&quot;&quot; dynamizeds=&quot;SAP Disclosure Management - Production&quot; dynamizedstype=&quot;9&quot; refreshds=&quot;&quot; viewtype=&quot;1&quot;&gt;&lt;QUERY reftype=&quot;ABS&quot; elmntsel=&quot;TABLE&quot; bbk=&quot;14034&quot; bbkdesc=&quot;2018 Annual Accounts/EC Annual Accounts/DC - Guarantees given&quot; datapro=&quot;GUAR&quot; infos=&quot;&quot; iscomment=&quot;0&quot;&gt;&lt;SELECT&gt;/BBOOK/DATAPROVIDER[./META/PROPS/ID='GUAR']/DATA/ROW&lt;/SELECT&gt;&lt;FILTERS&gt;&lt;FILTER&gt;&lt;/FILTER&gt;&lt;/FILTERS&gt;&lt;/QUERY&gt;&lt;/QUERIES&gt;&lt;/OBJECT&gt;"/>
    <w:docVar w:name="BIP_META_DOC_TBL00074" w:val="&lt;OBJECT&gt;&lt;META&gt;&lt;ID&gt;&lt;/ID&gt;&lt;NAME&gt;DOC_TBL0007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preutan&lt;/DYNAMIZEDBY&gt;&lt;DYNAMIZEDON&gt;16-11-2018 14:56:10&lt;/DYNAMIZEDON&gt;&lt;LASTUPDATEDBY&gt;milemar&lt;/LASTUPDATEDBY&gt;&lt;LASTUPDATEDON&gt;6/12/2019 8:46:58 AM&lt;/LASTUPDATEDON&gt;&lt;UTC&gt;1&lt;/UTC&gt;&lt;/UPDATE&gt;&lt;QUERIES bbk=&quot;14033&quot; bbkdesc=&quot;2018 Annual Accounts/EC Annual Accounts/DC - Contingent liabilities&quot; datapro=&quot;GUARFA&quot; tdatapro=&quot;GUARFA&quot; author=&quot;&quot; modtime=&quot;6/6/2019 5:17:19 PM&quot; moduser=&quot;milemar&quot; rolluptime=&quot;&quot; syuser=&quot;milemar&quot; syuzeit=&quot;6/6/2019 5:17:19 PM&quot; root=&quot;/BBOOK/DATAPROVIDER[./META/PROPS/ID='GUARFA']/DATA&quot; colcount=&quot;7&quot; rowcount=&quot;9&quot; url=&quot;&quot; dynamizeds=&quot;SAP Disclosure Management - Production&quot; dynamizedstype=&quot;9&quot; refreshds=&quot;&quot; viewtype=&quot;1&quot;&gt;&lt;QUERY reftype=&quot;ABS&quot; elmntsel=&quot;TABLE&quot; bbk=&quot;14033&quot; bbkdesc=&quot;2018 Annual Accounts/EC Annual Accounts/DC - Contingent liabilities&quot; datapro=&quot;GUARFA&quot; infos=&quot;&quot; iscomment=&quot;0&quot;&gt;&lt;SELECT&gt;/BBOOK/DATAPROVIDER[./META/PROPS/ID='GUARFA']/DATA/ROW&lt;/SELECT&gt;&lt;FILTERS&gt;&lt;FILTER&gt;&lt;/FILTER&gt;&lt;/FILTERS&gt;&lt;/QUERY&gt;&lt;/QUERIES&gt;&lt;/OBJECT&gt;"/>
    <w:docVar w:name="BIP_META_DOC_TBL00075" w:val="&lt;OBJECT&gt;&lt;META&gt;&lt;ID&gt;&lt;/ID&gt;&lt;NAME&gt;DOC_TBL0007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preutan&lt;/DYNAMIZEDBY&gt;&lt;DYNAMIZEDON&gt;16-11-2018 15:02:33&lt;/DYNAMIZEDON&gt;&lt;LASTUPDATEDBY&gt;milemar&lt;/LASTUPDATEDBY&gt;&lt;LASTUPDATEDON&gt;6/12/2019 8:46:58 AM&lt;/LASTUPDATEDON&gt;&lt;UTC&gt;1&lt;/UTC&gt;&lt;/UPDATE&gt;&lt;QUERIES bbk=&quot;14033&quot; bbkdesc=&quot;2018 Annual Accounts/EC Annual Accounts/DC - Contingent liabilities&quot; datapro=&quot;INSGUA&quot; tdatapro=&quot;INSGUA&quot; author=&quot;&quot; modtime=&quot;6/6/2019 5:17:19 PM&quot; moduser=&quot;milemar&quot; rolluptime=&quot;&quot; syuser=&quot;milemar&quot; syuzeit=&quot;6/6/2019 5:17:19 PM&quot; root=&quot;/BBOOK/DATAPROVIDER[./META/PROPS/ID='INSGUA']/DATA&quot; colcount=&quot;3&quot; rowcount=&quot;7&quot; url=&quot;&quot; dynamizeds=&quot;SAP Disclosure Management - Production&quot; dynamizedstype=&quot;9&quot; refreshds=&quot;&quot; viewtype=&quot;1&quot;&gt;&lt;QUERY reftype=&quot;ABS&quot; elmntsel=&quot;TABLE&quot; bbk=&quot;14033&quot; bbkdesc=&quot;2018 Annual Accounts/EC Annual Accounts/DC - Contingent liabilities&quot; datapro=&quot;INSGUA&quot; infos=&quot;&quot; iscomment=&quot;0&quot;&gt;&lt;SELECT&gt;/BBOOK/DATAPROVIDER[./META/PROPS/ID='INSGUA']/DATA/ROW&lt;/SELECT&gt;&lt;FILTERS&gt;&lt;FILTER&gt;&lt;/FILTER&gt;&lt;/FILTERS&gt;&lt;/QUERY&gt;&lt;/QUERIES&gt;&lt;/OBJECT&gt;"/>
    <w:docVar w:name="BIP_META_DOC_TBL00076" w:val="&lt;OBJECT&gt;&lt;META&gt;&lt;ID&gt;&lt;/ID&gt;&lt;NAME&gt;DOC_TBL0007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preutan&lt;/DYNAMIZEDBY&gt;&lt;DYNAMIZEDON&gt;20-03-2019 17:42:51&lt;/DYNAMIZEDON&gt;&lt;LASTUPDATEDBY&gt;milemar&lt;/LASTUPDATEDBY&gt;&lt;LASTUPDATEDON&gt;6/12/2019 8:46:58 AM&lt;/LASTUPDATEDON&gt;&lt;UTC&gt;1&lt;/UTC&gt;&lt;/UPDATE&gt;&lt;QUERIES bbk=&quot;14843&quot; bbkdesc=&quot;2018 Annual Accounts/EU Annual Accounts/DC - Contingent liabilities&quot; datapro=&quot;LC&quot; tdatapro=&quot;LC&quot; author=&quot;&quot; modtime=&quot;6/12/2019 8:46:52 AM&quot; moduser=&quot;milemar&quot; rolluptime=&quot;&quot; syuser=&quot;milemar&quot; syuzeit=&quot;6/12/2019 8:46:52 AM&quot; root=&quot;/BBOOK/DATAPROVIDER[./META/PROPS/ID='LC']/DATA&quot; colcount=&quot;3&quot; rowcount=&quot;7&quot; url=&quot;&quot; dynamizeds=&quot;SAP Disclosure Management - Production&quot; dynamizedstype=&quot;9&quot; refreshds=&quot;&quot; viewtype=&quot;1&quot;&gt;&lt;QUERY reftype=&quot;ABS&quot; elmntsel=&quot;TABLE&quot; bbk=&quot;14843&quot; bbkdesc=&quot;2018 Annual Accounts/EU Annual Accounts/DC - Contingent liabilities&quot; datapro=&quot;LC&quot; infos=&quot;&quot; iscomment=&quot;0&quot;&gt;&lt;SELECT&gt;/BBOOK/DATAPROVIDER[./META/PROPS/ID='LC']/DATA/ROW&lt;/SELECT&gt;&lt;FILTERS&gt;&lt;FILTER&gt;&lt;/FILTER&gt;&lt;/FILTERS&gt;&lt;/QUERY&gt;&lt;/QUERIES&gt;&lt;/OBJECT&gt;"/>
    <w:docVar w:name="BIP_META_DOC_TBL00077" w:val="&lt;OBJECT&gt;&lt;META&gt;&lt;ID&gt;&lt;/ID&gt;&lt;NAME&gt;DOC_TBL0007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0.5.25&lt;/DATE&gt;&lt;DYNAMIZEDBY&gt;vignoal&lt;/DYNAMIZEDBY&gt;&lt;DYNAMIZEDON&gt;19/11/2014 14:06:41&lt;/DYNAMIZEDON&gt;&lt;LASTUPDATEDBY&gt;milemar&lt;/LASTUPDATEDBY&gt;&lt;LASTUPDATEDON&gt;6/12/2019 8:46:01 AM&lt;/LASTUPDATEDON&gt;&lt;UTC&gt;1&lt;/UTC&gt;&lt;/UPDATE&gt;&lt;QUERIES bbk=&quot;14842&quot; bbkdesc=&quot;2018 Annual Accounts/EU Annual Accounts/DC - Contingent assets&quot; datapro=&quot;CA&quot; tdatapro=&quot;CA&quot; author=&quot;&quot; modtime=&quot;6/12/2019 8:45:55 AM&quot; moduser=&quot;milemar&quot; rolluptime=&quot;&quot; syuser=&quot;milemar&quot; syuzeit=&quot;6/12/2019 8:45:55 AM&quot; root=&quot;/BBOOK/DATAPROVIDER[./META/PROPS/ID='CA']/DATA&quot; colcount=&quot;3&quot; rowcount=&quot;7&quot; url=&quot;&quot; dynamizeds=&quot;SAP Disclosure Management - Production&quot; dynamizedstype=&quot;9&quot; refreshds=&quot;&quot; viewtype=&quot;1&quot;&gt;&lt;QUERY reftype=&quot;ABS&quot; elmntsel=&quot;TABLE&quot; bbk=&quot;14842&quot; bbkdesc=&quot;2018 Annual Accounts/EU Annual Accounts/DC - Contingent assets&quot; datapro=&quot;CA&quot; infos=&quot;&quot; iscomment=&quot;0&quot;&gt;&lt;SELECT&gt;/BBOOK/DATAPROVIDER[./META/PROPS/ID='CA']/DATA/ROW&lt;/SELECT&gt;&lt;FILTERS&gt;&lt;FILTER&gt;&lt;/FILTER&gt;&lt;/FILTERS&gt;&lt;/QUERY&gt;&lt;/QUERIES&gt;&lt;/OBJECT&gt;"/>
    <w:docVar w:name="BIP_META_DOC_TBL00078" w:val="&lt;OBJECT&gt;&lt;META&gt;&lt;ID&gt;&lt;/ID&gt;&lt;NAME&gt;DOC_TBL0007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preutan&lt;/DYNAMIZEDBY&gt;&lt;DYNAMIZEDON&gt;19/06/2017 10:08:10&lt;/DYNAMIZEDON&gt;&lt;LASTUPDATEDBY&gt;milemar&lt;/LASTUPDATEDBY&gt;&lt;LASTUPDATEDON&gt;6/12/2019 8:51:19 AM&lt;/LASTUPDATEDON&gt;&lt;UTC&gt;1&lt;/UTC&gt;&lt;/UPDATE&gt;&lt;QUERIES bbk=&quot;14844&quot; bbkdesc=&quot;2018 Annual Accounts/EU Annual Accounts/DC - Outstanding commitments not yet expensed&quot; datapro=&quot;OBULEG&quot; tdatapro=&quot;OBULEG&quot; author=&quot;&quot; modtime=&quot;6/15/2017 8:48:40 AM&quot; moduser=&quot;preutan&quot; rolluptime=&quot;&quot; syuser=&quot;preutan&quot; syuzeit=&quot;6/15/2017 8:48:40 AM&quot; root=&quot;/DATA&quot; colcount=&quot;4&quot; rowcount=&quot;6&quot; url=&quot;&quot; dynamizeds=&quot;SAP Disclosure Management - Production&quot; dynamizedstype=&quot;9&quot; refreshds=&quot;&quot; viewtype=&quot;1&quot;&gt;&lt;QUERY reftype=&quot;ABS&quot; elmntsel=&quot;TABLE&quot; bbk=&quot;14844&quot; bbkdesc=&quot;2018 Annual Accounts/EU Annual Accounts/DC - Outstanding commitments not yet expensed&quot; datapro=&quot;OBULEG&quot; infos=&quot;&quot; iscomment=&quot;0&quot;&gt;&lt;SELECT&gt;/BBOOK/DATAPROVIDER[./META/PROPS/ID='OBULEG']/DATA/ROW&lt;/SELECT&gt;&lt;FILTERS&gt;&lt;FILTER&gt;&lt;/FILTER&gt;&lt;/FILTERS&gt;&lt;/QUERY&gt;&lt;/QUERIES&gt;&lt;/OBJECT&gt;"/>
    <w:docVar w:name="BIP_META_DOC_TBL00079" w:val="&lt;OBJECT&gt;&lt;META&gt;&lt;ID&gt;&lt;/ID&gt;&lt;NAME&gt;DOC_TBL0007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0.5.25&lt;/DATE&gt;&lt;DYNAMIZEDBY&gt;vignoal&lt;/DYNAMIZEDBY&gt;&lt;DYNAMIZEDON&gt;19/11/2014 14:31:08&lt;/DYNAMIZEDON&gt;&lt;LASTUPDATEDBY&gt;milemar&lt;/LASTUPDATEDBY&gt;&lt;LASTUPDATEDON&gt;6/12/2019 8:51:19 AM&lt;/LASTUPDATEDON&gt;&lt;UTC&gt;1&lt;/UTC&gt;&lt;/UPDATE&gt;&lt;QUERIES bbk=&quot;14844&quot; bbkdesc=&quot;2018 Annual Accounts/EU Annual Accounts/DC - Outstanding commitments not yet expensed&quot; datapro=&quot;OCNYE&quot; tdatapro=&quot;OCNYE&quot; author=&quot;&quot; modtime=&quot;6/12/2019 8:51:05 AM&quot; moduser=&quot;milemar&quot; rolluptime=&quot;&quot; syuser=&quot;milemar&quot; syuzeit=&quot;6/12/2019 8:51:05 AM&quot; root=&quot;/BBOOK/DATAPROVIDER[./META/PROPS/ID='OCNYE']/DATA&quot; colcount=&quot;3&quot; rowcount=&quot;3&quot; url=&quot;&quot; dynamizeds=&quot;SAP Disclosure Management - Production&quot; dynamizedstype=&quot;9&quot; refreshds=&quot;&quot; viewtype=&quot;1&quot;&gt;&lt;QUERY reftype=&quot;ABS&quot; elmntsel=&quot;TABLE&quot; bbk=&quot;14844&quot; bbkdesc=&quot;2018 Annual Accounts/EU Annual Accounts/DC - Outstanding commitments not yet expensed&quot; datapro=&quot;OCNYE&quot; infos=&quot;&quot; iscomment=&quot;0&quot;&gt;&lt;SELECT&gt;/BBOOK/DATAPROVIDER[./META/PROPS/ID='OCNYE']/DATA/ROW&lt;/SELECT&gt;&lt;FILTERS&gt;&lt;FILTER&gt;&lt;/FILTER&gt;&lt;/FILTERS&gt;&lt;/QUERY&gt;&lt;/QUERIES&gt;&lt;/OBJECT&gt;"/>
    <w:docVar w:name="BIP_META_DOC_TBL00080" w:val="&lt;OBJECT&gt;&lt;META&gt;&lt;ID&gt;&lt;/ID&gt;&lt;NAME&gt;DOC_TBL0008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preutan&lt;/DYNAMIZEDBY&gt;&lt;DYNAMIZEDON&gt;6/19/2017 2:04:49 PM&lt;/DYNAMIZEDON&gt;&lt;LASTUPDATEDBY&gt;milemar&lt;/LASTUPDATEDBY&gt;&lt;LASTUPDATEDON&gt;6/12/2019 8:51:19 AM&lt;/LASTUPDATEDON&gt;&lt;UTC&gt;1&lt;/UTC&gt;&lt;/UPDATE&gt;&lt;QUERIES bbk=&quot;14036&quot; bbkdesc=&quot;2018 Annual Accounts/EC Annual Accounts/DC - Significant legal commitments&quot; datapro=&quot;STRUCAC&quot; tdatapro=&quot;STRUCAC&quot; author=&quot;&quot; modtime=&quot;6/12/2017 2:51:18 PM&quot; moduser=&quot;preutan&quot; rolluptime=&quot;&quot; syuser=&quot;preutan&quot; syuzeit=&quot;6/12/2017 2:51:18 PM&quot; root=&quot;/DATA&quot; colcount=&quot;5&quot; rowcount=&quot;15&quot; url=&quot;&quot; dynamizeds=&quot;SAP Disclosure Management - Production&quot; dynamizedstype=&quot;9&quot; refreshds=&quot;&quot; viewtype=&quot;1&quot;&gt;&lt;QUERY reftype=&quot;ABS&quot; elmntsel=&quot;TABLE&quot; bbk=&quot;14036&quot; bbkdesc=&quot;2018 Annual Accounts/EC Annual Accounts/DC - Significant legal commitments&quot; datapro=&quot;STRUCAC&quot; infos=&quot;&quot; iscomment=&quot;0&quot;&gt;&lt;SELECT&gt;/BBOOK/DATAPROVIDER[./META/PROPS/ID='STRUCAC']/DATA/ROW&lt;/SELECT&gt;&lt;FILTERS&gt;&lt;FILTER&gt;&lt;/FILTER&gt;&lt;/FILTERS&gt;&lt;/QUERY&gt;&lt;/QUERIES&gt;&lt;/OBJECT&gt;"/>
    <w:docVar w:name="BIP_META_DOC_TBL00081" w:val="&lt;OBJECT&gt;&lt;META&gt;&lt;ID&gt;&lt;/ID&gt;&lt;NAME&gt;DOC_TBL0008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servela&lt;/DYNAMIZEDBY&gt;&lt;DYNAMIZEDON&gt;17/03/2017 14:31:29&lt;/DYNAMIZEDON&gt;&lt;LASTUPDATEDBY&gt;milemar&lt;/LASTUPDATEDBY&gt;&lt;LASTUPDATEDON&gt;6/12/2019 8:51:19 AM&lt;/LASTUPDATEDON&gt;&lt;UTC&gt;1&lt;/UTC&gt;&lt;/UPDATE&gt;&lt;QUERIES bbk=&quot;14845&quot; bbkdesc=&quot;2018 Annual Accounts/EU Annual Accounts/DC - Significant legal commitments&quot; datapro=&quot;LEGCOM&quot; tdatapro=&quot;LEGCOM&quot; author=&quot;&quot; modtime=&quot;6/12/2019 8:51:06 AM&quot; moduser=&quot;milemar&quot; rolluptime=&quot;&quot; syuser=&quot;milemar&quot; syuzeit=&quot;6/12/2019 8:51:06 AM&quot; root=&quot;/BBOOK/DATAPROVIDER[./META/PROPS/ID='LEGCOM']/DATA&quot; colcount=&quot;3&quot; rowcount=&quot;10&quot; url=&quot;&quot; dynamizeds=&quot;SAP Disclosure Management - Production&quot; dynamizedstype=&quot;9&quot; refreshds=&quot;&quot; viewtype=&quot;1&quot;&gt;&lt;QUERY reftype=&quot;ABS&quot; elmntsel=&quot;TABLE&quot; bbk=&quot;14845&quot; bbkdesc=&quot;2018 Annual Accounts/EU Annual Accounts/DC - Significant legal commitments&quot; datapro=&quot;LEGCOM&quot; infos=&quot;&quot; iscomment=&quot;0&quot;&gt;&lt;SELECT&gt;/BBOOK/DATAPROVIDER[./META/PROPS/ID='LEGCOM']/DATA/ROW&lt;/SELECT&gt;&lt;FILTERS&gt;&lt;FILTER&gt;&lt;/FILTER&gt;&lt;/FILTERS&gt;&lt;/QUERY&gt;&lt;/QUERIES&gt;&lt;/OBJECT&gt;"/>
    <w:docVar w:name="BIP_META_DOC_TBL00082" w:val="&lt;OBJECT&gt;&lt;META&gt;&lt;ID&gt;&lt;/ID&gt;&lt;NAME&gt;DOC_TBL0008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preutan&lt;/DYNAMIZEDBY&gt;&lt;DYNAMIZEDON&gt;19/06/2017 13:14:20&lt;/DYNAMIZEDON&gt;&lt;LASTUPDATEDBY&gt;milemar&lt;/LASTUPDATEDBY&gt;&lt;LASTUPDATEDON&gt;6/12/2019 8:51:19 AM&lt;/LASTUPDATEDON&gt;&lt;UTC&gt;1&lt;/UTC&gt;&lt;/UPDATE&gt;&lt;QUERIES bbk=&quot;14840&quot; bbkdesc=&quot;2018 Annual Accounts/EU Annual Accounts/DC -Operating lease commitments&quot; datapro=&quot;PPERE&quot; tdatapro=&quot;PPERE&quot; author=&quot;&quot; modtime=&quot;6/12/2019 8:51:04 AM&quot; moduser=&quot;milemar&quot; rolluptime=&quot;&quot; syuser=&quot;milemar&quot; syuzeit=&quot;6/12/2019 8:51:04 AM&quot; root=&quot;/BBOOK/DATAPROVIDER[./META/PROPS/ID='PPERE']/DATA&quot; colcount=&quot;5&quot; rowcount=&quot;6&quot; url=&quot;&quot; dynamizeds=&quot;SAP Disclosure Management - Production&quot; dynamizedstype=&quot;9&quot; refreshds=&quot;&quot; viewtype=&quot;1&quot;&gt;&lt;QUERY reftype=&quot;ABS&quot; elmntsel=&quot;TABLE&quot; bbk=&quot;14840&quot; bbkdesc=&quot;2018 Annual Accounts/EU Annual Accounts/DC -Operating lease commitments&quot; datapro=&quot;PPERE&quot; infos=&quot;&quot; iscomment=&quot;0&quot;&gt;&lt;SELECT&gt;/BBOOK/DATAPROVIDER[./META/PROPS/ID='PPERE']/DATA/ROW&lt;/SELECT&gt;&lt;FILTERS&gt;&lt;FILTER&gt;&lt;/FILTER&gt;&lt;/FILTERS&gt;&lt;/QUERY&gt;&lt;/QUERIES&gt;&lt;/OBJECT&gt;"/>
    <w:docVar w:name="BIP_META_DOC_TBL00083" w:val="&lt;OBJECT&gt;&lt;META&gt;&lt;ID&gt;&lt;/ID&gt;&lt;NAME&gt;DOC_TBL0008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preutan&lt;/DYNAMIZEDBY&gt;&lt;DYNAMIZEDON&gt;22/03/2018 17:14:51&lt;/DYNAMIZEDON&gt;&lt;LASTUPDATEDBY&gt;koehlmn&lt;/LASTUPDATEDBY&gt;&lt;LASTUPDATEDON&gt;6/17/2019 9:20:08 AM&lt;/LASTUPDATEDON&gt;&lt;UTC&gt;1&lt;/UTC&gt;&lt;/UPDATE&gt;&lt;QUERIES bbk=&quot;14832&quot; bbkdesc=&quot;2018 Annual Accounts/EU Annual Accounts/DC - Exposure of the EC to currency risk at year end&quot; datapro=&quot;CRCY&quot; tdatapro=&quot;CRCY&quot; author=&quot;&quot; modtime=&quot;3/22/2018 4:18:07 PM&quot; moduser=&quot;preutan&quot; rolluptime=&quot;&quot; syuser=&quot;preutan&quot; syuzeit=&quot;3/22/2018 4:18:07 PM&quot; root=&quot;/DATA&quot; colcount=&quot;8&quot; rowcount=&quot;15&quot; url=&quot;&quot; dynamizeds=&quot;SAP Disclosure Management - Production&quot; dynamizedstype=&quot;9&quot; refreshds=&quot;&quot; viewtype=&quot;1&quot;&gt;&lt;QUERY reftype=&quot;ABS&quot; elmntsel=&quot;TABLE&quot; bbk=&quot;14832&quot; bbkdesc=&quot;2018 Annual Accounts/EU Annual Accounts/DC - Exposure of the EC to currency risk at year end&quot; datapro=&quot;CRCY&quot; infos=&quot;&quot; iscomment=&quot;0&quot;&gt;&lt;SELECT&gt;/BBOOK/DATAPROVIDER[./META/PROPS/ID='CRCY']/DATA/ROW&lt;/SELECT&gt;&lt;FILTERS&gt;&lt;FILTER&gt;&lt;/FILTER&gt;&lt;/FILTERS&gt;&lt;/QUERY&gt;&lt;/QUERIES&gt;&lt;/OBJECT&gt;"/>
    <w:docVar w:name="BIP_META_DOC_TBL00084" w:val="&lt;OBJECT&gt;&lt;META&gt;&lt;ID&gt;&lt;/ID&gt;&lt;NAME&gt;DOC_TBL0008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9/06/2017 12:51:27&lt;/DYNAMIZEDON&gt;&lt;LASTUPDATEDBY&gt;milemar&lt;/LASTUPDATEDBY&gt;&lt;LASTUPDATEDON&gt;6/12/2019 8:47:53 AM&lt;/LASTUPDATEDON&gt;&lt;UTC&gt;1&lt;/UTC&gt;&lt;/UPDATE&gt;&lt;QUERIES bbk=&quot;14832&quot; bbkdesc=&quot;2018 Annual Accounts/EU Annual Accounts/DC - Exposure of the EC to currency risk at year end&quot; datapro=&quot;CRPY&quot; tdatapro=&quot;CRPY&quot; author=&quot;&quot; modtime=&quot;6/12/2019 8:47:48 AM&quot; moduser=&quot;milemar&quot; rolluptime=&quot;&quot; syuser=&quot;milemar&quot; syuzeit=&quot;6/12/2019 8:47:48 AM&quot; root=&quot;/BBOOK/DATAPROVIDER[./META/PROPS/ID='CRPY']/DATA&quot; colcount=&quot;8&quot; rowcount=&quot;15&quot; url=&quot;&quot; dynamizeds=&quot;SAP Disclosure Management - Production&quot; dynamizedstype=&quot;9&quot; refreshds=&quot;&quot; viewtype=&quot;1&quot;&gt;&lt;QUERY reftype=&quot;ABS&quot; elmntsel=&quot;TABLE&quot; bbk=&quot;14832&quot; bbkdesc=&quot;2018 Annual Accounts/EU Annual Accounts/DC - Exposure of the EC to currency risk at year end&quot; datapro=&quot;CRPY&quot; infos=&quot;&quot; iscomment=&quot;0&quot;&gt;&lt;SELECT&gt;/BBOOK/DATAPROVIDER[./META/PROPS/ID='CRPY']/DATA/ROW&lt;/SELECT&gt;&lt;FILTERS&gt;&lt;FILTER&gt;&lt;/FILTER&gt;&lt;/FILTERS&gt;&lt;/QUERY&gt;&lt;/QUERIES&gt;&lt;/OBJECT&gt;"/>
    <w:docVar w:name="BIP_META_DOC_TBL00085" w:val="&lt;OBJECT&gt;&lt;META&gt;&lt;ID&gt;&lt;/ID&gt;&lt;NAME&gt;DOC_TBL0008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4.9&lt;/DATE&gt;&lt;DYNAMIZEDBY&gt;porteca&lt;/DYNAMIZEDBY&gt;&lt;DYNAMIZEDON&gt;22/03/2016 15:14:13&lt;/DYNAMIZEDON&gt;&lt;LASTUPDATEDBY&gt;ducudmi&lt;/LASTUPDATEDBY&gt;&lt;LASTUPDATEDON&gt;6/13/2019 8:10:04 AM&lt;/LASTUPDATEDON&gt;&lt;UTC&gt;1&lt;/UTC&gt;&lt;/UPDATE&gt;&lt;QUERIES bbk=&quot;14832&quot; bbkdesc=&quot;2018 Annual Accounts/EU Annual Accounts/DC - Exposure of the EC to currency risk at year end&quot; datapro=&quot;SDS&quot; tdatapro=&quot;SDS&quot; author=&quot;&quot; modtime=&quot;3/11/2016 6:36:15 PM&quot; moduser=&quot;koehlmn&quot; rolluptime=&quot;&quot; syuser=&quot;koehlmn&quot; syuzeit=&quot;3/11/2016 6:36:15 PM&quot; root=&quot;/DATA&quot; colcount=&quot;5&quot; rowcount=&quot;5&quot; url=&quot;&quot; dynamizeds=&quot;SAP Disclosure Management - Production&quot; dynamizedstype=&quot;9&quot; refreshds=&quot;&quot; viewtype=&quot;1&quot;&gt;&lt;QUERY reftype=&quot;ABS&quot; elmntsel=&quot;TABLE&quot; bbk=&quot;14832&quot; bbkdesc=&quot;2018 Annual Accounts/EU Annual Accounts/DC - Exposure of the EC to currency risk at year end&quot; datapro=&quot;SDS&quot; infos=&quot;&quot; iscomment=&quot;0&quot;&gt;&lt;SELECT&gt;/BBOOK/DATAPROVIDER[./META/PROPS/ID='SDS']/DATA/ROW&lt;/SELECT&gt;&lt;FILTERS&gt;&lt;FILTER&gt;&lt;/FILTER&gt;&lt;/FILTERS&gt;&lt;/QUERY&gt;&lt;/QUERIES&gt;&lt;/OBJECT&gt;"/>
    <w:docVar w:name="BIP_META_DOC_TBL00086" w:val="&lt;OBJECT&gt;&lt;META&gt;&lt;ID&gt;&lt;/ID&gt;&lt;NAME&gt;DOC_TBL0008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4.9&lt;/DATE&gt;&lt;DYNAMIZEDBY&gt;porteca&lt;/DYNAMIZEDBY&gt;&lt;DYNAMIZEDON&gt;14/03/2016 15:14:20&lt;/DYNAMIZEDON&gt;&lt;LASTUPDATEDBY&gt;ducudmi&lt;/LASTUPDATEDBY&gt;&lt;LASTUPDATEDON&gt;6/13/2019 8:10:11 AM&lt;/LASTUPDATEDON&gt;&lt;UTC&gt;1&lt;/UTC&gt;&lt;/UPDATE&gt;&lt;QUERIES bbk=&quot;14832&quot; bbkdesc=&quot;2018 Annual Accounts/EU Annual Accounts/DC - Exposure of the EC to currency risk at year end&quot; datapro=&quot;NAS&quot; tdatapro=&quot;NAS&quot; author=&quot;&quot; modtime=&quot;6/13/2019 8:07:15 AM&quot; moduser=&quot;ducudmi&quot; rolluptime=&quot;&quot; syuser=&quot;ducudmi&quot; syuzeit=&quot;6/13/2019 8:07:15 AM&quot; root=&quot;/BBOOK/DATAPROVIDER[./META/PROPS/ID='NAS']/DATA&quot; colcount=&quot;5&quot; rowcount=&quot;5&quot; url=&quot;&quot; dynamizeds=&quot;SAP Disclosure Management - Production&quot; dynamizedstype=&quot;9&quot; refreshds=&quot;&quot; viewtype=&quot;1&quot;&gt;&lt;QUERY reftype=&quot;ABS&quot; elmntsel=&quot;TABLE&quot; bbk=&quot;14832&quot; bbkdesc=&quot;2018 Annual Accounts/EU Annual Accounts/DC - Exposure of the EC to currency risk at year end&quot; datapro=&quot;NAS&quot; infos=&quot;&quot; iscomment=&quot;0&quot;&gt;&lt;SELECT&gt;/BBOOK/DATAPROVIDER[./META/PROPS/ID='NAS']/DATA/ROW&lt;/SELECT&gt;&lt;FILTERS&gt;&lt;FILTER&gt;&lt;/FILTER&gt;&lt;/FILTERS&gt;&lt;/QUERY&gt;&lt;/QUERIES&gt;&lt;/OBJECT&gt;"/>
    <w:docVar w:name="BIP_META_DOC_TBL00087" w:val="&lt;OBJECT&gt;&lt;META&gt;&lt;ID&gt;&lt;/ID&gt;&lt;NAME&gt;DOC_TBL0008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4.9&lt;/DATE&gt;&lt;DYNAMIZEDBY&gt;porteca&lt;/DYNAMIZEDBY&gt;&lt;DYNAMIZEDON&gt;14/03/2016 15:15:16&lt;/DYNAMIZEDON&gt;&lt;LASTUPDATEDBY&gt;ducudmi&lt;/LASTUPDATEDBY&gt;&lt;LASTUPDATEDON&gt;6/13/2019 8:10:08 AM&lt;/LASTUPDATEDON&gt;&lt;UTC&gt;1&lt;/UTC&gt;&lt;/UPDATE&gt;&lt;QUERIES bbk=&quot;14832&quot; bbkdesc=&quot;2018 Annual Accounts/EU Annual Accounts/DC - Exposure of the EC to currency risk at year end&quot; datapro=&quot;SDW&quot; tdatapro=&quot;SDW&quot; author=&quot;&quot; modtime=&quot;6/13/2019 8:07:15 AM&quot; moduser=&quot;ducudmi&quot; rolluptime=&quot;&quot; syuser=&quot;ducudmi&quot; syuzeit=&quot;6/13/2019 8:07:15 AM&quot; root=&quot;/BBOOK/DATAPROVIDER[./META/PROPS/ID='SDW']/DATA&quot; colcount=&quot;5&quot; rowcount=&quot;5&quot; url=&quot;&quot; dynamizeds=&quot;SAP Disclosure Management - Production&quot; dynamizedstype=&quot;9&quot; refreshds=&quot;&quot; viewtype=&quot;1&quot;&gt;&lt;QUERY reftype=&quot;ABS&quot; elmntsel=&quot;TABLE&quot; bbk=&quot;14832&quot; bbkdesc=&quot;2018 Annual Accounts/EU Annual Accounts/DC - Exposure of the EC to currency risk at year end&quot; datapro=&quot;SDW&quot; infos=&quot;&quot; iscomment=&quot;0&quot;&gt;&lt;SELECT&gt;/BBOOK/DATAPROVIDER[./META/PROPS/ID='SDW']/DATA/ROW&lt;/SELECT&gt;&lt;FILTERS&gt;&lt;FILTER&gt;&lt;/FILTER&gt;&lt;/FILTERS&gt;&lt;/QUERY&gt;&lt;/QUERIES&gt;&lt;/OBJECT&gt;"/>
    <w:docVar w:name="BIP_META_DOC_TBL00088" w:val="&lt;OBJECT&gt;&lt;META&gt;&lt;ID&gt;&lt;/ID&gt;&lt;NAME&gt;DOC_TBL0008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4.9&lt;/DATE&gt;&lt;DYNAMIZEDBY&gt;porteca&lt;/DYNAMIZEDBY&gt;&lt;DYNAMIZEDON&gt;14/03/2016 15:18:35&lt;/DYNAMIZEDON&gt;&lt;LASTUPDATEDBY&gt;ducudmi&lt;/LASTUPDATEDBY&gt;&lt;LASTUPDATEDON&gt;6/13/2019 8:10:01 AM&lt;/LASTUPDATEDON&gt;&lt;UTC&gt;1&lt;/UTC&gt;&lt;/UPDATE&gt;&lt;QUERIES bbk=&quot;14832&quot; bbkdesc=&quot;2018 Annual Accounts/EU Annual Accounts/DC - Exposure of the EC to currency risk at year end&quot; datapro=&quot;NAW&quot; tdatapro=&quot;NAW&quot; author=&quot;&quot; modtime=&quot;6/13/2019 8:07:15 AM&quot; moduser=&quot;ducudmi&quot; rolluptime=&quot;&quot; syuser=&quot;ducudmi&quot; syuzeit=&quot;6/13/2019 8:07:15 AM&quot; root=&quot;/BBOOK/DATAPROVIDER[./META/PROPS/ID='NAW']/DATA&quot; colcount=&quot;5&quot; rowcount=&quot;5&quot; url=&quot;&quot; dynamizeds=&quot;SAP Disclosure Management - Production&quot; dynamizedstype=&quot;9&quot; refreshds=&quot;&quot; viewtype=&quot;1&quot;&gt;&lt;QUERY reftype=&quot;ABS&quot; elmntsel=&quot;TABLE&quot; bbk=&quot;14832&quot; bbkdesc=&quot;2018 Annual Accounts/EU Annual Accounts/DC - Exposure of the EC to currency risk at year end&quot; datapro=&quot;NAW&quot; infos=&quot;&quot; iscomment=&quot;0&quot;&gt;&lt;SELECT&gt;/BBOOK/DATAPROVIDER[./META/PROPS/ID='NAW']/DATA/ROW&lt;/SELECT&gt;&lt;FILTERS&gt;&lt;FILTER&gt;&lt;/FILTER&gt;&lt;/FILTERS&gt;&lt;/QUERY&gt;&lt;/QUERIES&gt;&lt;/OBJECT&gt;"/>
    <w:docVar w:name="BIP_META_DOC_TBL00089" w:val="&lt;OBJECT&gt;&lt;META&gt;&lt;ID&gt;&lt;/ID&gt;&lt;NAME&gt;DOC_TBL0008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0.36&lt;/DATE&gt;&lt;DYNAMIZEDBY&gt;vignoal&lt;/DYNAMIZEDBY&gt;&lt;DYNAMIZEDON&gt;12/18/2014 2:28:51 PM&lt;/DYNAMIZEDON&gt;&lt;LASTUPDATEDBY&gt;milemar&lt;/LASTUPDATEDBY&gt;&lt;LASTUPDATEDON&gt;6/12/2019 8:50:18 AM&lt;/LASTUPDATEDON&gt;&lt;UTC&gt;1&lt;/UTC&gt;&lt;/UPDATE&gt;&lt;QUERIES bbk=&quot;14833&quot; bbkdesc=&quot;2018 Annual Accounts/EU Annual Accounts/DC - Interest rate risk&quot; datapro=&quot;IRR&quot; tdatapro=&quot;IRR&quot; author=&quot;&quot; modtime=&quot;6/12/2019 8:50:10 AM&quot; moduser=&quot;milemar&quot; rolluptime=&quot;&quot; syuser=&quot;milemar&quot; syuzeit=&quot;6/12/2019 8:50:10 AM&quot; root=&quot;/BBOOK/DATAPROVIDER[./META/PROPS/ID='IRR']/DATA&quot; colcount=&quot;3&quot; rowcount=&quot;6&quot; url=&quot;&quot; dynamizeds=&quot;SAP Disclosure Management - Production&quot; dynamizedstype=&quot;9&quot; refreshds=&quot;&quot; viewtype=&quot;1&quot;&gt;&lt;QUERY reftype=&quot;ABS&quot; elmntsel=&quot;TABLE&quot; bbk=&quot;14833&quot; bbkdesc=&quot;2018 Annual Accounts/EU Annual Accounts/DC - Interest rate risk&quot; datapro=&quot;IRR&quot; infos=&quot;&quot; iscomment=&quot;0&quot;&gt;&lt;SELECT&gt;/BBOOK/DATAPROVIDER[./META/PROPS/ID='IRR']/DATA/ROW&lt;/SELECT&gt;&lt;FILTERS&gt;&lt;FILTER&gt;&lt;/FILTER&gt;&lt;/FILTERS&gt;&lt;/QUERY&gt;&lt;/QUERIES&gt;&lt;/OBJECT&gt;"/>
    <w:docVar w:name="BIP_META_DOC_TBL00090" w:val="&lt;OBJECT&gt;&lt;META&gt;&lt;ID&gt;&lt;/ID&gt;&lt;NAME&gt;DOC_TBL0009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preutan&lt;/DYNAMIZEDBY&gt;&lt;DYNAMIZEDON&gt;19/06/2017 12:56:57&lt;/DYNAMIZEDON&gt;&lt;LASTUPDATEDBY&gt;koehlmn&lt;/LASTUPDATEDBY&gt;&lt;LASTUPDATEDON&gt;6/17/2019 9:22:18 AM&lt;/LASTUPDATEDON&gt;&lt;UTC&gt;1&lt;/UTC&gt;&lt;/UPDATE&gt;&lt;QUERIES bbk=&quot;14834&quot; bbkdesc=&quot;2018 Annual Accounts/EU Annual Accounts/DC - Credit risk&quot; datapro=&quot;CDTR&quot; tdatapro=&quot;CDTR&quot; author=&quot;&quot; modtime=&quot;3/17/2017 8:49:27 AM&quot; moduser=&quot;servela&quot; rolluptime=&quot;&quot; syuser=&quot;servela&quot; syuzeit=&quot;3/17/2017 8:49:27 AM&quot; root=&quot;/DATA&quot; colcount=&quot;6&quot; rowcount=&quot;11&quot; url=&quot;&quot; dynamizeds=&quot;SAP Disclosure Management - Production&quot; dynamizedstype=&quot;9&quot; refreshds=&quot;&quot; viewtype=&quot;1&quot;&gt;&lt;QUERY reftype=&quot;ABS&quot; elmntsel=&quot;TABLE&quot; bbk=&quot;14834&quot; bbkdesc=&quot;2018 Annual Accounts/EU Annual Accounts/DC - Credit risk&quot; datapro=&quot;CDTR&quot; infos=&quot;&quot; iscomment=&quot;0&quot;&gt;&lt;SELECT&gt;/BBOOK/DATAPROVIDER[./META/PROPS/ID='CDTR']/DATA/ROW&lt;/SELECT&gt;&lt;FILTERS&gt;&lt;FILTER&gt;&lt;/FILTER&gt;&lt;/FILTERS&gt;&lt;/QUERY&gt;&lt;/QUERIES&gt;&lt;/OBJECT&gt;"/>
    <w:docVar w:name="BIP_META_DOC_TBL00091" w:val="&lt;OBJECT&gt;&lt;META&gt;&lt;ID&gt;&lt;/ID&gt;&lt;NAME&gt;DOC_TBL0009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mileuma&lt;/DYNAMIZEDBY&gt;&lt;DYNAMIZEDON&gt;01/03/2019 12:25:17&lt;/DYNAMIZEDON&gt;&lt;LASTUPDATEDBY&gt;milemar&lt;/LASTUPDATEDBY&gt;&lt;LASTUPDATEDON&gt;6/12/2019 8:53:12 AM&lt;/LASTUPDATEDON&gt;&lt;UTC&gt;1&lt;/UTC&gt;&lt;/UPDATE&gt;&lt;QUERIES bbk=&quot;14834&quot; bbkdesc=&quot;2018 Annual Accounts/EU Annual Accounts/DC - Credit risk&quot; datapro=&quot;FARCCY&quot; tdatapro=&quot;FARCCY&quot; author=&quot;&quot; modtime=&quot;6/12/2019 8:53:05 AM&quot; moduser=&quot;milemar&quot; rolluptime=&quot;&quot; syuser=&quot;milemar&quot; syuzeit=&quot;6/12/2019 8:53:05 AM&quot; root=&quot;/BBOOK/DATAPROVIDER[./META/PROPS/ID='FARCCY']/DATA&quot; colcount=&quot;7&quot; rowcount=&quot;15&quot; url=&quot;&quot; dynamizeds=&quot;SAP Disclosure Management - Production&quot; dynamizedstype=&quot;9&quot; refreshds=&quot;&quot; viewtype=&quot;1&quot;&gt;&lt;QUERY reftype=&quot;ABS&quot; elmntsel=&quot;TABLE&quot; bbk=&quot;14834&quot; bbkdesc=&quot;2018 Annual Accounts/EU Annual Accounts/DC - Credit risk&quot; datapro=&quot;FARCCY&quot; infos=&quot;&quot; iscomment=&quot;0&quot;&gt;&lt;SELECT&gt;/BBOOK/DATAPROVIDER[./META/PROPS/ID='FARCCY']/DATA/ROW&lt;/SELECT&gt;&lt;FILTERS&gt;&lt;FILTER&gt;&lt;/FILTER&gt;&lt;/FILTERS&gt;&lt;/QUERY&gt;&lt;/QUERIES&gt;&lt;/OBJECT&gt;"/>
    <w:docVar w:name="BIP_META_DOC_TBL00092" w:val="&lt;OBJECT&gt;&lt;META&gt;&lt;ID&gt;&lt;/ID&gt;&lt;NAME&gt;DOC_TBL0009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mileuma&lt;/DYNAMIZEDBY&gt;&lt;DYNAMIZEDON&gt;01/03/2019 12:28:08&lt;/DYNAMIZEDON&gt;&lt;LASTUPDATEDBY&gt;milemar&lt;/LASTUPDATEDBY&gt;&lt;LASTUPDATEDON&gt;6/12/2019 8:53:12 AM&lt;/LASTUPDATEDON&gt;&lt;UTC&gt;1&lt;/UTC&gt;&lt;/UPDATE&gt;&lt;QUERIES bbk=&quot;14834&quot; bbkdesc=&quot;2018 Annual Accounts/EU Annual Accounts/DC - Credit risk&quot; datapro=&quot;FARCPY&quot; tdatapro=&quot;FARCPY&quot; author=&quot;&quot; modtime=&quot;6/12/2019 8:53:05 AM&quot; moduser=&quot;milemar&quot; rolluptime=&quot;&quot; syuser=&quot;milemar&quot; syuzeit=&quot;6/12/2019 8:53:05 AM&quot; root=&quot;/BBOOK/DATAPROVIDER[./META/PROPS/ID='FARCPY']/DATA&quot; colcount=&quot;7&quot; rowcount=&quot;15&quot; url=&quot;&quot; dynamizeds=&quot;SAP Disclosure Management - Production&quot; dynamizedstype=&quot;9&quot; refreshds=&quot;&quot; viewtype=&quot;1&quot;&gt;&lt;QUERY reftype=&quot;ABS&quot; elmntsel=&quot;TABLE&quot; bbk=&quot;14834&quot; bbkdesc=&quot;2018 Annual Accounts/EU Annual Accounts/DC - Credit risk&quot; datapro=&quot;FARCPY&quot; infos=&quot;&quot; iscomment=&quot;0&quot;&gt;&lt;SELECT&gt;/BBOOK/DATAPROVIDER[./META/PROPS/ID='FARCPY']/DATA/ROW&lt;/SELECT&gt;&lt;FILTERS&gt;&lt;FILTER&gt;&lt;/FILTER&gt;&lt;/FILTERS&gt;&lt;/QUERY&gt;&lt;/QUERIES&gt;&lt;/OBJECT&gt;"/>
    <w:docVar w:name="BIP_META_DOC_TBL00093" w:val="&lt;OBJECT&gt;&lt;META&gt;&lt;ID&gt;&lt;/ID&gt;&lt;NAME&gt;DOC_TBL0009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10.2&lt;/DATE&gt;&lt;DYNAMIZEDBY&gt;servela&lt;/DYNAMIZEDBY&gt;&lt;DYNAMIZEDON&gt;3/20/2018 2:56:39 PM&lt;/DYNAMIZEDON&gt;&lt;LASTUPDATEDBY&gt;milemar&lt;/LASTUPDATEDBY&gt;&lt;LASTUPDATEDON&gt;6/12/2019 8:51:29 AM&lt;/LASTUPDATEDON&gt;&lt;UTC&gt;1&lt;/UTC&gt;&lt;/UPDATE&gt;&lt;QUERIES bbk=&quot;14835&quot; bbkdesc=&quot;2018 Annual Accounts/EU Annual Accounts/DC - Maturity analysis of financial liabilities&quot; datapro=&quot;LR&quot; tdatapro=&quot;LR&quot; author=&quot;&quot; modtime=&quot;6/12/2019 8:51:22 AM&quot; moduser=&quot;milemar&quot; rolluptime=&quot;&quot; syuser=&quot;milemar&quot; syuzeit=&quot;6/12/2019 8:51:22 AM&quot; root=&quot;/BBOOK/DATAPROVIDER[./META/PROPS/ID='LRFL']/DATA&quot; colcount=&quot;5&quot; rowcount=&quot;11&quot; url=&quot;&quot; dynamizeds=&quot;SAP Disclosure Management - Production&quot; dynamizedstype=&quot;9&quot; refreshds=&quot;&quot; viewtype=&quot;1&quot;&gt;&lt;QUERY reftype=&quot;ABS&quot; elmntsel=&quot;TABLE&quot; bbk=&quot;14835&quot; bbkdesc=&quot;2018 Annual Accounts/EU Annual Accounts/DC - Maturity analysis of financial liabilities&quot; datapro=&quot;LR&quot; infos=&quot;&quot; iscomment=&quot;0&quot;&gt;&lt;SELECT&gt;/BBOOK/DATAPROVIDER[./META/PROPS/ID='LR']/DATA/ROW&lt;/SELECT&gt;&lt;FILTERS&gt;&lt;FILTER&gt;&lt;/FILTER&gt;&lt;/FILTERS&gt;&lt;/QUERY&gt;&lt;/QUERIES&gt;&lt;/OBJECT&gt;"/>
    <w:docVar w:name="BIP_META_DOC_TBL00094" w:val="&lt;OBJECT&gt;&lt;META&gt;&lt;ID&gt;&lt;/ID&gt;&lt;NAME&gt;DOC_TBL0009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10.2&lt;/DATE&gt;&lt;DYNAMIZEDBY&gt;mileuma&lt;/DYNAMIZEDBY&gt;&lt;DYNAMIZEDON&gt;08/02/2019 13:15:04&lt;/DYNAMIZEDON&gt;&lt;LASTUPDATEDBY&gt;milemar&lt;/LASTUPDATEDBY&gt;&lt;LASTUPDATEDON&gt;6/12/2019 8:51:29 AM&lt;/LASTUPDATEDON&gt;&lt;UTC&gt;1&lt;/UTC&gt;&lt;/UPDATE&gt;&lt;QUERIES bbk=&quot;13960&quot; bbkdesc=&quot;2018 Annual Accounts/EC Annual Accounts/DC - Maturity analysis of financial liabilities&quot; datapro=&quot;FVtsD&quot; tdatapro=&quot;FVtsD&quot; author=&quot;&quot; modtime=&quot;6/6/2019 5:17:49 PM&quot; moduser=&quot;milemar&quot; rolluptime=&quot;&quot; syuser=&quot;milemar&quot; syuzeit=&quot;6/6/2019 5:17:49 PM&quot; root=&quot;/BBOOK/DATAPROVIDER[./META/PROPS/ID='FVtsD']/DATA&quot; colcount=&quot;5&quot; rowcount=&quot;9&quot; url=&quot;&quot; dynamizeds=&quot;SAP Disclosure Management - Production&quot; dynamizedstype=&quot;9&quot; refreshds=&quot;&quot; viewtype=&quot;1&quot;&gt;&lt;QUERY reftype=&quot;ABS&quot; elmntsel=&quot;TABLE&quot; bbk=&quot;13960&quot; bbkdesc=&quot;2018 Annual Accounts/EC Annual Accounts/DC - Maturity analysis of financial liabilities&quot; datapro=&quot;FVtsD&quot; infos=&quot;&quot; iscomment=&quot;0&quot;&gt;&lt;SELECT&gt;/BBOOK/DATAPROVIDER[./META/PROPS/ID='FVtsD']/DATA/ROW&lt;/SELECT&gt;&lt;FILTERS&gt;&lt;FILTER&gt;&lt;/FILTER&gt;&lt;/FILTERS&gt;&lt;/QUERY&gt;&lt;/QUERIES&gt;&lt;/OBJECT&gt;"/>
    <w:docVar w:name="BIP_META_DOC_TBL00095" w:val="&lt;OBJECT&gt;&lt;META&gt;&lt;ID&gt;&lt;/ID&gt;&lt;NAME&gt;DOC_TBL0009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4.9&lt;/DATE&gt;&lt;DYNAMIZEDBY&gt;koehlmn&lt;/DYNAMIZEDBY&gt;&lt;DYNAMIZEDON&gt;01/02/2016 09:39:45&lt;/DYNAMIZEDON&gt;&lt;LASTUPDATEDBY&gt;milemar&lt;/LASTUPDATEDBY&gt;&lt;LASTUPDATEDON&gt;6/12/2019 8:52:14 AM&lt;/LASTUPDATEDON&gt;&lt;UTC&gt;1&lt;/UTC&gt;&lt;/UPDATE&gt;&lt;QUERIES bbk=&quot;14815&quot; bbkdesc=&quot;2018 Annual Accounts/EU Annual Accounts/DC - Related party disclosures&quot; datapro=&quot;KM&quot; tdatapro=&quot;KM&quot; author=&quot;&quot; modtime=&quot;10/30/2015 2:58:00 PM&quot; moduser=&quot;milemar&quot; rolluptime=&quot;&quot; syuser=&quot;milemar&quot; syuzeit=&quot;10/30/2015 2:58:00 PM&quot; root=&quot;/DATA&quot; colcount=&quot;6&quot; rowcount=&quot;45&quot; url=&quot;&quot; dynamizeds=&quot;SAP Disclosure Management - Production&quot; dynamizedstype=&quot;9&quot; refreshds=&quot;&quot; viewtype=&quot;1&quot;&gt;&lt;QUERY reftype=&quot;ABS&quot; elmntsel=&quot;TABLE&quot; bbk=&quot;14815&quot; bbkdesc=&quot;2018 Annual Accounts/EU Annual Accounts/DC - Related party disclosures&quot; datapro=&quot;KM&quot; infos=&quot;&quot; iscomment=&quot;0&quot;&gt;&lt;SELECT&gt;/BBOOK/DATAPROVIDER[./META/PROPS/ID='KM']/DATA/ROW&lt;/SELECT&gt;&lt;FILTERS&gt;&lt;FILTER&gt;&lt;/FILTER&gt;&lt;/FILTERS&gt;&lt;/QUERY&gt;&lt;/QUERIES&gt;&lt;/OBJECT&gt;"/>
    <w:docVar w:name="BIP_META_DOC_TBL00096" w:val="&lt;OBJECT&gt;&lt;META&gt;&lt;ID&gt;&lt;/ID&gt;&lt;NAME&gt;DOC_TBL0009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07/06/2017 09:03:12&lt;/DYNAMIZEDON&gt;&lt;LASTUPDATEDBY&gt;milemar&lt;/LASTUPDATEDBY&gt;&lt;LASTUPDATEDON&gt;6/12/2019 8:47:24 AM&lt;/LASTUPDATEDON&gt;&lt;UTC&gt;1&lt;/UTC&gt;&lt;/UPDATE&gt;&lt;QUERIES bbk=&quot;14816&quot; bbkdesc=&quot;2018 Annual Accounts/EU Annual Accounts/DC - Scope of consolidation EU&quot; datapro=&quot;CONSO&quot; tdatapro=&quot;CONSO&quot; author=&quot;&quot; modtime=&quot;3/16/2016 9:18:06 PM&quot; moduser=&quot;koehlmn&quot; rolluptime=&quot;&quot; syuser=&quot;koehlmn&quot; syuzeit=&quot;3/16/2016 9:18:06 PM&quot; root=&quot;/DATA&quot; colcount=&quot;2&quot; rowcount=&quot;46&quot; url=&quot;&quot; dynamizeds=&quot;SAP Disclosure Management - Production&quot; dynamizedstype=&quot;9&quot; refreshds=&quot;&quot; viewtype=&quot;1&quot;&gt;&lt;QUERY reftype=&quot;ABS&quot; elmntsel=&quot;TABLE&quot; bbk=&quot;14816&quot; bbkdesc=&quot;2018 Annual Accounts/EU Annual Accounts/DC - Scope of consolidation EU&quot; datapro=&quot;CONSO&quot; infos=&quot;&quot; iscomment=&quot;0&quot;&gt;&lt;SELECT&gt;/BBOOK/DATAPROVIDER[./META/PROPS/ID='CONSO']/DATA/ROW&lt;/SELECT&gt;&lt;FILTERS&gt;&lt;FILTER&gt;&lt;/FILTER&gt;&lt;/FILTERS&gt;&lt;/QUERY&gt;&lt;/QUERIES&gt;&lt;/OBJECT&gt;"/>
    <w:docVar w:name="BIP_META_DOC_TBL00097" w:val="&lt;OBJECT&gt;&lt;META&gt;&lt;ID&gt;&lt;/ID&gt;&lt;NAME&gt;DOC_TBL0009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6153&lt;/FLCID&gt;&lt;RELATION&gt;&lt;/RELATION&gt;&lt;LINKED&gt;&lt;/LINKED&gt;&lt;SVALUE&gt;&lt;/SVALUE&gt;&lt;INFO&gt;&lt;/INFO&gt;&lt;/META&gt;&lt;UPDATE&gt;&lt;DATE&gt;10.1.6.35&lt;/DATE&gt;&lt;DYNAMIZEDBY&gt;bedread&lt;/DYNAMIZEDBY&gt;&lt;DYNAMIZEDON&gt;12/03/2019 17:37:57&lt;/DYNAMIZEDON&gt;&lt;LASTUPDATEDBY&gt;milemar&lt;/LASTUPDATEDBY&gt;&lt;LASTUPDATEDON&gt;6/12/2019 8:53:47 AM&lt;/LASTUPDATEDON&gt;&lt;UTC&gt;1&lt;/UTC&gt;&lt;/UPDATE&gt;&lt;QUERIES bbk=&quot;15799&quot; bbkdesc=&quot;2018 Annual Accounts/EU Annual Accounts/DC - Budget result and Statements of Comparison&quot; datapro=&quot;BIP_Budget_result&quot; tdatapro=&quot;BIP_Budget_result&quot; author=&quot;&quot; modtime=&quot;6/12/2019 8:53:29 AM&quot; moduser=&quot;milemar&quot; rolluptime=&quot;&quot; syuser=&quot;milemar&quot; syuzeit=&quot;6/12/2019 8:53:29 AM&quot; root=&quot;/BBOOK/DATAPROVIDER[./META/PROPS/ID='BIP_Budget_result']/DATA&quot; colcount=&quot;4&quot; rowcount=&quot;9&quot; url=&quot;&quot; dynamizeds=&quot;SAP Disclosure Management - Production&quot; dynamizedstype=&quot;9&quot; refreshds=&quot;&quot; viewtype=&quot;1&quot;&gt;&lt;QUERY reftype=&quot;ABS&quot; elmntsel=&quot;TABLE&quot; bbk=&quot;15799&quot; bbkdesc=&quot;2018 Annual Accounts/EU Annual Accounts/DC - Budget result and Statements of Comparison (xlsx)&quot; datapro=&quot;BIP_Budget_result&quot; infos=&quot;&quot; iscomment=&quot;0&quot;&gt;&lt;SELECT&gt;/BBOOK/DATAPROVIDER[./META/PROPS/ID='BIP_Budget_result']/DATA/ROW&lt;/SELECT&gt;&lt;FILTERS&gt;&lt;FILTER&gt;&lt;/FILTER&gt;&lt;/FILTERS&gt;&lt;/QUERY&gt;&lt;/QUERIES&gt;&lt;/OBJECT&gt;"/>
    <w:docVar w:name="BIP_META_DOC_TBL00098" w:val="&lt;OBJECT&gt;&lt;META&gt;&lt;ID&gt;&lt;/ID&gt;&lt;NAME&gt;DOC_TBL0009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6153&lt;/FLCID&gt;&lt;RELATION&gt;&lt;/RELATION&gt;&lt;LINKED&gt;&lt;/LINKED&gt;&lt;SVALUE&gt;&lt;/SVALUE&gt;&lt;INFO&gt;&lt;/INFO&gt;&lt;/META&gt;&lt;UPDATE&gt;&lt;DATE&gt;10.1.6.35&lt;/DATE&gt;&lt;DYNAMIZEDBY&gt;bedread&lt;/DYNAMIZEDBY&gt;&lt;DYNAMIZEDON&gt;12/03/2019 17:38:42&lt;/DYNAMIZEDON&gt;&lt;LASTUPDATEDBY&gt;milemar&lt;/LASTUPDATEDBY&gt;&lt;LASTUPDATEDON&gt;6/12/2019 8:53:48 AM&lt;/LASTUPDATEDON&gt;&lt;UTC&gt;1&lt;/UTC&gt;&lt;/UPDATE&gt;&lt;QUERIES bbk=&quot;15799&quot; bbkdesc=&quot;2018 Annual Accounts/EU Annual Accounts/DC - Budget result and Statements of Comparison&quot; datapro=&quot;BIP_Statement_of_comparison_Revenue&quot; tdatapro=&quot;BIP_Statement_of_comparison_Revenue&quot; author=&quot;&quot; modtime=&quot;6/12/2019 8:53:29 AM&quot; moduser=&quot;milemar&quot; rolluptime=&quot;&quot; syuser=&quot;milemar&quot; syuzeit=&quot;6/12/2019 8:53:29 AM&quot; root=&quot;/BBOOK/DATAPROVIDER[./META/PROPS/ID='BIP_Statement_of_comparison_Revenue']/DATA&quot; colcount=&quot;6&quot; rowcount=&quot;17&quot; url=&quot;&quot; dynamizeds=&quot;SAP Disclosure Management - Production&quot; dynamizedstype=&quot;9&quot; refreshds=&quot;&quot; viewtype=&quot;1&quot;&gt;&lt;QUERY reftype=&quot;ABS&quot; elmntsel=&quot;TABLE&quot; bbk=&quot;15799&quot; bbkdesc=&quot;2018 Annual Accounts/EU Annual Accounts/DC - Budget result and Statements of Comparison (xlsx)&quot; datapro=&quot;BIP_Statement_of_comparison_Revenue&quot; infos=&quot;&quot; iscomment=&quot;0&quot;&gt;&lt;SELECT&gt;/BBOOK/DATAPROVIDER[./META/PROPS/ID='BIP_Statement_of_comparison_Revenue']/DATA/ROW&lt;/SELECT&gt;&lt;FILTERS&gt;&lt;FILTER&gt;&lt;/FILTER&gt;&lt;/FILTERS&gt;&lt;/QUERY&gt;&lt;/QUERIES&gt;&lt;/OBJECT&gt;"/>
    <w:docVar w:name="BIP_META_DOC_TBL00099" w:val="&lt;OBJECT&gt;&lt;META&gt;&lt;ID&gt;&lt;/ID&gt;&lt;NAME&gt;DOC_TBL0009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6153&lt;/FLCID&gt;&lt;RELATION&gt;&lt;/RELATION&gt;&lt;LINKED&gt;&lt;/LINKED&gt;&lt;SVALUE&gt;&lt;/SVALUE&gt;&lt;INFO&gt;&lt;/INFO&gt;&lt;/META&gt;&lt;UPDATE&gt;&lt;DATE&gt;10.1.6.35&lt;/DATE&gt;&lt;DYNAMIZEDBY&gt;bedread&lt;/DYNAMIZEDBY&gt;&lt;DYNAMIZEDON&gt;12/03/2019 17:40:04&lt;/DYNAMIZEDON&gt;&lt;LASTUPDATEDBY&gt;milemar&lt;/LASTUPDATEDBY&gt;&lt;LASTUPDATEDON&gt;6/12/2019 8:53:48 AM&lt;/LASTUPDATEDON&gt;&lt;UTC&gt;1&lt;/UTC&gt;&lt;/UPDATE&gt;&lt;QUERIES bbk=&quot;15799&quot; bbkdesc=&quot;2018 Annual Accounts/EU Annual Accounts/DC - Budget result and Statements of Comparison&quot; datapro=&quot;BIP_Statement_of_comparison_Commitments&quot; tdatapro=&quot;BIP_Statement_of_comparison_Commitments&quot; author=&quot;&quot; modtime=&quot;6/12/2019 8:53:29 AM&quot; moduser=&quot;milemar&quot; rolluptime=&quot;&quot; syuser=&quot;milemar&quot; syuzeit=&quot;6/12/2019 8:53:29 AM&quot; root=&quot;/BBOOK/DATAPROVIDER[./META/PROPS/ID='BIP_Statement_of_comparison_Commitments']/DATA&quot; colcount=&quot;6&quot; rowcount=&quot;15&quot; url=&quot;&quot; dynamizeds=&quot;SAP Disclosure Management - Production&quot; dynamizedstype=&quot;9&quot; refreshds=&quot;&quot; viewtype=&quot;1&quot;&gt;&lt;QUERY reftype=&quot;ABS&quot; elmntsel=&quot;TABLE&quot; bbk=&quot;15799&quot; bbkdesc=&quot;2018 Annual Accounts/EU Annual Accounts/DC - Budget result and Statements of Comparison (xlsx)&quot; datapro=&quot;BIP_Statement_of_comparison_Commitments&quot; infos=&quot;&quot; iscomment=&quot;0&quot;&gt;&lt;SELECT&gt;/BBOOK/DATAPROVIDER[./META/PROPS/ID='BIP_Statement_of_comparison_Commitments']/DATA/ROW&lt;/SELECT&gt;&lt;FILTERS&gt;&lt;FILTER&gt;&lt;/FILTER&gt;&lt;/FILTERS&gt;&lt;/QUERY&gt;&lt;/QUERIES&gt;&lt;/OBJECT&gt;"/>
    <w:docVar w:name="BIP_META_DOC_TBL00100" w:val="&lt;OBJECT&gt;&lt;META&gt;&lt;ID&gt;&lt;/ID&gt;&lt;NAME&gt;DOC_TBL0010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6153&lt;/FLCID&gt;&lt;RELATION&gt;&lt;/RELATION&gt;&lt;LINKED&gt;&lt;/LINKED&gt;&lt;SVALUE&gt;&lt;/SVALUE&gt;&lt;INFO&gt;&lt;/INFO&gt;&lt;/META&gt;&lt;UPDATE&gt;&lt;DATE&gt;10.1.6.35&lt;/DATE&gt;&lt;DYNAMIZEDBY&gt;bedread&lt;/DYNAMIZEDBY&gt;&lt;DYNAMIZEDON&gt;12/03/2019 17:42:34&lt;/DYNAMIZEDON&gt;&lt;LASTUPDATEDBY&gt;milemar&lt;/LASTUPDATEDBY&gt;&lt;LASTUPDATEDON&gt;6/12/2019 8:53:48 AM&lt;/LASTUPDATEDON&gt;&lt;UTC&gt;1&lt;/UTC&gt;&lt;/UPDATE&gt;&lt;QUERIES bbk=&quot;15799&quot; bbkdesc=&quot;2018 Annual Accounts/EU Annual Accounts/DC - Budget result and Statements of Comparison&quot; datapro=&quot;BIP_Statement_of_comparison_Payments&quot; tdatapro=&quot;BIP_Statement_of_comparison_Payments&quot; author=&quot;&quot; modtime=&quot;6/12/2019 8:53:29 AM&quot; moduser=&quot;milemar&quot; rolluptime=&quot;&quot; syuser=&quot;milemar&quot; syuzeit=&quot;6/12/2019 8:53:29 AM&quot; root=&quot;/BBOOK/DATAPROVIDER[./META/PROPS/ID='BIP_Statement_of_comparison_Payments']/DATA&quot; colcount=&quot;6&quot; rowcount=&quot;15&quot; url=&quot;&quot; dynamizeds=&quot;SAP Disclosure Management - Production&quot; dynamizedstype=&quot;9&quot; refreshds=&quot;&quot; viewtype=&quot;1&quot;&gt;&lt;QUERY reftype=&quot;ABS&quot; elmntsel=&quot;TABLE&quot; bbk=&quot;15799&quot; bbkdesc=&quot;2018 Annual Accounts/EU Annual Accounts/DC - Budget result and Statements of Comparison (xlsx)&quot; datapro=&quot;BIP_Statement_of_comparison_Payments&quot; infos=&quot;&quot; iscomment=&quot;0&quot;&gt;&lt;SELECT&gt;/BBOOK/DATAPROVIDER[./META/PROPS/ID='BIP_Statement_of_comparison_Payments']/DATA/ROW&lt;/SELECT&gt;&lt;FILTERS&gt;&lt;FILTER&gt;&lt;/FILTER&gt;&lt;/FILTERS&gt;&lt;/QUERY&gt;&lt;/QUERIES&gt;&lt;/OBJECT&gt;"/>
    <w:docVar w:name="BIP_META_DOC_TBL00101" w:val="&lt;OBJECT&gt;&lt;META&gt;&lt;ID&gt;&lt;/ID&gt;&lt;NAME&gt;DOC_TBL0010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10.2&lt;/DATE&gt;&lt;DYNAMIZEDBY&gt;bedread&lt;/DYNAMIZEDBY&gt;&lt;DYNAMIZEDON&gt;28/03/2018 08:42:45&lt;/DYNAMIZEDON&gt;&lt;LASTUPDATEDBY&gt;milemar&lt;/LASTUPDATEDBY&gt;&lt;LASTUPDATEDON&gt;6/12/2019 8:53:14 AM&lt;/LASTUPDATEDON&gt;&lt;UTC&gt;1&lt;/UTC&gt;&lt;/UPDATE&gt;&lt;QUERIES bbk=&quot;14713&quot; bbkdesc=&quot;2018 Annual Accounts/EU Annual Accounts/DC - Financial framework 2014 - 2020&quot; datapro=&quot;BIP_FinancialFWK20142020&quot; tdatapro=&quot;BIP_FinancialFWK20142020&quot; author=&quot;&quot; modtime=&quot;4/26/2017 4:41:07 PM&quot; moduser=&quot;preutan&quot; rolluptime=&quot;&quot; syuser=&quot;preutan&quot; syuzeit=&quot;4/26/2017 4:41:07 PM&quot; root=&quot;/DATA&quot; colcount=&quot;9&quot; rowcount=&quot;17&quot; url=&quot;&quot; dynamizeds=&quot;SAP Disclosure Management - Production&quot; dynamizedstype=&quot;9&quot; refreshds=&quot;&quot; viewtype=&quot;1&quot;&gt;&lt;QUERY reftype=&quot;ABS&quot; elmntsel=&quot;TABLE&quot; bbk=&quot;14713&quot; bbkdesc=&quot;2018 Annual Accounts/EU Annual Accounts/DC - Financial framework 2014 - 2020&quot; datapro=&quot;BIP_FinancialFWK20142020&quot; infos=&quot;&quot; iscomment=&quot;0&quot;&gt;&lt;SELECT&gt;/BBOOK/DATAPROVIDER[./META/PROPS/ID='BIP_FinancialFWK20142020']/DATA/ROW&lt;/SELECT&gt;&lt;FILTERS&gt;&lt;FILTER&gt;&lt;/FILTER&gt;&lt;/FILTERS&gt;&lt;/QUERY&gt;&lt;/QUERIES&gt;&lt;/OBJECT&gt;"/>
    <w:docVar w:name="BIP_META_DOC_TBL00102" w:val="&lt;OBJECT&gt;&lt;META&gt;&lt;ID&gt;&lt;/ID&gt;&lt;NAME&gt;DOC_TBL0010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preutan&lt;/DYNAMIZEDBY&gt;&lt;DYNAMIZEDON&gt;21/03/2018 10:08:45&lt;/DYNAMIZEDON&gt;&lt;LASTUPDATEDBY&gt;canarpa&lt;/LASTUPDATEDBY&gt;&lt;LASTUPDATEDON&gt;6/13/2019 11:09:26 AM&lt;/LASTUPDATEDON&gt;&lt;UTC&gt;1&lt;/UTC&gt;&lt;/UPDATE&gt;&lt;QUERIES bbk=&quot;14802&quot; bbkdesc=&quot;2018 Annual Accounts/EU Annual Accounts/DC - EU Reconciliation of economic result&quot; datapro=&quot;BIP_Reconciliation&quot; tdatapro=&quot;BIP_Reconciliation&quot; author=&quot;&quot; modtime=&quot;6/13/2019 11:07:53 AM&quot; moduser=&quot;canarpa&quot; rolluptime=&quot;&quot; syuser=&quot;canarpa&quot; syuzeit=&quot;6/13/2019 11:07:53 AM&quot; root=&quot;/BBOOK/DATAPROVIDER[./META/PROPS/ID='BIP_Reconciliation']/DATA&quot; colcount=&quot;3&quot; rowcount=&quot;20&quot; url=&quot;&quot; dynamizeds=&quot;SAP Disclosure Management - Production&quot; dynamizedstype=&quot;9&quot; refreshds=&quot;&quot; viewtype=&quot;1&quot;&gt;&lt;QUERY reftype=&quot;ABS&quot; elmntsel=&quot;TABLE&quot; bbk=&quot;14802&quot; bbkdesc=&quot;2018 Annual Accounts/EU Annual Accounts/DC - EU Reconciliation of economic result&quot; datapro=&quot;BIP_Reconciliation&quot; infos=&quot;&quot; iscomment=&quot;0&quot;&gt;&lt;SELECT&gt;/BBOOK/DATAPROVIDER[./META/PROPS/ID='BIP_Reconciliation']/DATA/ROW&lt;/SELECT&gt;&lt;FILTERS&gt;&lt;FILTER&gt;&lt;/FILTER&gt;&lt;/FILTERS&gt;&lt;/QUERY&gt;&lt;/QUERIES&gt;&lt;/OBJECT&gt;"/>
    <w:docVar w:name="BIP_META_DOC_TBL00103" w:val="&lt;OBJECT&gt;&lt;META&gt;&lt;ID&gt;&lt;/ID&gt;&lt;NAME&gt;DOC_TBL0010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6153&lt;/FLCID&gt;&lt;RELATION&gt;&lt;/RELATION&gt;&lt;LINKED&gt;&lt;/LINKED&gt;&lt;SVALUE&gt;&lt;/SVALUE&gt;&lt;INFO&gt;&lt;/INFO&gt;&lt;/META&gt;&lt;UPDATE&gt;&lt;DATE&gt;10.1.6.35&lt;/DATE&gt;&lt;DYNAMIZEDBY&gt;bedread&lt;/DYNAMIZEDBY&gt;&lt;DYNAMIZEDON&gt;13/03/2019 08:15:24&lt;/DYNAMIZEDON&gt;&lt;LASTUPDATEDBY&gt;milemar&lt;/LASTUPDATEDBY&gt;&lt;LASTUPDATEDON&gt;6/12/2019 8:53:57 AM&lt;/LASTUPDATEDON&gt;&lt;UTC&gt;1&lt;/UTC&gt;&lt;/UPDATE&gt;&lt;QUERIES bbk=&quot;14818&quot; bbkdesc=&quot;2018 Annual Accounts/EU Annual Accounts/DC - EU revenues&quot; datapro=&quot;BIP_Implementation_budget_revenue&quot; tdatapro=&quot;BIP_Implementation_budget_revenue&quot; author=&quot;&quot; modtime=&quot;6/12/2019 8:53:26 AM&quot; moduser=&quot;milemar&quot; rolluptime=&quot;&quot; syuser=&quot;milemar&quot; syuzeit=&quot;6/12/2019 8:53:26 AM&quot; root=&quot;/BBOOK/DATAPROVIDER[./META/PROPS/ID='BIP_Implementation_budget_revenue']/DATA&quot; colcount=&quot;12&quot; rowcount=&quot;13&quot; url=&quot;&quot; dynamizeds=&quot;SAP Disclosure Management - Production&quot; dynamizedstype=&quot;9&quot; refreshds=&quot;&quot; viewtype=&quot;1&quot;&gt;&lt;QUERY reftype=&quot;ABS&quot; elmntsel=&quot;TABLE&quot; bbk=&quot;14818&quot; bbkdesc=&quot;2018 Annual Accounts/EU Annual Accounts/DC - EU revenues (xlsx)&quot; datapro=&quot;BIP_Implementation_budget_revenue&quot; infos=&quot;&quot; iscomment=&quot;0&quot;&gt;&lt;SELECT&gt;/BBOOK/DATAPROVIDER[./META/PROPS/ID='BIP_Implementation_budget_revenue']/DATA/ROW&lt;/SELECT&gt;&lt;FILTERS&gt;&lt;FILTER&gt;&lt;/FILTER&gt;&lt;/FILTERS&gt;&lt;/QUERY&gt;&lt;/QUERIES&gt;&lt;/OBJECT&gt;"/>
    <w:docVar w:name="BIP_META_DOC_TBL00104" w:val="&lt;OBJECT&gt;&lt;META&gt;&lt;ID&gt;&lt;/ID&gt;&lt;NAME&gt;DOC_TBL0010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3/13/2019 9:31:30 AM&lt;/DYNAMIZEDON&gt;&lt;LASTUPDATEDBY&gt;mestrth&lt;/LASTUPDATEDBY&gt;&lt;LASTUPDATEDON&gt;6/13/2019 6:28:04 AM&lt;/LASTUPDATEDON&gt;&lt;UTC&gt;1&lt;/UTC&gt;&lt;/UPDATE&gt;&lt;QUERIES bbk=&quot;14819&quot; bbkdesc=&quot;2018 Annual Accounts/EU Annual Accounts/DC - EU expenditures&quot; datapro=&quot;BIP_MFF_1_Breakdown_Comm_Paym&quot; tdatapro=&quot;BIP_MFF_1_Breakdown_Comm_Paym&quot; author=&quot;&quot; modtime=&quot;6/13/2019 6:04:23 AM&quot; moduser=&quot;mestrth&quot; rolluptime=&quot;&quot; syuser=&quot;mestrth&quot; syuzeit=&quot;6/13/2019 6:04:23 AM&quot; root=&quot;/BBOOK/DATAPROVIDER[./META/PROPS/ID='BIP_MFF_1_Breakdown_Comm_Paym']/DATA&quot; colcount=&quot;14&quot; rowcount=&quot;18&quot; url=&quot;&quot; dynamizeds=&quot;SAP Disclosure Management - Production&quot; dynamizedstype=&quot;9&quot; refreshds=&quot;&quot; viewtype=&quot;1&quot;&gt;&lt;QUERY reftype=&quot;ABS&quot; elmntsel=&quot;TABLE&quot; bbk=&quot;14819&quot; bbkdesc=&quot;2018 Annual Accounts/EU Annual Accounts/DC - EU expenditures (xlsx)&quot; datapro=&quot;BIP_MFF_1_Breakdown_Comm_Paym&quot; infos=&quot;&quot; iscomment=&quot;0&quot;&gt;&lt;SELECT&gt;/BBOOK/DATAPROVIDER[./META/PROPS/ID='BIP_MFF_1_Breakdown_Comm_Paym']/DATA/ROW&lt;/SELECT&gt;&lt;FILTERS&gt;&lt;FILTER&gt;&lt;/FILTER&gt;&lt;/FILTERS&gt;&lt;/QUERY&gt;&lt;/QUERIES&gt;&lt;/OBJECT&gt;"/>
    <w:docVar w:name="BIP_META_DOC_TBL00105" w:val="&lt;OBJECT&gt;&lt;META&gt;&lt;ID&gt;&lt;/ID&gt;&lt;NAME&gt;DOC_TBL0010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3/13/2019 9:36:07 AM&lt;/DYNAMIZEDON&gt;&lt;LASTUPDATEDBY&gt;mestrth&lt;/LASTUPDATEDBY&gt;&lt;LASTUPDATEDON&gt;6/13/2019 6:27:16 AM&lt;/LASTUPDATEDON&gt;&lt;UTC&gt;1&lt;/UTC&gt;&lt;/UPDATE&gt;&lt;QUERIES bbk=&quot;14819&quot; bbkdesc=&quot;2018 Annual Accounts/EU Annual Accounts/DC - EU expenditures&quot; datapro=&quot;BIP_MFF_2_Implement_Commitments&quot; tdatapro=&quot;BIP_MFF_2_Implement_Commitments&quot; author=&quot;&quot; modtime=&quot;6/13/2019 6:04:23 AM&quot; moduser=&quot;mestrth&quot; rolluptime=&quot;&quot; syuser=&quot;mestrth&quot; syuzeit=&quot;6/13/2019 6:04:23 AM&quot; root=&quot;/BBOOK/DATAPROVIDER[./META/PROPS/ID='BIP_MFF_2_Implement_Commitments']/DATA&quot; colcount=&quot;15&quot; rowcount=&quot;17&quot; url=&quot;&quot; dynamizeds=&quot;SAP Disclosure Management - Production&quot; dynamizedstype=&quot;9&quot; refreshds=&quot;&quot; viewtype=&quot;1&quot;&gt;&lt;QUERY reftype=&quot;ABS&quot; elmntsel=&quot;TABLE&quot; bbk=&quot;14819&quot; bbkdesc=&quot;2018 Annual Accounts/EU Annual Accounts/DC - EU expenditures (xlsx)&quot; datapro=&quot;BIP_MFF_2_Implement_Commitments&quot; infos=&quot;&quot; iscomment=&quot;0&quot;&gt;&lt;SELECT&gt;/BBOOK/DATAPROVIDER[./META/PROPS/ID='BIP_MFF_2_Implement_Commitments']/DATA/ROW&lt;/SELECT&gt;&lt;FILTERS&gt;&lt;FILTER&gt;&lt;/FILTER&gt;&lt;/FILTERS&gt;&lt;/QUERY&gt;&lt;/QUERIES&gt;&lt;/OBJECT&gt;"/>
    <w:docVar w:name="BIP_META_DOC_TBL00106" w:val="&lt;OBJECT&gt;&lt;META&gt;&lt;ID&gt;&lt;/ID&gt;&lt;NAME&gt;DOC_TBL0010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3/13/2019 9:40:23 AM&lt;/DYNAMIZEDON&gt;&lt;LASTUPDATEDBY&gt;mestrth&lt;/LASTUPDATEDBY&gt;&lt;LASTUPDATEDON&gt;6/13/2019 6:27:45 AM&lt;/LASTUPDATEDON&gt;&lt;UTC&gt;1&lt;/UTC&gt;&lt;/UPDATE&gt;&lt;QUERIES bbk=&quot;14819&quot; bbkdesc=&quot;2018 Annual Accounts/EU Annual Accounts/DC - EU expenditures&quot; datapro=&quot;BIP_MFF_3_Implement_Payments&quot; tdatapro=&quot;BIP_MFF_3_Implement_Payments&quot; author=&quot;&quot; modtime=&quot;6/13/2019 6:04:23 AM&quot; moduser=&quot;mestrth&quot; rolluptime=&quot;&quot; syuser=&quot;mestrth&quot; syuzeit=&quot;6/13/2019 6:04:23 AM&quot; root=&quot;/BBOOK/DATAPROVIDER[./META/PROPS/ID='BIP_MFF_3_Implement_Payments']/DATA&quot; colcount=&quot;16&quot; rowcount=&quot;17&quot; url=&quot;&quot; dynamizeds=&quot;SAP Disclosure Management - Production&quot; dynamizedstype=&quot;9&quot; refreshds=&quot;&quot; viewtype=&quot;1&quot;&gt;&lt;QUERY reftype=&quot;ABS&quot; elmntsel=&quot;TABLE&quot; bbk=&quot;14819&quot; bbkdesc=&quot;2018 Annual Accounts/EU Annual Accounts/DC - EU expenditures (xlsx)&quot; datapro=&quot;BIP_MFF_3_Implement_Payments&quot; infos=&quot;&quot; iscomment=&quot;0&quot;&gt;&lt;SELECT&gt;/BBOOK/DATAPROVIDER[./META/PROPS/ID='BIP_MFF_3_Implement_Payments']/DATA/ROW&lt;/SELECT&gt;&lt;FILTERS&gt;&lt;FILTER&gt;&lt;/FILTER&gt;&lt;/FILTERS&gt;&lt;/QUERY&gt;&lt;/QUERIES&gt;&lt;/OBJECT&gt;"/>
    <w:docVar w:name="BIP_META_DOC_TBL00107" w:val="&lt;OBJECT&gt;&lt;META&gt;&lt;ID&gt;&lt;/ID&gt;&lt;NAME&gt;DOC_TBL0010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3/13/2019 9:47:35 AM&lt;/DYNAMIZEDON&gt;&lt;LASTUPDATEDBY&gt;mestrth&lt;/LASTUPDATEDBY&gt;&lt;LASTUPDATEDON&gt;6/13/2019 6:27:35 AM&lt;/LASTUPDATEDON&gt;&lt;UTC&gt;1&lt;/UTC&gt;&lt;/UPDATE&gt;&lt;QUERIES bbk=&quot;14819&quot; bbkdesc=&quot;2018 Annual Accounts/EU Annual Accounts/DC - EU expenditures&quot; datapro=&quot;BIP_MFF_4_Commitments_oustanding&quot; tdatapro=&quot;BIP_MFF_4_Commitments_oustanding&quot; author=&quot;&quot; modtime=&quot;6/13/2019 6:04:23 AM&quot; moduser=&quot;mestrth&quot; rolluptime=&quot;&quot; syuser=&quot;mestrth&quot; syuzeit=&quot;6/13/2019 6:04:23 AM&quot; root=&quot;/BBOOK/DATAPROVIDER[./META/PROPS/ID='BIP_MFF_4_Commitments_oustanding']/DATA&quot; colcount=&quot;11&quot; rowcount=&quot;17&quot; url=&quot;&quot; dynamizeds=&quot;SAP Disclosure Management - Production&quot; dynamizedstype=&quot;9&quot; refreshds=&quot;&quot; viewtype=&quot;1&quot;&gt;&lt;QUERY reftype=&quot;ABS&quot; elmntsel=&quot;TABLE&quot; bbk=&quot;14819&quot; bbkdesc=&quot;2018 Annual Accounts/EU Annual Accounts/DC - EU expenditures (xlsx)&quot; datapro=&quot;BIP_MFF_4_Commitments_oustanding&quot; infos=&quot;&quot; iscomment=&quot;0&quot;&gt;&lt;SELECT&gt;/BBOOK/DATAPROVIDER[./META/PROPS/ID='BIP_MFF_4_Commitments_oustanding']/DATA/ROW&lt;/SELECT&gt;&lt;FILTERS&gt;&lt;FILTER&gt;&lt;/FILTER&gt;&lt;/FILTERS&gt;&lt;/QUERY&gt;&lt;/QUERIES&gt;&lt;/OBJECT&gt;"/>
    <w:docVar w:name="BIP_META_DOC_TBL00108" w:val="&lt;OBJECT&gt;&lt;META&gt;&lt;ID&gt;&lt;/ID&gt;&lt;NAME&gt;DOC_TBL0010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3/13/2019 10:52:11 AM&lt;/DYNAMIZEDON&gt;&lt;LASTUPDATEDBY&gt;mestrth&lt;/LASTUPDATEDBY&gt;&lt;LASTUPDATEDON&gt;6/13/2019 6:27:26 AM&lt;/LASTUPDATEDON&gt;&lt;UTC&gt;1&lt;/UTC&gt;&lt;/UPDATE&gt;&lt;QUERIES bbk=&quot;14819&quot; bbkdesc=&quot;2018 Annual Accounts/EU Annual Accounts/DC - EU expenditures&quot; datapro=&quot;BIP_MFF_5_RAL_YoO&quot; tdatapro=&quot;BIP_MFF_5_RAL_YoO&quot; author=&quot;&quot; modtime=&quot;6/13/2019 6:04:23 AM&quot; moduser=&quot;mestrth&quot; rolluptime=&quot;&quot; syuser=&quot;mestrth&quot; syuzeit=&quot;6/13/2019 6:04:23 AM&quot; root=&quot;/BBOOK/DATAPROVIDER[./META/PROPS/ID='BIP_MFF_5_RAL_YoO']/DATA&quot; colcount=&quot;11&quot; rowcount=&quot;13&quot; url=&quot;&quot; dynamizeds=&quot;SAP Disclosure Management - Production&quot; dynamizedstype=&quot;9&quot; refreshds=&quot;&quot; viewtype=&quot;1&quot;&gt;&lt;QUERY reftype=&quot;ABS&quot; elmntsel=&quot;TABLE&quot; bbk=&quot;14819&quot; bbkdesc=&quot;2018 Annual Accounts/EU Annual Accounts/DC - EU expenditures (xlsx)&quot; datapro=&quot;BIP_MFF_5_RAL_YoO&quot; infos=&quot;&quot; iscomment=&quot;0&quot;&gt;&lt;SELECT&gt;/BBOOK/DATAPROVIDER[./META/PROPS/ID='BIP_MFF_5_RAL_YoO']/DATA/ROW&lt;/SELECT&gt;&lt;FILTERS&gt;&lt;FILTER&gt;&lt;/FILTER&gt;&lt;/FILTERS&gt;&lt;/QUERY&gt;&lt;/QUERIES&gt;&lt;/OBJECT&gt;"/>
    <w:docVar w:name="BIP_META_DOC_TBL00109" w:val="&lt;OBJECT&gt;&lt;META&gt;&lt;ID&gt;&lt;/ID&gt;&lt;NAME&gt;DOC_TBL0010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1:13:14&lt;/DYNAMIZEDON&gt;&lt;LASTUPDATEDBY&gt;mestrth&lt;/LASTUPDATEDBY&gt;&lt;LASTUPDATEDON&gt;6/13/2019 6:28:02 AM&lt;/LASTUPDATEDON&gt;&lt;UTC&gt;1&lt;/UTC&gt;&lt;/UPDATE&gt;&lt;QUERIES bbk=&quot;14819&quot; bbkdesc=&quot;2018 Annual Accounts/EU Annual Accounts/DC - EU expenditures&quot; datapro=&quot;BIP_DetailedMFF_1_Breakdown&quot; tdatapro=&quot;BIP_DetailedMFF_1_Breakdown&quot; author=&quot;&quot; modtime=&quot;6/13/2019 6:04:23 AM&quot; moduser=&quot;mestrth&quot; rolluptime=&quot;&quot; syuser=&quot;mestrth&quot; syuzeit=&quot;6/13/2019 6:04:23 AM&quot; root=&quot;/BBOOK/DATAPROVIDER[./META/PROPS/ID='BIP_DetailedMFF_1_Breakdown']/DATA&quot; colcount=&quot;14&quot; rowcount=&quot;99&quot; url=&quot;&quot; dynamizeds=&quot;SAP Disclosure Management - Production&quot; dynamizedstype=&quot;9&quot; refreshds=&quot;&quot; viewtype=&quot;1&quot;&gt;&lt;QUERY reftype=&quot;ABS&quot; elmntsel=&quot;TABLE&quot; bbk=&quot;14819&quot; bbkdesc=&quot;2018 Annual Accounts/EU Annual Accounts/DC - EU expenditures (xlsx)&quot; datapro=&quot;BIP_DetailedMFF_1_Breakdown&quot; infos=&quot;&quot; iscomment=&quot;0&quot;&gt;&lt;SELECT&gt;/BBOOK/DATAPROVIDER[./META/PROPS/ID='BIP_DetailedMFF_1_Breakdown']/DATA/ROW&lt;/SELECT&gt;&lt;FILTERS&gt;&lt;FILTER&gt;&lt;/FILTER&gt;&lt;/FILTERS&gt;&lt;/QUERY&gt;&lt;/QUERIES&gt;&lt;/OBJECT&gt;"/>
    <w:docVar w:name="BIP_META_DOC_TBL00110" w:val="&lt;OBJECT&gt;&lt;META&gt;&lt;ID&gt;&lt;/ID&gt;&lt;NAME&gt;DOC_TBL0011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1:08:12&lt;/DYNAMIZEDON&gt;&lt;LASTUPDATEDBY&gt;mestrth&lt;/LASTUPDATEDBY&gt;&lt;LASTUPDATEDON&gt;6/13/2019 6:27:24 AM&lt;/LASTUPDATEDON&gt;&lt;UTC&gt;1&lt;/UTC&gt;&lt;/UPDATE&gt;&lt;QUERIES bbk=&quot;14819&quot; bbkdesc=&quot;2018 Annual Accounts/EU Annual Accounts/DC - EU expenditures&quot; datapro=&quot;BIP_DetailedMFF_2_Implement_Commitments&quot; tdatapro=&quot;BIP_DetailedMFF_2_Implement_Commitments&quot; author=&quot;&quot; modtime=&quot;6/13/2019 6:04:23 AM&quot; moduser=&quot;mestrth&quot; rolluptime=&quot;&quot; syuser=&quot;mestrth&quot; syuzeit=&quot;6/13/2019 6:04:23 AM&quot; root=&quot;/BBOOK/DATAPROVIDER[./META/PROPS/ID='BIP_DetailedMFF_2_Implement_Commitments']/DATA&quot; colcount=&quot;15&quot; rowcount=&quot;98&quot; url=&quot;&quot; dynamizeds=&quot;SAP Disclosure Management - Production&quot; dynamizedstype=&quot;9&quot; refreshds=&quot;&quot; viewtype=&quot;1&quot;&gt;&lt;QUERY reftype=&quot;ABS&quot; elmntsel=&quot;TABLE&quot; bbk=&quot;14819&quot; bbkdesc=&quot;2018 Annual Accounts/EU Annual Accounts/DC - EU expenditures (xlsx)&quot; datapro=&quot;BIP_DetailedMFF_2_Implement_Commitments&quot; infos=&quot;&quot; iscomment=&quot;0&quot;&gt;&lt;SELECT&gt;/BBOOK/DATAPROVIDER[./META/PROPS/ID='BIP_DetailedMFF_2_Implement_Commitments']/DATA/ROW&lt;/SELECT&gt;&lt;FILTERS&gt;&lt;FILTER&gt;&lt;/FILTER&gt;&lt;/FILTERS&gt;&lt;/QUERY&gt;&lt;/QUERIES&gt;&lt;/OBJECT&gt;"/>
    <w:docVar w:name="BIP_META_DOC_TBL00111" w:val="&lt;OBJECT&gt;&lt;META&gt;&lt;ID&gt;&lt;/ID&gt;&lt;NAME&gt;DOC_TBL0011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1:15:28&lt;/DYNAMIZEDON&gt;&lt;LASTUPDATEDBY&gt;mestrth&lt;/LASTUPDATEDBY&gt;&lt;LASTUPDATEDON&gt;6/13/2019 6:27:54 AM&lt;/LASTUPDATEDON&gt;&lt;UTC&gt;1&lt;/UTC&gt;&lt;/UPDATE&gt;&lt;QUERIES bbk=&quot;14819&quot; bbkdesc=&quot;2018 Annual Accounts/EU Annual Accounts/DC - EU expenditures&quot; datapro=&quot;BIP_DetailedMFF_3_Implement_Payments&quot; tdatapro=&quot;BIP_DetailedMFF_3_Implement_Payments&quot; author=&quot;&quot; modtime=&quot;6/13/2019 6:04:23 AM&quot; moduser=&quot;mestrth&quot; rolluptime=&quot;&quot; syuser=&quot;mestrth&quot; syuzeit=&quot;6/13/2019 6:04:23 AM&quot; root=&quot;/BBOOK/DATAPROVIDER[./META/PROPS/ID='BIP_DetailedMFF_3_Implement_Payments']/DATA&quot; colcount=&quot;16&quot; rowcount=&quot;98&quot; url=&quot;&quot; dynamizeds=&quot;SAP Disclosure Management - Production&quot; dynamizedstype=&quot;9&quot; refreshds=&quot;&quot; viewtype=&quot;1&quot;&gt;&lt;QUERY reftype=&quot;ABS&quot; elmntsel=&quot;TABLE&quot; bbk=&quot;14819&quot; bbkdesc=&quot;2018 Annual Accounts/EU Annual Accounts/DC - EU expenditures (xlsx)&quot; datapro=&quot;BIP_DetailedMFF_3_Implement_Payments&quot; infos=&quot;&quot; iscomment=&quot;0&quot;&gt;&lt;SELECT&gt;/BBOOK/DATAPROVIDER[./META/PROPS/ID='BIP_DetailedMFF_3_Implement_Payments']/DATA/ROW&lt;/SELECT&gt;&lt;FILTERS&gt;&lt;FILTER&gt;&lt;/FILTER&gt;&lt;/FILTERS&gt;&lt;/QUERY&gt;&lt;/QUERIES&gt;&lt;/OBJECT&gt;"/>
    <w:docVar w:name="BIP_META_DOC_TBL00112" w:val="&lt;OBJECT&gt;&lt;META&gt;&lt;ID&gt;&lt;/ID&gt;&lt;NAME&gt;DOC_TBL0011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1:21:02&lt;/DYNAMIZEDON&gt;&lt;LASTUPDATEDBY&gt;mestrth&lt;/LASTUPDATEDBY&gt;&lt;LASTUPDATEDON&gt;6/13/2019 6:27:33 AM&lt;/LASTUPDATEDON&gt;&lt;UTC&gt;1&lt;/UTC&gt;&lt;/UPDATE&gt;&lt;QUERIES bbk=&quot;14819&quot; bbkdesc=&quot;2018 Annual Accounts/EU Annual Accounts/DC - EU expenditures&quot; datapro=&quot;BIP_DetailedMFF_4_Commitments_oustanding&quot; tdatapro=&quot;BIP_DetailedMFF_4_Commitments_oustanding&quot; author=&quot;&quot; modtime=&quot;6/13/2019 6:04:23 AM&quot; moduser=&quot;mestrth&quot; rolluptime=&quot;&quot; syuser=&quot;mestrth&quot; syuzeit=&quot;6/13/2019 6:04:23 AM&quot; root=&quot;/BBOOK/DATAPROVIDER[./META/PROPS/ID='BIP_DetailedMFF_4_Commitments_oustanding']/DATA&quot; colcount=&quot;11&quot; rowcount=&quot;98&quot; url=&quot;&quot; dynamizeds=&quot;SAP Disclosure Management - Production&quot; dynamizedstype=&quot;9&quot; refreshds=&quot;&quot; viewtype=&quot;1&quot;&gt;&lt;QUERY reftype=&quot;ABS&quot; elmntsel=&quot;TABLE&quot; bbk=&quot;14819&quot; bbkdesc=&quot;2018 Annual Accounts/EU Annual Accounts/DC - EU expenditures (xlsx)&quot; datapro=&quot;BIP_DetailedMFF_4_Commitments_oustanding&quot; infos=&quot;&quot; iscomment=&quot;0&quot;&gt;&lt;SELECT&gt;/BBOOK/DATAPROVIDER[./META/PROPS/ID='BIP_DetailedMFF_4_Commitments_oustanding']/DATA/ROW&lt;/SELECT&gt;&lt;FILTERS&gt;&lt;FILTER&gt;&lt;/FILTER&gt;&lt;/FILTERS&gt;&lt;/QUERY&gt;&lt;/QUERIES&gt;&lt;/OBJECT&gt;"/>
    <w:docVar w:name="BIP_META_DOC_TBL00113" w:val="&lt;OBJECT&gt;&lt;META&gt;&lt;ID&gt;&lt;/ID&gt;&lt;NAME&gt;DOC_TBL0011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1:34:15&lt;/DYNAMIZEDON&gt;&lt;LASTUPDATEDBY&gt;mestrth&lt;/LASTUPDATEDBY&gt;&lt;LASTUPDATEDON&gt;6/13/2019 6:27:43 AM&lt;/LASTUPDATEDON&gt;&lt;UTC&gt;1&lt;/UTC&gt;&lt;/UPDATE&gt;&lt;QUERIES bbk=&quot;14819&quot; bbkdesc=&quot;2018 Annual Accounts/EU Annual Accounts/DC - EU expenditures&quot; datapro=&quot;BIP_DetailedMFF_5_RAL_YoO&quot; tdatapro=&quot;BIP_DetailedMFF_5_RAL_YoO&quot; author=&quot;&quot; modtime=&quot;6/13/2019 6:04:23 AM&quot; moduser=&quot;mestrth&quot; rolluptime=&quot;&quot; syuser=&quot;mestrth&quot; syuzeit=&quot;6/13/2019 6:04:23 AM&quot; root=&quot;/BBOOK/DATAPROVIDER[./META/PROPS/ID='BIP_DetailedMFF_5_RAL_YoO']/DATA&quot; colcount=&quot;11&quot; rowcount=&quot;96&quot; url=&quot;&quot; dynamizeds=&quot;SAP Disclosure Management - Production&quot; dynamizedstype=&quot;9&quot; refreshds=&quot;&quot; viewtype=&quot;1&quot;&gt;&lt;QUERY reftype=&quot;ABS&quot; elmntsel=&quot;TABLE&quot; bbk=&quot;14819&quot; bbkdesc=&quot;2018 Annual Accounts/EU Annual Accounts/DC - EU expenditures (xlsx)&quot; datapro=&quot;BIP_DetailedMFF_5_RAL_YoO&quot; infos=&quot;&quot; iscomment=&quot;0&quot;&gt;&lt;SELECT&gt;/BBOOK/DATAPROVIDER[./META/PROPS/ID='BIP_DetailedMFF_5_RAL_YoO']/DATA/ROW&lt;/SELECT&gt;&lt;FILTERS&gt;&lt;FILTER&gt;&lt;/FILTER&gt;&lt;/FILTERS&gt;&lt;/QUERY&gt;&lt;/QUERIES&gt;&lt;/OBJECT&gt;"/>
    <w:docVar w:name="BIP_META_DOC_TBL00114" w:val="&lt;OBJECT&gt;&lt;META&gt;&lt;ID&gt;&lt;/ID&gt;&lt;NAME&gt;DOC_TBL0011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4:58:37&lt;/DYNAMIZEDON&gt;&lt;LASTUPDATEDBY&gt;mestrth&lt;/LASTUPDATEDBY&gt;&lt;LASTUPDATEDON&gt;6/13/2019 6:34:13 AM&lt;/LASTUPDATEDON&gt;&lt;UTC&gt;1&lt;/UTC&gt;&lt;/UPDATE&gt;&lt;QUERIES bbk=&quot;14863&quot; bbkdesc=&quot;2018 Annual Accounts/EU Annual Accounts/DC - Institutions and agencies&quot; datapro=&quot;BIP_Institutions_1_Revenue&quot; tdatapro=&quot;BIP_Institutions_1_Revenue&quot; author=&quot;&quot; modtime=&quot;6/13/2019 6:07:23 AM&quot; moduser=&quot;mestrth&quot; rolluptime=&quot;&quot; syuser=&quot;mestrth&quot; syuzeit=&quot;6/13/2019 6:07:23 AM&quot; root=&quot;/BBOOK/DATAPROVIDER[./META/PROPS/ID='BIP_Institutions_1_Revenue']/DATA&quot; colcount=&quot;11&quot; rowcount=&quot;15&quot; url=&quot;&quot; dynamizeds=&quot;SAP Disclosure Management - Production&quot; dynamizedstype=&quot;9&quot; refreshds=&quot;&quot; viewtype=&quot;1&quot;&gt;&lt;QUERY reftype=&quot;ABS&quot; elmntsel=&quot;TABLE&quot; bbk=&quot;14863&quot; bbkdesc=&quot;2018 Annual Accounts/EU Annual Accounts/DC - Institutions and agencies (xlsx)&quot; datapro=&quot;BIP_Institutions_1_Revenue&quot; infos=&quot;&quot; iscomment=&quot;0&quot;&gt;&lt;SELECT&gt;/BBOOK/DATAPROVIDER[./META/PROPS/ID='BIP_Institutions_1_Revenue']/DATA/ROW&lt;/SELECT&gt;&lt;FILTERS&gt;&lt;FILTER&gt;&lt;/FILTER&gt;&lt;/FILTERS&gt;&lt;/QUERY&gt;&lt;/QUERIES&gt;&lt;/OBJECT&gt;"/>
    <w:docVar w:name="BIP_META_DOC_TBL00115" w:val="&lt;OBJECT&gt;&lt;META&gt;&lt;ID&gt;&lt;/ID&gt;&lt;NAME&gt;DOC_TBL0011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4:59:24&lt;/DYNAMIZEDON&gt;&lt;LASTUPDATEDBY&gt;mestrth&lt;/LASTUPDATEDBY&gt;&lt;LASTUPDATEDON&gt;6/13/2019 6:34:12 AM&lt;/LASTUPDATEDON&gt;&lt;UTC&gt;1&lt;/UTC&gt;&lt;/UPDATE&gt;&lt;QUERIES bbk=&quot;14863&quot; bbkdesc=&quot;2018 Annual Accounts/EU Annual Accounts/DC - Institutions and agencies&quot; datapro=&quot;BIP_Institutions_2_Commitments&quot; tdatapro=&quot;BIP_Institutions_2_Commitments&quot; author=&quot;&quot; modtime=&quot;6/13/2019 6:07:23 AM&quot; moduser=&quot;mestrth&quot; rolluptime=&quot;&quot; syuser=&quot;mestrth&quot; syuzeit=&quot;6/13/2019 6:07:23 AM&quot; root=&quot;/BBOOK/DATAPROVIDER[./META/PROPS/ID='BIP_Institutions_2_Commitments']/DATA&quot; colcount=&quot;14&quot; rowcount=&quot;15&quot; url=&quot;&quot; dynamizeds=&quot;SAP Disclosure Management - Production&quot; dynamizedstype=&quot;9&quot; refreshds=&quot;&quot; viewtype=&quot;1&quot;&gt;&lt;QUERY reftype=&quot;ABS&quot; elmntsel=&quot;TABLE&quot; bbk=&quot;14863&quot; bbkdesc=&quot;2018 Annual Accounts/EU Annual Accounts/DC - Institutions and agencies (xlsx)&quot; datapro=&quot;BIP_Institutions_2_Commitments&quot; infos=&quot;&quot; iscomment=&quot;0&quot;&gt;&lt;SELECT&gt;/BBOOK/DATAPROVIDER[./META/PROPS/ID='BIP_Institutions_2_Commitments']/DATA/ROW&lt;/SELECT&gt;&lt;FILTERS&gt;&lt;FILTER&gt;&lt;/FILTER&gt;&lt;/FILTERS&gt;&lt;/QUERY&gt;&lt;/QUERIES&gt;&lt;/OBJECT&gt;"/>
    <w:docVar w:name="BIP_META_DOC_TBL00116" w:val="&lt;OBJECT&gt;&lt;META&gt;&lt;ID&gt;&lt;/ID&gt;&lt;NAME&gt;DOC_TBL0011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5:00:09&lt;/DYNAMIZEDON&gt;&lt;LASTUPDATEDBY&gt;mestrth&lt;/LASTUPDATEDBY&gt;&lt;LASTUPDATEDON&gt;6/13/2019 6:34:14 AM&lt;/LASTUPDATEDON&gt;&lt;UTC&gt;1&lt;/UTC&gt;&lt;/UPDATE&gt;&lt;QUERIES bbk=&quot;14863&quot; bbkdesc=&quot;2018 Annual Accounts/EU Annual Accounts/DC - Institutions and agencies&quot; datapro=&quot;BIP_Institutions_3_Payments&quot; tdatapro=&quot;BIP_Institutions_3_Payments&quot; author=&quot;&quot; modtime=&quot;6/13/2019 6:07:23 AM&quot; moduser=&quot;mestrth&quot; rolluptime=&quot;&quot; syuser=&quot;mestrth&quot; syuzeit=&quot;6/13/2019 6:07:23 AM&quot; root=&quot;/BBOOK/DATAPROVIDER[./META/PROPS/ID='BIP_Institutions_3_Payments']/DATA&quot; colcount=&quot;15&quot; rowcount=&quot;15&quot; url=&quot;&quot; dynamizeds=&quot;SAP Disclosure Management - Production&quot; dynamizedstype=&quot;9&quot; refreshds=&quot;&quot; viewtype=&quot;1&quot;&gt;&lt;QUERY reftype=&quot;ABS&quot; elmntsel=&quot;TABLE&quot; bbk=&quot;14863&quot; bbkdesc=&quot;2018 Annual Accounts/EU Annual Accounts/DC - Institutions and agencies (xlsx)&quot; datapro=&quot;BIP_Institutions_3_Payments&quot; infos=&quot;&quot; iscomment=&quot;0&quot;&gt;&lt;SELECT&gt;/BBOOK/DATAPROVIDER[./META/PROPS/ID='BIP_Institutions_3_Payments']/DATA/ROW&lt;/SELECT&gt;&lt;FILTERS&gt;&lt;FILTER&gt;&lt;/FILTER&gt;&lt;/FILTERS&gt;&lt;/QUERY&gt;&lt;/QUERIES&gt;&lt;/OBJECT&gt;"/>
    <w:docVar w:name="BIP_META_DOC_TBL00117" w:val="&lt;OBJECT&gt;&lt;META&gt;&lt;ID&gt;&lt;/ID&gt;&lt;NAME&gt;DOC_TBL0011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6153&lt;/FLCID&gt;&lt;RELATION&gt;&lt;/RELATION&gt;&lt;LINKED&gt;&lt;/LINKED&gt;&lt;SVALUE&gt;&lt;/SVALUE&gt;&lt;INFO&gt;&lt;/INFO&gt;&lt;/META&gt;&lt;UPDATE&gt;&lt;DATE&gt;10.1.6.35&lt;/DATE&gt;&lt;DYNAMIZEDBY&gt;bedread&lt;/DYNAMIZEDBY&gt;&lt;DYNAMIZEDON&gt;14/03/2019 15:02:19&lt;/DYNAMIZEDON&gt;&lt;LASTUPDATEDBY&gt;milemar&lt;/LASTUPDATEDBY&gt;&lt;LASTUPDATEDON&gt;6/12/2019 8:53:55 AM&lt;/LASTUPDATEDON&gt;&lt;UTC&gt;1&lt;/UTC&gt;&lt;/UPDATE&gt;&lt;QUERIES bbk=&quot;14863&quot; bbkdesc=&quot;2018 Annual Accounts/EU Annual Accounts/DC - Institutions and agencies&quot; datapro=&quot;BIP_Agencies_1_Revenue&quot; tdatapro=&quot;BIP_Agencies_1_Revenue&quot; author=&quot;&quot; modtime=&quot;6/12/2019 8:53:28 AM&quot; moduser=&quot;milemar&quot; rolluptime=&quot;&quot; syuser=&quot;milemar&quot; syuzeit=&quot;6/12/2019 8:53:28 AM&quot; root=&quot;/BBOOK/DATAPROVIDER[./META/PROPS/ID='BIP_Agencies_1_Revenue']/DATA&quot; colcount=&quot;4&quot; rowcount=&quot;43&quot; url=&quot;&quot; dynamizeds=&quot;SAP Disclosure Management - Production&quot; dynamizedstype=&quot;9&quot; refreshds=&quot;&quot; viewtype=&quot;1&quot;&gt;&lt;QUERY reftype=&quot;ABS&quot; elmntsel=&quot;TABLE&quot; bbk=&quot;14863&quot; bbkdesc=&quot;2018 Annual Accounts/EU Annual Accounts/DC - Institutions and agencies (xlsx)&quot; datapro=&quot;BIP_Agencies_1_Revenue&quot; infos=&quot;&quot; iscomment=&quot;0&quot;&gt;&lt;SELECT&gt;/BBOOK/DATAPROVIDER[./META/PROPS/ID='BIP_Agencies_1_Revenue']/DATA/ROW&lt;/SELECT&gt;&lt;FILTERS&gt;&lt;FILTER&gt;&lt;/FILTER&gt;&lt;/FILTERS&gt;&lt;/QUERY&gt;&lt;/QUERIES&gt;&lt;/OBJECT&gt;"/>
    <w:docVar w:name="BIP_META_DOC_TBL00118" w:val="&lt;OBJECT&gt;&lt;META&gt;&lt;ID&gt;&lt;/ID&gt;&lt;NAME&gt;DOC_TBL0011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6153&lt;/FLCID&gt;&lt;RELATION&gt;&lt;/RELATION&gt;&lt;LINKED&gt;&lt;/LINKED&gt;&lt;SVALUE&gt;&lt;/SVALUE&gt;&lt;INFO&gt;&lt;/INFO&gt;&lt;/META&gt;&lt;UPDATE&gt;&lt;DATE&gt;10.1.6.35&lt;/DATE&gt;&lt;DYNAMIZEDBY&gt;bedread&lt;/DYNAMIZEDBY&gt;&lt;DYNAMIZEDON&gt;14/03/2019 15:05:30&lt;/DYNAMIZEDON&gt;&lt;LASTUPDATEDBY&gt;milemar&lt;/LASTUPDATEDBY&gt;&lt;LASTUPDATEDON&gt;6/12/2019 8:53:55 AM&lt;/LASTUPDATEDON&gt;&lt;UTC&gt;1&lt;/UTC&gt;&lt;/UPDATE&gt;&lt;QUERIES bbk=&quot;14863&quot; bbkdesc=&quot;2018 Annual Accounts/EU Annual Accounts/DC - Institutions and agencies&quot; datapro=&quot;BIP_Agencies_2_Type_of_Revenue&quot; tdatapro=&quot;BIP_Agencies_2_Type_of_Revenue&quot; author=&quot;&quot; modtime=&quot;6/12/2019 8:53:28 AM&quot; moduser=&quot;milemar&quot; rolluptime=&quot;&quot; syuser=&quot;milemar&quot; syuzeit=&quot;6/12/2019 8:53:28 AM&quot; root=&quot;/BBOOK/DATAPROVIDER[./META/PROPS/ID='BIP_Agencies_2_Type_of_Revenue']/DATA&quot; colcount=&quot;3&quot; rowcount=&quot;6&quot; url=&quot;&quot; dynamizeds=&quot;SAP Disclosure Management - Production&quot; dynamizedstype=&quot;9&quot; refreshds=&quot;&quot; viewtype=&quot;1&quot;&gt;&lt;QUERY reftype=&quot;ABS&quot; elmntsel=&quot;TABLE&quot; bbk=&quot;14863&quot; bbkdesc=&quot;2018 Annual Accounts/EU Annual Accounts/DC - Institutions and agencies (xlsx)&quot; datapro=&quot;BIP_Agencies_2_Type_of_Revenue&quot; infos=&quot;&quot; iscomment=&quot;0&quot;&gt;&lt;SELECT&gt;/BBOOK/DATAPROVIDER[./META/PROPS/ID='BIP_Agencies_2_Type_of_Revenue']/DATA/ROW&lt;/SELECT&gt;&lt;FILTERS&gt;&lt;FILTER&gt;&lt;/FILTER&gt;&lt;/FILTERS&gt;&lt;/QUERY&gt;&lt;/QUERIES&gt;&lt;/OBJECT&gt;"/>
    <w:docVar w:name="BIP_META_DOC_TBL00119" w:val="&lt;OBJECT&gt;&lt;META&gt;&lt;ID&gt;&lt;/ID&gt;&lt;NAME&gt;DOC_TBL0011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6153&lt;/FLCID&gt;&lt;RELATION&gt;&lt;/RELATION&gt;&lt;LINKED&gt;&lt;/LINKED&gt;&lt;SVALUE&gt;&lt;/SVALUE&gt;&lt;INFO&gt;&lt;/INFO&gt;&lt;/META&gt;&lt;UPDATE&gt;&lt;DATE&gt;10.1.6.35&lt;/DATE&gt;&lt;DYNAMIZEDBY&gt;bedread&lt;/DYNAMIZEDBY&gt;&lt;DYNAMIZEDON&gt;14/03/2019 15:06:11&lt;/DYNAMIZEDON&gt;&lt;LASTUPDATEDBY&gt;milemar&lt;/LASTUPDATEDBY&gt;&lt;LASTUPDATEDON&gt;6/12/2019 8:53:55 AM&lt;/LASTUPDATEDON&gt;&lt;UTC&gt;1&lt;/UTC&gt;&lt;/UPDATE&gt;&lt;QUERIES bbk=&quot;14863&quot; bbkdesc=&quot;2018 Annual Accounts/EU Annual Accounts/DC - Institutions and agencies&quot; datapro=&quot;BIP_Agencies_3_Commitments_Payments&quot; tdatapro=&quot;BIP_Agencies_3_Commitments_Payments&quot; author=&quot;&quot; modtime=&quot;6/12/2019 8:53:28 AM&quot; moduser=&quot;milemar&quot; rolluptime=&quot;&quot; syuser=&quot;milemar&quot; syuzeit=&quot;6/12/2019 8:53:28 AM&quot; root=&quot;/BBOOK/DATAPROVIDER[./META/PROPS/ID='BIP_Agencies_3_Commitments_Payments']/DATA&quot; colcount=&quot;5&quot; rowcount=&quot;44&quot; url=&quot;&quot; dynamizeds=&quot;SAP Disclosure Management - Production&quot; dynamizedstype=&quot;9&quot; refreshds=&quot;&quot; viewtype=&quot;1&quot;&gt;&lt;QUERY reftype=&quot;ABS&quot; elmntsel=&quot;TABLE&quot; bbk=&quot;14863&quot; bbkdesc=&quot;2018 Annual Accounts/EU Annual Accounts/DC - Institutions and agencies (xlsx)&quot; datapro=&quot;BIP_Agencies_3_Commitments_Payments&quot; infos=&quot;&quot; iscomment=&quot;0&quot;&gt;&lt;SELECT&gt;/BBOOK/DATAPROVIDER[./META/PROPS/ID='BIP_Agencies_3_Commitments_Payments']/DATA/ROW&lt;/SELECT&gt;&lt;FILTERS&gt;&lt;FILTER&gt;&lt;/FILTER&gt;&lt;/FILTERS&gt;&lt;/QUERY&gt;&lt;/QUERIES&gt;&lt;/OBJECT&gt;"/>
    <w:docVar w:name="BIP_META_DOC_TBL00120" w:val="&lt;OBJECT&gt;&lt;META&gt;&lt;ID&gt;&lt;/ID&gt;&lt;NAME&gt;DOC_TBL0012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6153&lt;/FLCID&gt;&lt;RELATION&gt;&lt;/RELATION&gt;&lt;LINKED&gt;&lt;/LINKED&gt;&lt;SVALUE&gt;&lt;/SVALUE&gt;&lt;INFO&gt;&lt;/INFO&gt;&lt;/META&gt;&lt;UPDATE&gt;&lt;DATE&gt;10.1.6.35&lt;/DATE&gt;&lt;DYNAMIZEDBY&gt;bedread&lt;/DYNAMIZEDBY&gt;&lt;DYNAMIZEDON&gt;14/03/2019 15:07:48&lt;/DYNAMIZEDON&gt;&lt;LASTUPDATEDBY&gt;milemar&lt;/LASTUPDATEDBY&gt;&lt;LASTUPDATEDON&gt;6/12/2019 8:53:55 AM&lt;/LASTUPDATEDON&gt;&lt;UTC&gt;1&lt;/UTC&gt;&lt;/UPDATE&gt;&lt;QUERIES bbk=&quot;14863&quot; bbkdesc=&quot;2018 Annual Accounts/EU Annual Accounts/DC - Institutions and agencies&quot; datapro=&quot;BIP_Agencies_4_Type_of_Expenditure&quot; tdatapro=&quot;BIP_Agencies_4_Type_of_Expenditure&quot; author=&quot;&quot; modtime=&quot;6/12/2019 8:53:28 AM&quot; moduser=&quot;milemar&quot; rolluptime=&quot;&quot; syuser=&quot;milemar&quot; syuzeit=&quot;6/12/2019 8:53:28 AM&quot; root=&quot;/BBOOK/DATAPROVIDER[./META/PROPS/ID='BIP_Agencies_4_Type_of_Expenditure']/DATA&quot; colcount=&quot;5&quot; rowcount=&quot;7&quot; url=&quot;&quot; dynamizeds=&quot;SAP Disclosure Management - Production&quot; dynamizedstype=&quot;9&quot; refreshds=&quot;&quot; viewtype=&quot;1&quot;&gt;&lt;QUERY reftype=&quot;ABS&quot; elmntsel=&quot;TABLE&quot; bbk=&quot;14863&quot; bbkdesc=&quot;2018 Annual Accounts/EU Annual Accounts/DC - Institutions and agencies (xlsx)&quot; datapro=&quot;BIP_Agencies_4_Type_of_Expenditure&quot; infos=&quot;&quot; iscomment=&quot;0&quot;&gt;&lt;SELECT&gt;/BBOOK/DATAPROVIDER[./META/PROPS/ID='BIP_Agencies_4_Type_of_Expenditure']/DATA/ROW&lt;/SELECT&gt;&lt;FILTERS&gt;&lt;FILTER&gt;&lt;/FILTER&gt;&lt;/FILTERS&gt;&lt;/QUERY&gt;&lt;/QUERIES&gt;&lt;/OBJECT&gt;"/>
    <w:docVar w:name="BIP_VARIABLES" w:val="&lt;BBOOKS&gt;&lt;BBOOK bbname=&quot;DefaultVariables&quot;&gt;&lt;VARIABLES /&gt;&lt;/BBOOK&gt;&lt;BBOOK bbname=&quot;11&quot; bbdesc=&quot;2013 Annual Accounts/EU Annual Accounts/Trial Balance ECCS (xlsx)&quot; dsname=&quot;SAP Disclosure Management - Production&quot;&gt;&lt;VARIABLES&gt;&lt;/VARIABLES&gt;&lt;/BBOOK&gt;&lt;BBOOK bbname=&quot;21&quot; bbdesc=&quot;2013 Annual Accounts/EU Annual Accounts/Cashflow statement calculation (xlsx)&quot; dsname=&quot;SAP Disclosure Management - Production&quot;&gt;&lt;VARIABLES /&gt;&lt;/BBOOK&gt;&lt;BBOOK bbname=&quot;25&quot; bbdesc=&quot;2013 Annual Accounts/EU Annual Accounts/Statement of changes (xlsx)&quot; dsname=&quot;SAP Disclosure Management - Production&quot;&gt;&lt;VARIABLES /&gt;&lt;/BBOOK&gt;&lt;BBOOK bbname=&quot;14&quot; bbdesc=&quot;2013 Annual Accounts/EU Annual Accounts/Currency (xlsx)&quot; dsname=&quot;SAP Disclosre Management - Production&quot;&gt;&lt;VARIABLES /&gt;&lt;/BBOOK&gt;&lt;BBOOK bbname=&quot;17&quot; bbdesc=&quot;2013 Annual Accounts/EU Annual Accounts/Upload DeprecRates (xlsx)&quot; dsname=&quot;SAP Disclosre Management - Production&quot;&gt;&lt;VARIABLES /&gt;&lt;/BBOOK&gt;&lt;BBOOK bbname=&quot;20&quot; bbdesc=&quot;2013 Annual Accounts/EU Annual Accounts/Manual Table (xlsx)&quot; dsname=&quot;SAP Disclosre Management - Production&quot;&gt;&lt;VARIABLES /&gt;&lt;/BBOOK&gt;&lt;BBOOK bbname=&quot;18&quot; bbdesc=&quot;2013 Annual Accounts/EU Annual Accounts/DeprecRates upload (xlsx)&quot; dsname=&quot;SAP Disclosre Management - Production&quot;&gt;&lt;VARIABLES /&gt;&lt;/BBOOK&gt;&lt;BBOOK bbname=&quot;27&quot; bbdesc=&quot;2013 Annual Accounts/EU Annual Accounts/Upload Intangible FA 2012 (xlsx)&quot; dsname=&quot;SAP Disclosre Management - Production&quot;&gt;&lt;VARIABLES /&gt;&lt;/BBOOK&gt;&lt;BBOOK bbname=&quot;16&quot; bbdesc=&quot;2013 Annual Accounts/EU Annual Accounts/Assets (xlsx)&quot; dsname=&quot;SAP Disclosure Management - Production&quot;&gt;&lt;VARIABLES /&gt;&lt;/BBOOK&gt;&lt;BBOOK bbname=&quot;30&quot; bbdesc=&quot;2013 Annual Accounts/EU Annual Accounts/PPE 2012 (xlsx)&quot; dsname=&quot;SAP Disclosre Management - Production&quot;&gt;&lt;VARIABLES /&gt;&lt;/BBOOK&gt;&lt;BBOOK bbname=&quot;31&quot; bbdesc=&quot;2013 Annual Accounts/EU Annual Accounts/Finance Lease (xlsx)&quot; dsname=&quot;SAP Disclosre Management - Production&quot;&gt;&lt;VARIABLES /&gt;&lt;/BBOOK&gt;&lt;BBOOK bbname=&quot;64&quot; bbdesc=&quot;2013 Annual Accounts/EU Annual Accounts/MT_Silvie Deckers (xlsx)&quot; dsname=&quot;SAP Disclosre Management - Production&quot;&gt;&lt;VARIABLES /&gt;&lt;/BBOOK&gt;&lt;BBOOK bbname=&quot;69&quot; bbdesc=&quot;2013 Annual Accounts/EU Annual Accounts/Participations in joint ventures (xlsx)&quot; dsname=&quot;SAP Disclosure Management - Production&quot;&gt;&lt;VARIABLES /&gt;&lt;/BBOOK&gt;&lt;BBOOK bbname=&quot;197&quot; bbdesc=&quot;2013 Annual Accounts/EU Annual Accounts/Non current AFS financial assets (xlsx)&quot; dsname=&quot;SAP Disclosure Management - Production&quot;&gt;&lt;VARIABLES /&gt;&lt;/BBOOK&gt;&lt;BBOOK bbname=&quot;68&quot; bbdesc=&quot;2013 Annual Accounts/EU Annual Accounts/Non current financial assets (xlsx)&quot; dsname=&quot;SAP Disclosure Management - Production&quot;&gt;&lt;VARIABLES /&gt;&lt;/BBOOK&gt;&lt;BBOOK bbname=&quot;163&quot; bbdesc=&quot;2013 Annual Accounts/EU Annual Accounts/Receivables from Member States (xlsx)&quot; dsname=&quot;SAP Disclosure Management - Production&quot;&gt;&lt;VARIABLES /&gt;&lt;/BBOOK&gt;&lt;BBOOK bbname=&quot;200&quot; bbdesc=&quot;2013 Annual Accounts/EU Annual Accounts/MT_Valentina (xlsx)&quot; dsname=&quot;SAP Disclosure Management - Production&quot;&gt;&lt;VARIABLES /&gt;&lt;/BBOOK&gt;&lt;BBOOK bbname=&quot;133&quot; bbdesc=&quot;2013 Annual Accounts/EU Annual Accounts/MT_Annika Oerbom (xlsx)&quot; dsname=&quot;SAP Disclosure Management - Production&quot;&gt;&lt;VARIABLES /&gt;&lt;/BBOOK&gt;&lt;BBOOK bbname=&quot;155&quot; bbdesc=&quot;2013 Annual Accounts/EU Annual Accounts/Notes to financial performance (xlsx)&quot; dsname=&quot;SAP Disclosure Management - Production&quot;&gt;&lt;VARIABLES /&gt;&lt;/BBOOK&gt;&lt;BBOOK bbname=&quot;33&quot; bbdesc=&quot;2013 Annual Accounts/EU Annual Accounts/Upload Fin Lease 2nd part PY (xlsx)&quot; dsname=&quot;SAP Disclosure Management - Production&quot;&gt;&lt;VARIABLES /&gt;&lt;/BBOOK&gt;&lt;BBOOK bbname=&quot;156&quot; bbdesc=&quot;2013 Annual Accounts/EU Annual Accounts/Segment reporting calculation (xlsx)&quot; dsname=&quot;SAP Disclosure Management - Production&quot;&gt;&lt;VARIABLES /&gt;&lt;/BBOOK&gt;&lt;BBOOK bbname=&quot;202&quot; bbdesc=&quot;2013 Annual Accounts/EU Annual Accounts/CONTINGENT ASSETS AND LIABILITIES AND OTHER SIGN DISCL (xlsx)&quot; dsname=&quot;SAP Disclosure Management - Production&quot;&gt;&lt;VARIABLES /&gt;&lt;/BBOOK&gt;&lt;BBOOK bbname=&quot;203&quot; bbdesc=&quot;2013 Annual Accounts/EU Annual Accounts/PROTECTION OF THE EU BUDGET_NOTE 6 (xlsx)&quot; dsname=&quot;SAP Disclosure Management - Production&quot;&gt;&lt;VARIABLES /&gt;&lt;/BBOOK&gt;&lt;BBOOK bbname=&quot;204&quot; bbdesc=&quot;2013 Annual Accounts/EU Annual Accounts/FIN SUPPORT MECHANISMS (xlsx)&quot; dsname=&quot;SAP Disclosure Management - Production&quot;&gt;&lt;VARIABLES /&gt;&lt;/BBOOK&gt;&lt;BBOOK bbname=&quot;205&quot; bbdesc=&quot;2013 Annual Accounts/EU Annual Accounts/REL PARTY DISCLOSURES (xlsx)&quot; dsname=&quot;SAP Disclosure Management - Production&quot;&gt;&lt;VARIABLES /&gt;&lt;/BBOOK&gt;&lt;BBOOK bbname=&quot;173&quot; bbdesc=&quot;2013 Annual Accounts/EU Annual Accounts/Upload BO reports 2 (xlsx)&quot; dsname=&quot;SAP Disclosure Management - Production&quot;&gt;&lt;VARIABLES /&gt;&lt;/BBOOK&gt;&lt;BBOOK bbname=&quot;162&quot; bbdesc=&quot;2013 Annual Accounts/EU Annual Accounts/Upload BO reports (xlsx)&quot; dsname=&quot;SAP Disclosure Management - Production&quot;&gt;&lt;VARIABLES /&gt;&lt;/BBOOK&gt;&lt;BBOOK bbname=&quot;381&quot; bbdesc=&quot;2013 Annual Accounts/EC Annual Accounts/Trial Balance ECCS (xlsx)&quot; dsname=&quot;SAP Disclosure Management - Production&quot;&gt;&lt;VARIABLES /&gt;&lt;/BBOOK&gt;&lt;BBOOK bbname=&quot;408&quot; bbdesc=&quot;2013 Annual Accounts/EC Annual Accounts/DC - Balance Sheet (xlsx)&quot; dsname=&quot;SAP Disclosure Management - Production&quot;&gt;&lt;VARIABLES /&gt;&lt;/BBOOK&gt;&lt;BBOOK bbname=&quot;429&quot; bbdesc=&quot;2013 Annual Accounts/EC Annual Accounts/DC - Balance Sheet (xls)&quot; dsname=&quot;SAP Disclosure Management - Production&quot;&gt;&lt;VARIABLES /&gt;&lt;/BBOOK&gt;&lt;BBOOK bbname=&quot;550&quot; bbdesc=&quot;2013 Annual Accounts/EC Annual Accounts/DC - Balance Sheet (xlsx)&quot; dsname=&quot;SAP Disclosure Management - Production&quot;&gt;&lt;VARIABLES /&gt;&lt;/BBOOK&gt;&lt;BBOOK bbname=&quot;411&quot; bbdesc=&quot;2013 Annual Accounts/EC Annual Accounts/DC - Statement of Financial Performance (xlsx)&quot; dsname=&quot;SAP Disclosure Management - Production&quot;&gt;&lt;VARIABLES /&gt;&lt;/BBOOK&gt;&lt;BBOOK bbname=&quot;432&quot; bbdesc=&quot;2013 Annual Accounts/EC Annual Accounts/DC - Statement of Fin. Performance (xls)&quot; dsname=&quot;SAP Disclosure Management - Production&quot;&gt;&lt;VARIABLES /&gt;&lt;/BBOOK&gt;&lt;BBOOK bbname=&quot;552&quot; bbdesc=&quot;2013 Annual Accounts/EC Annual Accounts/DC - Statement of Financial Performance (xlsx)&quot; dsname=&quot;SAP Disclosure Management - Production&quot;&gt;&lt;VARIABLES /&gt;&lt;/BBOOK&gt;&lt;BBOOK bbname=&quot;236&quot; bbdesc=&quot;2013 Annual Accounts/EC Annual Accounts/Cashflow statement calculation (xlsx)&quot; dsname=&quot;SAP Disclosure Management - Production&quot;&gt;&lt;VARIABLES /&gt;&lt;/BBOOK&gt;&lt;BBOOK bbname=&quot;215&quot; bbdesc=&quot;2013 Annual Accounts/EC Annual Accounts/Assets (xlsx)&quot; dsname=&quot;SAP Disclosure Management - Production&quot;&gt;&lt;VARIABLES /&gt;&lt;/BBOOK&gt;&lt;BBOOK bbname=&quot;412&quot; bbdesc=&quot;2013 Annual Accounts/EC Annual Accounts/DC - Cashflow Statement (xlsx)&quot; dsname=&quot;SAP Disclosure Management - Production&quot;&gt;&lt;VARIABLES /&gt;&lt;/BBOOK&gt;&lt;BBOOK bbname=&quot;433&quot; bbdesc=&quot;2013 Annual Accounts/EC Annual Accounts/DC - Cashflow (xls)&quot; dsname=&quot;SAP Disclosure Management - Production&quot;&gt;&lt;VARIABLES /&gt;&lt;/BBOOK&gt;&lt;BBOOK bbname=&quot;551&quot; bbdesc=&quot;2013 Annual Accounts/EC Annual Accounts/DC CF calculation (xlsx)&quot; dsname=&quot;SAP Disclosure Management - Production&quot;&gt;&lt;VARIABLES /&gt;&lt;/BBOOK&gt;&lt;BBOOK bbname=&quot;606&quot; bbdesc=&quot;2013 Annual Accounts/EC Annual Accounts/DC - Cashflow statement automated (xlsx)&quot; dsname=&quot;SAP Disclosure Management - Production&quot;&gt;&lt;VARIABLES /&gt;&lt;/BBOOK&gt;&lt;BBOOK bbname=&quot;371&quot; bbdesc=&quot;2013 Annual Accounts/EU Annual Accounts/Statement of changes (xlsx)&quot; dsname=&quot;SAP Disclosure Management - Production&quot;&gt;&lt;VARIABLES /&gt;&lt;/BBOOK&gt;&lt;BBOOK bbname=&quot;428&quot; bbdesc=&quot;2013 Annual Accounts/EC Annual Accounts/DC - Statement of changes in net assets (xls)&quot; dsname=&quot;SAP Disclosure Management - Production&quot;&gt;&lt;VARIABLES /&gt;&lt;/BBOOK&gt;&lt;BBOOK bbname=&quot;553&quot; bbdesc=&quot;2013 Annual Accounts/EC Annual Accounts/DC - Statement of changes in net assets (xlsx)&quot; dsname=&quot;SAP Disclosure Management - Production&quot;&gt;&lt;VARIABLES /&gt;&lt;/BBOOK&gt;&lt;BBOOK bbname=&quot;251&quot; bbdesc=&quot;2013 Annual Accounts/EU Annual Accounts/Currency (xlsx)&quot; dsname=&quot;SAP Disclosre Management - Production&quot;&gt;&lt;VARIABLES /&gt;&lt;/BBOOK&gt;&lt;BBOOK bbname=&quot;388&quot; bbdesc=&quot;2013 Annual Accounts/EU Annual Accounts/Upload DeprecRates (xlsx)&quot; dsname=&quot;SAP Disclosre Management - Production&quot;&gt;&lt;VARIABLES /&gt;&lt;/BBOOK&gt;&lt;BBOOK bbname=&quot;309&quot; bbdesc=&quot;2013 Annual Accounts/EU Annual Accounts/Manual Table (xlsx)&quot; dsname=&quot;SAP Disclosre Management - Production&quot;&gt;&lt;VARIABLES /&gt;&lt;/BBOOK&gt;&lt;BBOOK bbname=&quot;440&quot; bbdesc=&quot;2013 Annual Accounts/EC Annual Accounts/DC - Significant Accounting Policies (xls)&quot; dsname=&quot;SAP Disclosure Management - Production&quot;&gt;&lt;VARIABLES /&gt;&lt;/BBOOK&gt;&lt;BBOOK bbname=&quot;557&quot; bbdesc=&quot;2013 Annual Accounts/EC Annual Accounts/DC - Significant accounting pol. - currency  table (xlsx)&quot; dsname=&quot;SAP Disclosure Management - Production&quot;&gt;&lt;VARIABLES /&gt;&lt;/BBOOK&gt;&lt;BBOOK bbname=&quot;267&quot; bbdesc=&quot;2013 Annual Accounts/EU Annual Accounts/DeprecRates upload (xlsx)&quot; dsname=&quot;SAP Disclosre Management - Production&quot;&gt;&lt;VARIABLES /&gt;&lt;/BBOOK&gt;&lt;BBOOK bbname=&quot;533&quot; bbdesc=&quot;2013 Annual Accounts/EC Annual Accounts/DC - Intangible fixed assets and PPE 2013 (xlsx)&quot; dsname=&quot;SAP Disclosure Management - Production&quot;&gt;&lt;VARIABLES /&gt;&lt;/BBOOK&gt;&lt;BBOOK bbname=&quot;342&quot; bbdesc=&quot;2013 Annual Accounts/EU Annual Accounts/PPE 2012 (xlsx)&quot; dsname=&quot;SAP Disclosre Management - Production&quot;&gt;&lt;VARIABLES /&gt;&lt;/BBOOK&gt;&lt;BBOOK bbname=&quot;279&quot; bbdesc=&quot;2013 Annual Accounts/EU Annual Accounts/Finance Lease (xlsx)&quot; dsname=&quot;SAP Disclosre Management - Production&quot;&gt;&lt;VARIABLES /&gt;&lt;/BBOOK&gt;&lt;BBOOK bbname=&quot;314&quot; bbdesc=&quot;2013 Annual Accounts/EU Annual Accounts/MT_Silvie Deckers (xlsx)&quot; dsname=&quot;SAP Disclosre Management - Production&quot;&gt;&lt;VARIABLES /&gt;&lt;/BBOOK&gt;&lt;BBOOK bbname=&quot;338&quot; bbdesc=&quot;2013 Annual Accounts/EU Annual Accounts/Participations in joint ventures (xlsx)&quot; dsname=&quot;SAP Disclosure Management - Production&quot;&gt;&lt;VARIABLES /&gt;&lt;/BBOOK&gt;&lt;BBOOK bbname=&quot;535&quot; bbdesc=&quot;2013 Annual Accounts/EC Annual Accounts/DC - Investments accounted for using the equity method new (xlsx)&quot; dsname=&quot;SAP Disclosure Management - Production&quot;&gt;&lt;VARIABLES /&gt;&lt;/BBOOK&gt;&lt;BBOOK bbname=&quot;316&quot; bbdesc=&quot;2013 Annual Accounts/EU Annual Accounts/Non current AFS financial assets (xlsx)&quot; dsname=&quot;SAP Disclosure Management - Production&quot;&gt;&lt;VARIABLES /&gt;&lt;/BBOOK&gt;&lt;BBOOK bbname=&quot;457&quot; bbdesc=&quot;2013 Annual Accounts/EC Annual Accounts/DC - Non current financial assets (xlsx)&quot; dsname=&quot;SAP Disclosure Management - Production&quot;&gt;&lt;VARIABLES /&gt;&lt;/BBOOK&gt;&lt;BBOOK bbname=&quot;458&quot; bbdesc=&quot;2013 Annual Accounts/EC Annual Accounts/DC - Non current receivables and recoverables (xlsx)&quot; dsname=&quot;SAP Disclosure Management - Production&quot;&gt;&lt;VARIABLES /&gt;&lt;/BBOOK&gt;&lt;BBOOK bbname=&quot;459&quot; bbdesc=&quot;2013 Annual Accounts/EC Annual Accounts/DC - Non current prefinancing (xlsx)&quot; dsname=&quot;SAP Disclosure Management - Production&quot;&gt;&lt;VARIABLES /&gt;&lt;/BBOOK&gt;&lt;BBOOK bbname=&quot;491&quot; bbdesc=&quot;2013 Annual Accounts/EC Annual Accounts/DC - Inventories (xlsx)&quot; dsname=&quot;SAP Disclosure Management - Production&quot;&gt;&lt;VARIABLES /&gt;&lt;/BBOOK&gt;&lt;BBOOK bbname=&quot;492&quot; bbdesc=&quot;2013 Annual Accounts/EC Annual Accounts/DC - Current financial assets (xlsx)&quot; dsname=&quot;SAP Disclosure Management - Production&quot;&gt;&lt;VARIABLES /&gt;&lt;/BBOOK&gt;&lt;BBOOK bbname=&quot;352&quot; bbdesc=&quot;2013 Annual Accounts/EC Annual Accounts/Receivables from Member States (xlsx)&quot; dsname=&quot;SAP Disclosure Management - Production&quot;&gt;&lt;VARIABLES /&gt;&lt;/BBOOK&gt;&lt;BBOOK bbname=&quot;315&quot; bbdesc=&quot;2013 Annual Accounts/EU Annual Accounts/MT_Valentina (xlsx)&quot; dsname=&quot;SAP Disclosure Management - Production&quot;&gt;&lt;VARIABLES /&gt;&lt;/BBOOK&gt;&lt;BBOOK bbname=&quot;493&quot; bbdesc=&quot;2013 Annual Accounts/EC Annual Accounts/DC - Current receivables and recoverables (xlsx)&quot; dsname=&quot;SAP Disclosure Management - Production&quot;&gt;&lt;VARIABLES /&gt;&lt;/BBOOK&gt;&lt;BBOOK bbname=&quot;494&quot; bbdesc=&quot;2013 Annual Accounts/EC Annual Accounts/DC - Current pre-financing (xlsx)&quot; dsname=&quot;SAP Disclosure Management - Production&quot;&gt;&lt;VARIABLES /&gt;&lt;/BBOOK&gt;&lt;BBOOK bbname=&quot;495&quot; bbdesc=&quot;2013 Annual Accounts/EC Annual Accounts/DC - Cash and cash equivalents (xlsx)&quot; dsname=&quot;SAP Disclosure Management - Production&quot;&gt;&lt;VARIABLES /&gt;&lt;/BBOOK&gt;&lt;BBOOK bbname=&quot;313&quot; bbdesc=&quot;2013 Annual Accounts/EU Annual Accounts/MT_Annika Oerbom (xlsx)&quot; dsname=&quot;SAP Disclosure Management - Production&quot;&gt;&lt;VARIABLES /&gt;&lt;/BBOOK&gt;&lt;BBOOK bbname=&quot;497&quot; bbdesc=&quot;2013 Annual Accounts/EC Annual Accounts/DC - Pension and other employee benefits (xlsx)&quot; dsname=&quot;SAP Disclosure Management - Production&quot;&gt;&lt;VARIABLES /&gt;&lt;/BBOOK&gt;&lt;BBOOK bbname=&quot;498&quot; bbdesc=&quot;2013 Annual Accounts/EC Annual Accounts/DC - Non-current provisions (xlsx)&quot; dsname=&quot;SAP Disclosure Management - Production&quot;&gt;&lt;VARIABLES /&gt;&lt;/BBOOK&gt;&lt;BBOOK bbname=&quot;503&quot; bbdesc=&quot;2013 Annual Accounts/EC Annual Accounts/DC - Current provisions (xlsx)&quot; dsname=&quot;SAP Disclosure Management - Production&quot;&gt;&lt;VARIABLES /&gt;&lt;/BBOOK&gt;&lt;BBOOK bbname=&quot;499&quot; bbdesc=&quot;2013 Annual Accounts/EC Annual Accounts/DC - Non-current financial liabilities (xlsx)&quot; dsname=&quot;SAP Disclosure Management - Production&quot;&gt;&lt;VARIABLES /&gt;&lt;/BBOOK&gt;&lt;BBOOK bbname=&quot;500&quot; bbdesc=&quot;2013 Annual Accounts/EC Annual Accounts/DC - Other non-current liabilities (xlsx)&quot; dsname=&quot;SAP Disclosure Management - Production&quot;&gt;&lt;VARIABLES /&gt;&lt;/BBOOK&gt;&lt;BBOOK bbname=&quot;505&quot; bbdesc=&quot;2013 Annual Accounts/EC Annual Accounts/DC - Payables (xlsx)&quot; dsname=&quot;SAP Disclosure Management - Production&quot;&gt;&lt;VARIABLES /&gt;&lt;/BBOOK&gt;&lt;BBOOK bbname=&quot;507&quot; bbdesc=&quot;2013 Annual Accounts/EC Annual Accounts/DC - Reserves (xlsx)&quot; dsname=&quot;SAP Disclosure Management - Production&quot;&gt;&lt;VARIABLES /&gt;&lt;/BBOOK&gt;&lt;BBOOK bbname=&quot;508&quot; bbdesc=&quot;2013 Annual Accounts/EC Annual Accounts/DC - Amounts to be called from member states (xlsx)&quot; dsname=&quot;SAP Disclosure Management - Production&quot;&gt;&lt;VARIABLES /&gt;&lt;/BBOOK&gt;&lt;BBOOK bbname=&quot;326&quot; bbdesc=&quot;2013 Annual Accounts/EC Annual Accounts/Notes to financial performance (xlsx)&quot; dsname=&quot;SAP Disclosure Management - Production&quot;&gt;&lt;VARIABLES /&gt;&lt;/BBOOK&gt;&lt;BBOOK bbname=&quot;424&quot; bbdesc=&quot;2013 Annual Accounts/EC Annual Accounts/DC - Financial revenue (xlsx)&quot; dsname=&quot;SAP Disclosure Management - Production&quot;&gt;&lt;VARIABLES /&gt;&lt;/BBOOK&gt;&lt;BBOOK bbname=&quot;445&quot; bbdesc=&quot;2013 Annual Accounts/EC Annual Accounts/DC - Financial revenue (xls)&quot; dsname=&quot;SAP Disclosure Management - Production&quot;&gt;&lt;VARIABLES /&gt;&lt;/BBOOK&gt;&lt;BBOOK bbname=&quot;524&quot; bbdesc=&quot;2013 Annual Accounts/EC Annual Accounts/DC - Financial revenue (xlsx)&quot; dsname=&quot;SAP Disclosure Management - Production&quot;&gt;&lt;VARIABLES /&gt;&lt;/BBOOK&gt;&lt;BBOOK bbname=&quot;419&quot; bbdesc=&quot;2013 Annual Accounts/EC Annual Accounts/DC - Own resource and contributions revenue (xlsx)&quot; dsname=&quot;SAP Disclosure Management - Production&quot;&gt;&lt;VARIABLES /&gt;&lt;/BBOOK&gt;&lt;BBOOK bbname=&quot;436&quot; bbdesc=&quot;2013 Annual Accounts/EC Annual Accounts/DC - Own resource and contributions revenue (xls)&quot; dsname=&quot;SAP Disclosure Management - Production&quot;&gt;&lt;VARIABLES /&gt;&lt;/BBOOK&gt;&lt;BBOOK bbname=&quot;520&quot; bbdesc=&quot;2013 Annual Accounts/EC Annual Accounts/DC - Own resource and contributions revenue (xlsx)&quot; dsname=&quot;SAP Disclosure Management - Production&quot;&gt;&lt;VARIABLES /&gt;&lt;/BBOOK&gt;&lt;BBOOK bbname=&quot;415&quot; bbdesc=&quot;2013 Annual Accounts/EC Annual Accounts/DC - Other operating revenue (xlsx)&quot; dsname=&quot;SAP Disclosure Management - Production&quot;&gt;&lt;VARIABLES /&gt;&lt;/BBOOK&gt;&lt;BBOOK bbname=&quot;439&quot; bbdesc=&quot;2013 Annual Accounts/EC Annual Accounts/DC - Other operating revenue (xls)&quot; dsname=&quot;SAP Disclosure Management - Production&quot;&gt;&lt;VARIABLES /&gt;&lt;/BBOOK&gt;&lt;BBOOK bbname=&quot;521&quot; bbdesc=&quot;2013 Annual Accounts/EC Annual Accounts/DC - Other operating revenue (xlsx)&quot; dsname=&quot;SAP Disclosure Management - Production&quot;&gt;&lt;VARIABLES /&gt;&lt;/BBOOK&gt;&lt;BBOOK bbname=&quot;420&quot; bbdesc=&quot;2013 Annual Accounts/EC Annual Accounts/DC - Administrative expenses (xlsx)&quot; dsname=&quot;SAP Disclosure Management - Production&quot;&gt;&lt;VARIABLES /&gt;&lt;/BBOOK&gt;&lt;BBOOK bbname=&quot;442&quot; bbdesc=&quot;2013 Annual Accounts/EC Annual Accounts/DC - Administrative expenses (xls)&quot; dsname=&quot;SAP Disclosure Management - Production&quot;&gt;&lt;VARIABLES /&gt;&lt;/BBOOK&gt;&lt;BBOOK bbname=&quot;522&quot; bbdesc=&quot;2013 Annual Accounts/EC Annual Accounts/DC - Administrative expenses (xlsx)&quot; dsname=&quot;SAP Disclosure Management - Production&quot;&gt;&lt;VARIABLES /&gt;&lt;/BBOOK&gt;&lt;BBOOK bbname=&quot;423&quot; bbdesc=&quot;2013 Annual Accounts/EC Annual Accounts/DC - Operating expenses (xlsx)&quot; dsname=&quot;SAP Disclosure Management - Production&quot;&gt;&lt;VARIABLES /&gt;&lt;/BBOOK&gt;&lt;BBOOK bbname=&quot;443&quot; bbdesc=&quot;2013 Annual Accounts/EC Annual Accounts/DC - Operating expenses (xls)&quot; dsname=&quot;SAP Disclosure Management - Production&quot;&gt;&lt;VARIABLES /&gt;&lt;/BBOOK&gt;&lt;BBOOK bbname=&quot;523&quot; bbdesc=&quot;2013 Annual Accounts/EC Annual Accounts/DC - Operating expenses (xlsx)&quot; dsname=&quot;SAP Disclosure Management - Production&quot;&gt;&lt;VARIABLES /&gt;&lt;/BBOOK&gt;&lt;BBOOK bbname=&quot;425&quot; bbdesc=&quot;2013 Annual Accounts/EC Annual Accounts/DC - Financial expenses (xlsx)&quot; dsname=&quot;SAP Disclosure Management - Production&quot;&gt;&lt;VARIABLES /&gt;&lt;/BBOOK&gt;&lt;BBOOK bbname=&quot;447&quot; bbdesc=&quot;2013 Annual Accounts/EC Annual Accounts/DC - Financial expenses (xls)&quot; dsname=&quot;SAP Disclosure Management - Production&quot;&gt;&lt;VARIABLES /&gt;&lt;/BBOOK&gt;&lt;BBOOK bbname=&quot;525&quot; bbdesc=&quot;2013 Annual Accounts/EC Annual Accounts/DC - Financial expenses (xlsx)&quot; dsname=&quot;SAP Disclosure Management - Production&quot;&gt;&lt;VARIABLES /&gt;&lt;/BBOOK&gt;&lt;BBOOK bbname=&quot;366&quot; bbdesc=&quot;2013 Annual Accounts/EU Annual Accounts/Segment reporting calculation (xlsx)&quot; dsname=&quot;SAP Disclosure Management - Production&quot;&gt;&lt;VARIABLES /&gt;&lt;/BBOOK&gt;&lt;BBOOK bbname=&quot;594&quot; bbdesc=&quot;2013 Annual Accounts/EC Annual Accounts/DC - Segment reporting (xlsx)&quot; dsname=&quot;SAP Disclosure Management - Production&quot;&gt;&lt;VARIABLES /&gt;&lt;/BBOOK&gt;&lt;BBOOK bbname=&quot;245&quot; bbdesc=&quot;2013 Annual Accounts/EU Annual Accounts/CONTINGENT ASSETS AND LIABILITIES AND OTHER SIGN DISCL (xlsx)&quot; dsname=&quot;SAP Disclosure Management - Production&quot;&gt;&lt;VARIABLES /&gt;&lt;/BBOOK&gt;&lt;BBOOK bbname=&quot;514&quot; bbdesc=&quot;2013 Annual Accounts/EC Annual Accounts/DC - Contingent assets (xlsx)&quot; dsname=&quot;SAP Disclosure Management - Production&quot;&gt;&lt;VARIABLES /&gt;&lt;/BBOOK&gt;&lt;BBOOK bbname=&quot;515&quot; bbdesc=&quot;2013 Annual Accounts/EC Annual Accounts/DC - Contingent liabilities (xlsx)&quot; dsname=&quot;SAP Disclosure Management - Production&quot;&gt;&lt;VARIABLES /&gt;&lt;/BBOOK&gt;&lt;BBOOK bbname=&quot;516&quot; bbdesc=&quot;2013 Annual Accounts/EC Annual Accounts/DC - Guarantees given (xlsx)&quot; dsname=&quot;SAP Disclosure Management - Production&quot;&gt;&lt;VARIABLES /&gt;&lt;/BBOOK&gt;&lt;BBOOK bbname=&quot;517&quot; bbdesc=&quot;2013 Annual Accounts/EC Annual Accounts/DC - Other significant disclosures (xlsx)&quot; dsname=&quot;SAP Disclosure Management - Production&quot;&gt;&lt;VARIABLES /&gt;&lt;/BBOOK&gt;&lt;BBOOK bbname=&quot;518&quot; bbdesc=&quot;2013 Annual Accounts/EC Annual Accounts/DC - Significant legal commitments (xlsx)&quot; dsname=&quot;SAP Disclosure Management - Production&quot;&gt;&lt;VARIABLES /&gt;&lt;/BBOOK&gt;&lt;BBOOK bbname=&quot;657&quot; bbdesc=&quot;2013 Annual Accounts/EU Annual Accounts/DC - Result of implementation of the EU budget (xlsx)&quot; dsname=&quot;SAP Disclosure Management - Production&quot;&gt;&lt;VARIABLES /&gt;&lt;/BBOOK&gt;&lt;BBOOK bbname=&quot;207&quot; bbdesc=&quot;2013 Annual Accounts/EU Annual Accounts/SCOPE OF CONSO_NOTE 11 (xlsx)&quot; dsname=&quot;SAP Disclosure Management - Production&quot;&gt;&lt;VARIABLES /&gt;&lt;/BBOOK&gt;&lt;BBOOK bbname=&quot;664&quot; bbdesc=&quot;2013 Annual Accounts/EU Annual Accounts/DC - Implementation of EU budget revenue (xlsx)&quot; dsname=&quot;SAP Disclosure Management - Production&quot;&gt;&lt;VARIABLES /&gt;&lt;/BBOOK&gt;&lt;BBOOK bbname=&quot;14820&quot; bbdesc=&quot;2018 Annual Accounts/EU Annual Accounts/DC - Balance Sheet&quot; dsname=&quot;SAP Disclosure Management - Production&quot;&gt;&lt;VARIABLES /&gt;&lt;/BBOOK&gt;&lt;BBOOK bbname=&quot;14836&quot; bbdesc=&quot;2018 Annual Accounts/EU Annual Accounts/DC - Statement of Financial Performance&quot; dsname=&quot;SAP Disclosure Management - Production&quot;&gt;&lt;VARIABLES /&gt;&lt;/BBOOK&gt;&lt;BBOOK bbname=&quot;14837&quot; bbdesc=&quot;2018 Annual Accounts/EU Annual Accounts/DC - Cashflow statement&quot; dsname=&quot;SAP Disclosure Management - Production&quot;&gt;&lt;VARIABLES /&gt;&lt;/BBOOK&gt;&lt;BBOOK bbname=&quot;2694&quot; bbdesc=&quot;2014 Annual Accounts/EU Annual Accounts/DC - Statement of changes in net assets (xlsx)&quot; dsname=&quot;SAP Disclosure Management - Production&quot;&gt;&lt;VARIABLES /&gt;&lt;/BBOOK&gt;&lt;BBOOK bbname=&quot;14807&quot; bbdesc=&quot;2018 Annual Accounts/EU Annual Accounts/DC - Statement of changes in net assets EU&quot; dsname=&quot;SAP Disclosure Management - Production&quot;&gt;&lt;VARIABLES /&gt;&lt;/BBOOK&gt;&lt;BBOOK bbname=&quot;15166&quot; bbdesc=&quot;2018 Annual Accounts/MADAD Annual Accounts/DC - Statement of changes in net assets&quot; dsname=&quot;SAP Disclosure Management - Production&quot;&gt;&lt;VARIABLES /&gt;&lt;/BBOOK&gt;&lt;BBOOK bbname=&quot;2695&quot; bbdesc=&quot;2014 Annual Accounts/EU Annual Accounts/DC - DeprecRates (xlsx)&quot; dsname=&quot;SAP Disclosure Management - Production&quot;&gt;&lt;VARIABLES /&gt;&lt;/BBOOK&gt;&lt;BBOOK bbname=&quot;2769&quot; bbdesc=&quot;2014 Annual Accounts/EU Annual Accounts/DC - Currency table (xlsx)&quot; dsname=&quot;SAP Disclosure Management - Production&quot;&gt;&lt;VARIABLES /&gt;&lt;/BBOOK&gt;&lt;BBOOK bbname=&quot;3030&quot; bbdesc=&quot;2014 Annual Accounts/EU Annual Accounts/DC - DeprecRates (xlsx)&quot; dsname=&quot;SAP Disclosure Management - Production&quot;&gt;&lt;VARIABLES /&gt;&lt;/BBOOK&gt;&lt;BBOOK bbname=&quot;3029&quot; bbdesc=&quot;2014 Annual Accounts/EU Annual Accounts/DC - Currency table (xlsx)&quot; dsname=&quot;SAP Disclosure Management - Production&quot;&gt;&lt;VARIABLES /&gt;&lt;/BBOOK&gt;&lt;BBOOK bbname=&quot;14785&quot; bbdesc=&quot;2018 Annual Accounts/EU Annual Accounts/DC - DeprecRates&quot; dsname=&quot;SAP Disclosure Management - Production&quot;&gt;&lt;VARIABLES /&gt;&lt;/BBOOK&gt;&lt;BBOOK bbname=&quot;11252&quot; bbdesc=&quot;2017 Annual Accounts/EU Annual Accounts/DC - DeprecRates&quot; dsname=&quot;SAP Disclosure Management - Production&quot;&gt;&lt;VARIABLES /&gt;&lt;/BBOOK&gt;&lt;BBOOK bbname=&quot;14767&quot; bbdesc=&quot;2017 Annual Accounts/EU Annual Accounts/DC - Currency table&quot; dsname=&quot;SAP Disclosure Management - Production&quot;&gt;&lt;VARIABLES /&gt;&lt;/BBOOK&gt;&lt;BBOOK bbname=&quot;2670&quot; bbdesc=&quot;2014 Annual Accounts/EU Annual Accounts/DC - Intangible assets (xlsx)&quot; dsname=&quot;SAP Disclosure Management - Production&quot;&gt;&lt;VARIABLES /&gt;&lt;/BBOOK&gt;&lt;BBOOK bbname=&quot;2680&quot; bbdesc=&quot;2014 Annual Accounts/EU Annual Accounts/DC - Available for sale financial assets (xlsx)&quot; dsname=&quot;SAP Disclosure Management - Production&quot;&gt;&lt;VARIABLES /&gt;&lt;/BBOOK&gt;&lt;BBOOK bbname=&quot;2696&quot; bbdesc=&quot;2014 Annual Accounts/EU Annual Accounts/DC - Intangible assets (xlsx)&quot; dsname=&quot;SAP Disclosure Management - Production&quot;&gt;&lt;VARIABLES /&gt;&lt;/BBOOK&gt;&lt;BBOOK bbname=&quot;14806&quot; bbdesc=&quot;2018 Annual Accounts/EU Annual Accounts/DC - Intangible fixed assets&quot; dsname=&quot;SAP Disclosure Management - Production&quot;&gt;&lt;VARIABLES /&gt;&lt;/BBOOK&gt;&lt;BBOOK bbname=&quot;2697&quot; bbdesc=&quot;2014 Annual Accounts/EU Annual Accounts/DC - Property plant and equipment (xlsx)&quot; dsname=&quot;SAP Disclosure Management - Production&quot;&gt;&lt;VARIABLES /&gt;&lt;/BBOOK&gt;&lt;BBOOK bbname=&quot;14808&quot; bbdesc=&quot;2018 Annual Accounts/EU Annual Accounts/DC - PPE&quot; dsname=&quot;SAP Disclosure Management - Production&quot;&gt;&lt;VARIABLES /&gt;&lt;/BBOOK&gt;&lt;BBOOK bbname=&quot;2672&quot; bbdesc=&quot;2014 Annual Accounts/EU Annual Accounts/DC - Investments accounted for using the equity method (xlsx)&quot; dsname=&quot;SAP Disclosure Management - Production&quot;&gt;&lt;VARIABLES /&gt;&lt;/BBOOK&gt;&lt;BBOOK bbname=&quot;11417&quot; bbdesc=&quot;2017 Annual Accounts/EU Annual Accounts/DC - Investments accounted for using the equity method&quot; dsname=&quot;SAP Disclosure Management - Production&quot;&gt;&lt;VARIABLES /&gt;&lt;/BBOOK&gt;&lt;BBOOK bbname=&quot;2534&quot; bbdesc=&quot;2014 Annual Accounts/EC Annual Accounts/DC - Investments accounted for using the equity method new (xlsx)&quot; dsname=&quot;SAP Disclosure Management - Production&quot;&gt;&lt;VARIABLES /&gt;&lt;/BBOOK&gt;&lt;BBOOK bbname=&quot;4168&quot; bbdesc=&quot;2015 Annual Accounts/EC Annual Accounts 2015/DC - Accrued charges and Deferred income (xlsx)&quot; dsname=&quot;SAP Disclosure Management - Production&quot;&gt;&lt;VARIABLES /&gt;&lt;/BBOOK&gt;&lt;BBOOK bbname=&quot;14045&quot; bbdesc=&quot;2018 Annual Accounts/EC Annual Accounts/DC - Investments accounted for using the equity method new&quot; dsname=&quot;SAP Disclosure Management - Production&quot;&gt;&lt;VARIABLES /&gt;&lt;/BBOOK&gt;&lt;BBOOK bbname=&quot;11039&quot; bbdesc=&quot;2017 Annual Accounts/EC Annual Accounts/DC - Accrued charges and Deferred income&quot; dsname=&quot;Disclosure Management - Production&quot;&gt;&lt;VARIABLES /&gt;&lt;/BBOOK&gt;&lt;BBOOK bbname=&quot;10954&quot; bbdesc=&quot;2017 Annual Accounts/EC Annual Accounts/DC - Exposure of the EC to currency risk at year end&quot; dsname=&quot;Disclosure Management - Production&quot;&gt;&lt;VARIABLES /&gt;&lt;/BBOOK&gt;&lt;BBOOK bbname=&quot;2678&quot; bbdesc=&quot;2014 Annual Accounts/EU Annual Accounts/DC - Financial assets (xlsx)&quot; dsname=&quot;SAP Disclosure Management - Production&quot;&gt;&lt;VARIABLES /&gt;&lt;/BBOOK&gt;&lt;BBOOK bbname=&quot;14847&quot; bbdesc=&quot;2018 Annual Accounts/EU Annual Accounts/DC - Financial assets&quot; dsname=&quot;SAP Disclosure Management - Production&quot;&gt;&lt;VARIABLES /&gt;&lt;/BBOOK&gt;&lt;BBOOK bbname=&quot;2674&quot; bbdesc=&quot;2014 Annual Accounts/EU Annual Accounts/DC - Carrying amounts attribuable to the Commission (xlsx)&quot; dsname=&quot;SAP Disclosure Management - Production&quot;&gt;&lt;VARIABLES /&gt;&lt;/BBOOK&gt;&lt;BBOOK bbname=&quot;2676&quot; bbdesc=&quot;2014 Annual Accounts/EU Annual Accounts/DC - Carrying amounts attribuable to the Comm (xlsx)&quot; dsname=&quot;SAP Disclosure Management - Production&quot;&gt;&lt;VARIABLES /&gt;&lt;/BBOOK&gt;&lt;BBOOK bbname=&quot;2679&quot; bbdesc=&quot;2014 Annual Accounts/EU Annual Accounts/DC - Reco by classes of the carrying amounts and fair value of fin assets (xlsx)&quot; dsname=&quot;SAP Disclosure Management - Production&quot;&gt;&lt;VARIABLES /&gt;&lt;/BBOOK&gt;&lt;BBOOK bbname=&quot;2700&quot; bbdesc=&quot;2014 Annual Accounts/EU Annual Accounts/DC - Reconciliation by classes of the carrying amounts and fair value (xlsx)&quot; dsname=&quot;SAP Disclosure Management - Production&quot;&gt;&lt;VARIABLES /&gt;&lt;/BBOOK&gt;&lt;BBOOK bbname=&quot;14822&quot; bbdesc=&quot;2018 Annual Accounts/EU Annual Accounts/DC - Fair value hierarchy of available for sale financial assets&quot; dsname=&quot;SAP Disclosure Management - Production&quot;&gt;&lt;VARIABLES /&gt;&lt;/BBOOK&gt;&lt;BBOOK bbname=&quot;2682&quot; bbdesc=&quot;2014 Annual Accounts/EU Annual Accounts/DC - EBRD (xlsx)&quot; dsname=&quot;SAP Disclosure Management - Production&quot;&gt;&lt;VARIABLES /&gt;&lt;/BBOOK&gt;&lt;BBOOK bbname=&quot;2707&quot; bbdesc=&quot;2014 Annual Accounts/EU Annual Accounts/DC - European Bank for Reconstruction and Development (xlsx)&quot; dsname=&quot;SAP Disclosure Management - Production&quot;&gt;&lt;VARIABLES /&gt;&lt;/BBOOK&gt;&lt;BBOOK bbname=&quot;2683&quot; bbdesc=&quot;2014 Annual Accounts/EU Annual Accounts/DC - Loans (xlsx)&quot; dsname=&quot;SAP Disclosure Management - Production&quot;&gt;&lt;VARIABLES /&gt;&lt;/BBOOK&gt;&lt;BBOOK bbname=&quot;2684&quot; bbdesc=&quot;2014 Annual Accounts/EU Annual Accounts/DC - Loans granted from borrowed funds (xlsx)&quot; dsname=&quot;SAP Disclosure Management - Production&quot;&gt;&lt;VARIABLES /&gt;&lt;/BBOOK&gt;&lt;BBOOK bbname=&quot;2702&quot; bbdesc=&quot;2014 Annual Accounts/EU Annual Accounts/DC - Loans granted from borrowed funds LINKED TO EC (without ECSC Column) (xlsx)&quot; dsname=&quot;SAP Disclosure Management - Production&quot;&gt;&lt;VARIABLES /&gt;&lt;/BBOOK&gt;&lt;BBOOK bbname=&quot;14752&quot; bbdesc=&quot;2018 Annual Accounts/EU Annual Accounts/DC - Loans granted from borrowed funds LINKED TO EC&quot; dsname=&quot;SAP Disclosure Management - Production&quot;&gt;&lt;VARIABLES /&gt;&lt;/BBOOK&gt;&lt;BBOOK bbname=&quot;2561&quot; bbdesc=&quot;2014 Annual Accounts/EC Annual Accounts/DC - Fair value movements of available for sale financial assets (xlsx)&quot; dsname=&quot;SAP Disclosure Management - Production&quot;&gt;&lt;VARIABLES /&gt;&lt;/BBOOK&gt;&lt;BBOOK bbname=&quot;2431&quot; bbdesc=&quot;2014 Annual Accounts/EC Annual Accounts/DC - Fair value hierarchy of available for sale financial assets (xlsx)&quot; dsname=&quot;SAP Disclosure Management - Production&quot;&gt;&lt;VARIABLES /&gt;&lt;/BBOOK&gt;&lt;BBOOK bbname=&quot;2535&quot; bbdesc=&quot;2014 Annual Accounts/EC Annual Accounts/DC - Financial assets (xlsx)&quot; dsname=&quot;SAP Disclosure Management - Production&quot;&gt;&lt;VARIABLES /&gt;&lt;/BBOOK&gt;&lt;BBOOK bbname=&quot;14814&quot; bbdesc=&quot;2018 Annual Accounts/EU Annual Accounts/DC - Financial Support Mechanisms&quot; dsname=&quot;SAP Disclosure Management - Production&quot;&gt;&lt;VARIABLES /&gt;&lt;/BBOOK&gt;&lt;BBOOK bbname=&quot;14020&quot; bbdesc=&quot;2018 Annual Accounts/EC Annual Accounts/DC - Financial assets&quot; dsname=&quot;SAP Disclosure Management - Production&quot;&gt;&lt;VARIABLES /&gt;&lt;/BBOOK&gt;&lt;BBOOK bbname=&quot;5217&quot; bbdesc=&quot;2015 Annual Accounts/EU Annual Accounts 2015/DC - Accrued charges and Deferred income (xlsx)&quot; dsname=&quot;SAP Disclosure Management - Production&quot;&gt;&lt;VARIABLES /&gt;&lt;/BBOOK&gt;&lt;BBOOK bbname=&quot;5214&quot; bbdesc=&quot;2015 Annual Accounts/EU Annual Accounts 2015/DC - Financial liabilities (xlsx)&quot; dsname=&quot;SAP Disclosure Management - Production&quot;&gt;&lt;VARIABLES /&gt;&lt;/BBOOK&gt;&lt;BBOOK bbname=&quot;14029&quot; bbdesc=&quot;2018 Annual Accounts/EC Annual Accounts/DC - Accrued charges and Deferred income&quot; dsname=&quot;SAP Disclosure Management - Production&quot;&gt;&lt;VARIABLES /&gt;&lt;/BBOOK&gt;&lt;BBOOK bbname=&quot;14856&quot; bbdesc=&quot;2018 Annual Accounts/EU Annual Accounts/DC - Accrued charges and Deferred income&quot; dsname=&quot;SAP Disclosure Management - Production&quot;&gt;&lt;VARIABLES /&gt;&lt;/BBOOK&gt;&lt;BBOOK bbname=&quot;14848&quot; bbdesc=&quot;2018 Annual Accounts/EU Annual Accounts/DC - Pre-financing&quot; dsname=&quot;SAP Disclosure Management - Production&quot;&gt;&lt;VARIABLES /&gt;&lt;/BBOOK&gt;&lt;BBOOK bbname=&quot;14823&quot; bbdesc=&quot;2018 Annual Accounts/EU Annual Accounts/DC - Pre-financing detailed&quot; dsname=&quot;SAP Disclosure Management - Production&quot;&gt;&lt;VARIABLES /&gt;&lt;/BBOOK&gt;&lt;BBOOK bbname=&quot;2536&quot; bbdesc=&quot;2014 Annual Accounts/EC Annual Accounts/DC - Pre-financing (xlsx)&quot; dsname=&quot;SAP Disclosure Management - Production&quot;&gt;&lt;VARIABLES /&gt;&lt;/BBOOK&gt;&lt;BBOOK bbname=&quot;14022&quot; bbdesc=&quot;2018 Annual Accounts/EC Annual Accounts/DC - Pre-financing&quot; dsname=&quot;SAP Disclosure Management - Production&quot;&gt;&lt;VARIABLES /&gt;&lt;/BBOOK&gt;&lt;BBOOK bbname=&quot;14824&quot; bbdesc=&quot;2018 Annual Accounts/EU Annual Accounts/DC - Exchange receivables and Non-exchange recoverables&quot; dsname=&quot;SAP Disclosure Management - Production&quot;&gt;&lt;VARIABLES /&gt;&lt;/BBOOK&gt;&lt;BBOOK bbname=&quot;14825&quot; bbdesc=&quot;2018 Annual Accounts/EU Annual Accounts/DC - Recoverables from Member States&quot; dsname=&quot;SAP Disclosure Management - Production&quot;&gt;&lt;VARIABLES /&gt;&lt;/BBOOK&gt;&lt;BBOOK bbname=&quot;14826&quot; bbdesc=&quot;2018 Annual Accounts/EU Annual Accounts/DC - Accrued income and Deferred charges&quot; dsname=&quot;SAP Disclosure Management - Production&quot;&gt;&lt;VARIABLES /&gt;&lt;/BBOOK&gt;&lt;BBOOK bbname=&quot;11427&quot; bbdesc=&quot;2017 Annual Accounts/EU Annual Accounts/DC - Accrued charges and Deferred income&quot; dsname=&quot;SAP Disclosure Management - Production&quot;&gt;&lt;VARIABLES /&gt;&lt;/BBOOK&gt;&lt;BBOOK bbname=&quot;14849&quot; bbdesc=&quot;2017 Annual Accounts/EU Annual Accounts/DC - Inventories&quot; dsname=&quot;SAP Disclosure Management - Production&quot;&gt;&lt;VARIABLES /&gt;&lt;/BBOOK&gt;&lt;BBOOK bbname=&quot;14850&quot; bbdesc=&quot;2017 Annual Accounts/EU Annual Accounts/DC - Cash and cash equivalents&quot; dsname=&quot;SAP Disclosure Management - Production&quot;&gt;&lt;VARIABLES /&gt;&lt;/BBOOK&gt;&lt;BBOOK bbname=&quot;4163&quot; bbdesc=&quot;2015 Annual Accounts/EC Annual Accounts 2015/DC - Pension and other employee benefits (xlsx)&quot; dsname=&quot;SAP Disclosure Management - Production&quot;&gt;&lt;VARIABLES /&gt;&lt;/BBOOK&gt;&lt;BBOOK bbname=&quot;14851&quot; bbdesc=&quot;2018 Annual Accounts/EU Annual Accounts/DC - Pension and other employee benefits&quot; dsname=&quot;SAP Disclosure Management - Production&quot;&gt;&lt;VARIABLES /&gt;&lt;/BBOOK&gt;&lt;BBOOK bbname=&quot;2713&quot; bbdesc=&quot;2014 Annual Accounts/EU Annual Accounts/DC - Accrued income and Deferred charges (xlsx)&quot; dsname=&quot;SAP Disclosure Management - Production&quot;&gt;&lt;VARIABLES /&gt;&lt;/BBOOK&gt;&lt;BBOOK bbname=&quot;14852&quot; bbdesc=&quot;2018 Annual Accounts/EU Annual Accounts/DC - Provisions&quot; dsname=&quot;SAP Disclosure Management - Production&quot;&gt;&lt;VARIABLES /&gt;&lt;/BBOOK&gt;&lt;BBOOK bbname=&quot;14853&quot; bbdesc=&quot;2018 Annual Accounts/EU Annual Accounts/DC - Financial liabilities&quot; dsname=&quot;SAP Disclosure Management - Production&quot;&gt;&lt;VARIABLES /&gt;&lt;/BBOOK&gt;&lt;BBOOK bbname=&quot;2721&quot; bbdesc=&quot;2014 Annual Accounts/EU Annual Accounts/DC - Carrying amounts and fair value (xlsx)&quot; dsname=&quot;SAP Disclosure Management - Production&quot;&gt;&lt;VARIABLES /&gt;&lt;/BBOOK&gt;&lt;BBOOK bbname=&quot;2722&quot; bbdesc=&quot;2014 Annual Accounts/EU Annual Accounts/DC - Borrowings (xlsx)&quot; dsname=&quot;SAP Disclosure Management - Production&quot;&gt;&lt;VARIABLES /&gt;&lt;/BBOOK&gt;&lt;BBOOK bbname=&quot;2723&quot; bbdesc=&quot;2014 Annual Accounts/EU Annual Accounts/DC - Borrowings by Financial instruments LINKED TO EU (without ECSC Column) (xlsx)&quot; dsname=&quot;SAP Disclosure Management - Production&quot;&gt;&lt;VARIABLES /&gt;&lt;/BBOOK&gt;&lt;BBOOK bbname=&quot;14854&quot; bbdesc=&quot;2018 Annual Accounts/EU Annual Accounts/DC - Other financial liabilities&quot; dsname=&quot;SAP Disclosure Management - Production&quot;&gt;&lt;VARIABLES /&gt;&lt;/BBOOK&gt;&lt;BBOOK bbname=&quot;14855&quot; bbdesc=&quot;2018 Annual Accounts/EU Annual Accounts/DC - Finance Lease liabilities&quot; dsname=&quot;SAP Disclosure Management - Production&quot;&gt;&lt;VARIABLES /&gt;&lt;/BBOOK&gt;&lt;BBOOK bbname=&quot;14747&quot; bbdesc=&quot;2018 Annual Accounts/EU Annual Accounts/DC - Borrowings by Financial instruments&quot; dsname=&quot;SAP Disclosure Management - Production&quot;&gt;&lt;VARIABLES /&gt;&lt;/BBOOK&gt;&lt;BBOOK bbname=&quot;2542&quot; bbdesc=&quot;2014 Annual Accounts/EC Annual Accounts/DC - Borrowings (xlsx)&quot; dsname=&quot;SAP Disclosure Management - Production&quot;&gt;&lt;VARIABLES /&gt;&lt;/BBOOK&gt;&lt;BBOOK bbname=&quot;14027&quot; bbdesc=&quot;2018 Annual Accounts/EC Annual Accounts/DC - Financial liabilities&quot; dsname=&quot;SAP Disclosure Management - Production&quot;&gt;&lt;VARIABLES /&gt;&lt;/BBOOK&gt;&lt;BBOOK bbname=&quot;14827&quot; bbdesc=&quot;2018 Annual Accounts/EU Annual Accounts/DC - Payables&quot; dsname=&quot;SAP Disclosure Management - Production&quot;&gt;&lt;VARIABLES /&gt;&lt;/BBOOK&gt;&lt;BBOOK bbname=&quot;2458&quot; bbdesc=&quot;2014 Annual Accounts/EC Annual Accounts/DC - Payables (xlsx)&quot; dsname=&quot;SAP Disclosure Management - Production&quot;&gt;&lt;VARIABLES /&gt;&lt;/BBOOK&gt;&lt;BBOOK bbname=&quot;14857&quot; bbdesc=&quot;2018 Annual Accounts/EU Annual Accounts/DC - Reserves&quot; dsname=&quot;SAP Disclosure Management - Production&quot;&gt;&lt;VARIABLES /&gt;&lt;/BBOOK&gt;&lt;BBOOK bbname=&quot;14862&quot; bbdesc=&quot;2018 Annual Accounts/EU Annual Accounts/DC - Fair value movements of available for sale financial assets&quot; dsname=&quot;SAP Disclosure Management - Production&quot;&gt;&lt;VARIABLES /&gt;&lt;/BBOOK&gt;&lt;BBOOK bbname=&quot;14858&quot; bbdesc=&quot;2018 Annual Accounts/EU Annual Accounts/DC - Amounts to be called from member states&quot; dsname=&quot;SAP Disclosure Management - Production&quot;&gt;&lt;VARIABLES /&gt;&lt;/BBOOK&gt;&lt;BBOOK bbname=&quot;2548&quot; bbdesc=&quot;2014 Annual Accounts/EC Annual Accounts/DC - Traditional own resources (xlsx)&quot; dsname=&quot;SAP Disclosure Management - Production&quot;&gt;&lt;VARIABLES /&gt;&lt;/BBOOK&gt;&lt;BBOOK bbname=&quot;2732&quot; bbdesc=&quot;2014 Annual Accounts/EU Annual Accounts/DC - Traditional own resources (xlsx)&quot; dsname=&quot;SAP Disclosure Management - Production&quot;&gt;&lt;VARIABLES /&gt;&lt;/BBOOK&gt;&lt;BBOOK bbname=&quot;14037&quot; bbdesc=&quot;2017 Annual Accounts/EC Annual Accounts/DC - Traditional own resources (xlsx)&quot; dsname=&quot;SAP Disclosure Management - Production&quot;&gt;&lt;VARIABLES /&gt;&lt;/BBOOK&gt;&lt;BBOOK bbname=&quot;2549&quot; bbdesc=&quot;2014 Annual Accounts/EC Annual Accounts/DC - Recovery of expenses (xlsx)&quot; dsname=&quot;SAP Disclosure Management - Production&quot;&gt;&lt;VARIABLES /&gt;&lt;/BBOOK&gt;&lt;BBOOK bbname=&quot;14859&quot; bbdesc=&quot;2017 Annual Accounts/EU Annual Accounts/DC - Recovery of expenses (xlsx)&quot; dsname=&quot;SAP Disclosure Management - Production&quot;&gt;&lt;VARIABLES /&gt;&lt;/BBOOK&gt;&lt;BBOOK bbname=&quot;2485&quot; bbdesc=&quot;2014 Annual Accounts/EC Annual Accounts/DC - Other non-exchange revenue (xlsx)&quot; dsname=&quot;SAP Disclosure Management - Production&quot;&gt;&lt;VARIABLES /&gt;&lt;/BBOOK&gt;&lt;BBOOK bbname=&quot;14828&quot; bbdesc=&quot;2018 Annual Accounts/EU Annual Accounts/DC - Other non-exchange revenue&quot; dsname=&quot;SAP Disclosure Management - Production&quot;&gt;&lt;VARIABLES /&gt;&lt;/BBOOK&gt;&lt;BBOOK bbname=&quot;14838&quot; bbdesc=&quot;2018 Annual Accounts/EU Annual Accounts/DC - Financial revenue&quot; dsname=&quot;SAP Disclosure Management - Production&quot;&gt;&lt;VARIABLES /&gt;&lt;/BBOOK&gt;&lt;BBOOK bbname=&quot;14860&quot; bbdesc=&quot;2018 Annual Accounts/EU Annual Accounts/DC - Other exchange revenue&quot; dsname=&quot;SAP Disclosure Management - Production&quot;&gt;&lt;VARIABLES /&gt;&lt;/BBOOK&gt;&lt;BBOOK bbname=&quot;2737&quot; bbdesc=&quot;2014 Annual Accounts/EU Annual Accounts/DC - Shared Direct and Indirect Management (xlsx)&quot; dsname=&quot;SAP Disclosure Management - Production&quot;&gt;&lt;VARIABLES /&gt;&lt;/BBOOK&gt;&lt;BBOOK bbname=&quot;2489&quot; bbdesc=&quot;2014 Annual Accounts/EC Annual Accounts/DC - Shared Direct and Indirect Management (xlsx)&quot; dsname=&quot;SAP Disclosure Management - Production&quot;&gt;&lt;VARIABLES /&gt;&lt;/BBOOK&gt;&lt;BBOOK bbname=&quot;13966&quot; bbdesc=&quot;2017 Annual Accounts/EC Annual Accounts/DC - Shared Direct and Indirect Management&quot; dsname=&quot;SAP Disclosure Management - Production&quot;&gt;&lt;VARIABLES /&gt;&lt;/BBOOK&gt;&lt;BBOOK bbname=&quot;8708&quot; bbdesc=&quot;2016 Annual Accounts/EC Annual Accounts/DC - Accrued charges and Deferred income (xlsx)&quot; dsname=&quot;Disclosure Management - Production&quot;&gt;&lt;VARIABLES /&gt;&lt;/BBOOK&gt;&lt;BBOOK bbname=&quot;14829&quot; bbdesc=&quot;2017 Annual Accounts/EU Annual Accounts/DC - Direct and Indirect Management&quot; dsname=&quot;SAP Disclosure Management - Production&quot;&gt;&lt;VARIABLES /&gt;&lt;/BBOOK&gt;&lt;BBOOK bbname=&quot;9076&quot; bbdesc=&quot;2016 Annual Accounts/EU Annual Accounts/DC - Accrued charges and Deferred income (xlsx)&quot; dsname=&quot;Disclosure Management - Production&quot;&gt;&lt;VARIABLES /&gt;&lt;/BBOOK&gt;&lt;BBOOK bbname=&quot;14861&quot; bbdesc=&quot;2017 Annual Accounts/EU Annual Accounts/DC - Staff and Pension costs&quot; dsname=&quot;SAP Disclosure Management - Production&quot;&gt;&lt;VARIABLES /&gt;&lt;/BBOOK&gt;&lt;BBOOK bbname=&quot;14839&quot; bbdesc=&quot;2018 Annual Accounts/EU Annual Accounts/DC - Finance costs&quot; dsname=&quot;SAP Disclosure Management - Production&quot;&gt;&lt;VARIABLES /&gt;&lt;/BBOOK&gt;&lt;BBOOK bbname=&quot;14830&quot; bbdesc=&quot;2018 Annual Accounts/EU Annual Accounts/DC - Other expenses&quot; dsname=&quot;SAP Disclosure Management - Production&quot;&gt;&lt;VARIABLES /&gt;&lt;/BBOOK&gt;&lt;BBOOK bbname=&quot;9060&quot; bbdesc=&quot;2015 Annual Accounts/EU Annual Accounts 2015/DC - Property plant and equipment related expenses (xlsx)&quot; dsname=&quot;SAP Disclosure Management - Production&quot;&gt;&lt;VARIABLES /&gt;&lt;/BBOOK&gt;&lt;BBOOK bbname=&quot;14841&quot; bbdesc=&quot;2018 Annual Accounts/EU Annual Accounts/DC - Research and Development costs&quot; dsname=&quot;SAP Disclosure Management - Production&quot;&gt;&lt;VARIABLES /&gt;&lt;/BBOOK&gt;&lt;BBOOK bbname=&quot;14831&quot; bbdesc=&quot;2018 Annual Accounts/EU Annual Accounts/DC - Segment report&quot; dsname=&quot;SAP Disclosure Management - Production&quot;&gt;&lt;VARIABLES /&gt;&lt;/BBOOK&gt;&lt;BBOOK bbname=&quot;14843&quot; bbdesc=&quot;2018 Annual Accounts/EU Annual Accounts/DC - Contingent liabilities&quot; dsname=&quot;SAP Disclosure Management - Production&quot;&gt;&lt;VARIABLES /&gt;&lt;/BBOOK&gt;&lt;BBOOK bbname=&quot;2754&quot; bbdesc=&quot;2014 Annual Accounts/EU Annual Accounts/DC - Guarantees given (xlsx)&quot; dsname=&quot;SAP Disclosure Management - Production&quot;&gt;&lt;VARIABLES /&gt;&lt;/BBOOK&gt;&lt;BBOOK bbname=&quot;2529&quot; bbdesc=&quot;2014 Annual Accounts/EC Annual Accounts/DC - Guarantees given (xlsx)&quot; dsname=&quot;SAP Disclosure Management - Production&quot;&gt;&lt;VARIABLES /&gt;&lt;/BBOOK&gt;&lt;BBOOK bbname=&quot;14034&quot; bbdesc=&quot;2018 Annual Accounts/EC Annual Accounts/DC - Guarantees given&quot; dsname=&quot;SAP Disclosure Management - Production&quot;&gt;&lt;VARIABLES /&gt;&lt;/BBOOK&gt;&lt;BBOOK bbname=&quot;14033&quot; bbdesc=&quot;2018 Annual Accounts/EC Annual Accounts/DC - Contingent liabilities&quot; dsname=&quot;SAP Disclosure Management - Production&quot;&gt;&lt;VARIABLES /&gt;&lt;/BBOOK&gt;&lt;BBOOK bbname=&quot;14842&quot; bbdesc=&quot;2017 Annual Accounts/EU Annual Accounts/DC - Contingent assets&quot; dsname=&quot;SAP Disclosure Management - Production&quot;&gt;&lt;VARIABLES /&gt;&lt;/BBOOK&gt;&lt;BBOOK bbname=&quot;14844&quot; bbdesc=&quot;2018 Annual Accounts/EU Annual Accounts/DC - Outstanding commitments not yet expensed&quot; dsname=&quot;SAP Disclosure Management - Production&quot;&gt;&lt;VARIABLES /&gt;&lt;/BBOOK&gt;&lt;BBOOK bbname=&quot;14845&quot; bbdesc=&quot;2018 Annual Accounts/EU Annual Accounts/DC - Significant legal commitments&quot; dsname=&quot;SAP Disclosure Management - Production&quot;&gt;&lt;VARIABLES /&gt;&lt;/BBOOK&gt;&lt;BBOOK bbname=&quot;2531&quot; bbdesc=&quot;2014 Annual Accounts/EC Annual Accounts/DC - Significant legal commitments (xlsx)&quot; dsname=&quot;SAP Disclosure Management - Production&quot;&gt;&lt;VARIABLES /&gt;&lt;/BBOOK&gt;&lt;BBOOK bbname=&quot;14036&quot; bbdesc=&quot;2018 Annual Accounts/EC Annual Accounts/DC - Significant legal commitments&quot; dsname=&quot;SAP Disclosure Management - Production&quot;&gt;&lt;VARIABLES /&gt;&lt;/BBOOK&gt;&lt;BBOOK bbname=&quot;9050&quot; bbdesc=&quot;2016 Annual Accounts/EU Annual Accounts/DC - Other expenses (xlsx)&quot; dsname=&quot;SAP Disclosure Management - Production&quot;&gt;&lt;VARIABLES /&gt;&lt;/BBOOK&gt;&lt;BBOOK bbname=&quot;14840&quot; bbdesc=&quot;2018 Annual Accounts/EU Annual Accounts/DC -Operating lease commitments&quot; dsname=&quot;SAP Disclosure Management - Production&quot;&gt;&lt;VARIABLES /&gt;&lt;/BBOOK&gt;&lt;BBOOK bbname=&quot;14832&quot; bbdesc=&quot;2018 Annual Accounts/EU Annual Accounts/DC - Exposure of the EC to currency risk at year end&quot; dsname=&quot;SAP Disclosure Management - Production&quot;&gt;&lt;VARIABLES /&gt;&lt;/BBOOK&gt;&lt;BBOOK bbname=&quot;14833&quot; bbdesc=&quot;2018 Annual Accounts/EU Annual Accounts/DC - Interest rate risk&quot; dsname=&quot;SAP Disclosure Management - Production&quot;&gt;&lt;VARIABLES /&gt;&lt;/BBOOK&gt;&lt;BBOOK bbname=&quot;14834&quot; bbdesc=&quot;2018 Annual Accounts/EU Annual Accounts/DC - Credit risk&quot; dsname=&quot;SAP Disclosure Management - Production&quot;&gt;&lt;VARIABLES /&gt;&lt;/BBOOK&gt;&lt;BBOOK bbname=&quot;14835&quot; bbdesc=&quot;2018 Annual Accounts/EU Annual Accounts/DC - Maturity analysis of financial liabilities&quot; dsname=&quot;SAP Disclosure Management - Production&quot;&gt;&lt;VARIABLES /&gt;&lt;/BBOOK&gt;&lt;BBOOK bbname=&quot;13960&quot; bbdesc=&quot;2018 Annual Accounts/EC Annual Accounts/DC - Maturity analysis of financial liabilities&quot; dsname=&quot;SAP Disclosure Management - Production&quot;&gt;&lt;VARIABLES /&gt;&lt;/BBOOK&gt;&lt;BBOOK bbname=&quot;14815&quot; bbdesc=&quot;2018 Annual Accounts/EU Annual Accounts/DC - Related party disclosures&quot; dsname=&quot;SAP Disclosure Management - Production&quot;&gt;&lt;VARIABLES /&gt;&lt;/BBOOK&gt;&lt;BBOOK bbname=&quot;2135&quot; bbdesc=&quot;2014 Annual Accounts/EDF Annual Accounts/DC - Balance sheet of the eighth ninth 10th and 11th EDF (xlsx)&quot; dsname=&quot;SAP Disclosure Management - Production&quot;&gt;&lt;VARIABLES /&gt;&lt;/BBOOK&gt;&lt;BBOOK bbname=&quot;2293&quot; bbdesc=&quot;2014 Annual Accounts/EDF Annual Accounts/DC - Aggregated balance sheet (xlsx)&quot; dsname=&quot;SAP Disclosure Management - Production&quot;&gt;&lt;VARIABLES /&gt;&lt;/BBOOK&gt;&lt;BBOOK bbname=&quot;14816&quot; bbdesc=&quot;2016 Annual Accounts/EU Annual Accounts/DC - Scope of consolidation EU (xlsx)&quot; dsname=&quot;SAP Disclosure Management - Production&quot;&gt;&lt;VARIABLES /&gt;&lt;/BBOOK&gt;&lt;BBOOK bbname=&quot;883&quot; bbdesc=&quot;2013 Annual Accounts/EU Annual Accounts/DC - Balance Sheet (xlsx)&quot; dsname=&quot;SAP Disclosure Management - Production&quot;&gt;&lt;VARIABLES /&gt;&lt;/BBOOK&gt;&lt;BBOOK bbname=&quot;862&quot; bbdesc=&quot;2013 Annual Accounts/EC Annual Accounts/DC - Result of implentation of the EU budget (xlsx)&quot; dsname=&quot;SAP Disclosure Management - Production&quot;&gt;&lt;VARIABLES /&gt;&lt;/BBOOK&gt;&lt;BBOOK bbname=&quot;869&quot; bbdesc=&quot;2013 Annual Accounts/EC Annual Accounts/DC - Implementation of EU budget revenue (xlsx)&quot; dsname=&quot;SAP Disclosure Management - Production&quot;&gt;&lt;VARIABLES /&gt;&lt;/BBOOK&gt;&lt;BBOOK bbname=&quot;871&quot; bbdesc=&quot;2013 Annual Accounts/EC Annual Accounts/DC - Implementation of EU budget expenditure (xlsx)&quot; dsname=&quot;SAP Disclosure Management - Production&quot;&gt;&lt;VARIABLES /&gt;&lt;/BBOOK&gt;&lt;BBOOK bbname=&quot;666&quot; bbdesc=&quot;2013 Annual Accounts/EU Annual Accounts/DC - Implementation of EU budget expenditure (xlsx)&quot; dsname=&quot;SAP Disclosure Management - Production&quot;&gt;&lt;VARIABLES /&gt;&lt;/BBOOK&gt;&lt;BBOOK bbname=&quot;534&quot; bbdesc=&quot;2013 Annual Accounts/EC Annual Accounts/DC - Finance Lease PPE (xlsx)&quot; dsname=&quot;SAP Disclosure Management - Production&quot;&gt;&lt;VARIABLES /&gt;&lt;/BBOOK&gt;&lt;BBOOK bbname=&quot;910&quot; bbdesc=&quot;2013 Annual Accounts/EC Annual Accounts/DC - Operating lease (xlsx)&quot; dsname=&quot;SAP Disclosure Management - Production&quot;&gt;&lt;VARIABLES /&gt;&lt;/BBOOK&gt;&lt;BBOOK bbname=&quot;1218&quot; bbdesc=&quot;2013 Annual Accounts/EU Annual Accounts/DC - Non current financial liabilities (xlsx)&quot; dsname=&quot;SAP Disclosure Management - Production&quot;&gt;&lt;VARIABLES /&gt;&lt;/BBOOK&gt;&lt;BBOOK bbname=&quot;886&quot; bbdesc=&quot;2013 Annual Accounts/EU Annual Accounts/Upload Trial Balance ECCS 2013 (xlsx)&quot; dsname=&quot;SAP Disclosure Management - Production&quot;&gt;&lt;VARIABLES /&gt;&lt;/BBOOK&gt;&lt;BBOOK bbname=&quot;1247&quot; bbdesc=&quot;2013 Annual Accounts/EU Annual Accounts/DC - Member states receivables EU (xlsx)&quot; dsname=&quot;SAP Disclosure Management - Production&quot;&gt;&lt;VARIABLES /&gt;&lt;/BBOOK&gt;&lt;BBOOK bbname=&quot;1011&quot; bbdesc=&quot;2013 Annual Accounts/EEAS Annual Accounts/DC - Payables (xlsx)&quot; dsname=&quot;SAP Disclosure Management - Production&quot;&gt;&lt;VARIABLES /&gt;&lt;/BBOOK&gt;&lt;BBOOK bbname=&quot;884&quot; bbdesc=&quot;2013 Annual Accounts/EU Annual Accounts/DC - Statement of financial performance (xlsx)&quot; dsname=&quot;SAP Disclosure Management - Production&quot;&gt;&lt;VARIABLES /&gt;&lt;/BBOOK&gt;&lt;BBOOK bbname=&quot;1252&quot; bbdesc=&quot;2013 Annual Accounts/EU Annual Accounts/DC - Institutions and agencies (xlsx)&quot; dsname=&quot;SAP Disclosure Management - Production&quot;&gt;&lt;VARIABLES /&gt;&lt;/BBOOK&gt;&lt;BBOOK bbname=&quot;5169&quot; bbdesc=&quot;2014 Annual Accounts/EU Annual Accounts/DC - Result of implementation of the EU budget (xlsx)&quot; dsname=&quot;SAP Disclosure Management - Production&quot;&gt;&lt;VARIABLES /&gt;&lt;/BBOOK&gt;&lt;BBOOK bbname=&quot;8963&quot; bbdesc=&quot;2015 Annual Accounts/EU Annual Accounts 2015/DC - Budget outturn (xlsx)&quot; dsname=&quot;SAP Disclosure Management - Production&quot;&gt;&lt;VARIABLES /&gt;&lt;/BBOOK&gt;&lt;BBOOK bbname=&quot;14817&quot; bbdesc=&quot;2017 Annual Accounts/EU Annual Accounts/DC - Result of implementation of the EU budget&quot; dsname=&quot;SAP Disclosure Management - Production&quot;&gt;&lt;VARIABLES /&gt;&lt;/BBOOK&gt;&lt;BBOOK bbname=&quot;15799&quot; bbdesc=&quot;2018 Annual Accounts/EU Annual Accounts/DC - Budget result and Statements of Comparison (xlsx)&quot; dsname=&quot;SAP Disclosure Management - Production&quot;&gt;&lt;VARIABLES /&gt;&lt;/BBOOK&gt;&lt;BBOOK bbname=&quot;5174&quot; bbdesc=&quot;2014 Annual Accounts/EU Annual Accounts/DC - Implementation of EU budget expenditure (xlsx)&quot; dsname=&quot;SAP Disclosure Management - Production&quot;&gt;&lt;VARIABLES /&gt;&lt;/BBOOK&gt;&lt;BBOOK bbname=&quot;14713&quot; bbdesc=&quot;2017 Annual Accounts/EU Annual Accounts/DC - Financial framework 2014 - 2020&quot; dsname=&quot;SAP Disclosure Management - Production&quot;&gt;&lt;VARIABLES /&gt;&lt;/BBOOK&gt;&lt;BBOOK bbname=&quot;14802&quot; bbdesc=&quot;2018 Annual Accounts/EU Annual Accounts/DC - EU Reconciliation of economic result&quot; dsname=&quot;SAP Disclosure Management - Production&quot;&gt;&lt;VARIABLES /&gt;&lt;/BBOOK&gt;&lt;BBOOK bbname=&quot;8985&quot; bbdesc=&quot;2016 Annual Accounts/EU Annual Accounts/DC - Financial framework 2014 - 2020 (xlsx)&quot; dsname=&quot;SAP Disclosure Management - Production&quot;&gt;&lt;VARIABLES /&gt;&lt;/BBOOK&gt;&lt;BBOOK bbname=&quot;14818&quot; bbdesc=&quot;2018 Annual Accounts/EU Annual Accounts/DC - EU revenues (xlsx)&quot; dsname=&quot;SAP Disclosure Management - Production&quot;&gt;&lt;VARIABLES /&gt;&lt;/BBOOK&gt;&lt;BBOOK bbname=&quot;9035&quot; bbdesc=&quot;2016 Annual Accounts/EU Annual Accounts/DC - EU revenues (xlsx)&quot; dsname=&quot;SAP Disclosure Management - Production&quot;&gt;&lt;VARIABLES /&gt;&lt;/BBOOK&gt;&lt;BBOOK bbname=&quot;14819&quot; bbdesc=&quot;2018 Annual Accounts/EU Annual Accounts/DC - EU expenditures&quot; dsname=&quot;SAP Disclosure Management - Production&quot;&gt;&lt;VARIABLES /&gt;&lt;/BBOOK&gt;&lt;BBOOK bbname=&quot;11446&quot; bbdesc=&quot;2017 Annual Accounts/EU Annual Accounts/Upload budgetarytables EU&quot; dsname=&quot;SAP Disclosure Management - Production&quot;&gt;&lt;VARIABLES /&gt;&lt;/BBOOK&gt;&lt;BBOOK bbname=&quot;9036&quot; bbdesc=&quot;2016 Annual Accounts/EU Annual Accounts/DC - EU Expenditures (xlsx)&quot; dsname=&quot;SAP Disclosure Management - Production&quot;&gt;&lt;VARIABLES /&gt;&lt;/BBOOK&gt;&lt;BBOOK bbname=&quot;14863&quot; bbdesc=&quot;2018 Annual Accounts/EU Annual Accounts/DC - Institutions and agencies&quot; dsname=&quot;SAP Disclosure Management - Production&quot;&gt;&lt;VARIABLES /&gt;&lt;/BBOOK&gt;&lt;/BBOOKS&gt;"/>
    <w:docVar w:name="DM_WB_C14707_METADATA" w:val="&lt;ChapterMetadata&gt;&lt;ChapterId&gt;14707&lt;/ChapterId&gt;&lt;ChapterName&gt;Contingent assets&lt;/ChapterName&gt;&lt;ChapterNoOfPages&gt;-1&lt;/ChapterNoOfPages&gt;&lt;ChapterVersion&gt;14&lt;/ChapterVersion&gt;&lt;/ChapterMetadata&gt;"/>
    <w:docVar w:name="DM_WB_C14709_METADATA" w:val="&lt;ChapterMetadata&gt;&lt;ChapterId&gt;14709&lt;/ChapterId&gt;&lt;ChapterName&gt;Cover and first page&lt;/ChapterName&gt;&lt;ChapterNoOfPages&gt;-1&lt;/ChapterNoOfPages&gt;&lt;ChapterVersion&gt;3&lt;/ChapterVersion&gt;&lt;/ChapterMetadata&gt;"/>
    <w:docVar w:name="DM_WB_C14711_METADATA" w:val="&lt;ChapterMetadata&gt;&lt;ChapterId&gt;14711&lt;/ChapterId&gt;&lt;ChapterName&gt;Other non-exchange revenue&lt;/ChapterName&gt;&lt;ChapterNoOfPages&gt;-1&lt;/ChapterNoOfPages&gt;&lt;ChapterVersion&gt;26&lt;/ChapterVersion&gt;&lt;/ChapterMetadata&gt;"/>
    <w:docVar w:name="DM_WB_C14712_METADATA" w:val="&lt;ChapterMetadata&gt;&lt;ChapterId&gt;14712&lt;/ChapterId&gt;&lt;ChapterName&gt;Balance sheet&lt;/ChapterName&gt;&lt;ChapterNoOfPages&gt;-1&lt;/ChapterNoOfPages&gt;&lt;ChapterVersion&gt;24&lt;/ChapterVersion&gt;&lt;/ChapterMetadata&gt;"/>
    <w:docVar w:name="DM_WB_C14714_METADATA" w:val="&lt;ChapterMetadata&gt;&lt;ChapterId&gt;14714&lt;/ChapterId&gt;&lt;ChapterName&gt;Notes to the financial statements&lt;/ChapterName&gt;&lt;ChapterNoOfPages&gt;-1&lt;/ChapterNoOfPages&gt;&lt;ChapterVersion&gt;1&lt;/ChapterVersion&gt;&lt;/ChapterMetadata&gt;"/>
    <w:docVar w:name="DM_WB_C14716_METADATA" w:val="&lt;ChapterMetadata&gt;&lt;ChapterId&gt;14716&lt;/ChapterId&gt;&lt;ChapterName&gt;Property plant and equipment TABLE&lt;/ChapterName&gt;&lt;ChapterNoOfPages&gt;-1&lt;/ChapterNoOfPages&gt;&lt;ChapterVersion&gt;23&lt;/ChapterVersion&gt;&lt;/ChapterMetadata&gt;"/>
    <w:docVar w:name="DM_WB_C14718_METADATA" w:val="&lt;ChapterMetadata&gt;&lt;ChapterId&gt;14718&lt;/ChapterId&gt;&lt;ChapterName&gt;Table of contents (2)&lt;/ChapterName&gt;&lt;ChapterNoOfPages&gt;-1&lt;/ChapterNoOfPages&gt;&lt;ChapterVersion&gt;1&lt;/ChapterVersion&gt;&lt;/ChapterMetadata&gt;"/>
    <w:docVar w:name="DM_WB_C14719_METADATA" w:val="&lt;ChapterMetadata&gt;&lt;ChapterId&gt;14719&lt;/ChapterId&gt;&lt;ChapterName&gt;Indirect management&lt;/ChapterName&gt;&lt;ChapterNoOfPages&gt;-1&lt;/ChapterNoOfPages&gt;&lt;ChapterVersion&gt;21&lt;/ChapterVersion&gt;&lt;/ChapterMetadata&gt;"/>
    <w:docVar w:name="DM_WB_C14720_METADATA" w:val="&lt;ChapterMetadata&gt;&lt;ChapterId&gt;14720&lt;/ChapterId&gt;&lt;ChapterName&gt;Statement of changes in net assets&lt;/ChapterName&gt;&lt;ChapterNoOfPages&gt;-1&lt;/ChapterNoOfPages&gt;&lt;ChapterVersion&gt;27&lt;/ChapterVersion&gt;&lt;/ChapterMetadata&gt;"/>
    <w:docVar w:name="DM_WB_C14724_METADATA" w:val="&lt;ChapterMetadata&gt;&lt;ChapterId&gt;14724&lt;/ChapterId&gt;&lt;ChapterName&gt;Contingent liabilities&lt;/ChapterName&gt;&lt;ChapterNoOfPages&gt;-1&lt;/ChapterNoOfPages&gt;&lt;ChapterVersion&gt;37&lt;/ChapterVersion&gt;&lt;/ChapterMetadata&gt;"/>
    <w:docVar w:name="DM_WB_C14728_METADATA" w:val="&lt;ChapterMetadata&gt;&lt;ChapterId&gt;14728&lt;/ChapterId&gt;&lt;ChapterName&gt;EU political framework governance and accountability&lt;/ChapterName&gt;&lt;ChapterNoOfPages&gt;-1&lt;/ChapterNoOfPages&gt;&lt;ChapterVersion&gt;20&lt;/ChapterVersion&gt;&lt;/ChapterMetadata&gt;"/>
    <w:docVar w:name="DM_WB_C14729_METADATA" w:val="&lt;ChapterMetadata&gt;&lt;ChapterId&gt;14729&lt;/ChapterId&gt;&lt;ChapterName&gt;Other expenses&lt;/ChapterName&gt;&lt;ChapterNoOfPages&gt;-1&lt;/ChapterNoOfPages&gt;&lt;ChapterVersion&gt;21&lt;/ChapterVersion&gt;&lt;/ChapterMetadata&gt;"/>
    <w:docVar w:name="DM_WB_C14730_METADATA" w:val="&lt;ChapterMetadata&gt;&lt;ChapterId&gt;14730&lt;/ChapterId&gt;&lt;ChapterName&gt;Accrued charges and deferred income&lt;/ChapterName&gt;&lt;ChapterNoOfPages&gt;-1&lt;/ChapterNoOfPages&gt;&lt;ChapterVersion&gt;19&lt;/ChapterVersion&gt;&lt;/ChapterMetadata&gt;"/>
    <w:docVar w:name="DM_WB_C14732_METADATA" w:val="&lt;ChapterMetadata&gt;&lt;ChapterId&gt;14732&lt;/ChapterId&gt;&lt;ChapterName&gt;Notes to the statement of financial performance&lt;/ChapterName&gt;&lt;ChapterNoOfPages&gt;-1&lt;/ChapterNoOfPages&gt;&lt;ChapterVersion&gt;1&lt;/ChapterVersion&gt;&lt;/ChapterMetadata&gt;"/>
    <w:docVar w:name="DM_WB_C14735_METADATA" w:val="&lt;ChapterMetadata&gt;&lt;ChapterId&gt;14735&lt;/ChapterId&gt;&lt;ChapterName&gt;Changes in employee benefits actuarial assumptions&lt;/ChapterName&gt;&lt;ChapterNoOfPages&gt;-1&lt;/ChapterNoOfPages&gt;&lt;ChapterVersion&gt;3&lt;/ChapterVersion&gt;&lt;/ChapterMetadata&gt;"/>
    <w:docVar w:name="DM_WB_C14737_METADATA" w:val="&lt;ChapterMetadata&gt;&lt;ChapterId&gt;14737&lt;/ChapterId&gt;&lt;ChapterName&gt;Note accompanying the consolidated accounts&lt;/ChapterName&gt;&lt;ChapterNoOfPages&gt;-1&lt;/ChapterNoOfPages&gt;&lt;ChapterVersion&gt;3&lt;/ChapterVersion&gt;&lt;/ChapterMetadata&gt;"/>
    <w:docVar w:name="DM_WB_C14740_METADATA" w:val="&lt;ChapterMetadata&gt;&lt;ChapterId&gt;14740&lt;/ChapterId&gt;&lt;ChapterName&gt;Property plant and equipment TEXT&lt;/ChapterName&gt;&lt;ChapterNoOfPages&gt;-1&lt;/ChapterNoOfPages&gt;&lt;ChapterVersion&gt;4&lt;/ChapterVersion&gt;&lt;/ChapterMetadata&gt;"/>
    <w:docVar w:name="DM_WB_C14741_METADATA" w:val="&lt;ChapterMetadata&gt;&lt;ChapterId&gt;14741&lt;/ChapterId&gt;&lt;ChapterName&gt;Non-exchange revenue TRANSFERS&lt;/ChapterName&gt;&lt;ChapterNoOfPages&gt;-1&lt;/ChapterNoOfPages&gt;&lt;ChapterVersion&gt;1&lt;/ChapterVersion&gt;&lt;/ChapterMetadata&gt;"/>
    <w:docVar w:name="DM_WB_C14742_METADATA" w:val="&lt;ChapterMetadata&gt;&lt;ChapterId&gt;14742&lt;/ChapterId&gt;&lt;ChapterName&gt;Scope of consolidation&lt;/ChapterName&gt;&lt;ChapterNoOfPages&gt;-1&lt;/ChapterNoOfPages&gt;&lt;ChapterVersion&gt;18&lt;/ChapterVersion&gt;&lt;/ChapterMetadata&gt;"/>
    <w:docVar w:name="DM_WB_C14743_METADATA" w:val="&lt;ChapterMetadata&gt;&lt;ChapterId&gt;14743&lt;/ChapterId&gt;&lt;ChapterName&gt;Other exchange revenue&lt;/ChapterName&gt;&lt;ChapterNoOfPages&gt;-1&lt;/ChapterNoOfPages&gt;&lt;ChapterVersion&gt;23&lt;/ChapterVersion&gt;&lt;/ChapterMetadata&gt;"/>
    <w:docVar w:name="DM_WB_C14744_METADATA" w:val="&lt;ChapterMetadata&gt;&lt;ChapterId&gt;14744&lt;/ChapterId&gt;&lt;ChapterName&gt;Financial revenue&lt;/ChapterName&gt;&lt;ChapterNoOfPages&gt;-1&lt;/ChapterNoOfPages&gt;&lt;ChapterVersion&gt;24&lt;/ChapterVersion&gt;&lt;/ChapterMetadata&gt;"/>
    <w:docVar w:name="DM_WB_C14745_METADATA" w:val="&lt;ChapterMetadata&gt;&lt;ChapterId&gt;14745&lt;/ChapterId&gt;&lt;ChapterName&gt;FSDA&lt;/ChapterName&gt;&lt;ChapterNoOfPages&gt;-1&lt;/ChapterNoOfPages&gt;&lt;ChapterVersion&gt;78&lt;/ChapterVersion&gt;&lt;/ChapterMetadata&gt;"/>
    <w:docVar w:name="DM_WB_C14746_METADATA" w:val="&lt;ChapterMetadata&gt;&lt;ChapterId&gt;14746&lt;/ChapterId&gt;&lt;ChapterName&gt;Currency risk exposure&lt;/ChapterName&gt;&lt;ChapterNoOfPages&gt;-1&lt;/ChapterNoOfPages&gt;&lt;ChapterVersion&gt;18&lt;/ChapterVersion&gt;&lt;/ChapterMetadata&gt;"/>
    <w:docVar w:name="DM_WB_C14748_METADATA" w:val="&lt;ChapterMetadata&gt;&lt;ChapterId&gt;14748&lt;/ChapterId&gt;&lt;ChapterName&gt;Liabilities&lt;/ChapterName&gt;&lt;ChapterNoOfPages&gt;-1&lt;/ChapterNoOfPages&gt;&lt;ChapterVersion&gt;1&lt;/ChapterVersion&gt;&lt;/ChapterMetadata&gt;"/>
    <w:docVar w:name="DM_WB_C14749_METADATA" w:val="&lt;ChapterMetadata&gt;&lt;ChapterId&gt;14749&lt;/ChapterId&gt;&lt;ChapterName&gt;Staff and pension costs&lt;/ChapterName&gt;&lt;ChapterNoOfPages&gt;-1&lt;/ChapterNoOfPages&gt;&lt;ChapterVersion&gt;17&lt;/ChapterVersion&gt;&lt;/ChapterMetadata&gt;"/>
    <w:docVar w:name="DM_WB_C14750_METADATA" w:val="&lt;ChapterMetadata&gt;&lt;ChapterId&gt;14750&lt;/ChapterId&gt;&lt;ChapterName&gt;Shared management&lt;/ChapterName&gt;&lt;ChapterNoOfPages&gt;-1&lt;/ChapterNoOfPages&gt;&lt;ChapterVersion&gt;25&lt;/ChapterVersion&gt;&lt;/ChapterMetadata&gt;"/>
    <w:docVar w:name="DM_WB_C14751_METADATA" w:val="&lt;ChapterMetadata&gt;&lt;ChapterId&gt;14751&lt;/ChapterId&gt;&lt;ChapterName&gt;Payables&lt;/ChapterName&gt;&lt;ChapterNoOfPages&gt;-1&lt;/ChapterNoOfPages&gt;&lt;ChapterVersion&gt;38&lt;/ChapterVersion&gt;&lt;/ChapterMetadata&gt;"/>
    <w:docVar w:name="DM_WB_C14753_METADATA" w:val="&lt;ChapterMetadata&gt;&lt;ChapterId&gt;14753&lt;/ChapterId&gt;&lt;ChapterName&gt;Exchange receivables and non-exchange recoverables&lt;/ChapterName&gt;&lt;ChapterNoOfPages&gt;-1&lt;/ChapterNoOfPages&gt;&lt;ChapterVersion&gt;49&lt;/ChapterVersion&gt;&lt;/ChapterMetadata&gt;"/>
    <w:docVar w:name="DM_WB_C14754_METADATA" w:val="&lt;ChapterMetadata&gt;&lt;ChapterId&gt;14754&lt;/ChapterId&gt;&lt;ChapterName&gt;Cash and cash equivalents&lt;/ChapterName&gt;&lt;ChapterNoOfPages&gt;-1&lt;/ChapterNoOfPages&gt;&lt;ChapterVersion&gt;24&lt;/ChapterVersion&gt;&lt;/ChapterMetadata&gt;"/>
    <w:docVar w:name="DM_WB_C14756_METADATA" w:val="&lt;ChapterMetadata&gt;&lt;ChapterId&gt;14756&lt;/ChapterId&gt;&lt;ChapterName&gt;Finance costs&lt;/ChapterName&gt;&lt;ChapterNoOfPages&gt;-1&lt;/ChapterNoOfPages&gt;&lt;ChapterVersion&gt;20&lt;/ChapterVersion&gt;&lt;/ChapterMetadata&gt;"/>
    <w:docVar w:name="DM_WB_C14758_METADATA" w:val="&lt;ChapterMetadata&gt;&lt;ChapterId&gt;14758&lt;/ChapterId&gt;&lt;ChapterName&gt;Segment Report&lt;/ChapterName&gt;&lt;ChapterNoOfPages&gt;-1&lt;/ChapterNoOfPages&gt;&lt;ChapterVersion&gt;24&lt;/ChapterVersion&gt;&lt;/ChapterMetadata&gt;"/>
    <w:docVar w:name="DM_WB_C14760_METADATA" w:val="&lt;ChapterMetadata&gt;&lt;ChapterId&gt;14760&lt;/ChapterId&gt;&lt;ChapterName&gt;Significant accounting policies&lt;/ChapterName&gt;&lt;ChapterNoOfPages&gt;-1&lt;/ChapterNoOfPages&gt;&lt;ChapterVersion&gt;39&lt;/ChapterVersion&gt;&lt;/ChapterMetadata&gt;"/>
    <w:docVar w:name="DM_WB_C14762_METADATA" w:val="&lt;ChapterMetadata&gt;&lt;ChapterId&gt;14762&lt;/ChapterId&gt;&lt;ChapterName&gt;Exchange revenue&lt;/ChapterName&gt;&lt;ChapterNoOfPages&gt;-1&lt;/ChapterNoOfPages&gt;&lt;ChapterVersion&gt;1&lt;/ChapterVersion&gt;&lt;/ChapterMetadata&gt;"/>
    <w:docVar w:name="DM_WB_C14763_METADATA" w:val="&lt;ChapterMetadata&gt;&lt;ChapterId&gt;14763&lt;/ChapterId&gt;&lt;ChapterName&gt;Provisions&lt;/ChapterName&gt;&lt;ChapterNoOfPages&gt;-1&lt;/ChapterNoOfPages&gt;&lt;ChapterVersion&gt;31&lt;/ChapterVersion&gt;&lt;/ChapterMetadata&gt;"/>
    <w:docVar w:name="DM_WB_C14765_METADATA" w:val="&lt;ChapterMetadata&gt;&lt;ChapterId&gt;14765&lt;/ChapterId&gt;&lt;ChapterName&gt;Recovery of expenses&lt;/ChapterName&gt;&lt;ChapterNoOfPages&gt;-1&lt;/ChapterNoOfPages&gt;&lt;ChapterVersion&gt;23&lt;/ChapterVersion&gt;&lt;/ChapterMetadata&gt;"/>
    <w:docVar w:name="DM_WB_C14766_METADATA" w:val="&lt;ChapterMetadata&gt;&lt;ChapterId&gt;14766&lt;/ChapterId&gt;&lt;ChapterName&gt;GNI resources revenue&lt;/ChapterName&gt;&lt;ChapterNoOfPages&gt;-1&lt;/ChapterNoOfPages&gt;&lt;ChapterVersion&gt;4&lt;/ChapterVersion&gt;&lt;/ChapterMetadata&gt;"/>
    <w:docVar w:name="DM_WB_C14768_METADATA" w:val="&lt;ChapterMetadata&gt;&lt;ChapterId&gt;14768&lt;/ChapterId&gt;&lt;ChapterName&gt;Inventories&lt;/ChapterName&gt;&lt;ChapterNoOfPages&gt;-1&lt;/ChapterNoOfPages&gt;&lt;ChapterVersion&gt;17&lt;/ChapterVersion&gt;&lt;/ChapterMetadata&gt;"/>
    <w:docVar w:name="DM_WB_C14769_METADATA" w:val="&lt;ChapterMetadata&gt;&lt;ChapterId&gt;14769&lt;/ChapterId&gt;&lt;ChapterName&gt;Contingent liabilities and assets&lt;/ChapterName&gt;&lt;ChapterNoOfPages&gt;-1&lt;/ChapterNoOfPages&gt;&lt;ChapterVersion&gt;1&lt;/ChapterVersion&gt;&lt;/ChapterMetadata&gt;"/>
    <w:docVar w:name="DM_WB_C14770_METADATA" w:val="&lt;ChapterMetadata&gt;&lt;ChapterId&gt;14770&lt;/ChapterId&gt;&lt;ChapterName&gt;Pension and other employee benefits&lt;/ChapterName&gt;&lt;ChapterNoOfPages&gt;-1&lt;/ChapterNoOfPages&gt;&lt;ChapterVersion&gt;53&lt;/ChapterVersion&gt;&lt;/ChapterMetadata&gt;"/>
    <w:docVar w:name="DM_WB_C14772_METADATA" w:val="&lt;ChapterMetadata&gt;&lt;ChapterId&gt;14772&lt;/ChapterId&gt;&lt;ChapterName&gt;Intangible assets&lt;/ChapterName&gt;&lt;ChapterNoOfPages&gt;-1&lt;/ChapterNoOfPages&gt;&lt;ChapterVersion&gt;21&lt;/ChapterVersion&gt;&lt;/ChapterMetadata&gt;"/>
    <w:docVar w:name="DM_WB_C14773_METADATA" w:val="&lt;ChapterMetadata&gt;&lt;ChapterId&gt;14773&lt;/ChapterId&gt;&lt;ChapterName&gt;Table of contents (1)&lt;/ChapterName&gt;&lt;ChapterNoOfPages&gt;-1&lt;/ChapterNoOfPages&gt;&lt;ChapterVersion&gt;1&lt;/ChapterVersion&gt;&lt;/ChapterMetadata&gt;"/>
    <w:docVar w:name="DM_WB_C14774_METADATA" w:val="&lt;ChapterMetadata&gt;&lt;ChapterId&gt;14774&lt;/ChapterId&gt;&lt;ChapterName&gt;Interest rate risk&lt;/ChapterName&gt;&lt;ChapterNoOfPages&gt;-1&lt;/ChapterNoOfPages&gt;&lt;ChapterVersion&gt;24&lt;/ChapterVersion&gt;&lt;/ChapterMetadata&gt;"/>
    <w:docVar w:name="DM_WB_C14777_METADATA" w:val="&lt;ChapterMetadata&gt;&lt;ChapterId&gt;14777&lt;/ChapterId&gt;&lt;ChapterName&gt;Financial liabilities&lt;/ChapterName&gt;&lt;ChapterNoOfPages&gt;-1&lt;/ChapterNoOfPages&gt;&lt;ChapterVersion&gt;41&lt;/ChapterVersion&gt;&lt;/ChapterMetadata&gt;"/>
    <w:docVar w:name="DM_WB_C14780_METADATA" w:val="&lt;ChapterMetadata&gt;&lt;ChapterId&gt;14780&lt;/ChapterId&gt;&lt;ChapterName&gt;Fines&lt;/ChapterName&gt;&lt;ChapterNoOfPages&gt;-1&lt;/ChapterNoOfPages&gt;&lt;ChapterVersion&gt;5&lt;/ChapterVersion&gt;&lt;/ChapterMetadata&gt;"/>
    <w:docVar w:name="DM_WB_C14781_METADATA" w:val="&lt;ChapterMetadata&gt;&lt;ChapterId&gt;14781&lt;/ChapterId&gt;&lt;ChapterName&gt;VAT resources&lt;/ChapterName&gt;&lt;ChapterNoOfPages&gt;-1&lt;/ChapterNoOfPages&gt;&lt;ChapterVersion&gt;4&lt;/ChapterVersion&gt;&lt;/ChapterMetadata&gt;"/>
    <w:docVar w:name="DM_WB_C14782_METADATA" w:val="&lt;ChapterMetadata&gt;&lt;ChapterId&gt;14782&lt;/ChapterId&gt;&lt;ChapterName&gt;Net assets - Amounts to be called from member states&lt;/ChapterName&gt;&lt;ChapterNoOfPages&gt;-1&lt;/ChapterNoOfPages&gt;&lt;ChapterVersion&gt;28&lt;/ChapterVersion&gt;&lt;/ChapterMetadata&gt;"/>
    <w:docVar w:name="DM_WB_C14783_METADATA" w:val="&lt;ChapterMetadata&gt;&lt;ChapterId&gt;14783&lt;/ChapterId&gt;&lt;ChapterName&gt;Assets&lt;/ChapterName&gt;&lt;ChapterNoOfPages&gt;-1&lt;/ChapterNoOfPages&gt;&lt;ChapterVersion&gt;1&lt;/ChapterVersion&gt;&lt;/ChapterMetadata&gt;"/>
    <w:docVar w:name="DM_WB_C14784_METADATA" w:val="&lt;ChapterMetadata&gt;&lt;ChapterId&gt;14784&lt;/ChapterId&gt;&lt;ChapterName&gt;Non-exchange revenue Own Resources&lt;/ChapterName&gt;&lt;ChapterNoOfPages&gt;-1&lt;/ChapterNoOfPages&gt;&lt;ChapterVersion&gt;1&lt;/ChapterVersion&gt;&lt;/ChapterMetadata&gt;"/>
    <w:docVar w:name="DM_WB_C14787_METADATA" w:val="&lt;ChapterMetadata&gt;&lt;ChapterId&gt;14787&lt;/ChapterId&gt;&lt;ChapterName&gt;Events after balance sheet date&lt;/ChapterName&gt;&lt;ChapterNoOfPages&gt;-1&lt;/ChapterNoOfPages&gt;&lt;ChapterVersion&gt;5&lt;/ChapterVersion&gt;&lt;/ChapterMetadata&gt;"/>
    <w:docVar w:name="DM_WB_C14788_METADATA" w:val="&lt;ChapterMetadata&gt;&lt;ChapterId&gt;14788&lt;/ChapterId&gt;&lt;ChapterName&gt;Budgetary and legal commitments&lt;/ChapterName&gt;&lt;ChapterNoOfPages&gt;-1&lt;/ChapterNoOfPages&gt;&lt;ChapterVersion&gt;30&lt;/ChapterVersion&gt;&lt;/ChapterMetadata&gt;"/>
    <w:docVar w:name="DM_WB_C14789_METADATA" w:val="&lt;ChapterMetadata&gt;&lt;ChapterId&gt;14789&lt;/ChapterId&gt;&lt;ChapterName&gt;Liquidity risk&lt;/ChapterName&gt;&lt;ChapterNoOfPages&gt;-1&lt;/ChapterNoOfPages&gt;&lt;ChapterVersion&gt;29&lt;/ChapterVersion&gt;&lt;/ChapterMetadata&gt;"/>
    <w:docVar w:name="DM_WB_C14790_METADATA" w:val="&lt;ChapterMetadata&gt;&lt;ChapterId&gt;14790&lt;/ChapterId&gt;&lt;ChapterName&gt;Cashflow statement&lt;/ChapterName&gt;&lt;ChapterNoOfPages&gt;-1&lt;/ChapterNoOfPages&gt;&lt;ChapterVersion&gt;19&lt;/ChapterVersion&gt;&lt;/ChapterMetadata&gt;"/>
    <w:docVar w:name="DM_WB_C14791_METADATA" w:val="&lt;ChapterMetadata&gt;&lt;ChapterId&gt;14791&lt;/ChapterId&gt;&lt;ChapterName&gt;Consolidated financial statements and explanatory notes&lt;/ChapterName&gt;&lt;ChapterNoOfPages&gt;-1&lt;/ChapterNoOfPages&gt;&lt;ChapterVersion&gt;2&lt;/ChapterVersion&gt;&lt;/ChapterMetadata&gt;"/>
    <w:docVar w:name="DM_WB_C14792_METADATA" w:val="&lt;ChapterMetadata&gt;&lt;ChapterId&gt;14792&lt;/ChapterId&gt;&lt;ChapterName&gt;Financial assets&lt;/ChapterName&gt;&lt;ChapterNoOfPages&gt;-1&lt;/ChapterNoOfPages&gt;&lt;ChapterVersion&gt;60&lt;/ChapterVersion&gt;&lt;/ChapterMetadata&gt;"/>
    <w:docVar w:name="DM_WB_C14793_METADATA" w:val="&lt;ChapterMetadata&gt;&lt;ChapterId&gt;14793&lt;/ChapterId&gt;&lt;ChapterName&gt;Notes to the balance sheet&lt;/ChapterName&gt;&lt;ChapterNoOfPages&gt;-1&lt;/ChapterNoOfPages&gt;&lt;ChapterVersion&gt;1&lt;/ChapterVersion&gt;&lt;/ChapterMetadata&gt;"/>
    <w:docVar w:name="DM_WB_C14794_METADATA" w:val="&lt;ChapterMetadata&gt;&lt;ChapterId&gt;14794&lt;/ChapterId&gt;&lt;ChapterName&gt;Expenses - Transfer payments and subsidies by management mode&lt;/ChapterName&gt;&lt;ChapterNoOfPages&gt;-1&lt;/ChapterNoOfPages&gt;&lt;ChapterVersion&gt;1&lt;/ChapterVersion&gt;&lt;/ChapterMetadata&gt;"/>
    <w:docVar w:name="DM_WB_C14795_METADATA" w:val="&lt;ChapterMetadata&gt;&lt;ChapterId&gt;14795&lt;/ChapterId&gt;&lt;ChapterName&gt;Related party disclosures&lt;/ChapterName&gt;&lt;ChapterNoOfPages&gt;-1&lt;/ChapterNoOfPages&gt;&lt;ChapterVersion&gt;20&lt;/ChapterVersion&gt;&lt;/ChapterMetadata&gt;"/>
    <w:docVar w:name="DM_WB_C14796_METADATA" w:val="&lt;ChapterMetadata&gt;&lt;ChapterId&gt;14796&lt;/ChapterId&gt;&lt;ChapterName&gt;Direct management&lt;/ChapterName&gt;&lt;ChapterNoOfPages&gt;-1&lt;/ChapterNoOfPages&gt;&lt;ChapterVersion&gt;21&lt;/ChapterVersion&gt;&lt;/ChapterMetadata&gt;"/>
    <w:docVar w:name="DM_WB_C14798_METADATA" w:val="&lt;ChapterMetadata&gt;&lt;ChapterId&gt;14798&lt;/ChapterId&gt;&lt;ChapterName&gt;Net assets - Reserves&lt;/ChapterName&gt;&lt;ChapterNoOfPages&gt;-1&lt;/ChapterNoOfPages&gt;&lt;ChapterVersion&gt;20&lt;/ChapterVersion&gt;&lt;/ChapterMetadata&gt;"/>
    <w:docVar w:name="DM_WB_C14799_METADATA" w:val="&lt;ChapterMetadata&gt;&lt;ChapterId&gt;14799&lt;/ChapterId&gt;&lt;ChapterName&gt;Pre-financing&lt;/ChapterName&gt;&lt;ChapterNoOfPages&gt;-1&lt;/ChapterNoOfPages&gt;&lt;ChapterVersion&gt;37&lt;/ChapterVersion&gt;&lt;/ChapterMetadata&gt;"/>
    <w:docVar w:name="DM_WB_C14800_METADATA" w:val="&lt;ChapterMetadata&gt;&lt;ChapterId&gt;14800&lt;/ChapterId&gt;&lt;ChapterName&gt;Investments accounted for using the equity method&lt;/ChapterName&gt;&lt;ChapterNoOfPages&gt;-1&lt;/ChapterNoOfPages&gt;&lt;ChapterVersion&gt;23&lt;/ChapterVersion&gt;&lt;/ChapterMetadata&gt;"/>
    <w:docVar w:name="DM_WB_C14801_METADATA" w:val="&lt;ChapterMetadata&gt;&lt;ChapterId&gt;14801&lt;/ChapterId&gt;&lt;ChapterName&gt;Financial risk management&lt;/ChapterName&gt;&lt;ChapterNoOfPages&gt;-1&lt;/ChapterNoOfPages&gt;&lt;ChapterVersion&gt;11&lt;/ChapterVersion&gt;&lt;/ChapterMetadata&gt;"/>
    <w:docVar w:name="DM_WB_C14803_METADATA" w:val="&lt;ChapterMetadata&gt;&lt;ChapterId&gt;14803&lt;/ChapterId&gt;&lt;ChapterName&gt;Statement of financial performance&lt;/ChapterName&gt;&lt;ChapterNoOfPages&gt;-1&lt;/ChapterNoOfPages&gt;&lt;ChapterVersion&gt;23&lt;/ChapterVersion&gt;&lt;/ChapterMetadata&gt;"/>
    <w:docVar w:name="DM_WB_C14804_METADATA" w:val="&lt;ChapterMetadata&gt;&lt;ChapterId&gt;14804&lt;/ChapterId&gt;&lt;ChapterName&gt;Credit risk&lt;/ChapterName&gt;&lt;ChapterNoOfPages&gt;-1&lt;/ChapterNoOfPages&gt;&lt;ChapterVersion&gt;39&lt;/ChapterVersion&gt;&lt;/ChapterMetadata&gt;"/>
    <w:docVar w:name="DM_WB_C14805_METADATA" w:val="&lt;ChapterMetadata&gt;&lt;ChapterId&gt;14805&lt;/ChapterId&gt;&lt;ChapterName&gt;Traditional own resources&lt;/ChapterName&gt;&lt;ChapterNoOfPages&gt;-1&lt;/ChapterNoOfPages&gt;&lt;ChapterVersion&gt;20&lt;/ChapterVersion&gt;&lt;/ChapterMetadata&gt;"/>
    <w:docVar w:name="DM_WB_C14809_METADATA" w:val="&lt;ChapterMetadata&gt;&lt;ChapterId&gt;14809&lt;/ChapterId&gt;&lt;ChapterName&gt;Table of Content 3&lt;/ChapterName&gt;&lt;ChapterNoOfPages&gt;-1&lt;/ChapterNoOfPages&gt;&lt;ChapterVersion&gt;1&lt;/ChapterVersion&gt;&lt;/ChapterMetadata&gt;"/>
    <w:docVar w:name="DM_WB_C14810_METADATA" w:val="&lt;ChapterMetadata&gt;&lt;ChapterId&gt;14810&lt;/ChapterId&gt;&lt;ChapterName&gt;Notes on the implementation of the budget MFF annual budget policy areas&lt;/ChapterName&gt;&lt;ChapterNoOfPages&gt;-1&lt;/ChapterNoOfPages&gt;&lt;ChapterVersion&gt;21&lt;/ChapterVersion&gt;&lt;/ChapterMetadata&gt;"/>
    <w:docVar w:name="DM_WB_C14821_METADATA" w:val="&lt;ChapterMetadata&gt;&lt;ChapterId&gt;14821&lt;/ChapterId&gt;&lt;ChapterName&gt;Budgetary implementation reports and explanatory notes&lt;/ChapterName&gt;&lt;ChapterNoOfPages&gt;-1&lt;/ChapterNoOfPages&gt;&lt;ChapterVersion&gt;2&lt;/ChapterVersion&gt;&lt;/ChapterMetadata&gt;"/>
    <w:docVar w:name="DM_WB_C14864_METADATA" w:val="&lt;ChapterMetadata&gt;&lt;ChapterId&gt;14864&lt;/ChapterId&gt;&lt;ChapterName&gt;Glossary EU&lt;/ChapterName&gt;&lt;ChapterNoOfPages&gt;-1&lt;/ChapterNoOfPages&gt;&lt;ChapterVersion&gt;3&lt;/ChapterVersion&gt;&lt;/ChapterMetadata&gt;"/>
    <w:docVar w:name="DM_WB_C14865_METADATA" w:val="&lt;ChapterMetadata&gt;&lt;ChapterId&gt;14865&lt;/ChapterId&gt;&lt;ChapterName&gt;Highlights EU&lt;/ChapterName&gt;&lt;ChapterNoOfPages&gt;-1&lt;/ChapterNoOfPages&gt;&lt;ChapterVersion&gt;16&lt;/ChapterVersion&gt;&lt;/ChapterMetadata&gt;"/>
    <w:docVar w:name="DM_WB_C14867_METADATA" w:val="&lt;ChapterMetadata&gt;&lt;ChapterId&gt;14867&lt;/ChapterId&gt;&lt;ChapterName&gt;Significant accounting policies - Title&lt;/ChapterName&gt;&lt;ChapterNoOfPages&gt;-1&lt;/ChapterNoOfPages&gt;&lt;ChapterVersion&gt;1&lt;/ChapterVersion&gt;&lt;/ChapterMetadata&gt;"/>
    <w:docVar w:name="DM_WB_C14868_METADATA" w:val="&lt;ChapterMetadata&gt;&lt;ChapterId&gt;14868&lt;/ChapterId&gt;&lt;ChapterName&gt;Foreword&lt;/ChapterName&gt;&lt;ChapterNoOfPages&gt;-1&lt;/ChapterNoOfPages&gt;&lt;ChapterVersion&gt;6&lt;/ChapterVersion&gt;&lt;/ChapterMetadata&gt;"/>
    <w:docVar w:name="DM_WB_C14869_METADATA" w:val="&lt;ChapterMetadata&gt;&lt;ChapterId&gt;14869&lt;/ChapterId&gt;&lt;ChapterName&gt;Currency risks - sensitivity and text&lt;/ChapterName&gt;&lt;ChapterNoOfPages&gt;-1&lt;/ChapterNoOfPages&gt;&lt;ChapterVersion&gt;23&lt;/ChapterVersion&gt;&lt;/ChapterMetadata&gt;"/>
    <w:docVar w:name="DM_WB_C14871_METADATA" w:val="&lt;ChapterMetadata&gt;&lt;ChapterId&gt;14871&lt;/ChapterId&gt;&lt;ChapterName&gt;Notes EU bugdet Revenue Expenditure of year&lt;/ChapterName&gt;&lt;ChapterNoOfPages&gt;-1&lt;/ChapterNoOfPages&gt;&lt;ChapterVersion&gt;8&lt;/ChapterVersion&gt;&lt;/ChapterMetadata&gt;"/>
    <w:docVar w:name="DM_WB_C14872_METADATA" w:val="&lt;ChapterMetadata&gt;&lt;ChapterId&gt;14872&lt;/ChapterId&gt;&lt;ChapterName&gt;EU Budget Result and Statements of Comparison&lt;/ChapterName&gt;&lt;ChapterNoOfPages&gt;-1&lt;/ChapterNoOfPages&gt;&lt;ChapterVersion&gt;40&lt;/ChapterVersion&gt;&lt;/ChapterMetadata&gt;"/>
    <w:docVar w:name="DM_WB_C14874_METADATA" w:val="&lt;ChapterMetadata&gt;&lt;ChapterId&gt;14874&lt;/ChapterId&gt;&lt;ChapterName&gt;Implementation of EU budget expenditure&lt;/ChapterName&gt;&lt;ChapterNoOfPages&gt;-1&lt;/ChapterNoOfPages&gt;&lt;ChapterVersion&gt;44&lt;/ChapterVersion&gt;&lt;/ChapterMetadata&gt;"/>
    <w:docVar w:name="DM_WB_C14875_METADATA" w:val="&lt;ChapterMetadata&gt;&lt;ChapterId&gt;14875&lt;/ChapterId&gt;&lt;ChapterName&gt;Notes to the reconciliation of economic result with budget result&lt;/ChapterName&gt;&lt;ChapterNoOfPages&gt;-1&lt;/ChapterNoOfPages&gt;&lt;ChapterVersion&gt;24&lt;/ChapterVersion&gt;&lt;/ChapterMetadata&gt;"/>
    <w:docVar w:name="DM_WB_C14877_METADATA" w:val="&lt;ChapterMetadata&gt;&lt;ChapterId&gt;14877&lt;/ChapterId&gt;&lt;ChapterName&gt;Implementation of the agencies budget&lt;/ChapterName&gt;&lt;ChapterNoOfPages&gt;-1&lt;/ChapterNoOfPages&gt;&lt;ChapterVersion&gt;26&lt;/ChapterVersion&gt;&lt;/ChapterMetadata&gt;"/>
    <w:docVar w:name="DM_WB_C14878_METADATA" w:val="&lt;ChapterMetadata&gt;&lt;ChapterId&gt;14878&lt;/ChapterId&gt;&lt;ChapterName&gt;Notes revenue general and calculation budget result&lt;/ChapterName&gt;&lt;ChapterNoOfPages&gt;-1&lt;/ChapterNoOfPages&gt;&lt;ChapterVersion&gt;4&lt;/ChapterVersion&gt;&lt;/ChapterMetadata&gt;"/>
    <w:docVar w:name="DM_WB_C14879_METADATA" w:val="&lt;ChapterMetadata&gt;&lt;ChapterId&gt;14879&lt;/ChapterId&gt;&lt;ChapterName&gt;Implementation of the budget by institution&lt;/ChapterName&gt;&lt;ChapterNoOfPages&gt;-1&lt;/ChapterNoOfPages&gt;&lt;ChapterVersion&gt;30&lt;/ChapterVersion&gt;&lt;/ChapterMetadata&gt;"/>
    <w:docVar w:name="DM_WB_C14880_METADATA" w:val="&lt;ChapterMetadata&gt;&lt;ChapterId&gt;14880&lt;/ChapterId&gt;&lt;ChapterName&gt;Implementation of EU budget revenue&lt;/ChapterName&gt;&lt;ChapterNoOfPages&gt;-1&lt;/ChapterNoOfPages&gt;&lt;ChapterVersion&gt;21&lt;/ChapterVersion&gt;&lt;/ChapterMetadata&gt;"/>
    <w:docVar w:name="DM_WB_C14881_METADATA" w:val="&lt;ChapterMetadata&gt;&lt;ChapterId&gt;14881&lt;/ChapterId&gt;&lt;ChapterName&gt;List of abbreviations EU&lt;/ChapterName&gt;&lt;ChapterNoOfPages&gt;-1&lt;/ChapterNoOfPages&gt;&lt;ChapterVersion&gt;1&lt;/ChapterVersion&gt;&lt;/ChapterMetadata&gt;"/>
    <w:docVar w:name="doc_tbl00002_1_1" w:val="|@|1|2057"/>
    <w:docVar w:name="doc_tbl00006_1_1" w:val="Type of asset|@|1|2057"/>
    <w:docVar w:name="doc_tbl00008_1_1" w:val="|@|1|2057"/>
    <w:docVar w:name="doc_tbl00019_1_1" w:val="|@|1|2057"/>
    <w:docVar w:name="doc_tbl00033_1_1" w:val="|@|1|2057"/>
    <w:docVar w:name="doc_tbl00034_1_1" w:val="|@|1|2057"/>
    <w:docVar w:name="doc_tbl00035_1_1" w:val="|@|1|2057"/>
    <w:docVar w:name="doc_tbl00037_1_1" w:val="|@|1|2057"/>
    <w:docVar w:name="doc_tbl00072_1_1" w:val="|@|1|2057"/>
    <w:docVar w:name="doc_tbl00093_1_1" w:val="|@|1|2057"/>
    <w:docVar w:name="DocStatus" w:val="Green"/>
    <w:docVar w:name="LW_COVERPAGE_EXISTS" w:val="True"/>
    <w:docVar w:name="LW_COVERPAGE_GUID" w:val="EE3AB5B1-AC78-4F51-AC99-D99805FD143B"/>
    <w:docVar w:name="LW_COVERPAGE_TYPE" w:val="1"/>
    <w:docVar w:name="LW_CROSSREFERENCE" w:val="&lt;UNUSED&gt;"/>
    <w:docVar w:name="LW_DocType" w:val="TEMPLATE_BEKOU_2014"/>
    <w:docVar w:name="LW_EMISSION" w:val="26.6.2019"/>
    <w:docVar w:name="LW_EMISSION_ISODATE" w:val="2019-06-26"/>
    <w:docVar w:name="LW_EMISSION_LOCATION" w:val="BRX"/>
    <w:docVar w:name="LW_EMISSION_PREFIX" w:val="Bryssel "/>
    <w:docVar w:name="LW_EMISSION_SUFFIX" w:val=" "/>
    <w:docVar w:name="LW_ID_DOCTYPE_NONLW" w:val="CP-040"/>
    <w:docVar w:name="LW_INTERETEEE.CP" w:val="&lt;UNUSED&gt;"/>
    <w:docVar w:name="LW_LANGUE" w:val="FI"/>
    <w:docVar w:name="LW_LANGUESFAISANTFOI.CP" w:val="&lt;UNUSED&gt;"/>
    <w:docVar w:name="LW_LEVEL_OF_SENSITIVITY" w:val="Standard treatment"/>
    <w:docVar w:name="LW_NOM.INST" w:val="EUROOPAN KOMISSIO"/>
    <w:docVar w:name="LW_NOM.INST_JOINTDOC" w:val="&lt;EMPTY&gt;"/>
    <w:docVar w:name="LW_PART_NBR" w:val="1"/>
    <w:docVar w:name="LW_PART_NBR_TOTAL" w:val="1"/>
    <w:docVar w:name="LW_REF.INST.NEW" w:val="COM"/>
    <w:docVar w:name="LW_REF.INST.NEW_ADOPTED" w:val="final"/>
    <w:docVar w:name="LW_REF.INST.NEW_TEXT" w:val="(2019) 31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EUROOPAN UNIONIN KONSOLIDOITU TILINPÄÄTÖS - _x000d__x000b_VARAINHOITOVUOSI 2018_x000d__x000d__x000d__x000b_"/>
    <w:docVar w:name="LW_TYPE.DOC.CP" w:val="KOMISSION TIEDONANTO EUROOPAN PARLAMENTILLE, NEUVOSTOLLE JA TILINTARKASTUSTUOMIOISTUIMELLE"/>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i-FI" w:eastAsia="fi-FI" w:bidi="fi-FI"/>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pPr>
      <w:spacing w:before="240" w:after="720" w:line="360" w:lineRule="auto"/>
      <w:ind w:left="2268"/>
    </w:pPr>
    <w:rPr>
      <w:rFonts w:ascii="Verdana" w:hAnsi="Verdana"/>
      <w:color w:val="016794"/>
      <w:sz w:val="52"/>
      <w:szCs w:val="52"/>
    </w:rPr>
  </w:style>
  <w:style w:type="paragraph" w:customStyle="1" w:styleId="FIRSTCHAPTERPAGE">
    <w:name w:val="FIRST_CHAPTER_PAGE"/>
    <w:basedOn w:val="Normal"/>
    <w:qFormat/>
    <w:pPr>
      <w:spacing w:before="240" w:after="720"/>
    </w:pPr>
    <w:rPr>
      <w:rFonts w:ascii="Verdana" w:hAnsi="Verdana"/>
      <w:b/>
      <w:color w:val="016794"/>
      <w:sz w:val="40"/>
      <w:szCs w:val="4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eastAsia="Times New Roman" w:hAnsi="Tahoma" w:cs="Tahoma"/>
      <w:sz w:val="16"/>
      <w:szCs w:val="16"/>
      <w:lang w:eastAsia="fi-FI"/>
    </w:rPr>
  </w:style>
  <w:style w:type="paragraph" w:customStyle="1" w:styleId="FinancialYear">
    <w:name w:val="Financial_Year"/>
    <w:basedOn w:val="Normal"/>
    <w:qFormat/>
    <w:pPr>
      <w:jc w:val="right"/>
    </w:pPr>
    <w:rPr>
      <w:rFonts w:ascii="Verdana" w:hAnsi="Verdana"/>
      <w:color w:val="016794"/>
      <w:sz w:val="22"/>
      <w:szCs w:val="22"/>
    </w:rPr>
  </w:style>
  <w:style w:type="paragraph" w:customStyle="1" w:styleId="TOPHEADERNOTE">
    <w:name w:val="TOPHEADER_NOTE"/>
    <w:basedOn w:val="Normal"/>
    <w:qFormat/>
    <w:rPr>
      <w:rFonts w:ascii="Verdana" w:hAnsi="Verdana"/>
      <w:i/>
      <w:color w:val="016794"/>
      <w:sz w:val="18"/>
    </w:rPr>
  </w:style>
  <w:style w:type="paragraph" w:customStyle="1" w:styleId="HEADERTABLE">
    <w:name w:val="HEADER_TABLE"/>
    <w:basedOn w:val="Normal"/>
    <w:qFormat/>
    <w:pPr>
      <w:spacing w:after="240"/>
    </w:pPr>
    <w:rPr>
      <w:rFonts w:ascii="Verdana" w:hAnsi="Verdana"/>
      <w:b/>
      <w:color w:val="016794"/>
      <w:sz w:val="28"/>
      <w:szCs w:val="28"/>
    </w:rPr>
  </w:style>
  <w:style w:type="paragraph" w:customStyle="1" w:styleId="Textstand-alonenumberingLetters">
    <w:name w:val="Text_stand-alone_(numbering Letters)"/>
    <w:basedOn w:val="Normal"/>
    <w:qFormat/>
    <w:pPr>
      <w:numPr>
        <w:numId w:val="2"/>
      </w:numPr>
      <w:spacing w:after="240"/>
      <w:ind w:hanging="720"/>
    </w:pPr>
    <w:rPr>
      <w:rFonts w:ascii="Verdana" w:hAnsi="Verdana"/>
      <w:sz w:val="18"/>
      <w:szCs w:val="18"/>
    </w:rPr>
  </w:style>
  <w:style w:type="paragraph" w:customStyle="1" w:styleId="SignatureRightItalic">
    <w:name w:val="Signature_Right + Italic"/>
    <w:basedOn w:val="Normal"/>
    <w:qFormat/>
    <w:pPr>
      <w:spacing w:before="240"/>
      <w:ind w:left="4394" w:right="1128"/>
      <w:jc w:val="center"/>
    </w:pPr>
    <w:rPr>
      <w:rFonts w:ascii="Verdana" w:hAnsi="Verdana"/>
      <w:i/>
      <w:sz w:val="18"/>
      <w:szCs w:val="18"/>
    </w:rPr>
  </w:style>
  <w:style w:type="paragraph" w:customStyle="1" w:styleId="HEADER3Part1">
    <w:name w:val="HEADER 3_Part 1"/>
    <w:basedOn w:val="Normal"/>
    <w:qFormat/>
    <w:pPr>
      <w:numPr>
        <w:ilvl w:val="2"/>
        <w:numId w:val="4"/>
      </w:numPr>
      <w:tabs>
        <w:tab w:val="left" w:pos="907"/>
      </w:tabs>
      <w:spacing w:before="360" w:after="360"/>
    </w:pPr>
    <w:rPr>
      <w:rFonts w:ascii="Verdana" w:hAnsi="Verdana"/>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pPr>
      <w:numPr>
        <w:numId w:val="11"/>
      </w:numPr>
      <w:ind w:left="992" w:hanging="635"/>
    </w:pPr>
    <w:rPr>
      <w:rFonts w:ascii="Verdana" w:hAnsi="Verdana"/>
      <w:sz w:val="18"/>
      <w:szCs w:val="18"/>
    </w:rPr>
  </w:style>
  <w:style w:type="paragraph" w:customStyle="1" w:styleId="HEADER1Part2">
    <w:name w:val="HEADER 1_Part 2"/>
    <w:basedOn w:val="Normal"/>
    <w:qFormat/>
    <w:pPr>
      <w:numPr>
        <w:numId w:val="10"/>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rPr>
      <w:rFonts w:ascii="Verdana" w:hAnsi="Verdana"/>
      <w:color w:val="016794"/>
      <w:sz w:val="18"/>
      <w:szCs w:val="18"/>
    </w:rPr>
  </w:style>
  <w:style w:type="paragraph" w:customStyle="1" w:styleId="TOCTitle">
    <w:name w:val="TOC_Title"/>
    <w:basedOn w:val="Normal"/>
    <w:qFormat/>
    <w:pPr>
      <w:spacing w:before="360" w:after="120"/>
    </w:pPr>
    <w:rPr>
      <w:rFonts w:ascii="Verdana" w:hAnsi="Verdana"/>
      <w:b/>
      <w:color w:val="016794"/>
      <w:sz w:val="40"/>
      <w:szCs w:val="40"/>
    </w:rPr>
  </w:style>
  <w:style w:type="paragraph" w:customStyle="1" w:styleId="HEADER1Part3">
    <w:name w:val="HEADER 1_Part 3"/>
    <w:basedOn w:val="Normal"/>
    <w:qFormat/>
    <w:pPr>
      <w:numPr>
        <w:numId w:val="5"/>
      </w:numPr>
      <w:tabs>
        <w:tab w:val="left" w:pos="907"/>
      </w:tabs>
      <w:spacing w:after="240"/>
    </w:pPr>
    <w:rPr>
      <w:rFonts w:ascii="Verdana" w:hAnsi="Verdana"/>
      <w:b/>
      <w:color w:val="016794"/>
      <w:sz w:val="32"/>
      <w:szCs w:val="32"/>
    </w:rPr>
  </w:style>
  <w:style w:type="paragraph" w:customStyle="1" w:styleId="HEADER2Part3">
    <w:name w:val="HEADER 2_Part 3"/>
    <w:basedOn w:val="Normal"/>
    <w:qFormat/>
    <w:pPr>
      <w:numPr>
        <w:ilvl w:val="1"/>
        <w:numId w:val="5"/>
      </w:numPr>
      <w:tabs>
        <w:tab w:val="left" w:pos="907"/>
      </w:tabs>
      <w:spacing w:before="360" w:after="360"/>
    </w:pPr>
    <w:rPr>
      <w:rFonts w:ascii="Verdana" w:hAnsi="Verdana"/>
      <w:b/>
      <w:noProof/>
      <w:color w:val="016794"/>
      <w:sz w:val="28"/>
      <w:szCs w:val="30"/>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jc w:val="both"/>
    </w:pPr>
    <w:rPr>
      <w:rFonts w:ascii="Verdana" w:hAnsi="Verdana"/>
      <w:noProof/>
      <w:sz w:val="18"/>
      <w:szCs w:val="18"/>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ind w:left="720"/>
    </w:pPr>
    <w:rPr>
      <w:rFonts w:ascii="Verdana" w:hAnsi="Verdana"/>
      <w:sz w:val="18"/>
      <w:szCs w:val="18"/>
    </w:rPr>
  </w:style>
  <w:style w:type="paragraph" w:styleId="Footer">
    <w:name w:val="footer"/>
    <w:basedOn w:val="Normal"/>
    <w:link w:val="FooterChar"/>
    <w:uiPriority w:val="99"/>
    <w:pPr>
      <w:tabs>
        <w:tab w:val="center" w:pos="4677"/>
        <w:tab w:val="right" w:pos="9355"/>
      </w:tabs>
    </w:pPr>
  </w:style>
  <w:style w:type="character" w:customStyle="1" w:styleId="FooterChar">
    <w:name w:val="Footer Char"/>
    <w:link w:val="Footer"/>
    <w:uiPriority w:val="99"/>
    <w:rPr>
      <w:rFonts w:ascii="Times New Roman" w:eastAsia="Times New Roman" w:hAnsi="Times New Roman" w:cs="Times New Roman"/>
      <w:sz w:val="24"/>
      <w:szCs w:val="24"/>
      <w:lang w:eastAsia="fi-FI"/>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rPr>
      <w:rFonts w:ascii="Times New Roman" w:eastAsia="Times New Roman" w:hAnsi="Times New Roman" w:cs="Times New Roman"/>
      <w:sz w:val="24"/>
      <w:szCs w:val="24"/>
      <w:lang w:eastAsia="fi-FI"/>
    </w:rPr>
  </w:style>
  <w:style w:type="character" w:customStyle="1" w:styleId="Heading1Char">
    <w:name w:val="Heading 1 Char"/>
    <w:link w:val="Heading1"/>
    <w:rPr>
      <w:rFonts w:ascii="Cambria" w:eastAsia="Times New Roman" w:hAnsi="Cambria" w:cs="Times New Roman"/>
      <w:b/>
      <w:bCs/>
      <w:color w:val="365F91"/>
      <w:sz w:val="28"/>
      <w:szCs w:val="28"/>
      <w:lang w:eastAsia="fi-FI"/>
    </w:rPr>
  </w:style>
  <w:style w:type="character" w:styleId="Hyperlink">
    <w:name w:val="Hyperlink"/>
    <w:uiPriority w:val="99"/>
    <w:rPr>
      <w:color w:val="0000FF"/>
      <w:u w:val="single"/>
    </w:rPr>
  </w:style>
  <w:style w:type="character" w:customStyle="1" w:styleId="Marker">
    <w:name w:val="Marker"/>
    <w:rPr>
      <w:color w:val="0000FF"/>
      <w:shd w:val="clear" w:color="auto" w:fill="auto"/>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pPr>
      <w:numPr>
        <w:numId w:val="1"/>
      </w:numPr>
    </w:pPr>
    <w:rPr>
      <w:rFonts w:ascii="Verdana" w:hAnsi="Verdana"/>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ind w:left="567" w:hanging="567"/>
      <w:jc w:val="both"/>
    </w:pPr>
    <w:rPr>
      <w:rFonts w:ascii="Verdana" w:eastAsia="Calibri" w:hAnsi="Verdana"/>
      <w:noProof/>
      <w:sz w:val="18"/>
      <w:szCs w:val="18"/>
      <w:bdr w:val="nil"/>
    </w:rPr>
  </w:style>
  <w:style w:type="paragraph" w:customStyle="1" w:styleId="Textstand-alonenumberingJustified">
    <w:name w:val="Text_stand-alone_(numbering) + Justified"/>
    <w:basedOn w:val="Normal"/>
    <w:qFormat/>
    <w:pPr>
      <w:numPr>
        <w:numId w:val="6"/>
      </w:numPr>
      <w:spacing w:after="240"/>
      <w:ind w:hanging="720"/>
      <w:jc w:val="both"/>
    </w:pPr>
    <w:rPr>
      <w:rFonts w:ascii="Verdana" w:hAnsi="Verdana"/>
      <w:sz w:val="18"/>
      <w:szCs w:val="18"/>
    </w:rPr>
  </w:style>
  <w:style w:type="paragraph" w:customStyle="1" w:styleId="Textstand-aloneBulletpoint">
    <w:name w:val="Text_stand-alone Bullet point"/>
    <w:basedOn w:val="Normal"/>
    <w:qFormat/>
    <w:pPr>
      <w:numPr>
        <w:numId w:val="9"/>
      </w:numPr>
      <w:spacing w:after="240"/>
      <w:ind w:left="357" w:hanging="357"/>
      <w:contextualSpacing/>
    </w:pPr>
    <w:rPr>
      <w:rFonts w:ascii="Verdana" w:hAnsi="Verdana"/>
      <w:sz w:val="18"/>
      <w:szCs w:val="18"/>
    </w:rPr>
  </w:style>
  <w:style w:type="paragraph" w:customStyle="1" w:styleId="TextSubtitleItalicnumberinglettera">
    <w:name w:val="Text_Subtitle Italic numbering letter (a)"/>
    <w:basedOn w:val="Normal"/>
    <w:qFormat/>
    <w:pPr>
      <w:numPr>
        <w:numId w:val="3"/>
      </w:numPr>
      <w:ind w:left="357" w:hanging="357"/>
    </w:pPr>
    <w:rPr>
      <w:rFonts w:ascii="Verdana" w:hAnsi="Verdana"/>
      <w:i/>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rFonts w:ascii="Times New Roman" w:hAnsi="Times New Roma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hAnsi="Times New Roman"/>
      <w:b/>
      <w:bCs/>
    </w:rPr>
  </w:style>
  <w:style w:type="paragraph" w:customStyle="1" w:styleId="DGTextstand-alonenumbering">
    <w:name w:val="DG_Text_stand-alone_(numbering)"/>
    <w:qFormat/>
    <w:pPr>
      <w:numPr>
        <w:numId w:val="12"/>
      </w:numPr>
      <w:spacing w:after="240"/>
      <w:ind w:hanging="720"/>
    </w:pPr>
    <w:rPr>
      <w:rFonts w:ascii="Verdana" w:hAnsi="Verdana"/>
      <w:noProof/>
      <w:sz w:val="18"/>
      <w:szCs w:val="18"/>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Heading">
    <w:name w:val="TOC Heading"/>
    <w:basedOn w:val="Heading1"/>
    <w:next w:val="Normal"/>
    <w:uiPriority w:val="39"/>
    <w:unhideWhenUsed/>
    <w:qFormat/>
    <w:pPr>
      <w:spacing w:line="276" w:lineRule="auto"/>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qFormat/>
    <w:pPr>
      <w:spacing w:after="100"/>
    </w:pPr>
    <w:rPr>
      <w:rFonts w:ascii="Verdana" w:hAnsi="Verdana"/>
      <w:color w:val="365F91" w:themeColor="accent1" w:themeShade="BF"/>
      <w:sz w:val="22"/>
    </w:rPr>
  </w:style>
  <w:style w:type="paragraph" w:styleId="TOC2">
    <w:name w:val="toc 2"/>
    <w:basedOn w:val="Normal"/>
    <w:next w:val="Normal"/>
    <w:autoRedefine/>
    <w:uiPriority w:val="39"/>
    <w:unhideWhenUsed/>
    <w:qFormat/>
    <w:pPr>
      <w:spacing w:after="100"/>
      <w:ind w:left="240"/>
    </w:pPr>
    <w:rPr>
      <w:rFonts w:ascii="Verdana" w:hAnsi="Verdana"/>
      <w:color w:val="808080" w:themeColor="background1" w:themeShade="80"/>
      <w:sz w:val="22"/>
    </w:rPr>
  </w:style>
  <w:style w:type="paragraph" w:customStyle="1" w:styleId="HEADERTITLE2">
    <w:name w:val="HEADER_TITLE_2"/>
    <w:basedOn w:val="HEADERTITLE1"/>
    <w:qFormat/>
  </w:style>
  <w:style w:type="paragraph" w:customStyle="1" w:styleId="HEADER1Part4">
    <w:name w:val="HEADER 1_Part 4"/>
    <w:basedOn w:val="HEADER1Part3"/>
    <w:qFormat/>
    <w:pPr>
      <w:numPr>
        <w:numId w:val="14"/>
      </w:numPr>
    </w:pPr>
  </w:style>
  <w:style w:type="paragraph" w:customStyle="1" w:styleId="HEADER2Part4">
    <w:name w:val="HEADER 2_Part 4"/>
    <w:basedOn w:val="HEADER2Part3"/>
    <w:qFormat/>
    <w:pPr>
      <w:numPr>
        <w:numId w:val="14"/>
      </w:numPr>
      <w:ind w:left="357" w:hanging="357"/>
    </w:pPr>
  </w:style>
  <w:style w:type="paragraph" w:customStyle="1" w:styleId="HEADER1PartBUDG">
    <w:name w:val="HEADER 1_Part BUDG"/>
    <w:basedOn w:val="Normal"/>
    <w:qFormat/>
    <w:pPr>
      <w:numPr>
        <w:numId w:val="16"/>
      </w:numPr>
      <w:tabs>
        <w:tab w:val="left" w:pos="907"/>
      </w:tabs>
      <w:spacing w:after="240"/>
      <w:jc w:val="both"/>
    </w:pPr>
    <w:rPr>
      <w:rFonts w:ascii="Verdana" w:hAnsi="Verdana"/>
      <w:b/>
      <w:color w:val="016794"/>
      <w:sz w:val="32"/>
      <w:szCs w:val="32"/>
    </w:rPr>
  </w:style>
  <w:style w:type="paragraph" w:customStyle="1" w:styleId="HEADER2PartBUDG">
    <w:name w:val="HEADER 2_Part BUDG"/>
    <w:basedOn w:val="Normal"/>
    <w:qFormat/>
    <w:pPr>
      <w:numPr>
        <w:ilvl w:val="1"/>
        <w:numId w:val="16"/>
      </w:numPr>
      <w:tabs>
        <w:tab w:val="left" w:pos="709"/>
      </w:tabs>
      <w:spacing w:before="360" w:after="360"/>
    </w:pPr>
    <w:rPr>
      <w:rFonts w:ascii="Verdana" w:eastAsia="Calibri" w:hAnsi="Verdana"/>
      <w:b/>
      <w:color w:val="016794"/>
      <w:sz w:val="28"/>
    </w:rPr>
  </w:style>
  <w:style w:type="paragraph" w:customStyle="1" w:styleId="HEADER3PartBUGD">
    <w:name w:val="HEADER 3_Part BUGD"/>
    <w:basedOn w:val="Normal"/>
    <w:qFormat/>
    <w:pPr>
      <w:numPr>
        <w:ilvl w:val="2"/>
        <w:numId w:val="16"/>
      </w:numPr>
      <w:tabs>
        <w:tab w:val="left" w:pos="0"/>
      </w:tabs>
      <w:spacing w:before="360" w:after="360"/>
      <w:ind w:firstLine="387"/>
    </w:pPr>
    <w:rPr>
      <w:rFonts w:ascii="Verdana" w:hAnsi="Verdana"/>
      <w:color w:val="016794"/>
      <w:sz w:val="20"/>
      <w:szCs w:val="20"/>
    </w:rPr>
  </w:style>
  <w:style w:type="paragraph" w:customStyle="1" w:styleId="HEADER4PartBUDG">
    <w:name w:val="HEADER 4_Part BUDG"/>
    <w:basedOn w:val="Normal"/>
    <w:qFormat/>
    <w:pPr>
      <w:numPr>
        <w:ilvl w:val="3"/>
        <w:numId w:val="16"/>
      </w:numPr>
      <w:tabs>
        <w:tab w:val="left" w:pos="907"/>
      </w:tabs>
      <w:spacing w:before="360" w:after="360"/>
      <w:ind w:left="567" w:hanging="567"/>
    </w:pPr>
    <w:rPr>
      <w:rFonts w:ascii="Verdana" w:hAnsi="Verdana"/>
      <w:color w:val="016794"/>
      <w:sz w:val="18"/>
      <w:szCs w:val="18"/>
    </w:rPr>
  </w:style>
  <w:style w:type="paragraph" w:customStyle="1" w:styleId="HEADER1NOTES">
    <w:name w:val="HEADER 1_NOTES"/>
    <w:basedOn w:val="HEADER1Part2"/>
    <w:qFormat/>
    <w:pPr>
      <w:numPr>
        <w:numId w:val="15"/>
      </w:numPr>
    </w:pPr>
  </w:style>
  <w:style w:type="paragraph" w:customStyle="1" w:styleId="HEADER2NOTES">
    <w:name w:val="HEADER 2_NOTES"/>
    <w:basedOn w:val="HEADER2Part2"/>
    <w:qFormat/>
    <w:pPr>
      <w:numPr>
        <w:numId w:val="15"/>
      </w:numPr>
    </w:pPr>
  </w:style>
  <w:style w:type="paragraph" w:customStyle="1" w:styleId="HEADER3NOTES">
    <w:name w:val="HEADER 3_NOTES"/>
    <w:basedOn w:val="HEADER3Part2"/>
    <w:qFormat/>
    <w:pPr>
      <w:numPr>
        <w:numId w:val="15"/>
      </w:numPr>
    </w:pPr>
  </w:style>
  <w:style w:type="paragraph" w:customStyle="1" w:styleId="HEADER4NOTES">
    <w:name w:val="HEADER 4_NOTES"/>
    <w:basedOn w:val="HEADER4Part2"/>
    <w:qFormat/>
    <w:pPr>
      <w:numPr>
        <w:numId w:val="15"/>
      </w:numPr>
    </w:pPr>
  </w:style>
  <w:style w:type="paragraph" w:customStyle="1" w:styleId="DGTextstand-alone">
    <w:name w:val="DG_Text_stand-alone"/>
    <w:link w:val="DGTextstand-aloneChar"/>
    <w:pPr>
      <w:pBdr>
        <w:top w:val="nil"/>
        <w:left w:val="nil"/>
        <w:bottom w:val="nil"/>
        <w:right w:val="nil"/>
        <w:between w:val="nil"/>
        <w:bar w:val="nil"/>
      </w:pBdr>
      <w:spacing w:before="240" w:after="240"/>
      <w:jc w:val="both"/>
    </w:pPr>
    <w:rPr>
      <w:rFonts w:ascii="Verdana" w:eastAsia="Calibri" w:hAnsi="Verdana"/>
      <w:noProof/>
      <w:sz w:val="18"/>
      <w:szCs w:val="18"/>
      <w:bdr w:val="nil"/>
    </w:rPr>
  </w:style>
  <w:style w:type="character" w:customStyle="1" w:styleId="DGTextstand-aloneChar">
    <w:name w:val="DG_Text_stand-alone Char"/>
    <w:link w:val="DGTextstand-alone"/>
    <w:rPr>
      <w:rFonts w:ascii="Verdana" w:eastAsia="Calibri" w:hAnsi="Verdana"/>
      <w:noProof/>
      <w:sz w:val="18"/>
      <w:szCs w:val="18"/>
      <w:bdr w:val="nil"/>
      <w:lang w:eastAsia="fi-FI"/>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rFonts w:ascii="Times New Roman" w:hAnsi="Times New Roman"/>
    </w:rPr>
  </w:style>
  <w:style w:type="paragraph" w:customStyle="1" w:styleId="Footnote">
    <w:name w:val="Footnote"/>
    <w:basedOn w:val="Normal"/>
    <w:pPr>
      <w:tabs>
        <w:tab w:val="left" w:pos="284"/>
      </w:tabs>
      <w:ind w:left="284" w:hanging="284"/>
      <w:jc w:val="both"/>
    </w:pPr>
    <w:rPr>
      <w:rFonts w:ascii="Verdana" w:hAnsi="Verdana"/>
      <w:sz w:val="16"/>
      <w:szCs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8pItalicLeft">
    <w:name w:val="Text_8p_Italic_Left"/>
    <w:qFormat/>
    <w:rPr>
      <w:rFonts w:ascii="Verdana" w:eastAsia="Calibri" w:hAnsi="Verdana"/>
      <w:bCs/>
      <w:i/>
      <w:noProof/>
      <w:sz w:val="16"/>
    </w:rPr>
  </w:style>
  <w:style w:type="paragraph" w:customStyle="1" w:styleId="Text8pItalicRight025EUR">
    <w:name w:val="Text_8p_Italic_Right_0.25_EUR"/>
    <w:qFormat/>
    <w:pPr>
      <w:ind w:right="142"/>
      <w:jc w:val="right"/>
    </w:pPr>
    <w:rPr>
      <w:rFonts w:ascii="Verdana" w:eastAsia="Calibri" w:hAnsi="Verdana"/>
      <w:i/>
      <w:noProof/>
      <w:sz w:val="16"/>
      <w:szCs w:val="18"/>
    </w:rPr>
  </w:style>
  <w:style w:type="paragraph" w:customStyle="1" w:styleId="Heading10pNormalLeft">
    <w:name w:val="Heading_10p_Normal_Left"/>
    <w:qFormat/>
    <w:rPr>
      <w:rFonts w:ascii="Verdana" w:eastAsia="Calibri" w:hAnsi="Verdana"/>
      <w:noProof/>
      <w:color w:val="FFFFFF"/>
      <w:szCs w:val="30"/>
    </w:rPr>
  </w:style>
  <w:style w:type="paragraph" w:customStyle="1" w:styleId="Heading10pNormalRight025">
    <w:name w:val="Heading_10p_Normal_Right_0.25"/>
    <w:qFormat/>
    <w:pPr>
      <w:ind w:right="142"/>
      <w:jc w:val="right"/>
    </w:pPr>
    <w:rPr>
      <w:rFonts w:ascii="Verdana" w:eastAsia="Calibri" w:hAnsi="Verdana"/>
      <w:noProof/>
      <w:color w:val="FFFFFF"/>
      <w:szCs w:val="30"/>
    </w:rPr>
  </w:style>
  <w:style w:type="paragraph" w:customStyle="1" w:styleId="Text9pBoldLeft">
    <w:name w:val="Text_9p_Bold_Left"/>
    <w:qFormat/>
    <w:rPr>
      <w:rFonts w:ascii="Verdana" w:eastAsia="Calibri" w:hAnsi="Verdana"/>
      <w:b/>
      <w:noProof/>
      <w:sz w:val="18"/>
      <w:szCs w:val="18"/>
    </w:rPr>
  </w:style>
  <w:style w:type="paragraph" w:customStyle="1" w:styleId="Figures9pItalicRight025">
    <w:name w:val="Figures_9p_Italic_Right_0.25"/>
    <w:qFormat/>
    <w:pPr>
      <w:ind w:right="142"/>
      <w:jc w:val="right"/>
    </w:pPr>
    <w:rPr>
      <w:rFonts w:ascii="Verdana" w:eastAsia="Calibri" w:hAnsi="Verdana"/>
      <w:i/>
      <w:noProof/>
      <w:sz w:val="18"/>
      <w:szCs w:val="18"/>
    </w:rPr>
  </w:style>
  <w:style w:type="paragraph" w:customStyle="1" w:styleId="Text9pItalicLeft">
    <w:name w:val="Text_9p_Italic_Left"/>
    <w:qFormat/>
    <w:rPr>
      <w:rFonts w:ascii="Verdana" w:eastAsia="Calibri" w:hAnsi="Verdana"/>
      <w:i/>
      <w:noProof/>
      <w:sz w:val="18"/>
      <w:szCs w:val="18"/>
    </w:rPr>
  </w:style>
  <w:style w:type="paragraph" w:customStyle="1" w:styleId="Text9pItalicCentered">
    <w:name w:val="Text_9p_Italic_Centered"/>
    <w:qFormat/>
    <w:pPr>
      <w:jc w:val="center"/>
    </w:pPr>
    <w:rPr>
      <w:rFonts w:ascii="Verdana" w:eastAsia="Calibri" w:hAnsi="Verdana"/>
      <w:i/>
      <w:noProof/>
      <w:sz w:val="18"/>
      <w:szCs w:val="18"/>
    </w:rPr>
  </w:style>
  <w:style w:type="paragraph" w:customStyle="1" w:styleId="Figures9pBoldRight025">
    <w:name w:val="Figures_9p_Bold_Right_0.25"/>
    <w:qFormat/>
    <w:pPr>
      <w:ind w:right="142"/>
      <w:jc w:val="right"/>
    </w:pPr>
    <w:rPr>
      <w:rFonts w:ascii="Verdana" w:eastAsia="Calibri" w:hAnsi="Verdana"/>
      <w:b/>
      <w:noProof/>
      <w:sz w:val="18"/>
      <w:szCs w:val="18"/>
    </w:rPr>
  </w:style>
  <w:style w:type="paragraph" w:customStyle="1" w:styleId="Text9pItalicLeft3p">
    <w:name w:val="Text_9p_Italic_Left_3p"/>
    <w:basedOn w:val="Text9pItalicLeft"/>
    <w:qFormat/>
    <w:pPr>
      <w:pBdr>
        <w:top w:val="nil"/>
        <w:left w:val="nil"/>
        <w:bottom w:val="nil"/>
        <w:right w:val="nil"/>
        <w:between w:val="nil"/>
        <w:bar w:val="nil"/>
      </w:pBdr>
      <w:spacing w:after="60"/>
    </w:pPr>
    <w:rPr>
      <w:bdr w:val="nil"/>
    </w:rPr>
  </w:style>
  <w:style w:type="paragraph" w:customStyle="1" w:styleId="Heading10pNormalCentered">
    <w:name w:val="Heading_10p_Normal_Centered"/>
    <w:qFormat/>
    <w:pPr>
      <w:pBdr>
        <w:top w:val="nil"/>
        <w:left w:val="nil"/>
        <w:bottom w:val="nil"/>
        <w:right w:val="nil"/>
        <w:between w:val="nil"/>
        <w:bar w:val="nil"/>
      </w:pBdr>
      <w:jc w:val="center"/>
    </w:pPr>
    <w:rPr>
      <w:rFonts w:ascii="Verdana" w:eastAsia="Calibri" w:hAnsi="Verdana"/>
      <w:noProof/>
      <w:color w:val="FFFFFF"/>
      <w:szCs w:val="30"/>
      <w:bdr w:val="nil"/>
    </w:rPr>
  </w:style>
  <w:style w:type="paragraph" w:customStyle="1" w:styleId="Heading9pNormalCentered">
    <w:name w:val="Heading_9p_Normal_Centered"/>
    <w:qFormat/>
    <w:pPr>
      <w:jc w:val="center"/>
    </w:pPr>
    <w:rPr>
      <w:rFonts w:ascii="Verdana" w:hAnsi="Verdana" w:cs="Calibri"/>
      <w:bCs/>
      <w:color w:val="FFFFFF"/>
      <w:sz w:val="18"/>
      <w:szCs w:val="22"/>
    </w:rPr>
  </w:style>
  <w:style w:type="paragraph" w:customStyle="1" w:styleId="Text9pBoldLeft025">
    <w:name w:val="Text_9p_Bold_Left_0.25"/>
    <w:qFormat/>
    <w:pPr>
      <w:pBdr>
        <w:top w:val="nil"/>
        <w:left w:val="nil"/>
        <w:bottom w:val="nil"/>
        <w:right w:val="nil"/>
        <w:between w:val="nil"/>
        <w:bar w:val="nil"/>
      </w:pBdr>
      <w:ind w:left="142"/>
    </w:pPr>
    <w:rPr>
      <w:rFonts w:ascii="Verdana" w:eastAsia="Calibri" w:hAnsi="Verdana"/>
      <w:b/>
      <w:noProof/>
      <w:sz w:val="18"/>
      <w:szCs w:val="18"/>
      <w:bdr w:val="nil"/>
    </w:rPr>
  </w:style>
  <w:style w:type="paragraph" w:customStyle="1" w:styleId="Figures9pItalicCentered">
    <w:name w:val="Figures_9p_Italic_Centered"/>
    <w:qFormat/>
    <w:pPr>
      <w:pBdr>
        <w:top w:val="nil"/>
        <w:left w:val="nil"/>
        <w:bottom w:val="nil"/>
        <w:right w:val="nil"/>
        <w:between w:val="nil"/>
        <w:bar w:val="nil"/>
      </w:pBdr>
      <w:jc w:val="center"/>
    </w:pPr>
    <w:rPr>
      <w:rFonts w:ascii="Verdana" w:eastAsia="Calibri" w:hAnsi="Verdana"/>
      <w:i/>
      <w:noProof/>
      <w:sz w:val="18"/>
      <w:szCs w:val="18"/>
      <w:bdr w:val="nil"/>
    </w:rPr>
  </w:style>
  <w:style w:type="paragraph" w:customStyle="1" w:styleId="Text6pNormalLeft">
    <w:name w:val="Text_6p_Normal_Left"/>
    <w:qFormat/>
    <w:pPr>
      <w:pBdr>
        <w:top w:val="nil"/>
        <w:left w:val="nil"/>
        <w:bottom w:val="nil"/>
        <w:right w:val="nil"/>
        <w:between w:val="nil"/>
        <w:bar w:val="nil"/>
      </w:pBdr>
    </w:pPr>
    <w:rPr>
      <w:rFonts w:ascii="Verdana" w:eastAsia="Calibri" w:hAnsi="Verdana"/>
      <w:bCs/>
      <w:noProof/>
      <w:sz w:val="12"/>
      <w:bdr w:val="nil"/>
    </w:rPr>
  </w:style>
  <w:style w:type="paragraph" w:customStyle="1" w:styleId="Heading8pNormalLeft">
    <w:name w:val="Heading_8p_Normal_Left"/>
    <w:qFormat/>
    <w:rPr>
      <w:rFonts w:ascii="Verdana" w:hAnsi="Verdana" w:cs="Calibri"/>
      <w:bCs/>
      <w:color w:val="FFFFFF"/>
      <w:sz w:val="16"/>
      <w:szCs w:val="22"/>
    </w:rPr>
  </w:style>
  <w:style w:type="paragraph" w:customStyle="1" w:styleId="Heading8pNormalCentered">
    <w:name w:val="Heading_8p_Normal_Centered"/>
    <w:qFormat/>
    <w:pPr>
      <w:jc w:val="center"/>
    </w:pPr>
    <w:rPr>
      <w:rFonts w:ascii="Verdana" w:eastAsia="Calibri" w:hAnsi="Verdana"/>
      <w:noProof/>
      <w:color w:val="FFFFFF"/>
      <w:sz w:val="16"/>
      <w:szCs w:val="30"/>
    </w:rPr>
  </w:style>
  <w:style w:type="paragraph" w:customStyle="1" w:styleId="Figures8pItalicRight025">
    <w:name w:val="Figures_8p_Italic_Right_0.25"/>
    <w:qFormat/>
    <w:pPr>
      <w:ind w:right="142"/>
      <w:jc w:val="right"/>
    </w:pPr>
    <w:rPr>
      <w:rFonts w:ascii="Verdana" w:eastAsia="Calibri" w:hAnsi="Verdana"/>
      <w:i/>
      <w:noProof/>
      <w:sz w:val="16"/>
      <w:szCs w:val="18"/>
    </w:rPr>
  </w:style>
  <w:style w:type="paragraph" w:customStyle="1" w:styleId="Text8pBoldLeft">
    <w:name w:val="Text_8p_Bold_Left"/>
    <w:qFormat/>
    <w:rPr>
      <w:rFonts w:ascii="Verdana" w:eastAsia="Calibri" w:hAnsi="Verdana"/>
      <w:b/>
      <w:bCs/>
      <w:noProof/>
      <w:sz w:val="16"/>
    </w:rPr>
  </w:style>
  <w:style w:type="paragraph" w:customStyle="1" w:styleId="Figures8pBoldRight025">
    <w:name w:val="Figures_8p_Bold_Right_0.25"/>
    <w:qFormat/>
    <w:pPr>
      <w:ind w:right="142"/>
      <w:jc w:val="right"/>
    </w:pPr>
    <w:rPr>
      <w:rFonts w:ascii="Verdana" w:eastAsia="Calibri" w:hAnsi="Verdana"/>
      <w:b/>
      <w:bCs/>
      <w:noProof/>
      <w:sz w:val="16"/>
    </w:rPr>
  </w:style>
  <w:style w:type="paragraph" w:customStyle="1" w:styleId="Text9pItalicleftBlue">
    <w:name w:val="Text_9p_Italic_left_Blue"/>
    <w:qFormat/>
    <w:rPr>
      <w:rFonts w:ascii="Verdana" w:eastAsia="Calibri" w:hAnsi="Verdana"/>
      <w:i/>
      <w:noProof/>
      <w:color w:val="016794"/>
      <w:sz w:val="18"/>
      <w:szCs w:val="18"/>
    </w:rPr>
  </w:style>
  <w:style w:type="paragraph" w:customStyle="1" w:styleId="Figures9pItalicBlueRight">
    <w:name w:val="Figures_9p_Italic_Blue_Right"/>
    <w:basedOn w:val="Figures9pItalicBoldRight025"/>
    <w:qFormat/>
    <w:rPr>
      <w:b w:val="0"/>
      <w:color w:val="016794"/>
    </w:rPr>
  </w:style>
  <w:style w:type="paragraph" w:customStyle="1" w:styleId="Figures9pItalicBoldRight025">
    <w:name w:val="Figures_9p_ItalicBold_Right_0.25"/>
    <w:qFormat/>
    <w:pPr>
      <w:ind w:right="142"/>
      <w:jc w:val="right"/>
    </w:pPr>
    <w:rPr>
      <w:rFonts w:ascii="Verdana" w:eastAsia="Calibri" w:hAnsi="Verdana"/>
      <w:b/>
      <w:i/>
      <w:noProof/>
      <w:sz w:val="18"/>
      <w:szCs w:val="18"/>
    </w:rPr>
  </w:style>
  <w:style w:type="paragraph" w:customStyle="1" w:styleId="Text9pNormalLeft">
    <w:name w:val="Text_9p_Normal_Left"/>
    <w:basedOn w:val="Text9pItalicLeft"/>
    <w:qFormat/>
    <w:rPr>
      <w:i w:val="0"/>
    </w:rPr>
  </w:style>
  <w:style w:type="paragraph" w:customStyle="1" w:styleId="Figures9pNormalRight025">
    <w:name w:val="Figures_9p_Normal_Right_0.25"/>
    <w:basedOn w:val="Figures9pItalicRight025"/>
    <w:qFormat/>
    <w:rPr>
      <w:i w:val="0"/>
    </w:rPr>
  </w:style>
  <w:style w:type="paragraph" w:customStyle="1" w:styleId="Figures8pItalicBlueRight">
    <w:name w:val="Figures_8p_Italic_Blue_Right"/>
    <w:basedOn w:val="Figures9pItalicBlueRight"/>
    <w:qFormat/>
    <w:rPr>
      <w:sz w:val="16"/>
    </w:rPr>
  </w:style>
  <w:style w:type="paragraph" w:customStyle="1" w:styleId="Text7pItalicLeft">
    <w:name w:val="Text_7p_Italic_Left"/>
    <w:qFormat/>
    <w:rPr>
      <w:rFonts w:ascii="Verdana" w:eastAsia="Calibri" w:hAnsi="Verdana"/>
      <w:bCs/>
      <w:i/>
      <w:noProof/>
      <w:sz w:val="14"/>
    </w:rPr>
  </w:style>
  <w:style w:type="paragraph" w:customStyle="1" w:styleId="Heading9pNormalLeft">
    <w:name w:val="Heading_9p_Normal_Left"/>
    <w:basedOn w:val="Heading9pNormalCentered"/>
    <w:qFormat/>
    <w:pPr>
      <w:jc w:val="left"/>
    </w:pPr>
  </w:style>
  <w:style w:type="paragraph" w:customStyle="1" w:styleId="Heading9pNormalRight025">
    <w:name w:val="Heading_9p_Normal_Right_0.25"/>
    <w:basedOn w:val="Heading9pNormalCentered"/>
    <w:qFormat/>
    <w:pPr>
      <w:ind w:right="142"/>
      <w:jc w:val="right"/>
    </w:pPr>
  </w:style>
  <w:style w:type="paragraph" w:customStyle="1" w:styleId="Text7pItalicRight025">
    <w:name w:val="Text_7p_Italic_Right_0.25"/>
    <w:basedOn w:val="Text8pItalicRight025EUR"/>
    <w:qFormat/>
    <w:rPr>
      <w:sz w:val="14"/>
    </w:rPr>
  </w:style>
  <w:style w:type="paragraph" w:customStyle="1" w:styleId="Text8pItalicleftBlue">
    <w:name w:val="Text_8p_Italic_left_Blue"/>
    <w:qFormat/>
    <w:rPr>
      <w:rFonts w:ascii="Verdana" w:eastAsia="Calibri" w:hAnsi="Verdana"/>
      <w:i/>
      <w:noProof/>
      <w:color w:val="016794"/>
      <w:sz w:val="16"/>
      <w:szCs w:val="18"/>
    </w:rPr>
  </w:style>
  <w:style w:type="paragraph" w:customStyle="1" w:styleId="Heading-9pNormalCentered">
    <w:name w:val="Heading-9p_Normal_Centered"/>
    <w:basedOn w:val="Heading10pNormalCentered"/>
    <w:qFormat/>
    <w:rPr>
      <w:sz w:val="18"/>
    </w:rPr>
  </w:style>
  <w:style w:type="paragraph" w:customStyle="1" w:styleId="Heading9pNormalRight01">
    <w:name w:val="Heading_9p_Normal_Right_0.1"/>
    <w:basedOn w:val="Heading9pNormalRight025"/>
    <w:qFormat/>
    <w:pPr>
      <w:ind w:right="57"/>
    </w:pPr>
  </w:style>
  <w:style w:type="paragraph" w:customStyle="1" w:styleId="Heading8pNormalRight025">
    <w:name w:val="Heading_8p_Normal_Right_0.25"/>
    <w:basedOn w:val="Heading10pNormalRight025"/>
    <w:qFormat/>
    <w:rPr>
      <w:sz w:val="16"/>
    </w:rPr>
  </w:style>
  <w:style w:type="paragraph" w:customStyle="1" w:styleId="Heading7pNormalCentered">
    <w:name w:val="Heading_7p_Normal_Centered"/>
    <w:basedOn w:val="Heading8pNormalCentered"/>
    <w:qFormat/>
    <w:pPr>
      <w:pBdr>
        <w:top w:val="nil"/>
        <w:left w:val="nil"/>
        <w:bottom w:val="nil"/>
        <w:right w:val="nil"/>
        <w:between w:val="nil"/>
        <w:bar w:val="nil"/>
      </w:pBdr>
    </w:pPr>
    <w:rPr>
      <w:sz w:val="14"/>
      <w:bdr w:val="nil"/>
    </w:rPr>
  </w:style>
  <w:style w:type="paragraph" w:customStyle="1" w:styleId="Figures7pItalicRight025">
    <w:name w:val="Figures_7p_Italic_Right_0.25"/>
    <w:basedOn w:val="Figures8pItalicRight025"/>
    <w:qFormat/>
    <w:rPr>
      <w:sz w:val="14"/>
    </w:rPr>
  </w:style>
  <w:style w:type="paragraph" w:customStyle="1" w:styleId="Figures7pBoldRight025">
    <w:name w:val="Figures_7p_Bold_Right_0.25"/>
    <w:qFormat/>
    <w:pPr>
      <w:ind w:right="142"/>
      <w:jc w:val="right"/>
    </w:pPr>
    <w:rPr>
      <w:rFonts w:ascii="Verdana" w:eastAsia="Calibri" w:hAnsi="Verdana"/>
      <w:b/>
      <w:noProof/>
      <w:sz w:val="14"/>
      <w:szCs w:val="18"/>
    </w:rPr>
  </w:style>
  <w:style w:type="paragraph" w:customStyle="1" w:styleId="Heading8pNormalRight01">
    <w:name w:val="Heading_8p_Normal_Right_0.1"/>
    <w:qFormat/>
    <w:pPr>
      <w:pBdr>
        <w:top w:val="nil"/>
        <w:left w:val="nil"/>
        <w:bottom w:val="nil"/>
        <w:right w:val="nil"/>
        <w:between w:val="nil"/>
        <w:bar w:val="nil"/>
      </w:pBdr>
      <w:ind w:right="57"/>
      <w:jc w:val="right"/>
    </w:pPr>
    <w:rPr>
      <w:rFonts w:ascii="Verdana" w:hAnsi="Verdana" w:cs="Calibri"/>
      <w:bCs/>
      <w:color w:val="FFFFFF"/>
      <w:sz w:val="16"/>
      <w:szCs w:val="22"/>
      <w:bdr w:val="nil"/>
    </w:rPr>
  </w:style>
  <w:style w:type="paragraph" w:customStyle="1" w:styleId="Text8pNormalLeft">
    <w:name w:val="Text_8p_Normal_Left"/>
    <w:qFormat/>
    <w:pPr>
      <w:pBdr>
        <w:top w:val="nil"/>
        <w:left w:val="nil"/>
        <w:bottom w:val="nil"/>
        <w:right w:val="nil"/>
        <w:between w:val="nil"/>
        <w:bar w:val="nil"/>
      </w:pBdr>
      <w:ind w:left="34"/>
    </w:pPr>
    <w:rPr>
      <w:rFonts w:ascii="Verdana" w:eastAsia="Calibri" w:hAnsi="Verdana"/>
      <w:bCs/>
      <w:sz w:val="16"/>
      <w:bdr w:val="nil"/>
    </w:rPr>
  </w:style>
  <w:style w:type="paragraph" w:customStyle="1" w:styleId="Figures8pNormalRight025">
    <w:name w:val="Figures_8p_Normal_Right_0.25"/>
    <w:basedOn w:val="Figures8pItalicRight025"/>
    <w:qFormat/>
    <w:pPr>
      <w:pBdr>
        <w:top w:val="nil"/>
        <w:left w:val="nil"/>
        <w:bottom w:val="nil"/>
        <w:right w:val="nil"/>
        <w:between w:val="nil"/>
        <w:bar w:val="nil"/>
      </w:pBdr>
    </w:pPr>
    <w:rPr>
      <w:i w:val="0"/>
      <w:bdr w:val="nil"/>
    </w:rPr>
  </w:style>
  <w:style w:type="paragraph" w:customStyle="1" w:styleId="Text9pItalicLeft025">
    <w:name w:val="Text_9p_Italic_Left_0.25"/>
    <w:basedOn w:val="Text9pItalicLeft"/>
    <w:qFormat/>
    <w:pPr>
      <w:pBdr>
        <w:top w:val="nil"/>
        <w:left w:val="nil"/>
        <w:bottom w:val="nil"/>
        <w:right w:val="nil"/>
        <w:between w:val="nil"/>
        <w:bar w:val="nil"/>
      </w:pBdr>
      <w:ind w:left="142"/>
    </w:pPr>
    <w:rPr>
      <w:bdr w:val="nil"/>
    </w:rPr>
  </w:style>
  <w:style w:type="paragraph" w:customStyle="1" w:styleId="Text9pItalicBoldLeft">
    <w:name w:val="Text_9p_ItalicBold_Left"/>
    <w:qFormat/>
    <w:pPr>
      <w:pBdr>
        <w:top w:val="nil"/>
        <w:left w:val="nil"/>
        <w:bottom w:val="nil"/>
        <w:right w:val="nil"/>
        <w:between w:val="nil"/>
        <w:bar w:val="nil"/>
      </w:pBdr>
    </w:pPr>
    <w:rPr>
      <w:rFonts w:ascii="Verdana" w:eastAsia="Calibri" w:hAnsi="Verdana"/>
      <w:b/>
      <w:i/>
      <w:noProof/>
      <w:sz w:val="18"/>
      <w:szCs w:val="18"/>
      <w:bdr w:val="nil"/>
    </w:rPr>
  </w:style>
  <w:style w:type="paragraph" w:customStyle="1" w:styleId="Financialyear0">
    <w:name w:val="Financial year"/>
    <w:basedOn w:val="DGTextstand-alone"/>
    <w:qFormat/>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noProof w:val="0"/>
      <w:color w:val="016794"/>
      <w:sz w:val="40"/>
      <w:szCs w:val="40"/>
      <w:bdr w:val="none" w:sz="0" w:space="0" w:color="auto"/>
    </w:rPr>
  </w:style>
  <w:style w:type="paragraph" w:customStyle="1" w:styleId="Asterix">
    <w:name w:val="Asterix"/>
    <w:basedOn w:val="DGTextstand-alone"/>
    <w:qFormat/>
    <w:p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pacing w:before="0" w:after="0"/>
      <w:jc w:val="left"/>
    </w:pPr>
    <w:rPr>
      <w:rFonts w:eastAsia="Times New Roman"/>
      <w:i/>
      <w:sz w:val="14"/>
      <w:bdr w:val="none" w:sz="0" w:space="0" w:color="auto"/>
    </w:rPr>
  </w:style>
  <w:style w:type="paragraph" w:customStyle="1" w:styleId="DMETW15799BIPBudgetresult">
    <w:name w:val="DM_ETW_15799_BIP_Budget_result"/>
    <w:rPr>
      <w:rFonts w:eastAsia="Calibri"/>
    </w:rPr>
  </w:style>
  <w:style w:type="paragraph" w:customStyle="1" w:styleId="DMETW15799BIPStatementofcomparisonRevenue">
    <w:name w:val="DM_ETW_15799_BIP_Statement_of_comparison_Revenue"/>
    <w:rPr>
      <w:rFonts w:eastAsia="Calibri"/>
    </w:rPr>
  </w:style>
  <w:style w:type="paragraph" w:customStyle="1" w:styleId="DMETW15799BIPStatementofcomparisonCommitments">
    <w:name w:val="DM_ETW_15799_BIP_Statement_of_comparison_Commitments"/>
    <w:rPr>
      <w:rFonts w:eastAsia="Calibri"/>
    </w:rPr>
  </w:style>
  <w:style w:type="paragraph" w:customStyle="1" w:styleId="DMETW15799BIPStatementofcomparisonPayments">
    <w:name w:val="DM_ETW_15799_BIP_Statement_of_comparison_Payments"/>
    <w:rPr>
      <w:rFonts w:eastAsia="Calibri"/>
    </w:rPr>
  </w:style>
  <w:style w:type="paragraph" w:customStyle="1" w:styleId="Heading7pNormalRight01">
    <w:name w:val="Heading_7p_Normal_Right_0.1"/>
    <w:qFormat/>
    <w:pPr>
      <w:pBdr>
        <w:top w:val="nil"/>
        <w:left w:val="nil"/>
        <w:bottom w:val="nil"/>
        <w:right w:val="nil"/>
        <w:between w:val="nil"/>
        <w:bar w:val="nil"/>
      </w:pBdr>
      <w:ind w:right="57"/>
      <w:jc w:val="right"/>
    </w:pPr>
    <w:rPr>
      <w:rFonts w:ascii="Verdana" w:hAnsi="Verdana" w:cs="Calibri"/>
      <w:bCs/>
      <w:color w:val="FFFFFF"/>
      <w:sz w:val="14"/>
      <w:szCs w:val="22"/>
      <w:bdr w:val="nil"/>
    </w:rPr>
  </w:style>
  <w:style w:type="paragraph" w:customStyle="1" w:styleId="Text7pNormalLeft">
    <w:name w:val="Text_7p_Normal_Left"/>
    <w:basedOn w:val="Text8pNormalLeft"/>
    <w:qFormat/>
    <w:rPr>
      <w:noProof/>
      <w:sz w:val="14"/>
    </w:rPr>
  </w:style>
  <w:style w:type="paragraph" w:customStyle="1" w:styleId="Figures6pNormalright01">
    <w:name w:val="Figures_6p_Normal_right_0.1"/>
    <w:qFormat/>
    <w:pPr>
      <w:pBdr>
        <w:top w:val="nil"/>
        <w:left w:val="nil"/>
        <w:bottom w:val="nil"/>
        <w:right w:val="nil"/>
        <w:between w:val="nil"/>
        <w:bar w:val="nil"/>
      </w:pBdr>
      <w:ind w:right="57"/>
      <w:jc w:val="right"/>
    </w:pPr>
    <w:rPr>
      <w:rFonts w:ascii="Verdana" w:eastAsia="Calibri" w:hAnsi="Verdana"/>
      <w:noProof/>
      <w:sz w:val="12"/>
      <w:szCs w:val="18"/>
      <w:bdr w:val="nil"/>
    </w:rPr>
  </w:style>
  <w:style w:type="paragraph" w:customStyle="1" w:styleId="Figures6pItalicRight01">
    <w:name w:val="Figures_6p_Italic_Right_0.1"/>
    <w:basedOn w:val="Figures7pItalicRight025"/>
    <w:qFormat/>
    <w:pPr>
      <w:pBdr>
        <w:top w:val="nil"/>
        <w:left w:val="nil"/>
        <w:bottom w:val="nil"/>
        <w:right w:val="nil"/>
        <w:between w:val="nil"/>
        <w:bar w:val="nil"/>
      </w:pBdr>
      <w:ind w:right="57"/>
    </w:pPr>
    <w:rPr>
      <w:sz w:val="12"/>
      <w:szCs w:val="12"/>
      <w:bdr w:val="nil"/>
    </w:rPr>
  </w:style>
  <w:style w:type="paragraph" w:customStyle="1" w:styleId="Text7pBoldLeft">
    <w:name w:val="Text_7p_Bold_Left"/>
    <w:qFormat/>
    <w:pPr>
      <w:pBdr>
        <w:top w:val="nil"/>
        <w:left w:val="nil"/>
        <w:bottom w:val="nil"/>
        <w:right w:val="nil"/>
        <w:between w:val="nil"/>
        <w:bar w:val="nil"/>
      </w:pBdr>
    </w:pPr>
    <w:rPr>
      <w:rFonts w:ascii="Verdana" w:eastAsia="Calibri" w:hAnsi="Verdana"/>
      <w:b/>
      <w:noProof/>
      <w:sz w:val="14"/>
      <w:szCs w:val="18"/>
      <w:bdr w:val="nil"/>
    </w:rPr>
  </w:style>
  <w:style w:type="paragraph" w:customStyle="1" w:styleId="Figures6pBoldRight01">
    <w:name w:val="Figures_6p_Bold_Right_0.1"/>
    <w:basedOn w:val="Figures7pBoldRight025"/>
    <w:qFormat/>
    <w:pPr>
      <w:pBdr>
        <w:top w:val="nil"/>
        <w:left w:val="nil"/>
        <w:bottom w:val="nil"/>
        <w:right w:val="nil"/>
        <w:between w:val="nil"/>
        <w:bar w:val="nil"/>
      </w:pBdr>
      <w:ind w:right="57"/>
    </w:pPr>
    <w:rPr>
      <w:sz w:val="12"/>
      <w:szCs w:val="12"/>
      <w:bdr w:val="nil"/>
    </w:rPr>
  </w:style>
  <w:style w:type="paragraph" w:customStyle="1" w:styleId="DMETW14818BIPImplementationbudgetrevenue">
    <w:name w:val="DM_ETW_14818_BIP_Implementation_budget_revenue"/>
    <w:rPr>
      <w:rFonts w:eastAsia="Calibri"/>
    </w:rPr>
  </w:style>
  <w:style w:type="paragraph" w:customStyle="1" w:styleId="DMETW14819BIPMFF1BreakdownCommPaym">
    <w:name w:val="DM_ETW_14819_BIP_MFF_1_Breakdown_Comm_Paym"/>
    <w:rPr>
      <w:rFonts w:eastAsia="Calibri"/>
    </w:rPr>
  </w:style>
  <w:style w:type="paragraph" w:customStyle="1" w:styleId="DMETW14819BIPMFF2ImplementCommitments">
    <w:name w:val="DM_ETW_14819_BIP_MFF_2_Implement_Commitments"/>
    <w:rPr>
      <w:rFonts w:eastAsia="Calibri"/>
    </w:rPr>
  </w:style>
  <w:style w:type="paragraph" w:customStyle="1" w:styleId="DMETW14819BIPMFF3ImplementPayments">
    <w:name w:val="DM_ETW_14819_BIP_MFF_3_Implement_Payments"/>
    <w:rPr>
      <w:rFonts w:eastAsia="Calibri"/>
    </w:rPr>
  </w:style>
  <w:style w:type="paragraph" w:customStyle="1" w:styleId="DMETW14819BIPMFF4Commitmentsoustanding">
    <w:name w:val="DM_ETW_14819_BIP_MFF_4_Commitments_oustanding"/>
    <w:rPr>
      <w:rFonts w:eastAsia="Calibri"/>
    </w:rPr>
  </w:style>
  <w:style w:type="paragraph" w:customStyle="1" w:styleId="DMETW14819BIPMFF5RALYoO">
    <w:name w:val="DM_ETW_14819_BIP_MFF_5_RAL_YoO"/>
    <w:rPr>
      <w:rFonts w:eastAsia="Calibri"/>
    </w:rPr>
  </w:style>
  <w:style w:type="paragraph" w:customStyle="1" w:styleId="DMETW14819BIPDetailedMFF1Breakdown">
    <w:name w:val="DM_ETW_14819_BIP_DetailedMFF_1_Breakdown"/>
    <w:rPr>
      <w:rFonts w:eastAsia="Calibri"/>
    </w:rPr>
  </w:style>
  <w:style w:type="paragraph" w:customStyle="1" w:styleId="DMETW14819BIPDetailedMFF2ImplementCommitments">
    <w:name w:val="DM_ETW_14819_BIP_DetailedMFF_2_Implement_Commitments"/>
    <w:rPr>
      <w:rFonts w:eastAsia="Calibri"/>
    </w:rPr>
  </w:style>
  <w:style w:type="paragraph" w:customStyle="1" w:styleId="DMETW14819BIPDetailedMFF3ImplementPayments">
    <w:name w:val="DM_ETW_14819_BIP_DetailedMFF_3_Implement_Payments"/>
    <w:rPr>
      <w:rFonts w:eastAsia="Calibri"/>
    </w:rPr>
  </w:style>
  <w:style w:type="paragraph" w:customStyle="1" w:styleId="DMETW14819BIPDetailedMFF4Commitmentsoustanding">
    <w:name w:val="DM_ETW_14819_BIP_DetailedMFF_4_Commitments_oustanding"/>
    <w:rPr>
      <w:rFonts w:eastAsia="Calibri"/>
    </w:rPr>
  </w:style>
  <w:style w:type="paragraph" w:customStyle="1" w:styleId="DMETW14819BIPDetailedMFF5RALYoO">
    <w:name w:val="DM_ETW_14819_BIP_DetailedMFF_5_RAL_YoO"/>
    <w:rPr>
      <w:rFonts w:eastAsia="Calibri"/>
    </w:rPr>
  </w:style>
  <w:style w:type="paragraph" w:customStyle="1" w:styleId="DMETW14863BIPInstitutions1Revenue">
    <w:name w:val="DM_ETW_14863_BIP_Institutions_1_Revenue"/>
    <w:rPr>
      <w:rFonts w:eastAsia="Calibri"/>
    </w:rPr>
  </w:style>
  <w:style w:type="paragraph" w:customStyle="1" w:styleId="DMETW14863BIPInstitutions2Commitments">
    <w:name w:val="DM_ETW_14863_BIP_Institutions_2_Commitments"/>
    <w:rPr>
      <w:rFonts w:eastAsia="Calibri"/>
    </w:rPr>
  </w:style>
  <w:style w:type="paragraph" w:customStyle="1" w:styleId="DMETW14863BIPInstitutions3Payments">
    <w:name w:val="DM_ETW_14863_BIP_Institutions_3_Payments"/>
    <w:rPr>
      <w:rFonts w:eastAsia="Calibri"/>
    </w:rPr>
  </w:style>
  <w:style w:type="paragraph" w:customStyle="1" w:styleId="DMETW14863BIPAgencies1Revenue">
    <w:name w:val="DM_ETW_14863_BIP_Agencies_1_Revenue"/>
    <w:rPr>
      <w:rFonts w:eastAsia="Calibri"/>
    </w:rPr>
  </w:style>
  <w:style w:type="paragraph" w:customStyle="1" w:styleId="DMETW14863BIPAgencies2TypeofRevenue">
    <w:name w:val="DM_ETW_14863_BIP_Agencies_2_Type_of_Revenue"/>
    <w:rPr>
      <w:rFonts w:eastAsia="Calibri"/>
    </w:rPr>
  </w:style>
  <w:style w:type="paragraph" w:customStyle="1" w:styleId="DMETW14863BIPAgencies3CommitmentsPayments">
    <w:name w:val="DM_ETW_14863_BIP_Agencies_3_Commitments_Payments"/>
    <w:rPr>
      <w:rFonts w:eastAsia="Calibri"/>
    </w:rPr>
  </w:style>
  <w:style w:type="paragraph" w:customStyle="1" w:styleId="DMETW14863BIPAgencies4TypeofExpenditure">
    <w:name w:val="DM_ETW_14863_BIP_Agencies_4_Type_of_Expenditure"/>
    <w:rPr>
      <w:rFonts w:eastAsia="Calibri"/>
    </w:rPr>
  </w:style>
  <w:style w:type="character" w:customStyle="1" w:styleId="st1">
    <w:name w:val="st1"/>
    <w:basedOn w:val="DefaultParagraphFont"/>
  </w:style>
  <w:style w:type="paragraph" w:customStyle="1" w:styleId="Pagedecouverture">
    <w:name w:val="Page de couverture"/>
    <w:basedOn w:val="Normal"/>
    <w:next w:val="Normal"/>
    <w:pPr>
      <w:jc w:val="both"/>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CoverPageChar">
    <w:name w:val="CoverPage Char"/>
    <w:basedOn w:val="DefaultParagraphFont"/>
    <w:link w:val="CoverPage"/>
    <w:rPr>
      <w:rFonts w:ascii="Verdana" w:hAnsi="Verdana"/>
      <w:color w:val="016794"/>
      <w:sz w:val="52"/>
      <w:szCs w:val="52"/>
    </w:rPr>
  </w:style>
  <w:style w:type="character" w:customStyle="1" w:styleId="FooterCoverPageChar">
    <w:name w:val="Footer Cover Page Char"/>
    <w:basedOn w:val="CoverPageChar"/>
    <w:link w:val="FooterCoverPage"/>
    <w:rPr>
      <w:rFonts w:ascii="Times New Roman" w:hAnsi="Times New Roman"/>
      <w:color w:val="016794"/>
      <w:sz w:val="24"/>
      <w:szCs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CoverPageChar"/>
    <w:link w:val="FooterSensitivity"/>
    <w:rPr>
      <w:rFonts w:ascii="Times New Roman" w:hAnsi="Times New Roman"/>
      <w:b/>
      <w:color w:val="016794"/>
      <w:sz w:val="32"/>
      <w:szCs w:val="24"/>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CoverPageChar"/>
    <w:link w:val="HeaderCoverPage"/>
    <w:rPr>
      <w:rFonts w:ascii="Times New Roman" w:hAnsi="Times New Roman"/>
      <w:color w:val="016794"/>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CoverPageChar"/>
    <w:link w:val="HeaderSensitivity"/>
    <w:rPr>
      <w:rFonts w:ascii="Times New Roman" w:hAnsi="Times New Roman"/>
      <w:b/>
      <w:color w:val="016794"/>
      <w:sz w:val="32"/>
      <w:szCs w:val="24"/>
    </w:rPr>
  </w:style>
  <w:style w:type="paragraph" w:customStyle="1" w:styleId="SecurityMarking">
    <w:name w:val="SecurityMarking"/>
    <w:basedOn w:val="Normal"/>
    <w:pPr>
      <w:spacing w:line="276" w:lineRule="auto"/>
      <w:ind w:left="5103"/>
    </w:pPr>
    <w:rPr>
      <w:rFonts w:eastAsiaTheme="minorHAnsi"/>
      <w:sz w:val="28"/>
      <w:szCs w:val="22"/>
      <w:lang w:eastAsia="en-US" w:bidi="ar-SA"/>
    </w:rPr>
  </w:style>
  <w:style w:type="paragraph" w:customStyle="1" w:styleId="DateMarking">
    <w:name w:val="DateMarking"/>
    <w:basedOn w:val="Normal"/>
    <w:pPr>
      <w:spacing w:line="276" w:lineRule="auto"/>
      <w:ind w:left="5103"/>
    </w:pPr>
    <w:rPr>
      <w:rFonts w:eastAsiaTheme="minorHAnsi"/>
      <w:i/>
      <w:sz w:val="28"/>
      <w:szCs w:val="22"/>
      <w:lang w:eastAsia="en-US" w:bidi="ar-SA"/>
    </w:rPr>
  </w:style>
  <w:style w:type="paragraph" w:customStyle="1" w:styleId="ReleasableTo">
    <w:name w:val="ReleasableTo"/>
    <w:basedOn w:val="Normal"/>
    <w:pPr>
      <w:spacing w:line="276" w:lineRule="auto"/>
      <w:ind w:left="5103"/>
    </w:pPr>
    <w:rPr>
      <w:rFonts w:eastAsiaTheme="minorHAnsi"/>
      <w:i/>
      <w:sz w:val="28"/>
      <w:szCs w:val="22"/>
      <w:lang w:eastAsia="en-US" w:bidi="ar-SA"/>
    </w:rPr>
  </w:style>
  <w:style w:type="paragraph" w:customStyle="1" w:styleId="HeaderSensitivityRight">
    <w:name w:val="Header Sensitivity Right"/>
    <w:basedOn w:val="Normal"/>
    <w:pPr>
      <w:spacing w:after="120"/>
      <w:jc w:val="right"/>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i-FI" w:eastAsia="fi-FI" w:bidi="fi-FI"/>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pPr>
      <w:spacing w:before="240" w:after="720" w:line="360" w:lineRule="auto"/>
      <w:ind w:left="2268"/>
    </w:pPr>
    <w:rPr>
      <w:rFonts w:ascii="Verdana" w:hAnsi="Verdana"/>
      <w:color w:val="016794"/>
      <w:sz w:val="52"/>
      <w:szCs w:val="52"/>
    </w:rPr>
  </w:style>
  <w:style w:type="paragraph" w:customStyle="1" w:styleId="FIRSTCHAPTERPAGE">
    <w:name w:val="FIRST_CHAPTER_PAGE"/>
    <w:basedOn w:val="Normal"/>
    <w:qFormat/>
    <w:pPr>
      <w:spacing w:before="240" w:after="720"/>
    </w:pPr>
    <w:rPr>
      <w:rFonts w:ascii="Verdana" w:hAnsi="Verdana"/>
      <w:b/>
      <w:color w:val="016794"/>
      <w:sz w:val="40"/>
      <w:szCs w:val="4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eastAsia="Times New Roman" w:hAnsi="Tahoma" w:cs="Tahoma"/>
      <w:sz w:val="16"/>
      <w:szCs w:val="16"/>
      <w:lang w:eastAsia="fi-FI"/>
    </w:rPr>
  </w:style>
  <w:style w:type="paragraph" w:customStyle="1" w:styleId="FinancialYear">
    <w:name w:val="Financial_Year"/>
    <w:basedOn w:val="Normal"/>
    <w:qFormat/>
    <w:pPr>
      <w:jc w:val="right"/>
    </w:pPr>
    <w:rPr>
      <w:rFonts w:ascii="Verdana" w:hAnsi="Verdana"/>
      <w:color w:val="016794"/>
      <w:sz w:val="22"/>
      <w:szCs w:val="22"/>
    </w:rPr>
  </w:style>
  <w:style w:type="paragraph" w:customStyle="1" w:styleId="TOPHEADERNOTE">
    <w:name w:val="TOPHEADER_NOTE"/>
    <w:basedOn w:val="Normal"/>
    <w:qFormat/>
    <w:rPr>
      <w:rFonts w:ascii="Verdana" w:hAnsi="Verdana"/>
      <w:i/>
      <w:color w:val="016794"/>
      <w:sz w:val="18"/>
    </w:rPr>
  </w:style>
  <w:style w:type="paragraph" w:customStyle="1" w:styleId="HEADERTABLE">
    <w:name w:val="HEADER_TABLE"/>
    <w:basedOn w:val="Normal"/>
    <w:qFormat/>
    <w:pPr>
      <w:spacing w:after="240"/>
    </w:pPr>
    <w:rPr>
      <w:rFonts w:ascii="Verdana" w:hAnsi="Verdana"/>
      <w:b/>
      <w:color w:val="016794"/>
      <w:sz w:val="28"/>
      <w:szCs w:val="28"/>
    </w:rPr>
  </w:style>
  <w:style w:type="paragraph" w:customStyle="1" w:styleId="Textstand-alonenumberingLetters">
    <w:name w:val="Text_stand-alone_(numbering Letters)"/>
    <w:basedOn w:val="Normal"/>
    <w:qFormat/>
    <w:pPr>
      <w:numPr>
        <w:numId w:val="2"/>
      </w:numPr>
      <w:spacing w:after="240"/>
      <w:ind w:hanging="720"/>
    </w:pPr>
    <w:rPr>
      <w:rFonts w:ascii="Verdana" w:hAnsi="Verdana"/>
      <w:sz w:val="18"/>
      <w:szCs w:val="18"/>
    </w:rPr>
  </w:style>
  <w:style w:type="paragraph" w:customStyle="1" w:styleId="SignatureRightItalic">
    <w:name w:val="Signature_Right + Italic"/>
    <w:basedOn w:val="Normal"/>
    <w:qFormat/>
    <w:pPr>
      <w:spacing w:before="240"/>
      <w:ind w:left="4394" w:right="1128"/>
      <w:jc w:val="center"/>
    </w:pPr>
    <w:rPr>
      <w:rFonts w:ascii="Verdana" w:hAnsi="Verdana"/>
      <w:i/>
      <w:sz w:val="18"/>
      <w:szCs w:val="18"/>
    </w:rPr>
  </w:style>
  <w:style w:type="paragraph" w:customStyle="1" w:styleId="HEADER3Part1">
    <w:name w:val="HEADER 3_Part 1"/>
    <w:basedOn w:val="Normal"/>
    <w:qFormat/>
    <w:pPr>
      <w:numPr>
        <w:ilvl w:val="2"/>
        <w:numId w:val="4"/>
      </w:numPr>
      <w:tabs>
        <w:tab w:val="left" w:pos="907"/>
      </w:tabs>
      <w:spacing w:before="360" w:after="360"/>
    </w:pPr>
    <w:rPr>
      <w:rFonts w:ascii="Verdana" w:hAnsi="Verdana"/>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pPr>
      <w:numPr>
        <w:numId w:val="11"/>
      </w:numPr>
      <w:ind w:left="992" w:hanging="635"/>
    </w:pPr>
    <w:rPr>
      <w:rFonts w:ascii="Verdana" w:hAnsi="Verdana"/>
      <w:sz w:val="18"/>
      <w:szCs w:val="18"/>
    </w:rPr>
  </w:style>
  <w:style w:type="paragraph" w:customStyle="1" w:styleId="HEADER1Part2">
    <w:name w:val="HEADER 1_Part 2"/>
    <w:basedOn w:val="Normal"/>
    <w:qFormat/>
    <w:pPr>
      <w:numPr>
        <w:numId w:val="10"/>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rPr>
      <w:rFonts w:ascii="Verdana" w:hAnsi="Verdana"/>
      <w:color w:val="016794"/>
      <w:sz w:val="18"/>
      <w:szCs w:val="18"/>
    </w:rPr>
  </w:style>
  <w:style w:type="paragraph" w:customStyle="1" w:styleId="TOCTitle">
    <w:name w:val="TOC_Title"/>
    <w:basedOn w:val="Normal"/>
    <w:qFormat/>
    <w:pPr>
      <w:spacing w:before="360" w:after="120"/>
    </w:pPr>
    <w:rPr>
      <w:rFonts w:ascii="Verdana" w:hAnsi="Verdana"/>
      <w:b/>
      <w:color w:val="016794"/>
      <w:sz w:val="40"/>
      <w:szCs w:val="40"/>
    </w:rPr>
  </w:style>
  <w:style w:type="paragraph" w:customStyle="1" w:styleId="HEADER1Part3">
    <w:name w:val="HEADER 1_Part 3"/>
    <w:basedOn w:val="Normal"/>
    <w:qFormat/>
    <w:pPr>
      <w:numPr>
        <w:numId w:val="5"/>
      </w:numPr>
      <w:tabs>
        <w:tab w:val="left" w:pos="907"/>
      </w:tabs>
      <w:spacing w:after="240"/>
    </w:pPr>
    <w:rPr>
      <w:rFonts w:ascii="Verdana" w:hAnsi="Verdana"/>
      <w:b/>
      <w:color w:val="016794"/>
      <w:sz w:val="32"/>
      <w:szCs w:val="32"/>
    </w:rPr>
  </w:style>
  <w:style w:type="paragraph" w:customStyle="1" w:styleId="HEADER2Part3">
    <w:name w:val="HEADER 2_Part 3"/>
    <w:basedOn w:val="Normal"/>
    <w:qFormat/>
    <w:pPr>
      <w:numPr>
        <w:ilvl w:val="1"/>
        <w:numId w:val="5"/>
      </w:numPr>
      <w:tabs>
        <w:tab w:val="left" w:pos="907"/>
      </w:tabs>
      <w:spacing w:before="360" w:after="360"/>
    </w:pPr>
    <w:rPr>
      <w:rFonts w:ascii="Verdana" w:hAnsi="Verdana"/>
      <w:b/>
      <w:noProof/>
      <w:color w:val="016794"/>
      <w:sz w:val="28"/>
      <w:szCs w:val="30"/>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jc w:val="both"/>
    </w:pPr>
    <w:rPr>
      <w:rFonts w:ascii="Verdana" w:hAnsi="Verdana"/>
      <w:noProof/>
      <w:sz w:val="18"/>
      <w:szCs w:val="18"/>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ind w:left="720"/>
    </w:pPr>
    <w:rPr>
      <w:rFonts w:ascii="Verdana" w:hAnsi="Verdana"/>
      <w:sz w:val="18"/>
      <w:szCs w:val="18"/>
    </w:rPr>
  </w:style>
  <w:style w:type="paragraph" w:styleId="Footer">
    <w:name w:val="footer"/>
    <w:basedOn w:val="Normal"/>
    <w:link w:val="FooterChar"/>
    <w:uiPriority w:val="99"/>
    <w:pPr>
      <w:tabs>
        <w:tab w:val="center" w:pos="4677"/>
        <w:tab w:val="right" w:pos="9355"/>
      </w:tabs>
    </w:pPr>
  </w:style>
  <w:style w:type="character" w:customStyle="1" w:styleId="FooterChar">
    <w:name w:val="Footer Char"/>
    <w:link w:val="Footer"/>
    <w:uiPriority w:val="99"/>
    <w:rPr>
      <w:rFonts w:ascii="Times New Roman" w:eastAsia="Times New Roman" w:hAnsi="Times New Roman" w:cs="Times New Roman"/>
      <w:sz w:val="24"/>
      <w:szCs w:val="24"/>
      <w:lang w:eastAsia="fi-FI"/>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rPr>
      <w:rFonts w:ascii="Times New Roman" w:eastAsia="Times New Roman" w:hAnsi="Times New Roman" w:cs="Times New Roman"/>
      <w:sz w:val="24"/>
      <w:szCs w:val="24"/>
      <w:lang w:eastAsia="fi-FI"/>
    </w:rPr>
  </w:style>
  <w:style w:type="character" w:customStyle="1" w:styleId="Heading1Char">
    <w:name w:val="Heading 1 Char"/>
    <w:link w:val="Heading1"/>
    <w:rPr>
      <w:rFonts w:ascii="Cambria" w:eastAsia="Times New Roman" w:hAnsi="Cambria" w:cs="Times New Roman"/>
      <w:b/>
      <w:bCs/>
      <w:color w:val="365F91"/>
      <w:sz w:val="28"/>
      <w:szCs w:val="28"/>
      <w:lang w:eastAsia="fi-FI"/>
    </w:rPr>
  </w:style>
  <w:style w:type="character" w:styleId="Hyperlink">
    <w:name w:val="Hyperlink"/>
    <w:uiPriority w:val="99"/>
    <w:rPr>
      <w:color w:val="0000FF"/>
      <w:u w:val="single"/>
    </w:rPr>
  </w:style>
  <w:style w:type="character" w:customStyle="1" w:styleId="Marker">
    <w:name w:val="Marker"/>
    <w:rPr>
      <w:color w:val="0000FF"/>
      <w:shd w:val="clear" w:color="auto" w:fill="auto"/>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pPr>
      <w:numPr>
        <w:numId w:val="1"/>
      </w:numPr>
    </w:pPr>
    <w:rPr>
      <w:rFonts w:ascii="Verdana" w:hAnsi="Verdana"/>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ind w:left="567" w:hanging="567"/>
      <w:jc w:val="both"/>
    </w:pPr>
    <w:rPr>
      <w:rFonts w:ascii="Verdana" w:eastAsia="Calibri" w:hAnsi="Verdana"/>
      <w:noProof/>
      <w:sz w:val="18"/>
      <w:szCs w:val="18"/>
      <w:bdr w:val="nil"/>
    </w:rPr>
  </w:style>
  <w:style w:type="paragraph" w:customStyle="1" w:styleId="Textstand-alonenumberingJustified">
    <w:name w:val="Text_stand-alone_(numbering) + Justified"/>
    <w:basedOn w:val="Normal"/>
    <w:qFormat/>
    <w:pPr>
      <w:numPr>
        <w:numId w:val="6"/>
      </w:numPr>
      <w:spacing w:after="240"/>
      <w:ind w:hanging="720"/>
      <w:jc w:val="both"/>
    </w:pPr>
    <w:rPr>
      <w:rFonts w:ascii="Verdana" w:hAnsi="Verdana"/>
      <w:sz w:val="18"/>
      <w:szCs w:val="18"/>
    </w:rPr>
  </w:style>
  <w:style w:type="paragraph" w:customStyle="1" w:styleId="Textstand-aloneBulletpoint">
    <w:name w:val="Text_stand-alone Bullet point"/>
    <w:basedOn w:val="Normal"/>
    <w:qFormat/>
    <w:pPr>
      <w:numPr>
        <w:numId w:val="9"/>
      </w:numPr>
      <w:spacing w:after="240"/>
      <w:ind w:left="357" w:hanging="357"/>
      <w:contextualSpacing/>
    </w:pPr>
    <w:rPr>
      <w:rFonts w:ascii="Verdana" w:hAnsi="Verdana"/>
      <w:sz w:val="18"/>
      <w:szCs w:val="18"/>
    </w:rPr>
  </w:style>
  <w:style w:type="paragraph" w:customStyle="1" w:styleId="TextSubtitleItalicnumberinglettera">
    <w:name w:val="Text_Subtitle Italic numbering letter (a)"/>
    <w:basedOn w:val="Normal"/>
    <w:qFormat/>
    <w:pPr>
      <w:numPr>
        <w:numId w:val="3"/>
      </w:numPr>
      <w:ind w:left="357" w:hanging="357"/>
    </w:pPr>
    <w:rPr>
      <w:rFonts w:ascii="Verdana" w:hAnsi="Verdana"/>
      <w:i/>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rFonts w:ascii="Times New Roman" w:hAnsi="Times New Roma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hAnsi="Times New Roman"/>
      <w:b/>
      <w:bCs/>
    </w:rPr>
  </w:style>
  <w:style w:type="paragraph" w:customStyle="1" w:styleId="DGTextstand-alonenumbering">
    <w:name w:val="DG_Text_stand-alone_(numbering)"/>
    <w:qFormat/>
    <w:pPr>
      <w:numPr>
        <w:numId w:val="12"/>
      </w:numPr>
      <w:spacing w:after="240"/>
      <w:ind w:hanging="720"/>
    </w:pPr>
    <w:rPr>
      <w:rFonts w:ascii="Verdana" w:hAnsi="Verdana"/>
      <w:noProof/>
      <w:sz w:val="18"/>
      <w:szCs w:val="18"/>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Heading">
    <w:name w:val="TOC Heading"/>
    <w:basedOn w:val="Heading1"/>
    <w:next w:val="Normal"/>
    <w:uiPriority w:val="39"/>
    <w:unhideWhenUsed/>
    <w:qFormat/>
    <w:pPr>
      <w:spacing w:line="276" w:lineRule="auto"/>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qFormat/>
    <w:pPr>
      <w:spacing w:after="100"/>
    </w:pPr>
    <w:rPr>
      <w:rFonts w:ascii="Verdana" w:hAnsi="Verdana"/>
      <w:color w:val="365F91" w:themeColor="accent1" w:themeShade="BF"/>
      <w:sz w:val="22"/>
    </w:rPr>
  </w:style>
  <w:style w:type="paragraph" w:styleId="TOC2">
    <w:name w:val="toc 2"/>
    <w:basedOn w:val="Normal"/>
    <w:next w:val="Normal"/>
    <w:autoRedefine/>
    <w:uiPriority w:val="39"/>
    <w:unhideWhenUsed/>
    <w:qFormat/>
    <w:pPr>
      <w:spacing w:after="100"/>
      <w:ind w:left="240"/>
    </w:pPr>
    <w:rPr>
      <w:rFonts w:ascii="Verdana" w:hAnsi="Verdana"/>
      <w:color w:val="808080" w:themeColor="background1" w:themeShade="80"/>
      <w:sz w:val="22"/>
    </w:rPr>
  </w:style>
  <w:style w:type="paragraph" w:customStyle="1" w:styleId="HEADERTITLE2">
    <w:name w:val="HEADER_TITLE_2"/>
    <w:basedOn w:val="HEADERTITLE1"/>
    <w:qFormat/>
  </w:style>
  <w:style w:type="paragraph" w:customStyle="1" w:styleId="HEADER1Part4">
    <w:name w:val="HEADER 1_Part 4"/>
    <w:basedOn w:val="HEADER1Part3"/>
    <w:qFormat/>
    <w:pPr>
      <w:numPr>
        <w:numId w:val="14"/>
      </w:numPr>
    </w:pPr>
  </w:style>
  <w:style w:type="paragraph" w:customStyle="1" w:styleId="HEADER2Part4">
    <w:name w:val="HEADER 2_Part 4"/>
    <w:basedOn w:val="HEADER2Part3"/>
    <w:qFormat/>
    <w:pPr>
      <w:numPr>
        <w:numId w:val="14"/>
      </w:numPr>
      <w:ind w:left="357" w:hanging="357"/>
    </w:pPr>
  </w:style>
  <w:style w:type="paragraph" w:customStyle="1" w:styleId="HEADER1PartBUDG">
    <w:name w:val="HEADER 1_Part BUDG"/>
    <w:basedOn w:val="Normal"/>
    <w:qFormat/>
    <w:pPr>
      <w:numPr>
        <w:numId w:val="16"/>
      </w:numPr>
      <w:tabs>
        <w:tab w:val="left" w:pos="907"/>
      </w:tabs>
      <w:spacing w:after="240"/>
      <w:jc w:val="both"/>
    </w:pPr>
    <w:rPr>
      <w:rFonts w:ascii="Verdana" w:hAnsi="Verdana"/>
      <w:b/>
      <w:color w:val="016794"/>
      <w:sz w:val="32"/>
      <w:szCs w:val="32"/>
    </w:rPr>
  </w:style>
  <w:style w:type="paragraph" w:customStyle="1" w:styleId="HEADER2PartBUDG">
    <w:name w:val="HEADER 2_Part BUDG"/>
    <w:basedOn w:val="Normal"/>
    <w:qFormat/>
    <w:pPr>
      <w:numPr>
        <w:ilvl w:val="1"/>
        <w:numId w:val="16"/>
      </w:numPr>
      <w:tabs>
        <w:tab w:val="left" w:pos="709"/>
      </w:tabs>
      <w:spacing w:before="360" w:after="360"/>
    </w:pPr>
    <w:rPr>
      <w:rFonts w:ascii="Verdana" w:eastAsia="Calibri" w:hAnsi="Verdana"/>
      <w:b/>
      <w:color w:val="016794"/>
      <w:sz w:val="28"/>
    </w:rPr>
  </w:style>
  <w:style w:type="paragraph" w:customStyle="1" w:styleId="HEADER3PartBUGD">
    <w:name w:val="HEADER 3_Part BUGD"/>
    <w:basedOn w:val="Normal"/>
    <w:qFormat/>
    <w:pPr>
      <w:numPr>
        <w:ilvl w:val="2"/>
        <w:numId w:val="16"/>
      </w:numPr>
      <w:tabs>
        <w:tab w:val="left" w:pos="0"/>
      </w:tabs>
      <w:spacing w:before="360" w:after="360"/>
      <w:ind w:firstLine="387"/>
    </w:pPr>
    <w:rPr>
      <w:rFonts w:ascii="Verdana" w:hAnsi="Verdana"/>
      <w:color w:val="016794"/>
      <w:sz w:val="20"/>
      <w:szCs w:val="20"/>
    </w:rPr>
  </w:style>
  <w:style w:type="paragraph" w:customStyle="1" w:styleId="HEADER4PartBUDG">
    <w:name w:val="HEADER 4_Part BUDG"/>
    <w:basedOn w:val="Normal"/>
    <w:qFormat/>
    <w:pPr>
      <w:numPr>
        <w:ilvl w:val="3"/>
        <w:numId w:val="16"/>
      </w:numPr>
      <w:tabs>
        <w:tab w:val="left" w:pos="907"/>
      </w:tabs>
      <w:spacing w:before="360" w:after="360"/>
      <w:ind w:left="567" w:hanging="567"/>
    </w:pPr>
    <w:rPr>
      <w:rFonts w:ascii="Verdana" w:hAnsi="Verdana"/>
      <w:color w:val="016794"/>
      <w:sz w:val="18"/>
      <w:szCs w:val="18"/>
    </w:rPr>
  </w:style>
  <w:style w:type="paragraph" w:customStyle="1" w:styleId="HEADER1NOTES">
    <w:name w:val="HEADER 1_NOTES"/>
    <w:basedOn w:val="HEADER1Part2"/>
    <w:qFormat/>
    <w:pPr>
      <w:numPr>
        <w:numId w:val="15"/>
      </w:numPr>
    </w:pPr>
  </w:style>
  <w:style w:type="paragraph" w:customStyle="1" w:styleId="HEADER2NOTES">
    <w:name w:val="HEADER 2_NOTES"/>
    <w:basedOn w:val="HEADER2Part2"/>
    <w:qFormat/>
    <w:pPr>
      <w:numPr>
        <w:numId w:val="15"/>
      </w:numPr>
    </w:pPr>
  </w:style>
  <w:style w:type="paragraph" w:customStyle="1" w:styleId="HEADER3NOTES">
    <w:name w:val="HEADER 3_NOTES"/>
    <w:basedOn w:val="HEADER3Part2"/>
    <w:qFormat/>
    <w:pPr>
      <w:numPr>
        <w:numId w:val="15"/>
      </w:numPr>
    </w:pPr>
  </w:style>
  <w:style w:type="paragraph" w:customStyle="1" w:styleId="HEADER4NOTES">
    <w:name w:val="HEADER 4_NOTES"/>
    <w:basedOn w:val="HEADER4Part2"/>
    <w:qFormat/>
    <w:pPr>
      <w:numPr>
        <w:numId w:val="15"/>
      </w:numPr>
    </w:pPr>
  </w:style>
  <w:style w:type="paragraph" w:customStyle="1" w:styleId="DGTextstand-alone">
    <w:name w:val="DG_Text_stand-alone"/>
    <w:link w:val="DGTextstand-aloneChar"/>
    <w:pPr>
      <w:pBdr>
        <w:top w:val="nil"/>
        <w:left w:val="nil"/>
        <w:bottom w:val="nil"/>
        <w:right w:val="nil"/>
        <w:between w:val="nil"/>
        <w:bar w:val="nil"/>
      </w:pBdr>
      <w:spacing w:before="240" w:after="240"/>
      <w:jc w:val="both"/>
    </w:pPr>
    <w:rPr>
      <w:rFonts w:ascii="Verdana" w:eastAsia="Calibri" w:hAnsi="Verdana"/>
      <w:noProof/>
      <w:sz w:val="18"/>
      <w:szCs w:val="18"/>
      <w:bdr w:val="nil"/>
    </w:rPr>
  </w:style>
  <w:style w:type="character" w:customStyle="1" w:styleId="DGTextstand-aloneChar">
    <w:name w:val="DG_Text_stand-alone Char"/>
    <w:link w:val="DGTextstand-alone"/>
    <w:rPr>
      <w:rFonts w:ascii="Verdana" w:eastAsia="Calibri" w:hAnsi="Verdana"/>
      <w:noProof/>
      <w:sz w:val="18"/>
      <w:szCs w:val="18"/>
      <w:bdr w:val="nil"/>
      <w:lang w:eastAsia="fi-FI"/>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rFonts w:ascii="Times New Roman" w:hAnsi="Times New Roman"/>
    </w:rPr>
  </w:style>
  <w:style w:type="paragraph" w:customStyle="1" w:styleId="Footnote">
    <w:name w:val="Footnote"/>
    <w:basedOn w:val="Normal"/>
    <w:pPr>
      <w:tabs>
        <w:tab w:val="left" w:pos="284"/>
      </w:tabs>
      <w:ind w:left="284" w:hanging="284"/>
      <w:jc w:val="both"/>
    </w:pPr>
    <w:rPr>
      <w:rFonts w:ascii="Verdana" w:hAnsi="Verdana"/>
      <w:sz w:val="16"/>
      <w:szCs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8pItalicLeft">
    <w:name w:val="Text_8p_Italic_Left"/>
    <w:qFormat/>
    <w:rPr>
      <w:rFonts w:ascii="Verdana" w:eastAsia="Calibri" w:hAnsi="Verdana"/>
      <w:bCs/>
      <w:i/>
      <w:noProof/>
      <w:sz w:val="16"/>
    </w:rPr>
  </w:style>
  <w:style w:type="paragraph" w:customStyle="1" w:styleId="Text8pItalicRight025EUR">
    <w:name w:val="Text_8p_Italic_Right_0.25_EUR"/>
    <w:qFormat/>
    <w:pPr>
      <w:ind w:right="142"/>
      <w:jc w:val="right"/>
    </w:pPr>
    <w:rPr>
      <w:rFonts w:ascii="Verdana" w:eastAsia="Calibri" w:hAnsi="Verdana"/>
      <w:i/>
      <w:noProof/>
      <w:sz w:val="16"/>
      <w:szCs w:val="18"/>
    </w:rPr>
  </w:style>
  <w:style w:type="paragraph" w:customStyle="1" w:styleId="Heading10pNormalLeft">
    <w:name w:val="Heading_10p_Normal_Left"/>
    <w:qFormat/>
    <w:rPr>
      <w:rFonts w:ascii="Verdana" w:eastAsia="Calibri" w:hAnsi="Verdana"/>
      <w:noProof/>
      <w:color w:val="FFFFFF"/>
      <w:szCs w:val="30"/>
    </w:rPr>
  </w:style>
  <w:style w:type="paragraph" w:customStyle="1" w:styleId="Heading10pNormalRight025">
    <w:name w:val="Heading_10p_Normal_Right_0.25"/>
    <w:qFormat/>
    <w:pPr>
      <w:ind w:right="142"/>
      <w:jc w:val="right"/>
    </w:pPr>
    <w:rPr>
      <w:rFonts w:ascii="Verdana" w:eastAsia="Calibri" w:hAnsi="Verdana"/>
      <w:noProof/>
      <w:color w:val="FFFFFF"/>
      <w:szCs w:val="30"/>
    </w:rPr>
  </w:style>
  <w:style w:type="paragraph" w:customStyle="1" w:styleId="Text9pBoldLeft">
    <w:name w:val="Text_9p_Bold_Left"/>
    <w:qFormat/>
    <w:rPr>
      <w:rFonts w:ascii="Verdana" w:eastAsia="Calibri" w:hAnsi="Verdana"/>
      <w:b/>
      <w:noProof/>
      <w:sz w:val="18"/>
      <w:szCs w:val="18"/>
    </w:rPr>
  </w:style>
  <w:style w:type="paragraph" w:customStyle="1" w:styleId="Figures9pItalicRight025">
    <w:name w:val="Figures_9p_Italic_Right_0.25"/>
    <w:qFormat/>
    <w:pPr>
      <w:ind w:right="142"/>
      <w:jc w:val="right"/>
    </w:pPr>
    <w:rPr>
      <w:rFonts w:ascii="Verdana" w:eastAsia="Calibri" w:hAnsi="Verdana"/>
      <w:i/>
      <w:noProof/>
      <w:sz w:val="18"/>
      <w:szCs w:val="18"/>
    </w:rPr>
  </w:style>
  <w:style w:type="paragraph" w:customStyle="1" w:styleId="Text9pItalicLeft">
    <w:name w:val="Text_9p_Italic_Left"/>
    <w:qFormat/>
    <w:rPr>
      <w:rFonts w:ascii="Verdana" w:eastAsia="Calibri" w:hAnsi="Verdana"/>
      <w:i/>
      <w:noProof/>
      <w:sz w:val="18"/>
      <w:szCs w:val="18"/>
    </w:rPr>
  </w:style>
  <w:style w:type="paragraph" w:customStyle="1" w:styleId="Text9pItalicCentered">
    <w:name w:val="Text_9p_Italic_Centered"/>
    <w:qFormat/>
    <w:pPr>
      <w:jc w:val="center"/>
    </w:pPr>
    <w:rPr>
      <w:rFonts w:ascii="Verdana" w:eastAsia="Calibri" w:hAnsi="Verdana"/>
      <w:i/>
      <w:noProof/>
      <w:sz w:val="18"/>
      <w:szCs w:val="18"/>
    </w:rPr>
  </w:style>
  <w:style w:type="paragraph" w:customStyle="1" w:styleId="Figures9pBoldRight025">
    <w:name w:val="Figures_9p_Bold_Right_0.25"/>
    <w:qFormat/>
    <w:pPr>
      <w:ind w:right="142"/>
      <w:jc w:val="right"/>
    </w:pPr>
    <w:rPr>
      <w:rFonts w:ascii="Verdana" w:eastAsia="Calibri" w:hAnsi="Verdana"/>
      <w:b/>
      <w:noProof/>
      <w:sz w:val="18"/>
      <w:szCs w:val="18"/>
    </w:rPr>
  </w:style>
  <w:style w:type="paragraph" w:customStyle="1" w:styleId="Text9pItalicLeft3p">
    <w:name w:val="Text_9p_Italic_Left_3p"/>
    <w:basedOn w:val="Text9pItalicLeft"/>
    <w:qFormat/>
    <w:pPr>
      <w:pBdr>
        <w:top w:val="nil"/>
        <w:left w:val="nil"/>
        <w:bottom w:val="nil"/>
        <w:right w:val="nil"/>
        <w:between w:val="nil"/>
        <w:bar w:val="nil"/>
      </w:pBdr>
      <w:spacing w:after="60"/>
    </w:pPr>
    <w:rPr>
      <w:bdr w:val="nil"/>
    </w:rPr>
  </w:style>
  <w:style w:type="paragraph" w:customStyle="1" w:styleId="Heading10pNormalCentered">
    <w:name w:val="Heading_10p_Normal_Centered"/>
    <w:qFormat/>
    <w:pPr>
      <w:pBdr>
        <w:top w:val="nil"/>
        <w:left w:val="nil"/>
        <w:bottom w:val="nil"/>
        <w:right w:val="nil"/>
        <w:between w:val="nil"/>
        <w:bar w:val="nil"/>
      </w:pBdr>
      <w:jc w:val="center"/>
    </w:pPr>
    <w:rPr>
      <w:rFonts w:ascii="Verdana" w:eastAsia="Calibri" w:hAnsi="Verdana"/>
      <w:noProof/>
      <w:color w:val="FFFFFF"/>
      <w:szCs w:val="30"/>
      <w:bdr w:val="nil"/>
    </w:rPr>
  </w:style>
  <w:style w:type="paragraph" w:customStyle="1" w:styleId="Heading9pNormalCentered">
    <w:name w:val="Heading_9p_Normal_Centered"/>
    <w:qFormat/>
    <w:pPr>
      <w:jc w:val="center"/>
    </w:pPr>
    <w:rPr>
      <w:rFonts w:ascii="Verdana" w:hAnsi="Verdana" w:cs="Calibri"/>
      <w:bCs/>
      <w:color w:val="FFFFFF"/>
      <w:sz w:val="18"/>
      <w:szCs w:val="22"/>
    </w:rPr>
  </w:style>
  <w:style w:type="paragraph" w:customStyle="1" w:styleId="Text9pBoldLeft025">
    <w:name w:val="Text_9p_Bold_Left_0.25"/>
    <w:qFormat/>
    <w:pPr>
      <w:pBdr>
        <w:top w:val="nil"/>
        <w:left w:val="nil"/>
        <w:bottom w:val="nil"/>
        <w:right w:val="nil"/>
        <w:between w:val="nil"/>
        <w:bar w:val="nil"/>
      </w:pBdr>
      <w:ind w:left="142"/>
    </w:pPr>
    <w:rPr>
      <w:rFonts w:ascii="Verdana" w:eastAsia="Calibri" w:hAnsi="Verdana"/>
      <w:b/>
      <w:noProof/>
      <w:sz w:val="18"/>
      <w:szCs w:val="18"/>
      <w:bdr w:val="nil"/>
    </w:rPr>
  </w:style>
  <w:style w:type="paragraph" w:customStyle="1" w:styleId="Figures9pItalicCentered">
    <w:name w:val="Figures_9p_Italic_Centered"/>
    <w:qFormat/>
    <w:pPr>
      <w:pBdr>
        <w:top w:val="nil"/>
        <w:left w:val="nil"/>
        <w:bottom w:val="nil"/>
        <w:right w:val="nil"/>
        <w:between w:val="nil"/>
        <w:bar w:val="nil"/>
      </w:pBdr>
      <w:jc w:val="center"/>
    </w:pPr>
    <w:rPr>
      <w:rFonts w:ascii="Verdana" w:eastAsia="Calibri" w:hAnsi="Verdana"/>
      <w:i/>
      <w:noProof/>
      <w:sz w:val="18"/>
      <w:szCs w:val="18"/>
      <w:bdr w:val="nil"/>
    </w:rPr>
  </w:style>
  <w:style w:type="paragraph" w:customStyle="1" w:styleId="Text6pNormalLeft">
    <w:name w:val="Text_6p_Normal_Left"/>
    <w:qFormat/>
    <w:pPr>
      <w:pBdr>
        <w:top w:val="nil"/>
        <w:left w:val="nil"/>
        <w:bottom w:val="nil"/>
        <w:right w:val="nil"/>
        <w:between w:val="nil"/>
        <w:bar w:val="nil"/>
      </w:pBdr>
    </w:pPr>
    <w:rPr>
      <w:rFonts w:ascii="Verdana" w:eastAsia="Calibri" w:hAnsi="Verdana"/>
      <w:bCs/>
      <w:noProof/>
      <w:sz w:val="12"/>
      <w:bdr w:val="nil"/>
    </w:rPr>
  </w:style>
  <w:style w:type="paragraph" w:customStyle="1" w:styleId="Heading8pNormalLeft">
    <w:name w:val="Heading_8p_Normal_Left"/>
    <w:qFormat/>
    <w:rPr>
      <w:rFonts w:ascii="Verdana" w:hAnsi="Verdana" w:cs="Calibri"/>
      <w:bCs/>
      <w:color w:val="FFFFFF"/>
      <w:sz w:val="16"/>
      <w:szCs w:val="22"/>
    </w:rPr>
  </w:style>
  <w:style w:type="paragraph" w:customStyle="1" w:styleId="Heading8pNormalCentered">
    <w:name w:val="Heading_8p_Normal_Centered"/>
    <w:qFormat/>
    <w:pPr>
      <w:jc w:val="center"/>
    </w:pPr>
    <w:rPr>
      <w:rFonts w:ascii="Verdana" w:eastAsia="Calibri" w:hAnsi="Verdana"/>
      <w:noProof/>
      <w:color w:val="FFFFFF"/>
      <w:sz w:val="16"/>
      <w:szCs w:val="30"/>
    </w:rPr>
  </w:style>
  <w:style w:type="paragraph" w:customStyle="1" w:styleId="Figures8pItalicRight025">
    <w:name w:val="Figures_8p_Italic_Right_0.25"/>
    <w:qFormat/>
    <w:pPr>
      <w:ind w:right="142"/>
      <w:jc w:val="right"/>
    </w:pPr>
    <w:rPr>
      <w:rFonts w:ascii="Verdana" w:eastAsia="Calibri" w:hAnsi="Verdana"/>
      <w:i/>
      <w:noProof/>
      <w:sz w:val="16"/>
      <w:szCs w:val="18"/>
    </w:rPr>
  </w:style>
  <w:style w:type="paragraph" w:customStyle="1" w:styleId="Text8pBoldLeft">
    <w:name w:val="Text_8p_Bold_Left"/>
    <w:qFormat/>
    <w:rPr>
      <w:rFonts w:ascii="Verdana" w:eastAsia="Calibri" w:hAnsi="Verdana"/>
      <w:b/>
      <w:bCs/>
      <w:noProof/>
      <w:sz w:val="16"/>
    </w:rPr>
  </w:style>
  <w:style w:type="paragraph" w:customStyle="1" w:styleId="Figures8pBoldRight025">
    <w:name w:val="Figures_8p_Bold_Right_0.25"/>
    <w:qFormat/>
    <w:pPr>
      <w:ind w:right="142"/>
      <w:jc w:val="right"/>
    </w:pPr>
    <w:rPr>
      <w:rFonts w:ascii="Verdana" w:eastAsia="Calibri" w:hAnsi="Verdana"/>
      <w:b/>
      <w:bCs/>
      <w:noProof/>
      <w:sz w:val="16"/>
    </w:rPr>
  </w:style>
  <w:style w:type="paragraph" w:customStyle="1" w:styleId="Text9pItalicleftBlue">
    <w:name w:val="Text_9p_Italic_left_Blue"/>
    <w:qFormat/>
    <w:rPr>
      <w:rFonts w:ascii="Verdana" w:eastAsia="Calibri" w:hAnsi="Verdana"/>
      <w:i/>
      <w:noProof/>
      <w:color w:val="016794"/>
      <w:sz w:val="18"/>
      <w:szCs w:val="18"/>
    </w:rPr>
  </w:style>
  <w:style w:type="paragraph" w:customStyle="1" w:styleId="Figures9pItalicBlueRight">
    <w:name w:val="Figures_9p_Italic_Blue_Right"/>
    <w:basedOn w:val="Figures9pItalicBoldRight025"/>
    <w:qFormat/>
    <w:rPr>
      <w:b w:val="0"/>
      <w:color w:val="016794"/>
    </w:rPr>
  </w:style>
  <w:style w:type="paragraph" w:customStyle="1" w:styleId="Figures9pItalicBoldRight025">
    <w:name w:val="Figures_9p_ItalicBold_Right_0.25"/>
    <w:qFormat/>
    <w:pPr>
      <w:ind w:right="142"/>
      <w:jc w:val="right"/>
    </w:pPr>
    <w:rPr>
      <w:rFonts w:ascii="Verdana" w:eastAsia="Calibri" w:hAnsi="Verdana"/>
      <w:b/>
      <w:i/>
      <w:noProof/>
      <w:sz w:val="18"/>
      <w:szCs w:val="18"/>
    </w:rPr>
  </w:style>
  <w:style w:type="paragraph" w:customStyle="1" w:styleId="Text9pNormalLeft">
    <w:name w:val="Text_9p_Normal_Left"/>
    <w:basedOn w:val="Text9pItalicLeft"/>
    <w:qFormat/>
    <w:rPr>
      <w:i w:val="0"/>
    </w:rPr>
  </w:style>
  <w:style w:type="paragraph" w:customStyle="1" w:styleId="Figures9pNormalRight025">
    <w:name w:val="Figures_9p_Normal_Right_0.25"/>
    <w:basedOn w:val="Figures9pItalicRight025"/>
    <w:qFormat/>
    <w:rPr>
      <w:i w:val="0"/>
    </w:rPr>
  </w:style>
  <w:style w:type="paragraph" w:customStyle="1" w:styleId="Figures8pItalicBlueRight">
    <w:name w:val="Figures_8p_Italic_Blue_Right"/>
    <w:basedOn w:val="Figures9pItalicBlueRight"/>
    <w:qFormat/>
    <w:rPr>
      <w:sz w:val="16"/>
    </w:rPr>
  </w:style>
  <w:style w:type="paragraph" w:customStyle="1" w:styleId="Text7pItalicLeft">
    <w:name w:val="Text_7p_Italic_Left"/>
    <w:qFormat/>
    <w:rPr>
      <w:rFonts w:ascii="Verdana" w:eastAsia="Calibri" w:hAnsi="Verdana"/>
      <w:bCs/>
      <w:i/>
      <w:noProof/>
      <w:sz w:val="14"/>
    </w:rPr>
  </w:style>
  <w:style w:type="paragraph" w:customStyle="1" w:styleId="Heading9pNormalLeft">
    <w:name w:val="Heading_9p_Normal_Left"/>
    <w:basedOn w:val="Heading9pNormalCentered"/>
    <w:qFormat/>
    <w:pPr>
      <w:jc w:val="left"/>
    </w:pPr>
  </w:style>
  <w:style w:type="paragraph" w:customStyle="1" w:styleId="Heading9pNormalRight025">
    <w:name w:val="Heading_9p_Normal_Right_0.25"/>
    <w:basedOn w:val="Heading9pNormalCentered"/>
    <w:qFormat/>
    <w:pPr>
      <w:ind w:right="142"/>
      <w:jc w:val="right"/>
    </w:pPr>
  </w:style>
  <w:style w:type="paragraph" w:customStyle="1" w:styleId="Text7pItalicRight025">
    <w:name w:val="Text_7p_Italic_Right_0.25"/>
    <w:basedOn w:val="Text8pItalicRight025EUR"/>
    <w:qFormat/>
    <w:rPr>
      <w:sz w:val="14"/>
    </w:rPr>
  </w:style>
  <w:style w:type="paragraph" w:customStyle="1" w:styleId="Text8pItalicleftBlue">
    <w:name w:val="Text_8p_Italic_left_Blue"/>
    <w:qFormat/>
    <w:rPr>
      <w:rFonts w:ascii="Verdana" w:eastAsia="Calibri" w:hAnsi="Verdana"/>
      <w:i/>
      <w:noProof/>
      <w:color w:val="016794"/>
      <w:sz w:val="16"/>
      <w:szCs w:val="18"/>
    </w:rPr>
  </w:style>
  <w:style w:type="paragraph" w:customStyle="1" w:styleId="Heading-9pNormalCentered">
    <w:name w:val="Heading-9p_Normal_Centered"/>
    <w:basedOn w:val="Heading10pNormalCentered"/>
    <w:qFormat/>
    <w:rPr>
      <w:sz w:val="18"/>
    </w:rPr>
  </w:style>
  <w:style w:type="paragraph" w:customStyle="1" w:styleId="Heading9pNormalRight01">
    <w:name w:val="Heading_9p_Normal_Right_0.1"/>
    <w:basedOn w:val="Heading9pNormalRight025"/>
    <w:qFormat/>
    <w:pPr>
      <w:ind w:right="57"/>
    </w:pPr>
  </w:style>
  <w:style w:type="paragraph" w:customStyle="1" w:styleId="Heading8pNormalRight025">
    <w:name w:val="Heading_8p_Normal_Right_0.25"/>
    <w:basedOn w:val="Heading10pNormalRight025"/>
    <w:qFormat/>
    <w:rPr>
      <w:sz w:val="16"/>
    </w:rPr>
  </w:style>
  <w:style w:type="paragraph" w:customStyle="1" w:styleId="Heading7pNormalCentered">
    <w:name w:val="Heading_7p_Normal_Centered"/>
    <w:basedOn w:val="Heading8pNormalCentered"/>
    <w:qFormat/>
    <w:pPr>
      <w:pBdr>
        <w:top w:val="nil"/>
        <w:left w:val="nil"/>
        <w:bottom w:val="nil"/>
        <w:right w:val="nil"/>
        <w:between w:val="nil"/>
        <w:bar w:val="nil"/>
      </w:pBdr>
    </w:pPr>
    <w:rPr>
      <w:sz w:val="14"/>
      <w:bdr w:val="nil"/>
    </w:rPr>
  </w:style>
  <w:style w:type="paragraph" w:customStyle="1" w:styleId="Figures7pItalicRight025">
    <w:name w:val="Figures_7p_Italic_Right_0.25"/>
    <w:basedOn w:val="Figures8pItalicRight025"/>
    <w:qFormat/>
    <w:rPr>
      <w:sz w:val="14"/>
    </w:rPr>
  </w:style>
  <w:style w:type="paragraph" w:customStyle="1" w:styleId="Figures7pBoldRight025">
    <w:name w:val="Figures_7p_Bold_Right_0.25"/>
    <w:qFormat/>
    <w:pPr>
      <w:ind w:right="142"/>
      <w:jc w:val="right"/>
    </w:pPr>
    <w:rPr>
      <w:rFonts w:ascii="Verdana" w:eastAsia="Calibri" w:hAnsi="Verdana"/>
      <w:b/>
      <w:noProof/>
      <w:sz w:val="14"/>
      <w:szCs w:val="18"/>
    </w:rPr>
  </w:style>
  <w:style w:type="paragraph" w:customStyle="1" w:styleId="Heading8pNormalRight01">
    <w:name w:val="Heading_8p_Normal_Right_0.1"/>
    <w:qFormat/>
    <w:pPr>
      <w:pBdr>
        <w:top w:val="nil"/>
        <w:left w:val="nil"/>
        <w:bottom w:val="nil"/>
        <w:right w:val="nil"/>
        <w:between w:val="nil"/>
        <w:bar w:val="nil"/>
      </w:pBdr>
      <w:ind w:right="57"/>
      <w:jc w:val="right"/>
    </w:pPr>
    <w:rPr>
      <w:rFonts w:ascii="Verdana" w:hAnsi="Verdana" w:cs="Calibri"/>
      <w:bCs/>
      <w:color w:val="FFFFFF"/>
      <w:sz w:val="16"/>
      <w:szCs w:val="22"/>
      <w:bdr w:val="nil"/>
    </w:rPr>
  </w:style>
  <w:style w:type="paragraph" w:customStyle="1" w:styleId="Text8pNormalLeft">
    <w:name w:val="Text_8p_Normal_Left"/>
    <w:qFormat/>
    <w:pPr>
      <w:pBdr>
        <w:top w:val="nil"/>
        <w:left w:val="nil"/>
        <w:bottom w:val="nil"/>
        <w:right w:val="nil"/>
        <w:between w:val="nil"/>
        <w:bar w:val="nil"/>
      </w:pBdr>
      <w:ind w:left="34"/>
    </w:pPr>
    <w:rPr>
      <w:rFonts w:ascii="Verdana" w:eastAsia="Calibri" w:hAnsi="Verdana"/>
      <w:bCs/>
      <w:sz w:val="16"/>
      <w:bdr w:val="nil"/>
    </w:rPr>
  </w:style>
  <w:style w:type="paragraph" w:customStyle="1" w:styleId="Figures8pNormalRight025">
    <w:name w:val="Figures_8p_Normal_Right_0.25"/>
    <w:basedOn w:val="Figures8pItalicRight025"/>
    <w:qFormat/>
    <w:pPr>
      <w:pBdr>
        <w:top w:val="nil"/>
        <w:left w:val="nil"/>
        <w:bottom w:val="nil"/>
        <w:right w:val="nil"/>
        <w:between w:val="nil"/>
        <w:bar w:val="nil"/>
      </w:pBdr>
    </w:pPr>
    <w:rPr>
      <w:i w:val="0"/>
      <w:bdr w:val="nil"/>
    </w:rPr>
  </w:style>
  <w:style w:type="paragraph" w:customStyle="1" w:styleId="Text9pItalicLeft025">
    <w:name w:val="Text_9p_Italic_Left_0.25"/>
    <w:basedOn w:val="Text9pItalicLeft"/>
    <w:qFormat/>
    <w:pPr>
      <w:pBdr>
        <w:top w:val="nil"/>
        <w:left w:val="nil"/>
        <w:bottom w:val="nil"/>
        <w:right w:val="nil"/>
        <w:between w:val="nil"/>
        <w:bar w:val="nil"/>
      </w:pBdr>
      <w:ind w:left="142"/>
    </w:pPr>
    <w:rPr>
      <w:bdr w:val="nil"/>
    </w:rPr>
  </w:style>
  <w:style w:type="paragraph" w:customStyle="1" w:styleId="Text9pItalicBoldLeft">
    <w:name w:val="Text_9p_ItalicBold_Left"/>
    <w:qFormat/>
    <w:pPr>
      <w:pBdr>
        <w:top w:val="nil"/>
        <w:left w:val="nil"/>
        <w:bottom w:val="nil"/>
        <w:right w:val="nil"/>
        <w:between w:val="nil"/>
        <w:bar w:val="nil"/>
      </w:pBdr>
    </w:pPr>
    <w:rPr>
      <w:rFonts w:ascii="Verdana" w:eastAsia="Calibri" w:hAnsi="Verdana"/>
      <w:b/>
      <w:i/>
      <w:noProof/>
      <w:sz w:val="18"/>
      <w:szCs w:val="18"/>
      <w:bdr w:val="nil"/>
    </w:rPr>
  </w:style>
  <w:style w:type="paragraph" w:customStyle="1" w:styleId="Financialyear0">
    <w:name w:val="Financial year"/>
    <w:basedOn w:val="DGTextstand-alone"/>
    <w:qFormat/>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noProof w:val="0"/>
      <w:color w:val="016794"/>
      <w:sz w:val="40"/>
      <w:szCs w:val="40"/>
      <w:bdr w:val="none" w:sz="0" w:space="0" w:color="auto"/>
    </w:rPr>
  </w:style>
  <w:style w:type="paragraph" w:customStyle="1" w:styleId="Asterix">
    <w:name w:val="Asterix"/>
    <w:basedOn w:val="DGTextstand-alone"/>
    <w:qFormat/>
    <w:p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pacing w:before="0" w:after="0"/>
      <w:jc w:val="left"/>
    </w:pPr>
    <w:rPr>
      <w:rFonts w:eastAsia="Times New Roman"/>
      <w:i/>
      <w:sz w:val="14"/>
      <w:bdr w:val="none" w:sz="0" w:space="0" w:color="auto"/>
    </w:rPr>
  </w:style>
  <w:style w:type="paragraph" w:customStyle="1" w:styleId="DMETW15799BIPBudgetresult">
    <w:name w:val="DM_ETW_15799_BIP_Budget_result"/>
    <w:rPr>
      <w:rFonts w:eastAsia="Calibri"/>
    </w:rPr>
  </w:style>
  <w:style w:type="paragraph" w:customStyle="1" w:styleId="DMETW15799BIPStatementofcomparisonRevenue">
    <w:name w:val="DM_ETW_15799_BIP_Statement_of_comparison_Revenue"/>
    <w:rPr>
      <w:rFonts w:eastAsia="Calibri"/>
    </w:rPr>
  </w:style>
  <w:style w:type="paragraph" w:customStyle="1" w:styleId="DMETW15799BIPStatementofcomparisonCommitments">
    <w:name w:val="DM_ETW_15799_BIP_Statement_of_comparison_Commitments"/>
    <w:rPr>
      <w:rFonts w:eastAsia="Calibri"/>
    </w:rPr>
  </w:style>
  <w:style w:type="paragraph" w:customStyle="1" w:styleId="DMETW15799BIPStatementofcomparisonPayments">
    <w:name w:val="DM_ETW_15799_BIP_Statement_of_comparison_Payments"/>
    <w:rPr>
      <w:rFonts w:eastAsia="Calibri"/>
    </w:rPr>
  </w:style>
  <w:style w:type="paragraph" w:customStyle="1" w:styleId="Heading7pNormalRight01">
    <w:name w:val="Heading_7p_Normal_Right_0.1"/>
    <w:qFormat/>
    <w:pPr>
      <w:pBdr>
        <w:top w:val="nil"/>
        <w:left w:val="nil"/>
        <w:bottom w:val="nil"/>
        <w:right w:val="nil"/>
        <w:between w:val="nil"/>
        <w:bar w:val="nil"/>
      </w:pBdr>
      <w:ind w:right="57"/>
      <w:jc w:val="right"/>
    </w:pPr>
    <w:rPr>
      <w:rFonts w:ascii="Verdana" w:hAnsi="Verdana" w:cs="Calibri"/>
      <w:bCs/>
      <w:color w:val="FFFFFF"/>
      <w:sz w:val="14"/>
      <w:szCs w:val="22"/>
      <w:bdr w:val="nil"/>
    </w:rPr>
  </w:style>
  <w:style w:type="paragraph" w:customStyle="1" w:styleId="Text7pNormalLeft">
    <w:name w:val="Text_7p_Normal_Left"/>
    <w:basedOn w:val="Text8pNormalLeft"/>
    <w:qFormat/>
    <w:rPr>
      <w:noProof/>
      <w:sz w:val="14"/>
    </w:rPr>
  </w:style>
  <w:style w:type="paragraph" w:customStyle="1" w:styleId="Figures6pNormalright01">
    <w:name w:val="Figures_6p_Normal_right_0.1"/>
    <w:qFormat/>
    <w:pPr>
      <w:pBdr>
        <w:top w:val="nil"/>
        <w:left w:val="nil"/>
        <w:bottom w:val="nil"/>
        <w:right w:val="nil"/>
        <w:between w:val="nil"/>
        <w:bar w:val="nil"/>
      </w:pBdr>
      <w:ind w:right="57"/>
      <w:jc w:val="right"/>
    </w:pPr>
    <w:rPr>
      <w:rFonts w:ascii="Verdana" w:eastAsia="Calibri" w:hAnsi="Verdana"/>
      <w:noProof/>
      <w:sz w:val="12"/>
      <w:szCs w:val="18"/>
      <w:bdr w:val="nil"/>
    </w:rPr>
  </w:style>
  <w:style w:type="paragraph" w:customStyle="1" w:styleId="Figures6pItalicRight01">
    <w:name w:val="Figures_6p_Italic_Right_0.1"/>
    <w:basedOn w:val="Figures7pItalicRight025"/>
    <w:qFormat/>
    <w:pPr>
      <w:pBdr>
        <w:top w:val="nil"/>
        <w:left w:val="nil"/>
        <w:bottom w:val="nil"/>
        <w:right w:val="nil"/>
        <w:between w:val="nil"/>
        <w:bar w:val="nil"/>
      </w:pBdr>
      <w:ind w:right="57"/>
    </w:pPr>
    <w:rPr>
      <w:sz w:val="12"/>
      <w:szCs w:val="12"/>
      <w:bdr w:val="nil"/>
    </w:rPr>
  </w:style>
  <w:style w:type="paragraph" w:customStyle="1" w:styleId="Text7pBoldLeft">
    <w:name w:val="Text_7p_Bold_Left"/>
    <w:qFormat/>
    <w:pPr>
      <w:pBdr>
        <w:top w:val="nil"/>
        <w:left w:val="nil"/>
        <w:bottom w:val="nil"/>
        <w:right w:val="nil"/>
        <w:between w:val="nil"/>
        <w:bar w:val="nil"/>
      </w:pBdr>
    </w:pPr>
    <w:rPr>
      <w:rFonts w:ascii="Verdana" w:eastAsia="Calibri" w:hAnsi="Verdana"/>
      <w:b/>
      <w:noProof/>
      <w:sz w:val="14"/>
      <w:szCs w:val="18"/>
      <w:bdr w:val="nil"/>
    </w:rPr>
  </w:style>
  <w:style w:type="paragraph" w:customStyle="1" w:styleId="Figures6pBoldRight01">
    <w:name w:val="Figures_6p_Bold_Right_0.1"/>
    <w:basedOn w:val="Figures7pBoldRight025"/>
    <w:qFormat/>
    <w:pPr>
      <w:pBdr>
        <w:top w:val="nil"/>
        <w:left w:val="nil"/>
        <w:bottom w:val="nil"/>
        <w:right w:val="nil"/>
        <w:between w:val="nil"/>
        <w:bar w:val="nil"/>
      </w:pBdr>
      <w:ind w:right="57"/>
    </w:pPr>
    <w:rPr>
      <w:sz w:val="12"/>
      <w:szCs w:val="12"/>
      <w:bdr w:val="nil"/>
    </w:rPr>
  </w:style>
  <w:style w:type="paragraph" w:customStyle="1" w:styleId="DMETW14818BIPImplementationbudgetrevenue">
    <w:name w:val="DM_ETW_14818_BIP_Implementation_budget_revenue"/>
    <w:rPr>
      <w:rFonts w:eastAsia="Calibri"/>
    </w:rPr>
  </w:style>
  <w:style w:type="paragraph" w:customStyle="1" w:styleId="DMETW14819BIPMFF1BreakdownCommPaym">
    <w:name w:val="DM_ETW_14819_BIP_MFF_1_Breakdown_Comm_Paym"/>
    <w:rPr>
      <w:rFonts w:eastAsia="Calibri"/>
    </w:rPr>
  </w:style>
  <w:style w:type="paragraph" w:customStyle="1" w:styleId="DMETW14819BIPMFF2ImplementCommitments">
    <w:name w:val="DM_ETW_14819_BIP_MFF_2_Implement_Commitments"/>
    <w:rPr>
      <w:rFonts w:eastAsia="Calibri"/>
    </w:rPr>
  </w:style>
  <w:style w:type="paragraph" w:customStyle="1" w:styleId="DMETW14819BIPMFF3ImplementPayments">
    <w:name w:val="DM_ETW_14819_BIP_MFF_3_Implement_Payments"/>
    <w:rPr>
      <w:rFonts w:eastAsia="Calibri"/>
    </w:rPr>
  </w:style>
  <w:style w:type="paragraph" w:customStyle="1" w:styleId="DMETW14819BIPMFF4Commitmentsoustanding">
    <w:name w:val="DM_ETW_14819_BIP_MFF_4_Commitments_oustanding"/>
    <w:rPr>
      <w:rFonts w:eastAsia="Calibri"/>
    </w:rPr>
  </w:style>
  <w:style w:type="paragraph" w:customStyle="1" w:styleId="DMETW14819BIPMFF5RALYoO">
    <w:name w:val="DM_ETW_14819_BIP_MFF_5_RAL_YoO"/>
    <w:rPr>
      <w:rFonts w:eastAsia="Calibri"/>
    </w:rPr>
  </w:style>
  <w:style w:type="paragraph" w:customStyle="1" w:styleId="DMETW14819BIPDetailedMFF1Breakdown">
    <w:name w:val="DM_ETW_14819_BIP_DetailedMFF_1_Breakdown"/>
    <w:rPr>
      <w:rFonts w:eastAsia="Calibri"/>
    </w:rPr>
  </w:style>
  <w:style w:type="paragraph" w:customStyle="1" w:styleId="DMETW14819BIPDetailedMFF2ImplementCommitments">
    <w:name w:val="DM_ETW_14819_BIP_DetailedMFF_2_Implement_Commitments"/>
    <w:rPr>
      <w:rFonts w:eastAsia="Calibri"/>
    </w:rPr>
  </w:style>
  <w:style w:type="paragraph" w:customStyle="1" w:styleId="DMETW14819BIPDetailedMFF3ImplementPayments">
    <w:name w:val="DM_ETW_14819_BIP_DetailedMFF_3_Implement_Payments"/>
    <w:rPr>
      <w:rFonts w:eastAsia="Calibri"/>
    </w:rPr>
  </w:style>
  <w:style w:type="paragraph" w:customStyle="1" w:styleId="DMETW14819BIPDetailedMFF4Commitmentsoustanding">
    <w:name w:val="DM_ETW_14819_BIP_DetailedMFF_4_Commitments_oustanding"/>
    <w:rPr>
      <w:rFonts w:eastAsia="Calibri"/>
    </w:rPr>
  </w:style>
  <w:style w:type="paragraph" w:customStyle="1" w:styleId="DMETW14819BIPDetailedMFF5RALYoO">
    <w:name w:val="DM_ETW_14819_BIP_DetailedMFF_5_RAL_YoO"/>
    <w:rPr>
      <w:rFonts w:eastAsia="Calibri"/>
    </w:rPr>
  </w:style>
  <w:style w:type="paragraph" w:customStyle="1" w:styleId="DMETW14863BIPInstitutions1Revenue">
    <w:name w:val="DM_ETW_14863_BIP_Institutions_1_Revenue"/>
    <w:rPr>
      <w:rFonts w:eastAsia="Calibri"/>
    </w:rPr>
  </w:style>
  <w:style w:type="paragraph" w:customStyle="1" w:styleId="DMETW14863BIPInstitutions2Commitments">
    <w:name w:val="DM_ETW_14863_BIP_Institutions_2_Commitments"/>
    <w:rPr>
      <w:rFonts w:eastAsia="Calibri"/>
    </w:rPr>
  </w:style>
  <w:style w:type="paragraph" w:customStyle="1" w:styleId="DMETW14863BIPInstitutions3Payments">
    <w:name w:val="DM_ETW_14863_BIP_Institutions_3_Payments"/>
    <w:rPr>
      <w:rFonts w:eastAsia="Calibri"/>
    </w:rPr>
  </w:style>
  <w:style w:type="paragraph" w:customStyle="1" w:styleId="DMETW14863BIPAgencies1Revenue">
    <w:name w:val="DM_ETW_14863_BIP_Agencies_1_Revenue"/>
    <w:rPr>
      <w:rFonts w:eastAsia="Calibri"/>
    </w:rPr>
  </w:style>
  <w:style w:type="paragraph" w:customStyle="1" w:styleId="DMETW14863BIPAgencies2TypeofRevenue">
    <w:name w:val="DM_ETW_14863_BIP_Agencies_2_Type_of_Revenue"/>
    <w:rPr>
      <w:rFonts w:eastAsia="Calibri"/>
    </w:rPr>
  </w:style>
  <w:style w:type="paragraph" w:customStyle="1" w:styleId="DMETW14863BIPAgencies3CommitmentsPayments">
    <w:name w:val="DM_ETW_14863_BIP_Agencies_3_Commitments_Payments"/>
    <w:rPr>
      <w:rFonts w:eastAsia="Calibri"/>
    </w:rPr>
  </w:style>
  <w:style w:type="paragraph" w:customStyle="1" w:styleId="DMETW14863BIPAgencies4TypeofExpenditure">
    <w:name w:val="DM_ETW_14863_BIP_Agencies_4_Type_of_Expenditure"/>
    <w:rPr>
      <w:rFonts w:eastAsia="Calibri"/>
    </w:rPr>
  </w:style>
  <w:style w:type="character" w:customStyle="1" w:styleId="st1">
    <w:name w:val="st1"/>
    <w:basedOn w:val="DefaultParagraphFont"/>
  </w:style>
  <w:style w:type="paragraph" w:customStyle="1" w:styleId="Pagedecouverture">
    <w:name w:val="Page de couverture"/>
    <w:basedOn w:val="Normal"/>
    <w:next w:val="Normal"/>
    <w:pPr>
      <w:jc w:val="both"/>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CoverPageChar">
    <w:name w:val="CoverPage Char"/>
    <w:basedOn w:val="DefaultParagraphFont"/>
    <w:link w:val="CoverPage"/>
    <w:rPr>
      <w:rFonts w:ascii="Verdana" w:hAnsi="Verdana"/>
      <w:color w:val="016794"/>
      <w:sz w:val="52"/>
      <w:szCs w:val="52"/>
    </w:rPr>
  </w:style>
  <w:style w:type="character" w:customStyle="1" w:styleId="FooterCoverPageChar">
    <w:name w:val="Footer Cover Page Char"/>
    <w:basedOn w:val="CoverPageChar"/>
    <w:link w:val="FooterCoverPage"/>
    <w:rPr>
      <w:rFonts w:ascii="Times New Roman" w:hAnsi="Times New Roman"/>
      <w:color w:val="016794"/>
      <w:sz w:val="24"/>
      <w:szCs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CoverPageChar"/>
    <w:link w:val="FooterSensitivity"/>
    <w:rPr>
      <w:rFonts w:ascii="Times New Roman" w:hAnsi="Times New Roman"/>
      <w:b/>
      <w:color w:val="016794"/>
      <w:sz w:val="32"/>
      <w:szCs w:val="24"/>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CoverPageChar"/>
    <w:link w:val="HeaderCoverPage"/>
    <w:rPr>
      <w:rFonts w:ascii="Times New Roman" w:hAnsi="Times New Roman"/>
      <w:color w:val="016794"/>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CoverPageChar"/>
    <w:link w:val="HeaderSensitivity"/>
    <w:rPr>
      <w:rFonts w:ascii="Times New Roman" w:hAnsi="Times New Roman"/>
      <w:b/>
      <w:color w:val="016794"/>
      <w:sz w:val="32"/>
      <w:szCs w:val="24"/>
    </w:rPr>
  </w:style>
  <w:style w:type="paragraph" w:customStyle="1" w:styleId="SecurityMarking">
    <w:name w:val="SecurityMarking"/>
    <w:basedOn w:val="Normal"/>
    <w:pPr>
      <w:spacing w:line="276" w:lineRule="auto"/>
      <w:ind w:left="5103"/>
    </w:pPr>
    <w:rPr>
      <w:rFonts w:eastAsiaTheme="minorHAnsi"/>
      <w:sz w:val="28"/>
      <w:szCs w:val="22"/>
      <w:lang w:eastAsia="en-US" w:bidi="ar-SA"/>
    </w:rPr>
  </w:style>
  <w:style w:type="paragraph" w:customStyle="1" w:styleId="DateMarking">
    <w:name w:val="DateMarking"/>
    <w:basedOn w:val="Normal"/>
    <w:pPr>
      <w:spacing w:line="276" w:lineRule="auto"/>
      <w:ind w:left="5103"/>
    </w:pPr>
    <w:rPr>
      <w:rFonts w:eastAsiaTheme="minorHAnsi"/>
      <w:i/>
      <w:sz w:val="28"/>
      <w:szCs w:val="22"/>
      <w:lang w:eastAsia="en-US" w:bidi="ar-SA"/>
    </w:rPr>
  </w:style>
  <w:style w:type="paragraph" w:customStyle="1" w:styleId="ReleasableTo">
    <w:name w:val="ReleasableTo"/>
    <w:basedOn w:val="Normal"/>
    <w:pPr>
      <w:spacing w:line="276" w:lineRule="auto"/>
      <w:ind w:left="5103"/>
    </w:pPr>
    <w:rPr>
      <w:rFonts w:eastAsiaTheme="minorHAnsi"/>
      <w:i/>
      <w:sz w:val="28"/>
      <w:szCs w:val="22"/>
      <w:lang w:eastAsia="en-US" w:bidi="ar-SA"/>
    </w:rPr>
  </w:style>
  <w:style w:type="paragraph" w:customStyle="1" w:styleId="HeaderSensitivityRight">
    <w:name w:val="Header Sensitivity Right"/>
    <w:basedOn w:val="Normal"/>
    <w:pPr>
      <w:spacing w:after="120"/>
      <w:jc w:val="right"/>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footer" Target="footer48.xml"/><Relationship Id="rId299" Type="http://schemas.openxmlformats.org/officeDocument/2006/relationships/header" Target="header140.xml"/><Relationship Id="rId21" Type="http://schemas.openxmlformats.org/officeDocument/2006/relationships/header" Target="header6.xml"/><Relationship Id="rId63" Type="http://schemas.openxmlformats.org/officeDocument/2006/relationships/footer" Target="footer21.xml"/><Relationship Id="rId159" Type="http://schemas.openxmlformats.org/officeDocument/2006/relationships/footer" Target="footer69.xml"/><Relationship Id="rId324" Type="http://schemas.openxmlformats.org/officeDocument/2006/relationships/footer" Target="footer151.xml"/><Relationship Id="rId366" Type="http://schemas.openxmlformats.org/officeDocument/2006/relationships/footer" Target="footer172.xml"/><Relationship Id="rId531" Type="http://schemas.openxmlformats.org/officeDocument/2006/relationships/header" Target="header252.xml"/><Relationship Id="rId170" Type="http://schemas.openxmlformats.org/officeDocument/2006/relationships/header" Target="header75.xml"/><Relationship Id="rId226" Type="http://schemas.openxmlformats.org/officeDocument/2006/relationships/header" Target="header103.xml"/><Relationship Id="rId433" Type="http://schemas.openxmlformats.org/officeDocument/2006/relationships/footer" Target="footer202.xml"/><Relationship Id="rId268" Type="http://schemas.openxmlformats.org/officeDocument/2006/relationships/header" Target="header124.xml"/><Relationship Id="rId475" Type="http://schemas.openxmlformats.org/officeDocument/2006/relationships/footer" Target="footer223.xml"/><Relationship Id="rId32" Type="http://schemas.openxmlformats.org/officeDocument/2006/relationships/footer" Target="footer10.xml"/><Relationship Id="rId74" Type="http://schemas.openxmlformats.org/officeDocument/2006/relationships/header" Target="header27.xml"/><Relationship Id="rId128" Type="http://schemas.openxmlformats.org/officeDocument/2006/relationships/header" Target="header54.xml"/><Relationship Id="rId335" Type="http://schemas.openxmlformats.org/officeDocument/2006/relationships/header" Target="header158.xml"/><Relationship Id="rId377" Type="http://schemas.openxmlformats.org/officeDocument/2006/relationships/header" Target="header179.xml"/><Relationship Id="rId500" Type="http://schemas.openxmlformats.org/officeDocument/2006/relationships/footer" Target="footer236.xml"/><Relationship Id="rId542" Type="http://schemas.openxmlformats.org/officeDocument/2006/relationships/footer" Target="footer257.xml"/><Relationship Id="rId5" Type="http://schemas.microsoft.com/office/2007/relationships/stylesWithEffects" Target="stylesWithEffects.xml"/><Relationship Id="rId181" Type="http://schemas.openxmlformats.org/officeDocument/2006/relationships/footer" Target="footer80.xml"/><Relationship Id="rId237" Type="http://schemas.openxmlformats.org/officeDocument/2006/relationships/footer" Target="footer108.xml"/><Relationship Id="rId402" Type="http://schemas.openxmlformats.org/officeDocument/2006/relationships/footer" Target="footer190.xml"/><Relationship Id="rId279" Type="http://schemas.openxmlformats.org/officeDocument/2006/relationships/footer" Target="footer129.xml"/><Relationship Id="rId444" Type="http://schemas.openxmlformats.org/officeDocument/2006/relationships/header" Target="header209.xml"/><Relationship Id="rId486" Type="http://schemas.openxmlformats.org/officeDocument/2006/relationships/header" Target="header230.xml"/><Relationship Id="rId43" Type="http://schemas.openxmlformats.org/officeDocument/2006/relationships/image" Target="media/image10.png"/><Relationship Id="rId139" Type="http://schemas.openxmlformats.org/officeDocument/2006/relationships/footer" Target="footer59.xml"/><Relationship Id="rId290" Type="http://schemas.openxmlformats.org/officeDocument/2006/relationships/header" Target="header135.xml"/><Relationship Id="rId304" Type="http://schemas.openxmlformats.org/officeDocument/2006/relationships/header" Target="header142.xml"/><Relationship Id="rId346" Type="http://schemas.openxmlformats.org/officeDocument/2006/relationships/header" Target="header163.xml"/><Relationship Id="rId388" Type="http://schemas.openxmlformats.org/officeDocument/2006/relationships/header" Target="header184.xml"/><Relationship Id="rId511" Type="http://schemas.openxmlformats.org/officeDocument/2006/relationships/footer" Target="footer241.xml"/><Relationship Id="rId85" Type="http://schemas.openxmlformats.org/officeDocument/2006/relationships/footer" Target="footer32.xml"/><Relationship Id="rId150" Type="http://schemas.openxmlformats.org/officeDocument/2006/relationships/footer" Target="footer64.xml"/><Relationship Id="rId192" Type="http://schemas.openxmlformats.org/officeDocument/2006/relationships/footer" Target="footer85.xml"/><Relationship Id="rId206" Type="http://schemas.openxmlformats.org/officeDocument/2006/relationships/header" Target="header93.xml"/><Relationship Id="rId413" Type="http://schemas.openxmlformats.org/officeDocument/2006/relationships/header" Target="header197.xml"/><Relationship Id="rId248" Type="http://schemas.openxmlformats.org/officeDocument/2006/relationships/header" Target="header114.xml"/><Relationship Id="rId455" Type="http://schemas.openxmlformats.org/officeDocument/2006/relationships/header" Target="header214.xml"/><Relationship Id="rId497" Type="http://schemas.openxmlformats.org/officeDocument/2006/relationships/header" Target="header235.xml"/><Relationship Id="rId12" Type="http://schemas.openxmlformats.org/officeDocument/2006/relationships/header" Target="header2.xml"/><Relationship Id="rId108" Type="http://schemas.openxmlformats.org/officeDocument/2006/relationships/footer" Target="footer43.xml"/><Relationship Id="rId315" Type="http://schemas.openxmlformats.org/officeDocument/2006/relationships/footer" Target="footer147.xml"/><Relationship Id="rId357" Type="http://schemas.openxmlformats.org/officeDocument/2006/relationships/footer" Target="footer168.xml"/><Relationship Id="rId522" Type="http://schemas.openxmlformats.org/officeDocument/2006/relationships/header" Target="header248.xml"/><Relationship Id="rId54" Type="http://schemas.openxmlformats.org/officeDocument/2006/relationships/footer" Target="footer16.xml"/><Relationship Id="rId96" Type="http://schemas.openxmlformats.org/officeDocument/2006/relationships/footer" Target="footer37.xml"/><Relationship Id="rId161" Type="http://schemas.openxmlformats.org/officeDocument/2006/relationships/header" Target="header71.xml"/><Relationship Id="rId217" Type="http://schemas.openxmlformats.org/officeDocument/2006/relationships/footer" Target="footer98.xml"/><Relationship Id="rId399" Type="http://schemas.openxmlformats.org/officeDocument/2006/relationships/footer" Target="footer189.xml"/><Relationship Id="rId259" Type="http://schemas.openxmlformats.org/officeDocument/2006/relationships/footer" Target="footer119.xml"/><Relationship Id="rId424" Type="http://schemas.openxmlformats.org/officeDocument/2006/relationships/image" Target="media/image13.emf"/><Relationship Id="rId466" Type="http://schemas.openxmlformats.org/officeDocument/2006/relationships/footer" Target="footer219.xml"/><Relationship Id="rId23" Type="http://schemas.openxmlformats.org/officeDocument/2006/relationships/header" Target="header7.xml"/><Relationship Id="rId119" Type="http://schemas.openxmlformats.org/officeDocument/2006/relationships/header" Target="header50.xml"/><Relationship Id="rId270" Type="http://schemas.openxmlformats.org/officeDocument/2006/relationships/footer" Target="footer124.xml"/><Relationship Id="rId326" Type="http://schemas.openxmlformats.org/officeDocument/2006/relationships/header" Target="header153.xml"/><Relationship Id="rId533" Type="http://schemas.openxmlformats.org/officeDocument/2006/relationships/header" Target="header253.xml"/><Relationship Id="rId65" Type="http://schemas.openxmlformats.org/officeDocument/2006/relationships/header" Target="header23.xml"/><Relationship Id="rId130" Type="http://schemas.openxmlformats.org/officeDocument/2006/relationships/header" Target="header55.xml"/><Relationship Id="rId368" Type="http://schemas.openxmlformats.org/officeDocument/2006/relationships/header" Target="header174.xml"/><Relationship Id="rId172" Type="http://schemas.openxmlformats.org/officeDocument/2006/relationships/header" Target="header76.xml"/><Relationship Id="rId228" Type="http://schemas.openxmlformats.org/officeDocument/2006/relationships/footer" Target="footer103.xml"/><Relationship Id="rId435" Type="http://schemas.openxmlformats.org/officeDocument/2006/relationships/header" Target="header204.xml"/><Relationship Id="rId477" Type="http://schemas.openxmlformats.org/officeDocument/2006/relationships/header" Target="header225.xml"/><Relationship Id="rId281" Type="http://schemas.openxmlformats.org/officeDocument/2006/relationships/header" Target="header131.xml"/><Relationship Id="rId337" Type="http://schemas.openxmlformats.org/officeDocument/2006/relationships/footer" Target="footer158.xml"/><Relationship Id="rId502" Type="http://schemas.openxmlformats.org/officeDocument/2006/relationships/footer" Target="footer237.xml"/><Relationship Id="rId34" Type="http://schemas.openxmlformats.org/officeDocument/2006/relationships/header" Target="header12.xml"/><Relationship Id="rId76" Type="http://schemas.openxmlformats.org/officeDocument/2006/relationships/header" Target="header28.xml"/><Relationship Id="rId141" Type="http://schemas.openxmlformats.org/officeDocument/2006/relationships/footer" Target="footer60.xml"/><Relationship Id="rId379" Type="http://schemas.openxmlformats.org/officeDocument/2006/relationships/footer" Target="footer179.xml"/><Relationship Id="rId544" Type="http://schemas.openxmlformats.org/officeDocument/2006/relationships/footer" Target="footer258.xml"/><Relationship Id="rId7" Type="http://schemas.openxmlformats.org/officeDocument/2006/relationships/webSettings" Target="webSettings.xml"/><Relationship Id="rId183" Type="http://schemas.openxmlformats.org/officeDocument/2006/relationships/footer" Target="footer81.xml"/><Relationship Id="rId239" Type="http://schemas.openxmlformats.org/officeDocument/2006/relationships/header" Target="header110.xml"/><Relationship Id="rId390" Type="http://schemas.openxmlformats.org/officeDocument/2006/relationships/footer" Target="footer184.xml"/><Relationship Id="rId404" Type="http://schemas.openxmlformats.org/officeDocument/2006/relationships/header" Target="header192.xml"/><Relationship Id="rId446" Type="http://schemas.openxmlformats.org/officeDocument/2006/relationships/footer" Target="footer209.xml"/><Relationship Id="rId250" Type="http://schemas.openxmlformats.org/officeDocument/2006/relationships/header" Target="header115.xml"/><Relationship Id="rId292" Type="http://schemas.openxmlformats.org/officeDocument/2006/relationships/header" Target="header136.xml"/><Relationship Id="rId306" Type="http://schemas.openxmlformats.org/officeDocument/2006/relationships/footer" Target="footer142.xml"/><Relationship Id="rId488" Type="http://schemas.openxmlformats.org/officeDocument/2006/relationships/footer" Target="footer230.xml"/><Relationship Id="rId45" Type="http://schemas.openxmlformats.org/officeDocument/2006/relationships/image" Target="media/image12.png"/><Relationship Id="rId87" Type="http://schemas.openxmlformats.org/officeDocument/2006/relationships/footer" Target="footer33.xml"/><Relationship Id="rId110" Type="http://schemas.openxmlformats.org/officeDocument/2006/relationships/header" Target="header45.xml"/><Relationship Id="rId348" Type="http://schemas.openxmlformats.org/officeDocument/2006/relationships/footer" Target="footer163.xml"/><Relationship Id="rId513" Type="http://schemas.openxmlformats.org/officeDocument/2006/relationships/header" Target="header243.xml"/><Relationship Id="rId152" Type="http://schemas.openxmlformats.org/officeDocument/2006/relationships/header" Target="header66.xml"/><Relationship Id="rId194" Type="http://schemas.openxmlformats.org/officeDocument/2006/relationships/header" Target="header87.xml"/><Relationship Id="rId208" Type="http://schemas.openxmlformats.org/officeDocument/2006/relationships/header" Target="header94.xml"/><Relationship Id="rId415" Type="http://schemas.openxmlformats.org/officeDocument/2006/relationships/footer" Target="footer197.xml"/><Relationship Id="rId457" Type="http://schemas.openxmlformats.org/officeDocument/2006/relationships/footer" Target="footer214.xml"/><Relationship Id="rId261" Type="http://schemas.openxmlformats.org/officeDocument/2006/relationships/footer" Target="footer120.xml"/><Relationship Id="rId499" Type="http://schemas.openxmlformats.org/officeDocument/2006/relationships/footer" Target="footer235.xml"/><Relationship Id="rId14" Type="http://schemas.openxmlformats.org/officeDocument/2006/relationships/footer" Target="footer2.xml"/><Relationship Id="rId56" Type="http://schemas.openxmlformats.org/officeDocument/2006/relationships/header" Target="header18.xml"/><Relationship Id="rId317" Type="http://schemas.openxmlformats.org/officeDocument/2006/relationships/header" Target="header149.xml"/><Relationship Id="rId359" Type="http://schemas.openxmlformats.org/officeDocument/2006/relationships/header" Target="header170.xml"/><Relationship Id="rId524" Type="http://schemas.openxmlformats.org/officeDocument/2006/relationships/footer" Target="footer248.xml"/><Relationship Id="rId98" Type="http://schemas.openxmlformats.org/officeDocument/2006/relationships/header" Target="header39.xml"/><Relationship Id="rId121" Type="http://schemas.openxmlformats.org/officeDocument/2006/relationships/footer" Target="footer50.xml"/><Relationship Id="rId163" Type="http://schemas.openxmlformats.org/officeDocument/2006/relationships/footer" Target="footer71.xml"/><Relationship Id="rId219" Type="http://schemas.openxmlformats.org/officeDocument/2006/relationships/footer" Target="footer99.xml"/><Relationship Id="rId370" Type="http://schemas.openxmlformats.org/officeDocument/2006/relationships/header" Target="header175.xml"/><Relationship Id="rId426" Type="http://schemas.openxmlformats.org/officeDocument/2006/relationships/image" Target="media/image15.emf"/><Relationship Id="rId230" Type="http://schemas.openxmlformats.org/officeDocument/2006/relationships/header" Target="header105.xml"/><Relationship Id="rId468" Type="http://schemas.openxmlformats.org/officeDocument/2006/relationships/header" Target="header221.xml"/><Relationship Id="rId25" Type="http://schemas.openxmlformats.org/officeDocument/2006/relationships/footer" Target="footer7.xml"/><Relationship Id="rId67" Type="http://schemas.openxmlformats.org/officeDocument/2006/relationships/footer" Target="footer23.xml"/><Relationship Id="rId272" Type="http://schemas.openxmlformats.org/officeDocument/2006/relationships/header" Target="header126.xml"/><Relationship Id="rId328" Type="http://schemas.openxmlformats.org/officeDocument/2006/relationships/header" Target="header154.xml"/><Relationship Id="rId535" Type="http://schemas.openxmlformats.org/officeDocument/2006/relationships/footer" Target="footer253.xml"/><Relationship Id="rId132" Type="http://schemas.openxmlformats.org/officeDocument/2006/relationships/footer" Target="footer55.xml"/><Relationship Id="rId174" Type="http://schemas.openxmlformats.org/officeDocument/2006/relationships/footer" Target="footer76.xml"/><Relationship Id="rId381" Type="http://schemas.openxmlformats.org/officeDocument/2006/relationships/footer" Target="footer180.xml"/><Relationship Id="rId220" Type="http://schemas.openxmlformats.org/officeDocument/2006/relationships/header" Target="header100.xml"/><Relationship Id="rId241" Type="http://schemas.openxmlformats.org/officeDocument/2006/relationships/footer" Target="footer110.xml"/><Relationship Id="rId437" Type="http://schemas.openxmlformats.org/officeDocument/2006/relationships/header" Target="header205.xml"/><Relationship Id="rId458" Type="http://schemas.openxmlformats.org/officeDocument/2006/relationships/footer" Target="footer215.xml"/><Relationship Id="rId479" Type="http://schemas.openxmlformats.org/officeDocument/2006/relationships/header" Target="header226.xml"/><Relationship Id="rId15" Type="http://schemas.openxmlformats.org/officeDocument/2006/relationships/header" Target="header3.xml"/><Relationship Id="rId36" Type="http://schemas.openxmlformats.org/officeDocument/2006/relationships/image" Target="media/image3.png"/><Relationship Id="rId57" Type="http://schemas.openxmlformats.org/officeDocument/2006/relationships/footer" Target="footer18.xml"/><Relationship Id="rId262" Type="http://schemas.openxmlformats.org/officeDocument/2006/relationships/header" Target="header121.xml"/><Relationship Id="rId283" Type="http://schemas.openxmlformats.org/officeDocument/2006/relationships/footer" Target="footer131.xml"/><Relationship Id="rId318" Type="http://schemas.openxmlformats.org/officeDocument/2006/relationships/footer" Target="footer148.xml"/><Relationship Id="rId339" Type="http://schemas.openxmlformats.org/officeDocument/2006/relationships/footer" Target="footer159.xml"/><Relationship Id="rId490" Type="http://schemas.openxmlformats.org/officeDocument/2006/relationships/footer" Target="footer231.xml"/><Relationship Id="rId504" Type="http://schemas.openxmlformats.org/officeDocument/2006/relationships/header" Target="header239.xml"/><Relationship Id="rId525" Type="http://schemas.openxmlformats.org/officeDocument/2006/relationships/header" Target="header249.xml"/><Relationship Id="rId546" Type="http://schemas.openxmlformats.org/officeDocument/2006/relationships/header" Target="header260.xml"/><Relationship Id="rId78" Type="http://schemas.openxmlformats.org/officeDocument/2006/relationships/footer" Target="footer28.xml"/><Relationship Id="rId99" Type="http://schemas.openxmlformats.org/officeDocument/2006/relationships/footer" Target="footer39.xml"/><Relationship Id="rId101" Type="http://schemas.openxmlformats.org/officeDocument/2006/relationships/header" Target="header41.xml"/><Relationship Id="rId122" Type="http://schemas.openxmlformats.org/officeDocument/2006/relationships/header" Target="header51.xml"/><Relationship Id="rId143" Type="http://schemas.openxmlformats.org/officeDocument/2006/relationships/header" Target="header62.xml"/><Relationship Id="rId164" Type="http://schemas.openxmlformats.org/officeDocument/2006/relationships/header" Target="header72.xml"/><Relationship Id="rId185" Type="http://schemas.openxmlformats.org/officeDocument/2006/relationships/header" Target="header83.xml"/><Relationship Id="rId350" Type="http://schemas.openxmlformats.org/officeDocument/2006/relationships/header" Target="header165.xml"/><Relationship Id="rId371" Type="http://schemas.openxmlformats.org/officeDocument/2006/relationships/header" Target="header176.xml"/><Relationship Id="rId406" Type="http://schemas.openxmlformats.org/officeDocument/2006/relationships/header" Target="header193.xml"/><Relationship Id="rId9" Type="http://schemas.openxmlformats.org/officeDocument/2006/relationships/endnotes" Target="endnotes.xml"/><Relationship Id="rId210" Type="http://schemas.openxmlformats.org/officeDocument/2006/relationships/footer" Target="footer94.xml"/><Relationship Id="rId392" Type="http://schemas.openxmlformats.org/officeDocument/2006/relationships/header" Target="header186.xml"/><Relationship Id="rId427" Type="http://schemas.openxmlformats.org/officeDocument/2006/relationships/image" Target="media/image16.emf"/><Relationship Id="rId448" Type="http://schemas.openxmlformats.org/officeDocument/2006/relationships/footer" Target="footer210.xml"/><Relationship Id="rId469" Type="http://schemas.openxmlformats.org/officeDocument/2006/relationships/footer" Target="footer220.xml"/><Relationship Id="rId26" Type="http://schemas.openxmlformats.org/officeDocument/2006/relationships/footer" Target="footer8.xml"/><Relationship Id="rId231" Type="http://schemas.openxmlformats.org/officeDocument/2006/relationships/footer" Target="footer105.xml"/><Relationship Id="rId252" Type="http://schemas.openxmlformats.org/officeDocument/2006/relationships/footer" Target="footer115.xml"/><Relationship Id="rId273" Type="http://schemas.openxmlformats.org/officeDocument/2006/relationships/footer" Target="footer126.xml"/><Relationship Id="rId294" Type="http://schemas.openxmlformats.org/officeDocument/2006/relationships/footer" Target="footer136.xml"/><Relationship Id="rId308" Type="http://schemas.openxmlformats.org/officeDocument/2006/relationships/header" Target="header144.xml"/><Relationship Id="rId329" Type="http://schemas.openxmlformats.org/officeDocument/2006/relationships/header" Target="header155.xml"/><Relationship Id="rId480" Type="http://schemas.openxmlformats.org/officeDocument/2006/relationships/header" Target="header227.xml"/><Relationship Id="rId515" Type="http://schemas.openxmlformats.org/officeDocument/2006/relationships/header" Target="header244.xml"/><Relationship Id="rId536" Type="http://schemas.openxmlformats.org/officeDocument/2006/relationships/footer" Target="footer254.xml"/><Relationship Id="rId47" Type="http://schemas.openxmlformats.org/officeDocument/2006/relationships/header" Target="header14.xml"/><Relationship Id="rId68" Type="http://schemas.openxmlformats.org/officeDocument/2006/relationships/header" Target="header24.xml"/><Relationship Id="rId89" Type="http://schemas.openxmlformats.org/officeDocument/2006/relationships/header" Target="header35.xml"/><Relationship Id="rId112" Type="http://schemas.openxmlformats.org/officeDocument/2006/relationships/header" Target="header46.xml"/><Relationship Id="rId133" Type="http://schemas.openxmlformats.org/officeDocument/2006/relationships/footer" Target="footer56.xml"/><Relationship Id="rId154" Type="http://schemas.openxmlformats.org/officeDocument/2006/relationships/header" Target="header67.xml"/><Relationship Id="rId175" Type="http://schemas.openxmlformats.org/officeDocument/2006/relationships/footer" Target="footer77.xml"/><Relationship Id="rId340" Type="http://schemas.openxmlformats.org/officeDocument/2006/relationships/header" Target="header160.xml"/><Relationship Id="rId361" Type="http://schemas.openxmlformats.org/officeDocument/2006/relationships/footer" Target="footer170.xml"/><Relationship Id="rId196" Type="http://schemas.openxmlformats.org/officeDocument/2006/relationships/header" Target="header88.xml"/><Relationship Id="rId200" Type="http://schemas.openxmlformats.org/officeDocument/2006/relationships/header" Target="header90.xml"/><Relationship Id="rId382" Type="http://schemas.openxmlformats.org/officeDocument/2006/relationships/header" Target="header181.xml"/><Relationship Id="rId417" Type="http://schemas.openxmlformats.org/officeDocument/2006/relationships/footer" Target="footer198.xml"/><Relationship Id="rId438" Type="http://schemas.openxmlformats.org/officeDocument/2006/relationships/header" Target="header206.xml"/><Relationship Id="rId459" Type="http://schemas.openxmlformats.org/officeDocument/2006/relationships/header" Target="header216.xml"/><Relationship Id="rId16" Type="http://schemas.openxmlformats.org/officeDocument/2006/relationships/footer" Target="footer3.xml"/><Relationship Id="rId221" Type="http://schemas.openxmlformats.org/officeDocument/2006/relationships/header" Target="header101.xml"/><Relationship Id="rId242" Type="http://schemas.openxmlformats.org/officeDocument/2006/relationships/header" Target="header111.xml"/><Relationship Id="rId263" Type="http://schemas.openxmlformats.org/officeDocument/2006/relationships/header" Target="header122.xml"/><Relationship Id="rId284" Type="http://schemas.openxmlformats.org/officeDocument/2006/relationships/header" Target="header132.xml"/><Relationship Id="rId319" Type="http://schemas.openxmlformats.org/officeDocument/2006/relationships/footer" Target="footer149.xml"/><Relationship Id="rId470" Type="http://schemas.openxmlformats.org/officeDocument/2006/relationships/footer" Target="footer221.xml"/><Relationship Id="rId491" Type="http://schemas.openxmlformats.org/officeDocument/2006/relationships/header" Target="header232.xml"/><Relationship Id="rId505" Type="http://schemas.openxmlformats.org/officeDocument/2006/relationships/footer" Target="footer238.xml"/><Relationship Id="rId526" Type="http://schemas.openxmlformats.org/officeDocument/2006/relationships/footer" Target="footer249.xml"/><Relationship Id="rId37" Type="http://schemas.openxmlformats.org/officeDocument/2006/relationships/image" Target="media/image4.png"/><Relationship Id="rId58" Type="http://schemas.openxmlformats.org/officeDocument/2006/relationships/header" Target="header19.xml"/><Relationship Id="rId79" Type="http://schemas.openxmlformats.org/officeDocument/2006/relationships/footer" Target="footer29.xml"/><Relationship Id="rId102" Type="http://schemas.openxmlformats.org/officeDocument/2006/relationships/footer" Target="footer40.xml"/><Relationship Id="rId123" Type="http://schemas.openxmlformats.org/officeDocument/2006/relationships/footer" Target="footer51.xml"/><Relationship Id="rId144" Type="http://schemas.openxmlformats.org/officeDocument/2006/relationships/footer" Target="footer61.xml"/><Relationship Id="rId330" Type="http://schemas.openxmlformats.org/officeDocument/2006/relationships/footer" Target="footer154.xml"/><Relationship Id="rId547" Type="http://schemas.openxmlformats.org/officeDocument/2006/relationships/footer" Target="footer259.xml"/><Relationship Id="rId90" Type="http://schemas.openxmlformats.org/officeDocument/2006/relationships/footer" Target="footer34.xml"/><Relationship Id="rId165" Type="http://schemas.openxmlformats.org/officeDocument/2006/relationships/footer" Target="footer72.xml"/><Relationship Id="rId186" Type="http://schemas.openxmlformats.org/officeDocument/2006/relationships/footer" Target="footer82.xml"/><Relationship Id="rId351" Type="http://schemas.openxmlformats.org/officeDocument/2006/relationships/footer" Target="footer165.xml"/><Relationship Id="rId372" Type="http://schemas.openxmlformats.org/officeDocument/2006/relationships/footer" Target="footer175.xml"/><Relationship Id="rId393" Type="http://schemas.openxmlformats.org/officeDocument/2006/relationships/footer" Target="footer186.xml"/><Relationship Id="rId407" Type="http://schemas.openxmlformats.org/officeDocument/2006/relationships/header" Target="header194.xml"/><Relationship Id="rId428" Type="http://schemas.openxmlformats.org/officeDocument/2006/relationships/image" Target="media/image17.emf"/><Relationship Id="rId449" Type="http://schemas.openxmlformats.org/officeDocument/2006/relationships/header" Target="header211.xml"/><Relationship Id="rId211" Type="http://schemas.openxmlformats.org/officeDocument/2006/relationships/footer" Target="footer95.xml"/><Relationship Id="rId232" Type="http://schemas.openxmlformats.org/officeDocument/2006/relationships/header" Target="header106.xml"/><Relationship Id="rId253" Type="http://schemas.openxmlformats.org/officeDocument/2006/relationships/footer" Target="footer116.xml"/><Relationship Id="rId274" Type="http://schemas.openxmlformats.org/officeDocument/2006/relationships/header" Target="header127.xml"/><Relationship Id="rId295" Type="http://schemas.openxmlformats.org/officeDocument/2006/relationships/footer" Target="footer137.xml"/><Relationship Id="rId309" Type="http://schemas.openxmlformats.org/officeDocument/2006/relationships/footer" Target="footer144.xml"/><Relationship Id="rId460" Type="http://schemas.openxmlformats.org/officeDocument/2006/relationships/footer" Target="footer216.xml"/><Relationship Id="rId481" Type="http://schemas.openxmlformats.org/officeDocument/2006/relationships/footer" Target="footer226.xml"/><Relationship Id="rId516" Type="http://schemas.openxmlformats.org/officeDocument/2006/relationships/header" Target="header245.xml"/><Relationship Id="rId27" Type="http://schemas.openxmlformats.org/officeDocument/2006/relationships/header" Target="header9.xml"/><Relationship Id="rId48" Type="http://schemas.openxmlformats.org/officeDocument/2006/relationships/footer" Target="footer13.xml"/><Relationship Id="rId69" Type="http://schemas.openxmlformats.org/officeDocument/2006/relationships/footer" Target="footer24.xml"/><Relationship Id="rId113" Type="http://schemas.openxmlformats.org/officeDocument/2006/relationships/header" Target="header47.xml"/><Relationship Id="rId134" Type="http://schemas.openxmlformats.org/officeDocument/2006/relationships/header" Target="header57.xml"/><Relationship Id="rId320" Type="http://schemas.openxmlformats.org/officeDocument/2006/relationships/header" Target="header150.xml"/><Relationship Id="rId537" Type="http://schemas.openxmlformats.org/officeDocument/2006/relationships/header" Target="header255.xml"/><Relationship Id="rId80" Type="http://schemas.openxmlformats.org/officeDocument/2006/relationships/header" Target="header30.xml"/><Relationship Id="rId155" Type="http://schemas.openxmlformats.org/officeDocument/2006/relationships/header" Target="header68.xml"/><Relationship Id="rId176" Type="http://schemas.openxmlformats.org/officeDocument/2006/relationships/header" Target="header78.xml"/><Relationship Id="rId197" Type="http://schemas.openxmlformats.org/officeDocument/2006/relationships/header" Target="header89.xml"/><Relationship Id="rId341" Type="http://schemas.openxmlformats.org/officeDocument/2006/relationships/header" Target="header161.xml"/><Relationship Id="rId362" Type="http://schemas.openxmlformats.org/officeDocument/2006/relationships/header" Target="header171.xml"/><Relationship Id="rId383" Type="http://schemas.openxmlformats.org/officeDocument/2006/relationships/header" Target="header182.xml"/><Relationship Id="rId418" Type="http://schemas.openxmlformats.org/officeDocument/2006/relationships/header" Target="header199.xml"/><Relationship Id="rId439" Type="http://schemas.openxmlformats.org/officeDocument/2006/relationships/footer" Target="footer205.xml"/><Relationship Id="rId201" Type="http://schemas.openxmlformats.org/officeDocument/2006/relationships/footer" Target="footer90.xml"/><Relationship Id="rId222" Type="http://schemas.openxmlformats.org/officeDocument/2006/relationships/footer" Target="footer100.xml"/><Relationship Id="rId243" Type="http://schemas.openxmlformats.org/officeDocument/2006/relationships/footer" Target="footer111.xml"/><Relationship Id="rId264" Type="http://schemas.openxmlformats.org/officeDocument/2006/relationships/footer" Target="footer121.xml"/><Relationship Id="rId285" Type="http://schemas.openxmlformats.org/officeDocument/2006/relationships/footer" Target="footer132.xml"/><Relationship Id="rId450" Type="http://schemas.openxmlformats.org/officeDocument/2006/relationships/header" Target="header212.xml"/><Relationship Id="rId471" Type="http://schemas.openxmlformats.org/officeDocument/2006/relationships/header" Target="header222.xml"/><Relationship Id="rId506" Type="http://schemas.openxmlformats.org/officeDocument/2006/relationships/footer" Target="footer239.xml"/><Relationship Id="rId17" Type="http://schemas.openxmlformats.org/officeDocument/2006/relationships/header" Target="header4.xml"/><Relationship Id="rId38" Type="http://schemas.openxmlformats.org/officeDocument/2006/relationships/image" Target="media/image5.png"/><Relationship Id="rId59" Type="http://schemas.openxmlformats.org/officeDocument/2006/relationships/header" Target="header20.xml"/><Relationship Id="rId103" Type="http://schemas.openxmlformats.org/officeDocument/2006/relationships/footer" Target="footer41.xml"/><Relationship Id="rId124" Type="http://schemas.openxmlformats.org/officeDocument/2006/relationships/header" Target="header52.xml"/><Relationship Id="rId310" Type="http://schemas.openxmlformats.org/officeDocument/2006/relationships/header" Target="header145.xml"/><Relationship Id="rId492" Type="http://schemas.openxmlformats.org/officeDocument/2006/relationships/header" Target="header233.xml"/><Relationship Id="rId527" Type="http://schemas.openxmlformats.org/officeDocument/2006/relationships/header" Target="header250.xml"/><Relationship Id="rId548" Type="http://schemas.openxmlformats.org/officeDocument/2006/relationships/footer" Target="footer260.xml"/><Relationship Id="rId70" Type="http://schemas.openxmlformats.org/officeDocument/2006/relationships/header" Target="header25.xml"/><Relationship Id="rId91" Type="http://schemas.openxmlformats.org/officeDocument/2006/relationships/footer" Target="footer35.xml"/><Relationship Id="rId145" Type="http://schemas.openxmlformats.org/officeDocument/2006/relationships/footer" Target="footer62.xml"/><Relationship Id="rId166" Type="http://schemas.openxmlformats.org/officeDocument/2006/relationships/header" Target="header73.xml"/><Relationship Id="rId187" Type="http://schemas.openxmlformats.org/officeDocument/2006/relationships/footer" Target="footer83.xml"/><Relationship Id="rId331" Type="http://schemas.openxmlformats.org/officeDocument/2006/relationships/footer" Target="footer155.xml"/><Relationship Id="rId352" Type="http://schemas.openxmlformats.org/officeDocument/2006/relationships/header" Target="header166.xml"/><Relationship Id="rId373" Type="http://schemas.openxmlformats.org/officeDocument/2006/relationships/footer" Target="footer176.xml"/><Relationship Id="rId394" Type="http://schemas.openxmlformats.org/officeDocument/2006/relationships/header" Target="header187.xml"/><Relationship Id="rId408" Type="http://schemas.openxmlformats.org/officeDocument/2006/relationships/footer" Target="footer193.xml"/><Relationship Id="rId429" Type="http://schemas.openxmlformats.org/officeDocument/2006/relationships/image" Target="media/image18.emf"/><Relationship Id="rId1" Type="http://schemas.microsoft.com/office/2006/relationships/keyMapCustomizations" Target="customizations.xml"/><Relationship Id="rId212" Type="http://schemas.openxmlformats.org/officeDocument/2006/relationships/header" Target="header96.xml"/><Relationship Id="rId233" Type="http://schemas.openxmlformats.org/officeDocument/2006/relationships/header" Target="header107.xml"/><Relationship Id="rId254" Type="http://schemas.openxmlformats.org/officeDocument/2006/relationships/header" Target="header117.xml"/><Relationship Id="rId440" Type="http://schemas.openxmlformats.org/officeDocument/2006/relationships/footer" Target="footer206.xml"/><Relationship Id="rId28" Type="http://schemas.openxmlformats.org/officeDocument/2006/relationships/footer" Target="footer9.xml"/><Relationship Id="rId49" Type="http://schemas.openxmlformats.org/officeDocument/2006/relationships/footer" Target="footer14.xml"/><Relationship Id="rId114" Type="http://schemas.openxmlformats.org/officeDocument/2006/relationships/footer" Target="footer46.xml"/><Relationship Id="rId275" Type="http://schemas.openxmlformats.org/officeDocument/2006/relationships/header" Target="header128.xml"/><Relationship Id="rId296" Type="http://schemas.openxmlformats.org/officeDocument/2006/relationships/header" Target="header138.xml"/><Relationship Id="rId300" Type="http://schemas.openxmlformats.org/officeDocument/2006/relationships/footer" Target="footer139.xml"/><Relationship Id="rId461" Type="http://schemas.openxmlformats.org/officeDocument/2006/relationships/header" Target="header217.xml"/><Relationship Id="rId482" Type="http://schemas.openxmlformats.org/officeDocument/2006/relationships/footer" Target="footer227.xml"/><Relationship Id="rId517" Type="http://schemas.openxmlformats.org/officeDocument/2006/relationships/footer" Target="footer244.xml"/><Relationship Id="rId538" Type="http://schemas.openxmlformats.org/officeDocument/2006/relationships/footer" Target="footer255.xml"/><Relationship Id="rId60" Type="http://schemas.openxmlformats.org/officeDocument/2006/relationships/footer" Target="footer19.xml"/><Relationship Id="rId81" Type="http://schemas.openxmlformats.org/officeDocument/2006/relationships/footer" Target="footer30.xml"/><Relationship Id="rId135" Type="http://schemas.openxmlformats.org/officeDocument/2006/relationships/footer" Target="footer57.xml"/><Relationship Id="rId156" Type="http://schemas.openxmlformats.org/officeDocument/2006/relationships/footer" Target="footer67.xml"/><Relationship Id="rId177" Type="http://schemas.openxmlformats.org/officeDocument/2006/relationships/footer" Target="footer78.xml"/><Relationship Id="rId198" Type="http://schemas.openxmlformats.org/officeDocument/2006/relationships/footer" Target="footer88.xml"/><Relationship Id="rId321" Type="http://schemas.openxmlformats.org/officeDocument/2006/relationships/footer" Target="footer150.xml"/><Relationship Id="rId342" Type="http://schemas.openxmlformats.org/officeDocument/2006/relationships/footer" Target="footer160.xml"/><Relationship Id="rId363" Type="http://schemas.openxmlformats.org/officeDocument/2006/relationships/footer" Target="footer171.xml"/><Relationship Id="rId384" Type="http://schemas.openxmlformats.org/officeDocument/2006/relationships/footer" Target="footer181.xml"/><Relationship Id="rId419" Type="http://schemas.openxmlformats.org/officeDocument/2006/relationships/header" Target="header200.xml"/><Relationship Id="rId202" Type="http://schemas.openxmlformats.org/officeDocument/2006/relationships/header" Target="header91.xml"/><Relationship Id="rId223" Type="http://schemas.openxmlformats.org/officeDocument/2006/relationships/footer" Target="footer101.xml"/><Relationship Id="rId244" Type="http://schemas.openxmlformats.org/officeDocument/2006/relationships/header" Target="header112.xml"/><Relationship Id="rId430" Type="http://schemas.openxmlformats.org/officeDocument/2006/relationships/image" Target="media/image19.emf"/><Relationship Id="rId18" Type="http://schemas.openxmlformats.org/officeDocument/2006/relationships/header" Target="header5.xml"/><Relationship Id="rId39" Type="http://schemas.openxmlformats.org/officeDocument/2006/relationships/image" Target="media/image6.png"/><Relationship Id="rId265" Type="http://schemas.openxmlformats.org/officeDocument/2006/relationships/footer" Target="footer122.xml"/><Relationship Id="rId286" Type="http://schemas.openxmlformats.org/officeDocument/2006/relationships/header" Target="header133.xml"/><Relationship Id="rId451" Type="http://schemas.openxmlformats.org/officeDocument/2006/relationships/footer" Target="footer211.xml"/><Relationship Id="rId472" Type="http://schemas.openxmlformats.org/officeDocument/2006/relationships/footer" Target="footer222.xml"/><Relationship Id="rId493" Type="http://schemas.openxmlformats.org/officeDocument/2006/relationships/footer" Target="footer232.xml"/><Relationship Id="rId507" Type="http://schemas.openxmlformats.org/officeDocument/2006/relationships/header" Target="header240.xml"/><Relationship Id="rId528" Type="http://schemas.openxmlformats.org/officeDocument/2006/relationships/header" Target="header251.xml"/><Relationship Id="rId549" Type="http://schemas.openxmlformats.org/officeDocument/2006/relationships/header" Target="header261.xml"/><Relationship Id="rId50" Type="http://schemas.openxmlformats.org/officeDocument/2006/relationships/header" Target="header15.xml"/><Relationship Id="rId104" Type="http://schemas.openxmlformats.org/officeDocument/2006/relationships/header" Target="header42.xml"/><Relationship Id="rId125" Type="http://schemas.openxmlformats.org/officeDocument/2006/relationships/header" Target="header53.xml"/><Relationship Id="rId146" Type="http://schemas.openxmlformats.org/officeDocument/2006/relationships/header" Target="header63.xml"/><Relationship Id="rId167" Type="http://schemas.openxmlformats.org/officeDocument/2006/relationships/header" Target="header74.xml"/><Relationship Id="rId188" Type="http://schemas.openxmlformats.org/officeDocument/2006/relationships/header" Target="header84.xml"/><Relationship Id="rId311" Type="http://schemas.openxmlformats.org/officeDocument/2006/relationships/header" Target="header146.xml"/><Relationship Id="rId332" Type="http://schemas.openxmlformats.org/officeDocument/2006/relationships/header" Target="header156.xml"/><Relationship Id="rId353" Type="http://schemas.openxmlformats.org/officeDocument/2006/relationships/header" Target="header167.xml"/><Relationship Id="rId374" Type="http://schemas.openxmlformats.org/officeDocument/2006/relationships/header" Target="header177.xml"/><Relationship Id="rId395" Type="http://schemas.openxmlformats.org/officeDocument/2006/relationships/header" Target="header188.xml"/><Relationship Id="rId409" Type="http://schemas.openxmlformats.org/officeDocument/2006/relationships/footer" Target="footer194.xml"/><Relationship Id="rId71" Type="http://schemas.openxmlformats.org/officeDocument/2006/relationships/header" Target="header26.xml"/><Relationship Id="rId92" Type="http://schemas.openxmlformats.org/officeDocument/2006/relationships/header" Target="header36.xml"/><Relationship Id="rId213" Type="http://schemas.openxmlformats.org/officeDocument/2006/relationships/footer" Target="footer96.xml"/><Relationship Id="rId234" Type="http://schemas.openxmlformats.org/officeDocument/2006/relationships/footer" Target="footer106.xml"/><Relationship Id="rId420" Type="http://schemas.openxmlformats.org/officeDocument/2006/relationships/footer" Target="footer199.xml"/><Relationship Id="rId2" Type="http://schemas.openxmlformats.org/officeDocument/2006/relationships/customXml" Target="../customXml/item1.xml"/><Relationship Id="rId29" Type="http://schemas.openxmlformats.org/officeDocument/2006/relationships/image" Target="media/image2.jpeg"/><Relationship Id="rId255" Type="http://schemas.openxmlformats.org/officeDocument/2006/relationships/footer" Target="footer117.xml"/><Relationship Id="rId276" Type="http://schemas.openxmlformats.org/officeDocument/2006/relationships/footer" Target="footer127.xml"/><Relationship Id="rId297" Type="http://schemas.openxmlformats.org/officeDocument/2006/relationships/footer" Target="footer138.xml"/><Relationship Id="rId441" Type="http://schemas.openxmlformats.org/officeDocument/2006/relationships/header" Target="header207.xml"/><Relationship Id="rId462" Type="http://schemas.openxmlformats.org/officeDocument/2006/relationships/header" Target="header218.xml"/><Relationship Id="rId483" Type="http://schemas.openxmlformats.org/officeDocument/2006/relationships/header" Target="header228.xml"/><Relationship Id="rId518" Type="http://schemas.openxmlformats.org/officeDocument/2006/relationships/footer" Target="footer245.xml"/><Relationship Id="rId539" Type="http://schemas.openxmlformats.org/officeDocument/2006/relationships/header" Target="header256.xml"/><Relationship Id="rId40" Type="http://schemas.openxmlformats.org/officeDocument/2006/relationships/image" Target="media/image7.png"/><Relationship Id="rId115" Type="http://schemas.openxmlformats.org/officeDocument/2006/relationships/footer" Target="footer47.xml"/><Relationship Id="rId136" Type="http://schemas.openxmlformats.org/officeDocument/2006/relationships/header" Target="header58.xml"/><Relationship Id="rId157" Type="http://schemas.openxmlformats.org/officeDocument/2006/relationships/footer" Target="footer68.xml"/><Relationship Id="rId178" Type="http://schemas.openxmlformats.org/officeDocument/2006/relationships/header" Target="header79.xml"/><Relationship Id="rId301" Type="http://schemas.openxmlformats.org/officeDocument/2006/relationships/footer" Target="footer140.xml"/><Relationship Id="rId322" Type="http://schemas.openxmlformats.org/officeDocument/2006/relationships/header" Target="header151.xml"/><Relationship Id="rId343" Type="http://schemas.openxmlformats.org/officeDocument/2006/relationships/footer" Target="footer161.xml"/><Relationship Id="rId364" Type="http://schemas.openxmlformats.org/officeDocument/2006/relationships/header" Target="header172.xml"/><Relationship Id="rId550" Type="http://schemas.openxmlformats.org/officeDocument/2006/relationships/footer" Target="footer261.xml"/><Relationship Id="rId61" Type="http://schemas.openxmlformats.org/officeDocument/2006/relationships/footer" Target="footer20.xml"/><Relationship Id="rId82" Type="http://schemas.openxmlformats.org/officeDocument/2006/relationships/header" Target="header31.xml"/><Relationship Id="rId199" Type="http://schemas.openxmlformats.org/officeDocument/2006/relationships/footer" Target="footer89.xml"/><Relationship Id="rId203" Type="http://schemas.openxmlformats.org/officeDocument/2006/relationships/header" Target="header92.xml"/><Relationship Id="rId385" Type="http://schemas.openxmlformats.org/officeDocument/2006/relationships/footer" Target="footer182.xml"/><Relationship Id="rId19" Type="http://schemas.openxmlformats.org/officeDocument/2006/relationships/footer" Target="footer4.xml"/><Relationship Id="rId224" Type="http://schemas.openxmlformats.org/officeDocument/2006/relationships/header" Target="header102.xml"/><Relationship Id="rId245" Type="http://schemas.openxmlformats.org/officeDocument/2006/relationships/header" Target="header113.xml"/><Relationship Id="rId266" Type="http://schemas.openxmlformats.org/officeDocument/2006/relationships/header" Target="header123.xml"/><Relationship Id="rId287" Type="http://schemas.openxmlformats.org/officeDocument/2006/relationships/header" Target="header134.xml"/><Relationship Id="rId410" Type="http://schemas.openxmlformats.org/officeDocument/2006/relationships/header" Target="header195.xml"/><Relationship Id="rId431" Type="http://schemas.openxmlformats.org/officeDocument/2006/relationships/header" Target="header202.xml"/><Relationship Id="rId452" Type="http://schemas.openxmlformats.org/officeDocument/2006/relationships/footer" Target="footer212.xml"/><Relationship Id="rId473" Type="http://schemas.openxmlformats.org/officeDocument/2006/relationships/header" Target="header223.xml"/><Relationship Id="rId494" Type="http://schemas.openxmlformats.org/officeDocument/2006/relationships/footer" Target="footer233.xml"/><Relationship Id="rId508" Type="http://schemas.openxmlformats.org/officeDocument/2006/relationships/footer" Target="footer240.xml"/><Relationship Id="rId529" Type="http://schemas.openxmlformats.org/officeDocument/2006/relationships/footer" Target="footer250.xml"/><Relationship Id="rId30" Type="http://schemas.openxmlformats.org/officeDocument/2006/relationships/header" Target="header10.xml"/><Relationship Id="rId105" Type="http://schemas.openxmlformats.org/officeDocument/2006/relationships/footer" Target="footer42.xml"/><Relationship Id="rId126" Type="http://schemas.openxmlformats.org/officeDocument/2006/relationships/footer" Target="footer52.xml"/><Relationship Id="rId147" Type="http://schemas.openxmlformats.org/officeDocument/2006/relationships/footer" Target="footer63.xml"/><Relationship Id="rId168" Type="http://schemas.openxmlformats.org/officeDocument/2006/relationships/footer" Target="footer73.xml"/><Relationship Id="rId312" Type="http://schemas.openxmlformats.org/officeDocument/2006/relationships/footer" Target="footer145.xml"/><Relationship Id="rId333" Type="http://schemas.openxmlformats.org/officeDocument/2006/relationships/footer" Target="footer156.xml"/><Relationship Id="rId354" Type="http://schemas.openxmlformats.org/officeDocument/2006/relationships/footer" Target="footer166.xml"/><Relationship Id="rId540" Type="http://schemas.openxmlformats.org/officeDocument/2006/relationships/header" Target="header257.xml"/><Relationship Id="rId51" Type="http://schemas.openxmlformats.org/officeDocument/2006/relationships/footer" Target="footer15.xml"/><Relationship Id="rId72" Type="http://schemas.openxmlformats.org/officeDocument/2006/relationships/footer" Target="footer25.xml"/><Relationship Id="rId93" Type="http://schemas.openxmlformats.org/officeDocument/2006/relationships/footer" Target="footer36.xml"/><Relationship Id="rId189" Type="http://schemas.openxmlformats.org/officeDocument/2006/relationships/footer" Target="footer84.xml"/><Relationship Id="rId375" Type="http://schemas.openxmlformats.org/officeDocument/2006/relationships/footer" Target="footer177.xml"/><Relationship Id="rId396" Type="http://schemas.openxmlformats.org/officeDocument/2006/relationships/footer" Target="footer187.xml"/><Relationship Id="rId3" Type="http://schemas.openxmlformats.org/officeDocument/2006/relationships/numbering" Target="numbering.xml"/><Relationship Id="rId214" Type="http://schemas.openxmlformats.org/officeDocument/2006/relationships/header" Target="header97.xml"/><Relationship Id="rId235" Type="http://schemas.openxmlformats.org/officeDocument/2006/relationships/footer" Target="footer107.xml"/><Relationship Id="rId256" Type="http://schemas.openxmlformats.org/officeDocument/2006/relationships/header" Target="header118.xml"/><Relationship Id="rId277" Type="http://schemas.openxmlformats.org/officeDocument/2006/relationships/footer" Target="footer128.xml"/><Relationship Id="rId298" Type="http://schemas.openxmlformats.org/officeDocument/2006/relationships/header" Target="header139.xml"/><Relationship Id="rId400" Type="http://schemas.openxmlformats.org/officeDocument/2006/relationships/header" Target="header190.xml"/><Relationship Id="rId421" Type="http://schemas.openxmlformats.org/officeDocument/2006/relationships/footer" Target="footer200.xml"/><Relationship Id="rId442" Type="http://schemas.openxmlformats.org/officeDocument/2006/relationships/footer" Target="footer207.xml"/><Relationship Id="rId463" Type="http://schemas.openxmlformats.org/officeDocument/2006/relationships/footer" Target="footer217.xml"/><Relationship Id="rId484" Type="http://schemas.openxmlformats.org/officeDocument/2006/relationships/footer" Target="footer228.xml"/><Relationship Id="rId519" Type="http://schemas.openxmlformats.org/officeDocument/2006/relationships/header" Target="header246.xml"/><Relationship Id="rId116" Type="http://schemas.openxmlformats.org/officeDocument/2006/relationships/header" Target="header48.xml"/><Relationship Id="rId137" Type="http://schemas.openxmlformats.org/officeDocument/2006/relationships/header" Target="header59.xml"/><Relationship Id="rId158" Type="http://schemas.openxmlformats.org/officeDocument/2006/relationships/header" Target="header69.xml"/><Relationship Id="rId302" Type="http://schemas.openxmlformats.org/officeDocument/2006/relationships/header" Target="header141.xml"/><Relationship Id="rId323" Type="http://schemas.openxmlformats.org/officeDocument/2006/relationships/header" Target="header152.xml"/><Relationship Id="rId344" Type="http://schemas.openxmlformats.org/officeDocument/2006/relationships/header" Target="header162.xml"/><Relationship Id="rId530" Type="http://schemas.openxmlformats.org/officeDocument/2006/relationships/footer" Target="footer251.xml"/><Relationship Id="rId20" Type="http://schemas.openxmlformats.org/officeDocument/2006/relationships/footer" Target="footer5.xml"/><Relationship Id="rId41" Type="http://schemas.openxmlformats.org/officeDocument/2006/relationships/image" Target="media/image8.png"/><Relationship Id="rId62" Type="http://schemas.openxmlformats.org/officeDocument/2006/relationships/header" Target="header21.xml"/><Relationship Id="rId83" Type="http://schemas.openxmlformats.org/officeDocument/2006/relationships/header" Target="header32.xml"/><Relationship Id="rId179" Type="http://schemas.openxmlformats.org/officeDocument/2006/relationships/header" Target="header80.xml"/><Relationship Id="rId365" Type="http://schemas.openxmlformats.org/officeDocument/2006/relationships/header" Target="header173.xml"/><Relationship Id="rId386" Type="http://schemas.openxmlformats.org/officeDocument/2006/relationships/header" Target="header183.xml"/><Relationship Id="rId551" Type="http://schemas.openxmlformats.org/officeDocument/2006/relationships/fontTable" Target="fontTable.xml"/><Relationship Id="rId190" Type="http://schemas.openxmlformats.org/officeDocument/2006/relationships/header" Target="header85.xml"/><Relationship Id="rId204" Type="http://schemas.openxmlformats.org/officeDocument/2006/relationships/footer" Target="footer91.xml"/><Relationship Id="rId225" Type="http://schemas.openxmlformats.org/officeDocument/2006/relationships/footer" Target="footer102.xml"/><Relationship Id="rId246" Type="http://schemas.openxmlformats.org/officeDocument/2006/relationships/footer" Target="footer112.xml"/><Relationship Id="rId267" Type="http://schemas.openxmlformats.org/officeDocument/2006/relationships/footer" Target="footer123.xml"/><Relationship Id="rId288" Type="http://schemas.openxmlformats.org/officeDocument/2006/relationships/footer" Target="footer133.xml"/><Relationship Id="rId411" Type="http://schemas.openxmlformats.org/officeDocument/2006/relationships/footer" Target="footer195.xml"/><Relationship Id="rId432" Type="http://schemas.openxmlformats.org/officeDocument/2006/relationships/header" Target="header203.xml"/><Relationship Id="rId453" Type="http://schemas.openxmlformats.org/officeDocument/2006/relationships/header" Target="header213.xml"/><Relationship Id="rId474" Type="http://schemas.openxmlformats.org/officeDocument/2006/relationships/header" Target="header224.xml"/><Relationship Id="rId509" Type="http://schemas.openxmlformats.org/officeDocument/2006/relationships/header" Target="header241.xml"/><Relationship Id="rId106" Type="http://schemas.openxmlformats.org/officeDocument/2006/relationships/header" Target="header43.xml"/><Relationship Id="rId127" Type="http://schemas.openxmlformats.org/officeDocument/2006/relationships/footer" Target="footer53.xml"/><Relationship Id="rId313" Type="http://schemas.openxmlformats.org/officeDocument/2006/relationships/footer" Target="footer146.xml"/><Relationship Id="rId495" Type="http://schemas.openxmlformats.org/officeDocument/2006/relationships/header" Target="header234.xml"/><Relationship Id="rId10" Type="http://schemas.openxmlformats.org/officeDocument/2006/relationships/image" Target="media/image1.emf"/><Relationship Id="rId31" Type="http://schemas.openxmlformats.org/officeDocument/2006/relationships/header" Target="header11.xml"/><Relationship Id="rId52" Type="http://schemas.openxmlformats.org/officeDocument/2006/relationships/header" Target="header16.xml"/><Relationship Id="rId73" Type="http://schemas.openxmlformats.org/officeDocument/2006/relationships/footer" Target="footer26.xml"/><Relationship Id="rId94" Type="http://schemas.openxmlformats.org/officeDocument/2006/relationships/header" Target="header37.xml"/><Relationship Id="rId148" Type="http://schemas.openxmlformats.org/officeDocument/2006/relationships/header" Target="header64.xml"/><Relationship Id="rId169" Type="http://schemas.openxmlformats.org/officeDocument/2006/relationships/footer" Target="footer74.xml"/><Relationship Id="rId334" Type="http://schemas.openxmlformats.org/officeDocument/2006/relationships/header" Target="header157.xml"/><Relationship Id="rId355" Type="http://schemas.openxmlformats.org/officeDocument/2006/relationships/footer" Target="footer167.xml"/><Relationship Id="rId376" Type="http://schemas.openxmlformats.org/officeDocument/2006/relationships/header" Target="header178.xml"/><Relationship Id="rId397" Type="http://schemas.openxmlformats.org/officeDocument/2006/relationships/footer" Target="footer188.xml"/><Relationship Id="rId520" Type="http://schemas.openxmlformats.org/officeDocument/2006/relationships/footer" Target="footer246.xml"/><Relationship Id="rId541" Type="http://schemas.openxmlformats.org/officeDocument/2006/relationships/footer" Target="footer256.xml"/><Relationship Id="rId4" Type="http://schemas.openxmlformats.org/officeDocument/2006/relationships/styles" Target="styles.xml"/><Relationship Id="rId180" Type="http://schemas.openxmlformats.org/officeDocument/2006/relationships/footer" Target="footer79.xml"/><Relationship Id="rId215" Type="http://schemas.openxmlformats.org/officeDocument/2006/relationships/header" Target="header98.xml"/><Relationship Id="rId236" Type="http://schemas.openxmlformats.org/officeDocument/2006/relationships/header" Target="header108.xml"/><Relationship Id="rId257" Type="http://schemas.openxmlformats.org/officeDocument/2006/relationships/header" Target="header119.xml"/><Relationship Id="rId278" Type="http://schemas.openxmlformats.org/officeDocument/2006/relationships/header" Target="header129.xml"/><Relationship Id="rId401" Type="http://schemas.openxmlformats.org/officeDocument/2006/relationships/header" Target="header191.xml"/><Relationship Id="rId422" Type="http://schemas.openxmlformats.org/officeDocument/2006/relationships/header" Target="header201.xml"/><Relationship Id="rId443" Type="http://schemas.openxmlformats.org/officeDocument/2006/relationships/header" Target="header208.xml"/><Relationship Id="rId464" Type="http://schemas.openxmlformats.org/officeDocument/2006/relationships/footer" Target="footer218.xml"/><Relationship Id="rId303" Type="http://schemas.openxmlformats.org/officeDocument/2006/relationships/footer" Target="footer141.xml"/><Relationship Id="rId485" Type="http://schemas.openxmlformats.org/officeDocument/2006/relationships/header" Target="header229.xml"/><Relationship Id="rId42" Type="http://schemas.openxmlformats.org/officeDocument/2006/relationships/image" Target="media/image9.png"/><Relationship Id="rId84" Type="http://schemas.openxmlformats.org/officeDocument/2006/relationships/footer" Target="footer31.xml"/><Relationship Id="rId138" Type="http://schemas.openxmlformats.org/officeDocument/2006/relationships/footer" Target="footer58.xml"/><Relationship Id="rId345" Type="http://schemas.openxmlformats.org/officeDocument/2006/relationships/footer" Target="footer162.xml"/><Relationship Id="rId387" Type="http://schemas.openxmlformats.org/officeDocument/2006/relationships/footer" Target="footer183.xml"/><Relationship Id="rId510" Type="http://schemas.openxmlformats.org/officeDocument/2006/relationships/header" Target="header242.xml"/><Relationship Id="rId552" Type="http://schemas.openxmlformats.org/officeDocument/2006/relationships/theme" Target="theme/theme1.xml"/><Relationship Id="rId191" Type="http://schemas.openxmlformats.org/officeDocument/2006/relationships/header" Target="header86.xml"/><Relationship Id="rId205" Type="http://schemas.openxmlformats.org/officeDocument/2006/relationships/footer" Target="footer92.xml"/><Relationship Id="rId247" Type="http://schemas.openxmlformats.org/officeDocument/2006/relationships/footer" Target="footer113.xml"/><Relationship Id="rId412" Type="http://schemas.openxmlformats.org/officeDocument/2006/relationships/header" Target="header196.xml"/><Relationship Id="rId107" Type="http://schemas.openxmlformats.org/officeDocument/2006/relationships/header" Target="header44.xml"/><Relationship Id="rId289" Type="http://schemas.openxmlformats.org/officeDocument/2006/relationships/footer" Target="footer134.xml"/><Relationship Id="rId454" Type="http://schemas.openxmlformats.org/officeDocument/2006/relationships/footer" Target="footer213.xml"/><Relationship Id="rId496" Type="http://schemas.openxmlformats.org/officeDocument/2006/relationships/footer" Target="footer234.xml"/><Relationship Id="rId11" Type="http://schemas.openxmlformats.org/officeDocument/2006/relationships/header" Target="header1.xml"/><Relationship Id="rId53" Type="http://schemas.openxmlformats.org/officeDocument/2006/relationships/header" Target="header17.xml"/><Relationship Id="rId149" Type="http://schemas.openxmlformats.org/officeDocument/2006/relationships/header" Target="header65.xml"/><Relationship Id="rId314" Type="http://schemas.openxmlformats.org/officeDocument/2006/relationships/header" Target="header147.xml"/><Relationship Id="rId356" Type="http://schemas.openxmlformats.org/officeDocument/2006/relationships/header" Target="header168.xml"/><Relationship Id="rId398" Type="http://schemas.openxmlformats.org/officeDocument/2006/relationships/header" Target="header189.xml"/><Relationship Id="rId521" Type="http://schemas.openxmlformats.org/officeDocument/2006/relationships/header" Target="header247.xml"/><Relationship Id="rId95" Type="http://schemas.openxmlformats.org/officeDocument/2006/relationships/header" Target="header38.xml"/><Relationship Id="rId160" Type="http://schemas.openxmlformats.org/officeDocument/2006/relationships/header" Target="header70.xml"/><Relationship Id="rId216" Type="http://schemas.openxmlformats.org/officeDocument/2006/relationships/footer" Target="footer97.xml"/><Relationship Id="rId423" Type="http://schemas.openxmlformats.org/officeDocument/2006/relationships/footer" Target="footer201.xml"/><Relationship Id="rId258" Type="http://schemas.openxmlformats.org/officeDocument/2006/relationships/footer" Target="footer118.xml"/><Relationship Id="rId465" Type="http://schemas.openxmlformats.org/officeDocument/2006/relationships/header" Target="header219.xml"/><Relationship Id="rId22" Type="http://schemas.openxmlformats.org/officeDocument/2006/relationships/footer" Target="footer6.xml"/><Relationship Id="rId64" Type="http://schemas.openxmlformats.org/officeDocument/2006/relationships/header" Target="header22.xml"/><Relationship Id="rId118" Type="http://schemas.openxmlformats.org/officeDocument/2006/relationships/header" Target="header49.xml"/><Relationship Id="rId325" Type="http://schemas.openxmlformats.org/officeDocument/2006/relationships/footer" Target="footer152.xml"/><Relationship Id="rId367" Type="http://schemas.openxmlformats.org/officeDocument/2006/relationships/footer" Target="footer173.xml"/><Relationship Id="rId532" Type="http://schemas.openxmlformats.org/officeDocument/2006/relationships/footer" Target="footer252.xml"/><Relationship Id="rId171" Type="http://schemas.openxmlformats.org/officeDocument/2006/relationships/footer" Target="footer75.xml"/><Relationship Id="rId227" Type="http://schemas.openxmlformats.org/officeDocument/2006/relationships/header" Target="header104.xml"/><Relationship Id="rId269" Type="http://schemas.openxmlformats.org/officeDocument/2006/relationships/header" Target="header125.xml"/><Relationship Id="rId434" Type="http://schemas.openxmlformats.org/officeDocument/2006/relationships/footer" Target="footer203.xml"/><Relationship Id="rId476" Type="http://schemas.openxmlformats.org/officeDocument/2006/relationships/footer" Target="footer224.xml"/><Relationship Id="rId33" Type="http://schemas.openxmlformats.org/officeDocument/2006/relationships/footer" Target="footer11.xml"/><Relationship Id="rId129" Type="http://schemas.openxmlformats.org/officeDocument/2006/relationships/footer" Target="footer54.xml"/><Relationship Id="rId280" Type="http://schemas.openxmlformats.org/officeDocument/2006/relationships/header" Target="header130.xml"/><Relationship Id="rId336" Type="http://schemas.openxmlformats.org/officeDocument/2006/relationships/footer" Target="footer157.xml"/><Relationship Id="rId501" Type="http://schemas.openxmlformats.org/officeDocument/2006/relationships/header" Target="header237.xml"/><Relationship Id="rId543" Type="http://schemas.openxmlformats.org/officeDocument/2006/relationships/header" Target="header258.xml"/><Relationship Id="rId75" Type="http://schemas.openxmlformats.org/officeDocument/2006/relationships/footer" Target="footer27.xml"/><Relationship Id="rId140" Type="http://schemas.openxmlformats.org/officeDocument/2006/relationships/header" Target="header60.xml"/><Relationship Id="rId182" Type="http://schemas.openxmlformats.org/officeDocument/2006/relationships/header" Target="header81.xml"/><Relationship Id="rId378" Type="http://schemas.openxmlformats.org/officeDocument/2006/relationships/footer" Target="footer178.xml"/><Relationship Id="rId403" Type="http://schemas.openxmlformats.org/officeDocument/2006/relationships/footer" Target="footer191.xml"/><Relationship Id="rId6" Type="http://schemas.openxmlformats.org/officeDocument/2006/relationships/settings" Target="settings.xml"/><Relationship Id="rId238" Type="http://schemas.openxmlformats.org/officeDocument/2006/relationships/header" Target="header109.xml"/><Relationship Id="rId445" Type="http://schemas.openxmlformats.org/officeDocument/2006/relationships/footer" Target="footer208.xml"/><Relationship Id="rId487" Type="http://schemas.openxmlformats.org/officeDocument/2006/relationships/footer" Target="footer229.xml"/><Relationship Id="rId291" Type="http://schemas.openxmlformats.org/officeDocument/2006/relationships/footer" Target="footer135.xml"/><Relationship Id="rId305" Type="http://schemas.openxmlformats.org/officeDocument/2006/relationships/header" Target="header143.xml"/><Relationship Id="rId347" Type="http://schemas.openxmlformats.org/officeDocument/2006/relationships/header" Target="header164.xml"/><Relationship Id="rId512" Type="http://schemas.openxmlformats.org/officeDocument/2006/relationships/footer" Target="footer242.xml"/><Relationship Id="rId44" Type="http://schemas.openxmlformats.org/officeDocument/2006/relationships/image" Target="media/image11.png"/><Relationship Id="rId86" Type="http://schemas.openxmlformats.org/officeDocument/2006/relationships/header" Target="header33.xml"/><Relationship Id="rId151" Type="http://schemas.openxmlformats.org/officeDocument/2006/relationships/footer" Target="footer65.xml"/><Relationship Id="rId389" Type="http://schemas.openxmlformats.org/officeDocument/2006/relationships/header" Target="header185.xml"/><Relationship Id="rId193" Type="http://schemas.openxmlformats.org/officeDocument/2006/relationships/footer" Target="footer86.xml"/><Relationship Id="rId207" Type="http://schemas.openxmlformats.org/officeDocument/2006/relationships/footer" Target="footer93.xml"/><Relationship Id="rId249" Type="http://schemas.openxmlformats.org/officeDocument/2006/relationships/footer" Target="footer114.xml"/><Relationship Id="rId414" Type="http://schemas.openxmlformats.org/officeDocument/2006/relationships/footer" Target="footer196.xml"/><Relationship Id="rId456" Type="http://schemas.openxmlformats.org/officeDocument/2006/relationships/header" Target="header215.xml"/><Relationship Id="rId498" Type="http://schemas.openxmlformats.org/officeDocument/2006/relationships/header" Target="header236.xml"/><Relationship Id="rId13" Type="http://schemas.openxmlformats.org/officeDocument/2006/relationships/footer" Target="footer1.xml"/><Relationship Id="rId109" Type="http://schemas.openxmlformats.org/officeDocument/2006/relationships/footer" Target="footer44.xml"/><Relationship Id="rId260" Type="http://schemas.openxmlformats.org/officeDocument/2006/relationships/header" Target="header120.xml"/><Relationship Id="rId316" Type="http://schemas.openxmlformats.org/officeDocument/2006/relationships/header" Target="header148.xml"/><Relationship Id="rId523" Type="http://schemas.openxmlformats.org/officeDocument/2006/relationships/footer" Target="footer247.xml"/><Relationship Id="rId55" Type="http://schemas.openxmlformats.org/officeDocument/2006/relationships/footer" Target="footer17.xml"/><Relationship Id="rId97" Type="http://schemas.openxmlformats.org/officeDocument/2006/relationships/footer" Target="footer38.xml"/><Relationship Id="rId120" Type="http://schemas.openxmlformats.org/officeDocument/2006/relationships/footer" Target="footer49.xml"/><Relationship Id="rId358" Type="http://schemas.openxmlformats.org/officeDocument/2006/relationships/header" Target="header169.xml"/><Relationship Id="rId162" Type="http://schemas.openxmlformats.org/officeDocument/2006/relationships/footer" Target="footer70.xml"/><Relationship Id="rId218" Type="http://schemas.openxmlformats.org/officeDocument/2006/relationships/header" Target="header99.xml"/><Relationship Id="rId425" Type="http://schemas.openxmlformats.org/officeDocument/2006/relationships/image" Target="media/image14.emf"/><Relationship Id="rId467" Type="http://schemas.openxmlformats.org/officeDocument/2006/relationships/header" Target="header220.xml"/><Relationship Id="rId271" Type="http://schemas.openxmlformats.org/officeDocument/2006/relationships/footer" Target="footer125.xml"/><Relationship Id="rId24" Type="http://schemas.openxmlformats.org/officeDocument/2006/relationships/header" Target="header8.xml"/><Relationship Id="rId66" Type="http://schemas.openxmlformats.org/officeDocument/2006/relationships/footer" Target="footer22.xml"/><Relationship Id="rId131" Type="http://schemas.openxmlformats.org/officeDocument/2006/relationships/header" Target="header56.xml"/><Relationship Id="rId327" Type="http://schemas.openxmlformats.org/officeDocument/2006/relationships/footer" Target="footer153.xml"/><Relationship Id="rId369" Type="http://schemas.openxmlformats.org/officeDocument/2006/relationships/footer" Target="footer174.xml"/><Relationship Id="rId534" Type="http://schemas.openxmlformats.org/officeDocument/2006/relationships/header" Target="header254.xml"/><Relationship Id="rId173" Type="http://schemas.openxmlformats.org/officeDocument/2006/relationships/header" Target="header77.xml"/><Relationship Id="rId229" Type="http://schemas.openxmlformats.org/officeDocument/2006/relationships/footer" Target="footer104.xml"/><Relationship Id="rId380" Type="http://schemas.openxmlformats.org/officeDocument/2006/relationships/header" Target="header180.xml"/><Relationship Id="rId436" Type="http://schemas.openxmlformats.org/officeDocument/2006/relationships/footer" Target="footer204.xml"/><Relationship Id="rId240" Type="http://schemas.openxmlformats.org/officeDocument/2006/relationships/footer" Target="footer109.xml"/><Relationship Id="rId478" Type="http://schemas.openxmlformats.org/officeDocument/2006/relationships/footer" Target="footer225.xml"/><Relationship Id="rId35" Type="http://schemas.openxmlformats.org/officeDocument/2006/relationships/footer" Target="footer12.xml"/><Relationship Id="rId77" Type="http://schemas.openxmlformats.org/officeDocument/2006/relationships/header" Target="header29.xml"/><Relationship Id="rId100" Type="http://schemas.openxmlformats.org/officeDocument/2006/relationships/header" Target="header40.xml"/><Relationship Id="rId282" Type="http://schemas.openxmlformats.org/officeDocument/2006/relationships/footer" Target="footer130.xml"/><Relationship Id="rId338" Type="http://schemas.openxmlformats.org/officeDocument/2006/relationships/header" Target="header159.xml"/><Relationship Id="rId503" Type="http://schemas.openxmlformats.org/officeDocument/2006/relationships/header" Target="header238.xml"/><Relationship Id="rId545" Type="http://schemas.openxmlformats.org/officeDocument/2006/relationships/header" Target="header259.xml"/><Relationship Id="rId8" Type="http://schemas.openxmlformats.org/officeDocument/2006/relationships/footnotes" Target="footnotes.xml"/><Relationship Id="rId142" Type="http://schemas.openxmlformats.org/officeDocument/2006/relationships/header" Target="header61.xml"/><Relationship Id="rId184" Type="http://schemas.openxmlformats.org/officeDocument/2006/relationships/header" Target="header82.xml"/><Relationship Id="rId391" Type="http://schemas.openxmlformats.org/officeDocument/2006/relationships/footer" Target="footer185.xml"/><Relationship Id="rId405" Type="http://schemas.openxmlformats.org/officeDocument/2006/relationships/footer" Target="footer192.xml"/><Relationship Id="rId447" Type="http://schemas.openxmlformats.org/officeDocument/2006/relationships/header" Target="header210.xml"/><Relationship Id="rId251" Type="http://schemas.openxmlformats.org/officeDocument/2006/relationships/header" Target="header116.xml"/><Relationship Id="rId489" Type="http://schemas.openxmlformats.org/officeDocument/2006/relationships/header" Target="header231.xml"/><Relationship Id="rId46" Type="http://schemas.openxmlformats.org/officeDocument/2006/relationships/header" Target="header13.xml"/><Relationship Id="rId293" Type="http://schemas.openxmlformats.org/officeDocument/2006/relationships/header" Target="header137.xml"/><Relationship Id="rId307" Type="http://schemas.openxmlformats.org/officeDocument/2006/relationships/footer" Target="footer143.xml"/><Relationship Id="rId349" Type="http://schemas.openxmlformats.org/officeDocument/2006/relationships/footer" Target="footer164.xml"/><Relationship Id="rId514" Type="http://schemas.openxmlformats.org/officeDocument/2006/relationships/footer" Target="footer243.xml"/><Relationship Id="rId88" Type="http://schemas.openxmlformats.org/officeDocument/2006/relationships/header" Target="header34.xml"/><Relationship Id="rId111" Type="http://schemas.openxmlformats.org/officeDocument/2006/relationships/footer" Target="footer45.xml"/><Relationship Id="rId153" Type="http://schemas.openxmlformats.org/officeDocument/2006/relationships/footer" Target="footer66.xml"/><Relationship Id="rId195" Type="http://schemas.openxmlformats.org/officeDocument/2006/relationships/footer" Target="footer87.xml"/><Relationship Id="rId209" Type="http://schemas.openxmlformats.org/officeDocument/2006/relationships/header" Target="header95.xml"/><Relationship Id="rId360" Type="http://schemas.openxmlformats.org/officeDocument/2006/relationships/footer" Target="footer169.xml"/><Relationship Id="rId416" Type="http://schemas.openxmlformats.org/officeDocument/2006/relationships/header" Target="header19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BFD5E-A8E1-416B-AC96-A4A0AC31A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12</Pages>
  <Words>51142</Words>
  <Characters>376407</Characters>
  <Application>Microsoft Office Word</Application>
  <DocSecurity>0</DocSecurity>
  <Lines>20911</Lines>
  <Paragraphs>14251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413298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DIGIT/C6</cp:lastModifiedBy>
  <cp:revision>98</cp:revision>
  <dcterms:created xsi:type="dcterms:W3CDTF">2019-06-20T13:57:00Z</dcterms:created>
  <dcterms:modified xsi:type="dcterms:W3CDTF">2019-09-02T08:11:00Z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Culture00">
    <vt:lpwstr>GAoAAB+LCAAAAAAABAA1louRAzEIQ1sy+F+P++8hemIzl5ska2NAEnJyjBfxmv56vOj3HX+pv6H/7Pud9TKuNuqrdi/FrBcn3u4vz8s335laepv4qwex+D8vmsJ6U2h3aGwl0oFaveOt/aLWR/LsNp+qdHcqvL8YhNy3tVG5JlnTe/y+X+YlH9vi5czn0FS2o8Wu2sZ2W6FGr8IvbfBo+eDM1G4dFap16v+4uEydo4oJnMobvKKpoEtPm2y02FX</vt:lpwstr>
  </property>
  <property fmtid="{D5CDD505-2E9C-101B-9397-08002B2CF9AE}" pid="3" name="DMCulture01">
    <vt:lpwstr>2iySV1gTFoOb2tmoQnql13nR4ghj46VGo22gKPf64tUMxqmS2R2vTr718aoZw0kMjMt+cbwt+p9PHZfyFvEKpK6lRbcdWE625nn1oSYmEgDZ2Y579jfV0oAiJdStd7gInaZ4t9BI64yilyuRjNsobZi1juj6yspRQMd1nHN7HO2rpWkTRFAQhp87i6wSY7aA8hhoViNJDkfQVVAKX8XFv4gBpGhZtIXv2QRCCUnLQgVxhf8IsWr4KhxhlceQwCe</vt:lpwstr>
  </property>
  <property fmtid="{D5CDD505-2E9C-101B-9397-08002B2CF9AE}" pid="4" name="DMCulture02">
    <vt:lpwstr>ThTHDsdWA0sw+G4hhxCZtrsBekIeRteF2VmBEeffiJpyKdhDU1tusLAhOi+gSA4i5bSc/y25x3C3ZzAdT0akzhRK11WJiexgFoH4AtvvZ0Juf26oionSUchpz5UKXHaF/iGVcqJIoHzIJEEe1Y2GEC+nzDaFvF7VZFigjGCblpKiWcC3bXvRJ2LV4InY/5t5imD6qh4AlaogZmgnh1wZxJIar/I29Y9jQJROMN9m8QT3vKLvAsn2EdmEGU8oQQ5</vt:lpwstr>
  </property>
  <property fmtid="{D5CDD505-2E9C-101B-9397-08002B2CF9AE}" pid="5" name="DMCulture03">
    <vt:lpwstr>x0knQWMekOZGJfZDQ9/lNN48zXF6MpSO08vK3qXi5xl+vwVvjwHw8Ns86FoAG9M9/XhKsy4Xj+1fTaA1dJtNhugI48xxTrpwZ52LceouZjbBGaDr3APeFy5BefS+3GZ+I70qKFgeOlOOXFIrSUGpKzzm1OR4iSyZDwQt2VoPaGjsCDHuk7FdKkxXEaIqv1p5OwerfyCMNxfezhQZ5OZ7rCaCZMFa7eN2hP6LiRwnyyTVcVcArdk6hFgGtQHdmau</vt:lpwstr>
  </property>
  <property fmtid="{D5CDD505-2E9C-101B-9397-08002B2CF9AE}" pid="6" name="DMCulture04">
    <vt:lpwstr>8ZRReN1yvVGgokxVZLksPIiyxZD969YNtmu2aI7hoXiBf9kE2iwzZIzIODZpV4sWS/vUDP9qGWcZppqJS+BU5Laabe+qBEj0pMz6m1LqBPBsJtkorlVXGpq+SGem21by71M2t8/sAZx5J/Wsu+uv4lnYcujC6d2CitrWHjA4D9f+Lilwu7av3c9abfL+fZAqHMnrTcyez8xVLaL0XQlT5fZ4tcDbXFeatlMdQsc0vjY5NKTBVyYhSM5ZxhAei7p</vt:lpwstr>
  </property>
  <property fmtid="{D5CDD505-2E9C-101B-9397-08002B2CF9AE}" pid="7" name="DMCulture05">
    <vt:lpwstr>maa1XL6vGCUOgkXbKPB20+XVglWkOYO1y4TFBIn5bdIIbbYKPBYcEs2jzfdgYFd+5td8nfdSMGrPkUtbZ204ctvvvoqcMCEZJDJTW4VmQnF5MHHv+/b4JylG3EIN733eV+N7yTyPVAwVcP+F6lu844az+YRhnQYKgBSbBry9j/rXNeLmPab2Bipsvg0wEY7KWiZmldv8a/AEaGyInGAoAAA==</vt:lpwstr>
  </property>
  <property fmtid="{D5CDD505-2E9C-101B-9397-08002B2CF9AE}" pid="8" name="frecMETA00">
    <vt:lpwstr>HQoAAB+LCAAAAAAABAA1louRAzEIQ1sy+F+P++8hemIzczebeDEfIUSi93fyZdwXo55zvFgvTuhbvLj6POfr+Ya+tZftYTveHa/r69StdnRl662M5stxXx8v+9ablIcub/KS5+koUo5Tz8NnxeIG5wool7LveNOz6aDp/EXspzwV/+ru1H/Xo9tFKt293566I0e6o4+paKs9vVUA3YxIJxeyfZOi5tvDIVV8rOsylMhRQZmkqVSWDJVXVOoxeTY</vt:lpwstr>
  </property>
  <property fmtid="{D5CDD505-2E9C-101B-9397-08002B2CF9AE}" pid="9" name="frecMETA01">
    <vt:lpwstr>/udvXGzodLioJr/eNF4o31pPZFVDAY7uFs3tIR9EzdOOoJjlcHWOqPvcJKB1HUxA9AFgA2JpculLq+sy1pvfrvB1uVwOSJx+Ujwko6SuNUNWH0q48kBPdIVaonbq+Cqfl1sRub/TX3gIK5eO/HLihTnlWYpQspsi08uhcllm/z2A2c2ZS/wUGXoTcEofmK6rM4+ZbatDSWdhM9wT/wrCbOKpkp0n4nTUDPJw4H2CB0wOf7GmslKnwTtOIlIchhz</vt:lpwstr>
  </property>
  <property fmtid="{D5CDD505-2E9C-101B-9397-08002B2CF9AE}" pid="10" name="frecMETA02">
    <vt:lpwstr>XiEKWoK/fjrtuVxXX+hYaMQ/QSjUOoLVJXsPjqWqS+utkDAyE+aaksbpA/IHkS3K8ssKm50QHZ6PZmOjocwgHcBd8oHs2KJRZMMeZPhTiH3HSl2F/1MF6zmsfoiuoexebqu3lFufJQdDyVOvVXuZnNI5wfmFH8izPrtSfwVgZMFkWoSopmjnVMDKivf2WzZduuqc2gaOgAt9FIUl7PdTajAUWgrzIf03xmoFGa45mOW+JAE8RI4blNLSfA5cVQh</vt:lpwstr>
  </property>
  <property fmtid="{D5CDD505-2E9C-101B-9397-08002B2CF9AE}" pid="11" name="frecMETA03">
    <vt:lpwstr>6aVE+Dm44QybzfnatDVBKExzdmY/3r1QpOxF3VAGDOcu8cTPR0wIKjScVetDQtGkRW03L5vkegmvwiVH/r0ffZSQdJMCwosAU8MBASwygtoM8GLcGtYFvY3bbTwuP3C/J5PkxiOHJ9+oS+jQAqpJPYihTJVjvAMCV0luHpNoaKRfDOZUBrqkwwFtNLZjmAwkqgQYwLpaybMPzhrmErKaJEhP0gJUetWrzOKUABUP/6CMp0vbYB6tEY98qTAaIg9</vt:lpwstr>
  </property>
  <property fmtid="{D5CDD505-2E9C-101B-9397-08002B2CF9AE}" pid="12" name="frecMETA04">
    <vt:lpwstr>modal+G2Irv0UyyGv2dYn6bhlw31My5AjkqJzMP36bRpqXrdEehO2XI2v0qUMpyCQQ5AtxQgdS29QgYsQldRjPmlQEawThwRbgIJ9BgHJK75K0uqtNWNRKqyxvADW0C5w90bxfQ4tUlRQdR51mDeElF03TuFoYbLcCGdJVTgK/C1vy7WnDIxXvXqFXuC5oofMGpK9mjOXkZJHtsXkeWOzMHhEh9LpkdDmbCDo+iCpv0xY+K8qj/VJ4aULb19m7e</vt:lpwstr>
  </property>
  <property fmtid="{D5CDD505-2E9C-101B-9397-08002B2CF9AE}" pid="13" name="frecMETA05">
    <vt:lpwstr>+fLCNVH4pmCcHNwISwWTp9qIc9CCI8MARvyasOXRwmLFIR1kfbwwAoI/BYCvM9J6bXuyeR6WvkjDlsKan1zndZCP5FwxCo1Zsa5T1PGoz2ZXLHJWzNVeuz/ItM6aXfjEb9FcD1d1zNDK8YK1GubwW0Y0V9YMsarCQo2I2SdFxJxTeLfcTBRnzY0UV2AuKPL00Wmka8ERt6UlnV20stmZtBzrLeCMnXp9e9D8eh4JSHQoAAA==</vt:lpwstr>
  </property>
  <property fmtid="{D5CDD505-2E9C-101B-9397-08002B2CF9AE}" pid="14" name="PeriodId">
    <vt:i4>8</vt:i4>
  </property>
  <property fmtid="{D5CDD505-2E9C-101B-9397-08002B2CF9AE}" pid="15" name="PeriodName">
    <vt:lpwstr>2018 Annual Accounts</vt:lpwstr>
  </property>
  <property fmtid="{D5CDD505-2E9C-101B-9397-08002B2CF9AE}" pid="16" name="ReportId">
    <vt:i4>145</vt:i4>
  </property>
  <property fmtid="{D5CDD505-2E9C-101B-9397-08002B2CF9AE}" pid="17" name="ReportName">
    <vt:lpwstr>EU Annual Accounts</vt:lpwstr>
  </property>
  <property fmtid="{D5CDD505-2E9C-101B-9397-08002B2CF9AE}" pid="18" name="UseLegacyExcelTemplate">
    <vt:bool>true</vt:bool>
  </property>
  <property fmtid="{D5CDD505-2E9C-101B-9397-08002B2CF9AE}" pid="19" name="Level of sensitivity">
    <vt:lpwstr>Standard treatment</vt:lpwstr>
  </property>
  <property fmtid="{D5CDD505-2E9C-101B-9397-08002B2CF9AE}" pid="20" name="Part">
    <vt:lpwstr>1</vt:lpwstr>
  </property>
  <property fmtid="{D5CDD505-2E9C-101B-9397-08002B2CF9AE}" pid="21" name="Total parts">
    <vt:lpwstr>1</vt:lpwstr>
  </property>
  <property fmtid="{D5CDD505-2E9C-101B-9397-08002B2CF9AE}" pid="22" name="DocStatus">
    <vt:lpwstr>Green</vt:lpwstr>
  </property>
  <property fmtid="{D5CDD505-2E9C-101B-9397-08002B2CF9AE}" pid="23" name="Created using">
    <vt:lpwstr>LW 6.0.1, Build 20180503</vt:lpwstr>
  </property>
  <property fmtid="{D5CDD505-2E9C-101B-9397-08002B2CF9AE}" pid="24" name="Last edited using">
    <vt:lpwstr>LW 7.0, Build 20190717</vt:lpwstr>
  </property>
  <property fmtid="{D5CDD505-2E9C-101B-9397-08002B2CF9AE}" pid="25" name="CPTemplateID">
    <vt:lpwstr>CP-040</vt:lpwstr>
  </property>
</Properties>
</file>