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0B6F1640-D374-476D-96A2-48AA90B66DB4" style="width:450.75pt;height:306.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120" w:line="240" w:lineRule="auto"/>
        <w:ind w:right="-142"/>
        <w:jc w:val="both"/>
        <w:rPr>
          <w:rFonts w:ascii="Times New Roman" w:hAnsi="Times New Roman"/>
          <w:b/>
          <w:noProof/>
          <w:sz w:val="24"/>
        </w:rPr>
      </w:pPr>
      <w:bookmarkStart w:id="1" w:name="_GoBack"/>
      <w:bookmarkEnd w:id="1"/>
      <w:r>
        <w:rPr>
          <w:rFonts w:ascii="Times New Roman" w:hAnsi="Times New Roman"/>
          <w:b/>
          <w:noProof/>
          <w:sz w:val="24"/>
        </w:rPr>
        <w:lastRenderedPageBreak/>
        <w:t>IEVADS</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Eiropas Komisija 2018. gada 4. decembrī publicēja novērtējumu par ES programmu attiecībā uz romu integrācijas valsts stratēģijām (RIVS) līdz 2020. gadam</w:t>
      </w:r>
      <w:r>
        <w:rPr>
          <w:rFonts w:ascii="Times New Roman" w:hAnsi="Times New Roman"/>
          <w:noProof/>
          <w:sz w:val="24"/>
          <w:vertAlign w:val="superscript"/>
        </w:rPr>
        <w:footnoteReference w:id="1"/>
      </w:r>
      <w:r>
        <w:rPr>
          <w:rFonts w:ascii="Times New Roman" w:hAnsi="Times New Roman"/>
          <w:noProof/>
          <w:sz w:val="24"/>
        </w:rPr>
        <w:t>. Novērtējumā tika novērtēta ES programma un tas, kā tā piesaistīja citus romu iekļaušanai paredzētos Eiropas politikas, juridiskos un finanšu instrumentus</w:t>
      </w:r>
      <w:r>
        <w:rPr>
          <w:rFonts w:ascii="Times New Roman" w:hAnsi="Times New Roman"/>
          <w:noProof/>
          <w:sz w:val="24"/>
          <w:vertAlign w:val="superscript"/>
        </w:rPr>
        <w:footnoteReference w:id="2"/>
      </w:r>
      <w:r>
        <w:rPr>
          <w:rFonts w:ascii="Times New Roman" w:hAnsi="Times New Roman"/>
          <w:noProof/>
          <w:sz w:val="24"/>
        </w:rPr>
        <w:t xml:space="preserve">. Lai priekšstats būtu skaidrāks, šajā 2019. gada ziņojumā galvenā uzmanība ir pievērsta romu iekļaušanas pasākumu īstenošanai valstu mērogā. </w:t>
      </w:r>
    </w:p>
    <w:p>
      <w:pPr>
        <w:spacing w:after="0" w:line="240" w:lineRule="auto"/>
        <w:ind w:right="-142"/>
        <w:jc w:val="both"/>
        <w:rPr>
          <w:rFonts w:ascii="Times New Roman" w:eastAsia="MS Mincho" w:hAnsi="Times New Roman" w:cs="Times New Roman"/>
          <w:noProof/>
          <w:sz w:val="24"/>
          <w:szCs w:val="24"/>
        </w:rPr>
      </w:pPr>
      <w:r>
        <w:rPr>
          <w:rFonts w:ascii="Times New Roman" w:hAnsi="Times New Roman"/>
          <w:noProof/>
          <w:sz w:val="24"/>
        </w:rPr>
        <w:t>Novērtējuma galvenie avoti ir šādi:</w:t>
      </w:r>
    </w:p>
    <w:p>
      <w:pPr>
        <w:numPr>
          <w:ilvl w:val="0"/>
          <w:numId w:val="1"/>
        </w:numPr>
        <w:spacing w:after="0" w:line="240" w:lineRule="auto"/>
        <w:ind w:right="-142"/>
        <w:contextualSpacing/>
        <w:jc w:val="both"/>
        <w:rPr>
          <w:rFonts w:ascii="Times New Roman" w:eastAsia="MS Mincho" w:hAnsi="Times New Roman" w:cs="Times New Roman"/>
          <w:noProof/>
          <w:sz w:val="24"/>
          <w:szCs w:val="24"/>
        </w:rPr>
      </w:pPr>
      <w:r>
        <w:rPr>
          <w:rFonts w:ascii="Times New Roman" w:hAnsi="Times New Roman"/>
          <w:noProof/>
          <w:sz w:val="24"/>
        </w:rPr>
        <w:t>ziņojumi, ko iesnieguši valsts kontaktpunkti romu jautājumos (VKRJ)</w:t>
      </w:r>
      <w:r>
        <w:rPr>
          <w:rFonts w:ascii="Times New Roman" w:hAnsi="Times New Roman"/>
          <w:noProof/>
          <w:sz w:val="24"/>
          <w:vertAlign w:val="superscript"/>
        </w:rPr>
        <w:footnoteReference w:id="3"/>
      </w:r>
      <w:r>
        <w:rPr>
          <w:rFonts w:ascii="Times New Roman" w:hAnsi="Times New Roman"/>
          <w:noProof/>
          <w:sz w:val="24"/>
        </w:rPr>
        <w:t>;</w:t>
      </w:r>
    </w:p>
    <w:p>
      <w:pPr>
        <w:numPr>
          <w:ilvl w:val="0"/>
          <w:numId w:val="1"/>
        </w:numPr>
        <w:spacing w:after="0" w:line="240" w:lineRule="auto"/>
        <w:ind w:right="-142"/>
        <w:contextualSpacing/>
        <w:jc w:val="both"/>
        <w:rPr>
          <w:rFonts w:ascii="Times New Roman" w:eastAsia="MS Mincho" w:hAnsi="Times New Roman" w:cs="Times New Roman"/>
          <w:noProof/>
          <w:sz w:val="24"/>
          <w:szCs w:val="24"/>
        </w:rPr>
      </w:pPr>
      <w:r>
        <w:rPr>
          <w:rFonts w:ascii="Times New Roman" w:hAnsi="Times New Roman"/>
          <w:noProof/>
          <w:sz w:val="24"/>
        </w:rPr>
        <w:t>pilsoniskās sabiedrības ziņojumi no EP pilotprojekta “</w:t>
      </w:r>
      <w:r>
        <w:rPr>
          <w:rFonts w:ascii="Times New Roman" w:hAnsi="Times New Roman"/>
          <w:i/>
          <w:noProof/>
          <w:sz w:val="24"/>
        </w:rPr>
        <w:t>Roma Civil Monitor</w:t>
      </w:r>
      <w:r>
        <w:rPr>
          <w:rFonts w:ascii="Times New Roman" w:hAnsi="Times New Roman"/>
          <w:noProof/>
          <w:sz w:val="24"/>
        </w:rPr>
        <w:t>”</w:t>
      </w:r>
      <w:r>
        <w:rPr>
          <w:rFonts w:ascii="Times New Roman" w:hAnsi="Times New Roman"/>
          <w:noProof/>
          <w:sz w:val="24"/>
          <w:vertAlign w:val="superscript"/>
        </w:rPr>
        <w:footnoteReference w:id="4"/>
      </w:r>
      <w:r>
        <w:rPr>
          <w:rFonts w:ascii="Times New Roman" w:hAnsi="Times New Roman"/>
          <w:noProof/>
          <w:sz w:val="24"/>
        </w:rPr>
        <w:t>;</w:t>
      </w:r>
    </w:p>
    <w:p>
      <w:pPr>
        <w:numPr>
          <w:ilvl w:val="0"/>
          <w:numId w:val="1"/>
        </w:numPr>
        <w:spacing w:after="0" w:line="240" w:lineRule="auto"/>
        <w:ind w:right="-142"/>
        <w:contextualSpacing/>
        <w:jc w:val="both"/>
        <w:rPr>
          <w:rFonts w:ascii="Times New Roman" w:eastAsia="MS Mincho" w:hAnsi="Times New Roman" w:cs="Times New Roman"/>
          <w:noProof/>
          <w:sz w:val="24"/>
          <w:szCs w:val="24"/>
        </w:rPr>
      </w:pPr>
      <w:r>
        <w:rPr>
          <w:rFonts w:ascii="Times New Roman" w:hAnsi="Times New Roman"/>
          <w:noProof/>
          <w:sz w:val="24"/>
        </w:rPr>
        <w:t>dati par romu stāvokli no Eiropas Savienības Pamattiesību aģentūras (</w:t>
      </w:r>
      <w:r>
        <w:rPr>
          <w:rFonts w:ascii="Times New Roman" w:hAnsi="Times New Roman"/>
          <w:i/>
          <w:noProof/>
          <w:sz w:val="24"/>
        </w:rPr>
        <w:t>FRA</w:t>
      </w:r>
      <w:r>
        <w:rPr>
          <w:rFonts w:ascii="Times New Roman" w:hAnsi="Times New Roman"/>
          <w:noProof/>
          <w:sz w:val="24"/>
        </w:rPr>
        <w:t>)</w:t>
      </w:r>
      <w:r>
        <w:rPr>
          <w:rFonts w:ascii="Times New Roman" w:hAnsi="Times New Roman"/>
          <w:noProof/>
          <w:sz w:val="24"/>
          <w:vertAlign w:val="superscript"/>
        </w:rPr>
        <w:footnoteReference w:id="5"/>
      </w:r>
      <w:r>
        <w:rPr>
          <w:rFonts w:ascii="Times New Roman" w:hAnsi="Times New Roman"/>
          <w:noProof/>
          <w:sz w:val="24"/>
        </w:rPr>
        <w:t>;</w:t>
      </w:r>
    </w:p>
    <w:p>
      <w:pPr>
        <w:numPr>
          <w:ilvl w:val="0"/>
          <w:numId w:val="1"/>
        </w:numPr>
        <w:spacing w:after="120" w:line="240" w:lineRule="auto"/>
        <w:ind w:left="357" w:right="-142" w:hanging="357"/>
        <w:contextualSpacing/>
        <w:jc w:val="both"/>
        <w:rPr>
          <w:rFonts w:ascii="Times New Roman" w:eastAsia="MS Mincho" w:hAnsi="Times New Roman" w:cs="Times New Roman"/>
          <w:noProof/>
          <w:sz w:val="24"/>
          <w:szCs w:val="24"/>
        </w:rPr>
      </w:pPr>
      <w:r>
        <w:rPr>
          <w:rFonts w:ascii="Times New Roman" w:hAnsi="Times New Roman"/>
          <w:noProof/>
          <w:sz w:val="24"/>
        </w:rPr>
        <w:t>konceptuālais novērtējums par intervences pasākumiem romu iekļaušanas nolūkā</w:t>
      </w:r>
      <w:r>
        <w:rPr>
          <w:rFonts w:ascii="Times New Roman" w:hAnsi="Times New Roman"/>
          <w:noProof/>
          <w:sz w:val="24"/>
          <w:vertAlign w:val="superscript"/>
        </w:rPr>
        <w:footnoteReference w:id="6"/>
      </w:r>
      <w:r>
        <w:rPr>
          <w:rFonts w:ascii="Times New Roman" w:hAnsi="Times New Roman"/>
          <w:noProof/>
          <w:sz w:val="24"/>
        </w:rPr>
        <w:t>.</w:t>
      </w:r>
    </w:p>
    <w:p>
      <w:pPr>
        <w:spacing w:after="120" w:line="240" w:lineRule="auto"/>
        <w:ind w:left="357" w:right="-142"/>
        <w:contextualSpacing/>
        <w:jc w:val="both"/>
        <w:rPr>
          <w:rFonts w:ascii="Times New Roman" w:eastAsia="MS Mincho" w:hAnsi="Times New Roman" w:cs="Times New Roman"/>
          <w:noProof/>
          <w:sz w:val="24"/>
          <w:szCs w:val="24"/>
        </w:rPr>
      </w:pP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Šajā ziņojumā ir apkopotas vissvarīgākās tendences, pievēršoties ES programmas attiecībā uz romu integrācijas valsts stratēģijām četrām politikas jomām (izglītība, nodarbinātība, veselības aprūpe, mājokļi), kā arī jautājumiem, kas saistīti ar diskriminācijas un pret romiem vērsta noskaņojuma apkarošanu. Šajā ziņojumā ir uzsvērts romu stāvoklis katrā jomā, proti, ir apkopoti galvenie iekļaušanas pasākumu veidi, panākumi un problēmas to īstenošanā (kā ziņojuši VKRJ) un formulēta politikas apguve, uzsverot to, kādām daudzsološām pieejām un prioritātēm ir jāpievēršas (balstoties uz esošajiem novērtējumiem</w:t>
      </w:r>
      <w:r>
        <w:rPr>
          <w:rFonts w:ascii="Times New Roman" w:hAnsi="Times New Roman"/>
          <w:noProof/>
          <w:sz w:val="24"/>
          <w:vertAlign w:val="superscript"/>
        </w:rPr>
        <w:footnoteReference w:id="7"/>
      </w:r>
      <w:r>
        <w:rPr>
          <w:rFonts w:ascii="Times New Roman" w:hAnsi="Times New Roman"/>
          <w:noProof/>
          <w:sz w:val="24"/>
        </w:rPr>
        <w:t xml:space="preserve">, atsauksmēm no pilsoniskās sabiedrības un VKRJ). </w:t>
      </w:r>
    </w:p>
    <w:p>
      <w:pPr>
        <w:keepNext/>
        <w:spacing w:before="240" w:after="120" w:line="240" w:lineRule="auto"/>
        <w:ind w:right="-142"/>
        <w:outlineLvl w:val="0"/>
        <w:rPr>
          <w:rFonts w:ascii="Times New Roman" w:eastAsia="MS Mincho" w:hAnsi="Times New Roman" w:cs="Times New Roman"/>
          <w:b/>
          <w:bCs/>
          <w:smallCaps/>
          <w:noProof/>
          <w:sz w:val="24"/>
          <w:szCs w:val="24"/>
        </w:rPr>
      </w:pPr>
      <w:r>
        <w:rPr>
          <w:rFonts w:ascii="Times New Roman" w:hAnsi="Times New Roman"/>
          <w:b/>
          <w:smallCaps/>
          <w:noProof/>
          <w:sz w:val="24"/>
        </w:rPr>
        <w:t>I. Būtiskas politikas jomas</w:t>
      </w:r>
    </w:p>
    <w:p>
      <w:pPr>
        <w:spacing w:after="0" w:line="240" w:lineRule="auto"/>
        <w:ind w:right="-142"/>
        <w:jc w:val="both"/>
        <w:rPr>
          <w:rFonts w:ascii="Times New Roman" w:eastAsia="MS Mincho" w:hAnsi="Times New Roman" w:cs="Times New Roman"/>
          <w:noProof/>
          <w:sz w:val="24"/>
          <w:szCs w:val="24"/>
        </w:rPr>
      </w:pPr>
      <w:r>
        <w:rPr>
          <w:rFonts w:ascii="Times New Roman" w:hAnsi="Times New Roman"/>
          <w:noProof/>
          <w:sz w:val="24"/>
        </w:rPr>
        <w:t>Šajā ziņojumā ir ietverti pasākumi, kas veikti saskaņā ar Padomes Ieteikumu par efektīviem romu integrācijas pasākumiem</w:t>
      </w:r>
      <w:r>
        <w:rPr>
          <w:rFonts w:ascii="Times New Roman" w:hAnsi="Times New Roman"/>
          <w:noProof/>
          <w:sz w:val="24"/>
          <w:vertAlign w:val="superscript"/>
        </w:rPr>
        <w:footnoteReference w:id="8"/>
      </w:r>
      <w:r>
        <w:rPr>
          <w:rFonts w:ascii="Times New Roman" w:hAnsi="Times New Roman"/>
          <w:noProof/>
          <w:sz w:val="24"/>
        </w:rPr>
        <w:t>. Paziņoto pasākumu skaits ne vienmēr atspoguļo centienu vērienīgumu vai efektivitāti. Izglītības jomā, kā arī saistībā ar diskriminācijas un pret romiem vērsta noskaņojuma apkarošanu lielākā daļa pasākumu ir mērķorientēti tieši romiem. Mājokļu jomā pastāv līdzsvars starp mērķorientētiem pasākumiem romiem un vispārējiem rīcībpolitikas pasākumiem, proti, vispārīgiem pasākumiem. Nodarbinātības jomā un (mazākā mērā) arī veselības aprūpes jomā dalībvalstis pārsvarā izmanto vispārējus pasākumus arī romu iekļaušanas veicināšanai.</w:t>
      </w:r>
    </w:p>
    <w:p>
      <w:pPr>
        <w:spacing w:before="180" w:after="60" w:line="240" w:lineRule="auto"/>
        <w:ind w:right="-142"/>
        <w:outlineLvl w:val="1"/>
        <w:rPr>
          <w:rFonts w:ascii="Times New Roman" w:eastAsia="MS Mincho" w:hAnsi="Times New Roman" w:cs="Times New Roman"/>
          <w:b/>
          <w:bCs/>
          <w:smallCaps/>
          <w:noProof/>
          <w:sz w:val="24"/>
          <w:szCs w:val="24"/>
        </w:rPr>
      </w:pPr>
      <w:r>
        <w:rPr>
          <w:rFonts w:ascii="Times New Roman" w:hAnsi="Times New Roman"/>
          <w:b/>
          <w:smallCaps/>
          <w:noProof/>
          <w:sz w:val="24"/>
        </w:rPr>
        <w:t>1. Izglītība</w:t>
      </w:r>
      <w:r>
        <w:rPr>
          <w:rFonts w:ascii="Times New Roman" w:eastAsia="MS Mincho" w:hAnsi="Times New Roman" w:cs="Times New Roman"/>
          <w:b/>
          <w:bCs/>
          <w:smallCaps/>
          <w:noProof/>
          <w:sz w:val="24"/>
          <w:szCs w:val="24"/>
        </w:rPr>
        <w:object w:dxaOrig="9639" w:dyaOrig="3339">
          <v:shape id="_x0000_i1026" type="#_x0000_t75" style="width:482.25pt;height:167.25pt" o:ole="">
            <v:imagedata r:id="rId16" o:title=""/>
          </v:shape>
          <o:OLEObject Type="Embed" ProgID="Word.Document.12" ShapeID="_x0000_i1026" DrawAspect="Content" ObjectID="_1629183460" r:id="rId17">
            <o:FieldCodes>\s</o:FieldCodes>
          </o:OLEObject>
        </w:object>
      </w:r>
    </w:p>
    <w:p>
      <w:pPr>
        <w:keepNext/>
        <w:keepLines/>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lastRenderedPageBreak/>
        <w:t xml:space="preserve">1.1. Pasākumu mērķis </w:t>
      </w:r>
    </w:p>
    <w:p>
      <w:pPr>
        <w:keepNext/>
        <w:keepLines/>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Lielākā daļa dalībvalstu (DV) iegulda pasākumos, kas paredzēti priekšlaicīgas mācību pārtraukšanas mazināšanai (18 DV). Citi pasākumi, kurus izmanto visbiežāk, ietver šādus aspektus: izvērtēt atsevišķu skolēnu vajadzības sadarbībā ar viņu ģimenēm (14 DV), uzlabot piekļuvi agrīnai pirmsskolas izglītībai un aprūpei un tās kvalitāti (13 DV) un veicināt romu līdzdalību vidējā un augstākajā izglītībā un tās iegūšanu (11 DV). Tiek īstenoti arī centieni novērst skolu segregāciju, izmantot iekļaujošas mācīšanas metodes un pilnveidot prasmes, kas pielāgotas darba tirgus vajadzībām (12 DV katrā jomā).</w:t>
      </w:r>
    </w:p>
    <w:p>
      <w:pPr>
        <w:keepNext/>
        <w:keepLines/>
        <w:spacing w:after="120" w:line="240" w:lineRule="auto"/>
        <w:ind w:right="-142"/>
        <w:jc w:val="both"/>
        <w:rPr>
          <w:rFonts w:ascii="Times New Roman" w:eastAsia="MS Mincho" w:hAnsi="Times New Roman" w:cs="Times New Roman"/>
          <w:b/>
          <w:noProof/>
          <w:sz w:val="24"/>
          <w:szCs w:val="24"/>
        </w:rPr>
      </w:pPr>
      <w:r>
        <w:rPr>
          <w:noProof/>
          <w:lang w:val="en-GB" w:eastAsia="en-GB" w:bidi="ar-SA"/>
        </w:rPr>
        <w:drawing>
          <wp:inline distT="0" distB="0" distL="0" distR="0">
            <wp:extent cx="6216015" cy="46195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33621" cy="4632676"/>
                    </a:xfrm>
                    <a:prstGeom prst="rect">
                      <a:avLst/>
                    </a:prstGeom>
                    <a:noFill/>
                    <a:ln>
                      <a:noFill/>
                    </a:ln>
                  </pic:spPr>
                </pic:pic>
              </a:graphicData>
            </a:graphic>
          </wp:inline>
        </w:drawing>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Kam vēl tiek pievērsta būtiska uzmanība, īstenojot šādus pasākumus, papildus iepriekš minētajiem mērķiem? Šajā saistībā mēs konstatējām, ka dalībvalstis visbiežāk izvēlas pasākumus, kuru mērķis ir uzlabot izglītības ieguvi. Tie ir šādi: priekšlaicīgas mācību pārtraukšanas novēršana, pārejas uz vidējo un augstāko izglītību un šādas izglītības iegūšanas veicināšana vai atbalsta sniegšana izglītības nepilnību vai materiāli nelabvēlīgas situācijas kompensēšanai. Kopā šāda veida pasākumi veido 36 % no visiem izglītības pasākumiem. Citas būtiskas pasākumu grupas ir vērstas uz šādām jomām: pāreja no izglītības uz nodarbinātību, atbalstot profesionālo izglītību, karjeras attīstība un mūžizglītība, profesionāļu spēju veidošana (9–11 %). Mazāk izplatīti ir pasākumi, kas vērsti uz integrētu iekļaušanas intervenci un romu vēstures un kultūras ieviešanu mācību programmās (abi — 6 %).</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1.2. Panākumi un problēmas</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Izglītības jomā visizplatītākais panākums, ko min VKRJ, ir starpniecība</w:t>
      </w:r>
      <w:r>
        <w:rPr>
          <w:rFonts w:ascii="Times New Roman" w:hAnsi="Times New Roman"/>
          <w:noProof/>
          <w:sz w:val="24"/>
          <w:vertAlign w:val="superscript"/>
        </w:rPr>
        <w:footnoteReference w:id="9"/>
      </w:r>
      <w:r>
        <w:rPr>
          <w:rFonts w:ascii="Times New Roman" w:hAnsi="Times New Roman"/>
          <w:noProof/>
          <w:sz w:val="24"/>
        </w:rPr>
        <w:t>. Citi panākumi ir šādi: bērnudārzu kapacitātes veidošana</w:t>
      </w:r>
      <w:r>
        <w:rPr>
          <w:rFonts w:ascii="Times New Roman" w:hAnsi="Times New Roman"/>
          <w:noProof/>
          <w:sz w:val="24"/>
          <w:vertAlign w:val="superscript"/>
        </w:rPr>
        <w:footnoteReference w:id="10"/>
      </w:r>
      <w:r>
        <w:rPr>
          <w:rFonts w:ascii="Times New Roman" w:hAnsi="Times New Roman"/>
          <w:noProof/>
          <w:sz w:val="24"/>
        </w:rPr>
        <w:t xml:space="preserve">, uzlabots atbalsts priekšlaicīgas mācību pārtraukšanas </w:t>
      </w:r>
      <w:r>
        <w:rPr>
          <w:rFonts w:ascii="Times New Roman" w:hAnsi="Times New Roman"/>
          <w:noProof/>
          <w:sz w:val="24"/>
        </w:rPr>
        <w:lastRenderedPageBreak/>
        <w:t>novēršanai un uzraudzībai</w:t>
      </w:r>
      <w:r>
        <w:rPr>
          <w:rFonts w:ascii="Times New Roman" w:hAnsi="Times New Roman"/>
          <w:noProof/>
          <w:sz w:val="24"/>
          <w:vertAlign w:val="superscript"/>
        </w:rPr>
        <w:footnoteReference w:id="11"/>
      </w:r>
      <w:r>
        <w:rPr>
          <w:rFonts w:ascii="Times New Roman" w:hAnsi="Times New Roman"/>
          <w:noProof/>
          <w:sz w:val="24"/>
        </w:rPr>
        <w:t xml:space="preserve"> un ar romu iekļaušanu un diskriminācijas aizliegumu saistītu tematu iekļaušana skolotāju apmācībā vai valstu mācību programmās</w:t>
      </w:r>
      <w:r>
        <w:rPr>
          <w:rFonts w:ascii="Times New Roman" w:hAnsi="Times New Roman"/>
          <w:noProof/>
          <w:sz w:val="24"/>
          <w:vertAlign w:val="superscript"/>
        </w:rPr>
        <w:footnoteReference w:id="12"/>
      </w:r>
      <w:r>
        <w:rPr>
          <w:rFonts w:ascii="Times New Roman" w:hAnsi="Times New Roman"/>
          <w:noProof/>
          <w:sz w:val="24"/>
        </w:rPr>
        <w:t xml:space="preserve"> u. c.</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Visbūtiskākās problēmas, kuras uzsvēruši VKRJ, cita starpā ir šādas: dalība mācību procesā (skolu apmeklēšana), mācību stundu kavēšana, priekšlaicīga mācību pārtraukšana, pāreja no pamatizglītības uz vidējo izglītību un vidējās izglītības iegūšana</w:t>
      </w:r>
      <w:r>
        <w:rPr>
          <w:rFonts w:ascii="Times New Roman" w:hAnsi="Times New Roman"/>
          <w:noProof/>
          <w:sz w:val="24"/>
          <w:vertAlign w:val="superscript"/>
        </w:rPr>
        <w:footnoteReference w:id="13"/>
      </w:r>
      <w:r>
        <w:rPr>
          <w:rFonts w:ascii="Times New Roman" w:hAnsi="Times New Roman"/>
          <w:noProof/>
          <w:sz w:val="24"/>
        </w:rPr>
        <w:t>. Citas problēmas ir saistītas arī ar šādiem aspektiem: segregācijas apkarošana</w:t>
      </w:r>
      <w:r>
        <w:rPr>
          <w:rFonts w:ascii="Times New Roman" w:hAnsi="Times New Roman"/>
          <w:noProof/>
          <w:sz w:val="24"/>
          <w:vertAlign w:val="superscript"/>
        </w:rPr>
        <w:footnoteReference w:id="14"/>
      </w:r>
      <w:r>
        <w:rPr>
          <w:rFonts w:ascii="Times New Roman" w:hAnsi="Times New Roman"/>
          <w:noProof/>
          <w:sz w:val="24"/>
        </w:rPr>
        <w:t>, cilvēka spēju nodrošināšana un veidošana</w:t>
      </w:r>
      <w:r>
        <w:rPr>
          <w:rFonts w:ascii="Times New Roman" w:hAnsi="Times New Roman"/>
          <w:noProof/>
          <w:sz w:val="24"/>
          <w:vertAlign w:val="superscript"/>
        </w:rPr>
        <w:footnoteReference w:id="15"/>
      </w:r>
      <w:r>
        <w:rPr>
          <w:rFonts w:ascii="Times New Roman" w:hAnsi="Times New Roman"/>
          <w:noProof/>
          <w:sz w:val="24"/>
        </w:rPr>
        <w:t>, ieinteresēto personu sadarbība</w:t>
      </w:r>
      <w:r>
        <w:rPr>
          <w:rFonts w:ascii="Times New Roman" w:hAnsi="Times New Roman"/>
          <w:noProof/>
          <w:sz w:val="24"/>
          <w:vertAlign w:val="superscript"/>
        </w:rPr>
        <w:footnoteReference w:id="16"/>
      </w:r>
      <w:r>
        <w:rPr>
          <w:rFonts w:ascii="Times New Roman" w:hAnsi="Times New Roman"/>
          <w:noProof/>
          <w:sz w:val="24"/>
        </w:rPr>
        <w:t>, agrīnas pirmsskolas izglītības un aprūpes veicināšana</w:t>
      </w:r>
      <w:r>
        <w:rPr>
          <w:rFonts w:ascii="Times New Roman" w:hAnsi="Times New Roman"/>
          <w:noProof/>
          <w:sz w:val="24"/>
          <w:vertAlign w:val="superscript"/>
        </w:rPr>
        <w:footnoteReference w:id="17"/>
      </w:r>
      <w:r>
        <w:rPr>
          <w:rFonts w:ascii="Times New Roman" w:hAnsi="Times New Roman"/>
          <w:noProof/>
          <w:sz w:val="24"/>
        </w:rPr>
        <w:t>, pieaugušo izglītība un otrās iespējas izglītība</w:t>
      </w:r>
      <w:r>
        <w:rPr>
          <w:rFonts w:ascii="Times New Roman" w:hAnsi="Times New Roman"/>
          <w:noProof/>
          <w:sz w:val="24"/>
          <w:vertAlign w:val="superscript"/>
        </w:rPr>
        <w:footnoteReference w:id="18"/>
      </w:r>
      <w:r>
        <w:rPr>
          <w:rFonts w:ascii="Times New Roman" w:hAnsi="Times New Roman"/>
          <w:noProof/>
          <w:sz w:val="24"/>
        </w:rPr>
        <w:t>, datu pieejamība</w:t>
      </w:r>
      <w:r>
        <w:rPr>
          <w:rFonts w:ascii="Times New Roman" w:hAnsi="Times New Roman"/>
          <w:noProof/>
          <w:sz w:val="24"/>
          <w:vertAlign w:val="superscript"/>
        </w:rPr>
        <w:footnoteReference w:id="19"/>
      </w:r>
      <w:r>
        <w:rPr>
          <w:rFonts w:ascii="Times New Roman" w:hAnsi="Times New Roman"/>
          <w:noProof/>
          <w:sz w:val="24"/>
        </w:rPr>
        <w:t>.</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1.3. Politikas apguve</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Izglītība ir joma, kurā ir īstenots visvairāk intervences pasākumu un novērtējumu. Tāpēc šajā jomā ir vērojams arī salīdzinoši lielāks tādu daudzsološu pieeju un politikas atziņu skaits, kas ir kopīgas vairākām valstīm. Dažas no svarīgajām politikas atziņām šajā jomā ir šādas: ir svarīgi veikt agrīnu iejaukšanos un novēršanas darbības, ir jānodrošina romu vecāku (kā bērnu galveno atbalstītāju katrā izglītības posmā) līdzdalība un jādod viņiem iespējas, liela nozīme romu bērnu identitātes un sociālo tīklu stiprināšanā ir ārpusskolas nodarbībām, ir svarīgi veikt pastāvīgus kompleksus atbalsta pasākumus (apmācība kopā ar stipendiju un citu ar izmaksām saistītu šķēršļu likvidēšana), veicinot pāreju starp izglītības līmeņiem un uz nodarbinātību. Lai gan pozitīva rīcība ir palīdzējusi uzlabot romu dalību izglītībā, ir svarīgi izvairīties no tā, ka tiek atvēlētas īpašas vietas romiem, kuri atbilst parastās uzņemšanas prasībām.</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Jo īpaši dalībvalstīs, kurās ir augsts romu skolēnu īpatsvars, ir nepieciešama sistemātiska, kompleksa un ilgtermiņa pieeja ar mērķi novērst skolu un klašu segregāciju, kas joprojām ir steidzami risināma problēma, kura mazina citu iekļaušanas pasākumu panākumus. Šīs pieejas galvenās daļas ir šādas: agrīnas un bezmaksas piekļuves nodrošināšana kvalitatīvai iekļaujošai agrīnai pirmsskolas izglītībai un aprūpei integrētos apstākļos (lai sagatavotu romu bērnus un novērstu aizspriedumus starp romu un citas izcelsmes bērniem un vecākiem ar mērķi vēlāk novērst segregāciju), atbalsts romu vecākiem skolas izvēlē, segregētu skolu pakāpeniska slēgšana, ko veic izglītības iestādes, un romu bērnu iekļaušana vairākās skolās (reorganizējot rajonus, kurus skolas apkalpo). Šie aktīvie segregācijas novēršanas pasākumi būtu jāpapildina, piešķirot papildu finansiālo un profesionālo atbalstu, lai veicinātu romu bērnu sociālo un akadēmisko integrāciju vispārējās skolās. Papildu pasākumi būtu šādi: transporta, skolas materiālu, maltīšu, ārpusskolas nodarbību, papildnodarbību izmaksu segšana; pirmsskolas iestāžu darbinieku un skolotāju apmācība par jaunām mācīšanas metodēm integrētos skolas apstākļos (ietverot stereotipu pārvarēšanu); saziņas sekmēšana starp vecākiem un skolu; vecāku informēšana par integrētas izglītības priekšrocībām; skolēnu mentorēšana, pēcskolas atbalsts romu bērniem, skolotāju palīgu nodarbināšana; informētības celšanas pasākumi plašai sabiedrībai par to, cik svarīga ir iekļaujoša izglītība un starpkultūru izglītība kopienu attiecību kontekstā, kas tiktu īstenoti, organizējot kampaņas un atspoguļojot šos jautājumus plašsaziņas līdzekļos</w:t>
      </w:r>
      <w:r>
        <w:rPr>
          <w:rFonts w:ascii="Times New Roman" w:hAnsi="Times New Roman"/>
          <w:noProof/>
          <w:sz w:val="24"/>
          <w:vertAlign w:val="superscript"/>
        </w:rPr>
        <w:footnoteReference w:id="20"/>
      </w:r>
      <w:r>
        <w:rPr>
          <w:rFonts w:ascii="Times New Roman" w:hAnsi="Times New Roman"/>
          <w:noProof/>
          <w:sz w:val="24"/>
        </w:rPr>
        <w:t>.</w:t>
      </w:r>
    </w:p>
    <w:tbl>
      <w:tblPr>
        <w:tblStyle w:val="TableGrid"/>
        <w:tblW w:w="9498" w:type="dxa"/>
        <w:tblInd w:w="108" w:type="dxa"/>
        <w:tblLook w:val="04A0" w:firstRow="1" w:lastRow="0" w:firstColumn="1" w:lastColumn="0" w:noHBand="0" w:noVBand="1"/>
      </w:tblPr>
      <w:tblGrid>
        <w:gridCol w:w="4253"/>
        <w:gridCol w:w="5245"/>
      </w:tblGrid>
      <w:tr>
        <w:tc>
          <w:tcPr>
            <w:tcW w:w="4253" w:type="dxa"/>
            <w:shd w:val="clear" w:color="auto" w:fill="D9D9D9"/>
          </w:tcPr>
          <w:p>
            <w:pPr>
              <w:keepNext/>
              <w:keepLines/>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Daudzsološas pieejas</w:t>
            </w:r>
          </w:p>
        </w:tc>
        <w:tc>
          <w:tcPr>
            <w:tcW w:w="5245"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Prioritātes, kurām jāpievēršas</w:t>
            </w:r>
          </w:p>
        </w:tc>
      </w:tr>
      <w:tr>
        <w:tc>
          <w:tcPr>
            <w:tcW w:w="4253" w:type="dxa"/>
          </w:tcPr>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BG, CZ, DK, EL, FI, FR, HR, HU, LT, PL, SK: </w:t>
            </w:r>
            <w:r>
              <w:rPr>
                <w:rFonts w:ascii="Times New Roman" w:hAnsi="Times New Roman"/>
                <w:noProof/>
                <w:sz w:val="19"/>
              </w:rPr>
              <w:t>obligātas (bezmaksas) pirmsskolas izglītības ieviešana vai paplašināšana, ESI fondu finansēta bērnudārzu izveide, bērnudārzu skolotāju apmācība</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CY, EL, ES, IE, IT, HR, HU, LT, LV, NL, PL, PT, RO, SE, SI: </w:t>
            </w:r>
            <w:r>
              <w:rPr>
                <w:rFonts w:ascii="Times New Roman" w:hAnsi="Times New Roman"/>
                <w:noProof/>
                <w:sz w:val="19"/>
              </w:rPr>
              <w:t>programmas, kuru mērķis ir novērst romu (meiteņu) priekšlaicīgu mācību pārtraukšanu, nodrošinot pēcskolas atbalstu, apmācību, stipendijas, mentorēšanu, starpniecību, palīgus, otrās iespējas izglītību, skolotāju apmācību, atbalstu ģimenēm</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AT, CY, FI, HU, IE, IT, PT, RO: </w:t>
            </w:r>
            <w:r>
              <w:rPr>
                <w:rFonts w:ascii="Times New Roman" w:hAnsi="Times New Roman"/>
                <w:noProof/>
                <w:sz w:val="19"/>
              </w:rPr>
              <w:t>romu vēstures (ietverot holokaustu) un/vai kultūras iekļaušana valstu mācību programmās</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IE, HR, RO:</w:t>
            </w:r>
            <w:r>
              <w:rPr>
                <w:rFonts w:ascii="Times New Roman" w:hAnsi="Times New Roman"/>
                <w:noProof/>
                <w:sz w:val="19"/>
              </w:rPr>
              <w:t xml:space="preserve"> vietu piešķiršana romiem vidējās un augstākās izglītības iestādēs</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LT:</w:t>
            </w:r>
            <w:r>
              <w:rPr>
                <w:rFonts w:ascii="Times New Roman" w:hAnsi="Times New Roman"/>
                <w:noProof/>
                <w:sz w:val="19"/>
              </w:rPr>
              <w:t xml:space="preserve"> spēju veidošana un kompetenču attīstīšana to skolu tīklā, kuras apmeklē romu bērni</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SE:</w:t>
            </w:r>
            <w:r>
              <w:rPr>
                <w:rFonts w:ascii="Times New Roman" w:hAnsi="Times New Roman"/>
                <w:noProof/>
                <w:sz w:val="19"/>
              </w:rPr>
              <w:t xml:space="preserve"> skolotāju apmācība (</w:t>
            </w:r>
            <w:r>
              <w:rPr>
                <w:rFonts w:ascii="Times New Roman" w:hAnsi="Times New Roman"/>
                <w:i/>
                <w:noProof/>
                <w:sz w:val="19"/>
              </w:rPr>
              <w:t>Södertörn</w:t>
            </w:r>
            <w:r>
              <w:rPr>
                <w:rFonts w:ascii="Times New Roman" w:hAnsi="Times New Roman"/>
                <w:noProof/>
                <w:sz w:val="19"/>
              </w:rPr>
              <w:t xml:space="preserve"> Universitāte) un vidējā līmeņa pieaugušo izglītība romu valodā</w:t>
            </w:r>
          </w:p>
        </w:tc>
        <w:tc>
          <w:tcPr>
            <w:tcW w:w="5245"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Atbalstīt audzināšanu mājās un agrīnu pirmsskolas izglītību kā daļu no visaptverošām agrīnas iejaukšanās un novēršanas programmām</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Ieviest vai paplašināt kvalitatīvu, iekļaujošu, bezmaksas un obligātu pirmsskolas izglītību un likvidēt finanšu un nefinanšu šķēršļus attiecībā uz piekļuvi šādai izglītībai</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Veicināt izglītības kvalitāti, iekļautību un rezultātus ar stimulu palīdzību (skolotāju apmācības finansēšana un reformas), piesaistot labākos skolotājus nelabvēlīgā situācijā esošām skolām/reģioniem</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Sistemātiski pārraudzīt un apkarot skolu un klašu segregāciju, īstenojot ilgtermiņa visaptverošus, sagatavojošus un papildinošus pasākumus romu ģimeņu atbalstam</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Nodrošināt sabiedrības atbalstu un visu ieinteresēto personu sadarbību ar mērķi papildināt skaidrus, aktīvus segregācijas novēršanas pasākumus</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Apvienot stipendijas, apmācību un ārpusskolas nodarbības ar mērķi novērst priekšlaicīgu mācību pārtraukšanu un sekmēt pāreju uz nākamo izglītības līmeni</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Pievērsties romu meitenēm, viņu vecākiem un skolotājiem ar mērķi novērst ar dzimumu saistītus stereotipus un mazināt priekšlaicīgu mācību pārtraukšanu</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Veicināt pāreju uz vidusskolas izglītību un tālākizglītību un tās iegūšanu, ietverot karjeras attīstības atbalsta sniegšanu romu skolēniem un viņu ģimenēm</w:t>
            </w:r>
          </w:p>
        </w:tc>
      </w:tr>
    </w:tbl>
    <w:p>
      <w:pPr>
        <w:spacing w:before="180" w:after="60" w:line="240" w:lineRule="auto"/>
        <w:ind w:right="-142"/>
        <w:outlineLvl w:val="1"/>
        <w:rPr>
          <w:rFonts w:ascii="Times New Roman" w:eastAsia="MS Mincho" w:hAnsi="Times New Roman" w:cs="Times New Roman"/>
          <w:b/>
          <w:bCs/>
          <w:smallCaps/>
          <w:noProof/>
          <w:sz w:val="24"/>
          <w:szCs w:val="24"/>
        </w:rPr>
      </w:pPr>
      <w:r>
        <w:rPr>
          <w:rFonts w:ascii="Times New Roman" w:hAnsi="Times New Roman"/>
          <w:b/>
          <w:smallCaps/>
          <w:noProof/>
          <w:sz w:val="24"/>
        </w:rPr>
        <w:t>2. Nodarbinātība</w:t>
      </w:r>
    </w:p>
    <w:p>
      <w:pPr>
        <w:spacing w:before="180" w:after="60" w:line="240" w:lineRule="auto"/>
        <w:ind w:right="-142"/>
        <w:outlineLvl w:val="1"/>
        <w:rPr>
          <w:rFonts w:ascii="Times New Roman" w:eastAsia="MS Mincho" w:hAnsi="Times New Roman" w:cs="Times New Roman"/>
          <w:i/>
          <w:noProof/>
          <w:sz w:val="24"/>
          <w:szCs w:val="24"/>
        </w:rPr>
      </w:pPr>
      <w:r>
        <w:rPr>
          <w:noProof/>
          <w:lang w:val="en-GB" w:eastAsia="en-GB" w:bidi="ar-SA"/>
        </w:rPr>
        <w:drawing>
          <wp:inline distT="0" distB="0" distL="0" distR="0">
            <wp:extent cx="6030595" cy="10598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30595" cy="1059809"/>
                    </a:xfrm>
                    <a:prstGeom prst="rect">
                      <a:avLst/>
                    </a:prstGeom>
                    <a:noFill/>
                    <a:ln>
                      <a:noFill/>
                    </a:ln>
                  </pic:spPr>
                </pic:pic>
              </a:graphicData>
            </a:graphic>
          </wp:inline>
        </w:drawing>
      </w:r>
      <w:r>
        <w:rPr>
          <w:rFonts w:ascii="Times New Roman" w:hAnsi="Times New Roman"/>
          <w:i/>
          <w:noProof/>
          <w:sz w:val="24"/>
        </w:rPr>
        <w:t xml:space="preserve">2.1. Pasākumu mērķis </w:t>
      </w:r>
    </w:p>
    <w:p>
      <w:pPr>
        <w:spacing w:after="0" w:line="240" w:lineRule="auto"/>
        <w:ind w:right="-142"/>
        <w:jc w:val="both"/>
        <w:rPr>
          <w:rFonts w:ascii="Times New Roman" w:hAnsi="Times New Roman"/>
          <w:noProof/>
          <w:sz w:val="24"/>
        </w:rPr>
      </w:pPr>
      <w:r>
        <w:rPr>
          <w:rFonts w:ascii="Times New Roman" w:hAnsi="Times New Roman"/>
          <w:noProof/>
          <w:sz w:val="24"/>
        </w:rPr>
        <w:t xml:space="preserve">Lielākā daļa dalībvalstu īsteno divas lielākās pasākumu grupas — ar mērķi likvidēt šķēršļus ceļā uz darba tirgu (15 DV) un sniegt individuālu atbalstu darba meklētājiem (13 DV). Mazāks valstu skaits (bet joprojām būtiska to daļa) iegulda profesionālajā apmācībā (9 DV), mūžizglītībā un prasmju pilnveidošanā (10 DV), kā arī pašnodarbinātībā un uzņēmējdarbībā (8 DV). Tā kā joprojām pieaug to romu jauniešu īpatsvars, kuri nemācās, nestrādā un neapgūst arodu, noteikti ir nepieciešami vēl lielāki centieni atbalstīt pirmo darba pieredzi (10 DV). Divas citas jomas, kurām būtu jāpiešķir prioritāra nozīme, ir šādas: aizsardzības pasākumi un personalizēti pakalpojumi ar mērķi nodrošināt, ka vispārēji valsts nodarbinātības pakalpojumi efektīvi sasniedz nelabvēlīgā situācijā esošus romu darba meklētājus, kā arī pozitīva rīcība ar mērķi veicināt romu nodarbinātību civildienestā. </w:t>
      </w:r>
    </w:p>
    <w:p>
      <w:pPr>
        <w:spacing w:after="0" w:line="240" w:lineRule="auto"/>
        <w:ind w:right="-142"/>
        <w:jc w:val="both"/>
        <w:rPr>
          <w:rFonts w:ascii="Times New Roman" w:eastAsia="MS Mincho" w:hAnsi="Times New Roman" w:cs="Times New Roman"/>
          <w:noProof/>
          <w:sz w:val="24"/>
          <w:szCs w:val="24"/>
        </w:rPr>
      </w:pPr>
    </w:p>
    <w:p>
      <w:pPr>
        <w:spacing w:after="0" w:line="240" w:lineRule="auto"/>
        <w:ind w:right="-142"/>
        <w:jc w:val="both"/>
        <w:rPr>
          <w:rFonts w:ascii="Times New Roman" w:eastAsia="MS Mincho" w:hAnsi="Times New Roman" w:cs="Times New Roman"/>
          <w:noProof/>
          <w:sz w:val="2"/>
          <w:szCs w:val="2"/>
        </w:rPr>
      </w:pPr>
      <w:r>
        <w:rPr>
          <w:noProof/>
          <w:lang w:val="en-GB" w:eastAsia="en-GB" w:bidi="ar-SA"/>
        </w:rPr>
        <w:drawing>
          <wp:inline distT="0" distB="0" distL="0" distR="0">
            <wp:extent cx="6210300" cy="3162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24623" cy="3169303"/>
                    </a:xfrm>
                    <a:prstGeom prst="rect">
                      <a:avLst/>
                    </a:prstGeom>
                    <a:noFill/>
                    <a:ln>
                      <a:noFill/>
                    </a:ln>
                  </pic:spPr>
                </pic:pic>
              </a:graphicData>
            </a:graphic>
          </wp:inline>
        </w:drawing>
      </w:r>
    </w:p>
    <w:p>
      <w:pPr>
        <w:spacing w:before="120"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 xml:space="preserve">Kam tiek pievērsta būtiska uzmanība, īstenojot šādus pasākumus? Šajā saistībā mēs konstatējām, ka dalībvalstis visbiežāk izvēlas individuālus atbalsta veidus, piemēram, tādus kā nodarbinātības subsidēšana, citi izdevumu sadales veidi, karjeras attīstības atbalsts (mentorēšana, izaugsmes vadība) un profesionālā apmācība (kopā 35 % no visiem pasākumiem). Vispārīgāki pasākumi ar mērķi veicināt sociālo iekļaušanu, kopienas attīstību, pieaugušo kvalifikāciju un izglītību, kurā tiek atgūts iekavētais, veido 8–9 % no pasākumiem. Tikai piektā daļa pasākumu ir vērsta uz jauniešiem, un tas nepārprotami nav pietiekami, ņemot vērā problēmas, ar kurām romu jaunieši saskaras nodarbinātības jomā. </w:t>
      </w:r>
    </w:p>
    <w:p>
      <w:pPr>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2.2. Panākumi un problēmas</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Vairāki VKRJ 2017. gada ziņojumos minēja ekonomikas izaugsmes pozitīvo ietekmi uz romu nodarbinātības perspektīvām</w:t>
      </w:r>
      <w:r>
        <w:rPr>
          <w:rFonts w:ascii="Times New Roman" w:hAnsi="Times New Roman"/>
          <w:noProof/>
          <w:sz w:val="24"/>
          <w:vertAlign w:val="superscript"/>
        </w:rPr>
        <w:footnoteReference w:id="21"/>
      </w:r>
      <w:r>
        <w:rPr>
          <w:rFonts w:ascii="Times New Roman" w:hAnsi="Times New Roman"/>
          <w:noProof/>
          <w:sz w:val="24"/>
        </w:rPr>
        <w:t>. Taču vēl vairāk bija tādu VKRJ, kas minēja mērķtiecīgus pasākumus, piemēram, reģionālās nodarbinātības programmas (karjeras konsultēšana, profesionālā apmācība vai apmācība darbavietā un iekārtošana darbā, kas pielāgota romiem vai neaizsargātiem darba meklētājiem)</w:t>
      </w:r>
      <w:r>
        <w:rPr>
          <w:rFonts w:ascii="Times New Roman" w:hAnsi="Times New Roman"/>
          <w:noProof/>
          <w:sz w:val="24"/>
          <w:vertAlign w:val="superscript"/>
        </w:rPr>
        <w:footnoteReference w:id="22"/>
      </w:r>
      <w:r>
        <w:rPr>
          <w:rFonts w:ascii="Times New Roman" w:hAnsi="Times New Roman"/>
          <w:noProof/>
          <w:sz w:val="24"/>
        </w:rPr>
        <w:t>. Šādi pasākumi ir vēl efektīvāki tad, ja romi ir iesaistīti kā starpnieki, sociālie darbinieki vai citi pakalpojumu sniedzēji.</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VKRJ uzsver trīs galvenos problēmu veidus: īstenošanas struktūru spējas</w:t>
      </w:r>
      <w:r>
        <w:rPr>
          <w:rFonts w:ascii="Times New Roman" w:hAnsi="Times New Roman"/>
          <w:noProof/>
          <w:sz w:val="24"/>
          <w:vertAlign w:val="superscript"/>
        </w:rPr>
        <w:footnoteReference w:id="23"/>
      </w:r>
      <w:r>
        <w:rPr>
          <w:rFonts w:ascii="Times New Roman" w:hAnsi="Times New Roman"/>
          <w:noProof/>
          <w:sz w:val="24"/>
        </w:rPr>
        <w:t>, romu diskriminācija</w:t>
      </w:r>
      <w:r>
        <w:rPr>
          <w:rFonts w:ascii="Times New Roman" w:hAnsi="Times New Roman"/>
          <w:noProof/>
          <w:sz w:val="24"/>
          <w:vertAlign w:val="superscript"/>
        </w:rPr>
        <w:footnoteReference w:id="24"/>
      </w:r>
      <w:r>
        <w:rPr>
          <w:rFonts w:ascii="Times New Roman" w:hAnsi="Times New Roman"/>
          <w:noProof/>
          <w:sz w:val="24"/>
        </w:rPr>
        <w:t xml:space="preserve"> un pašu romu attieksme un uzticēšanās</w:t>
      </w:r>
      <w:r>
        <w:rPr>
          <w:rFonts w:ascii="Times New Roman" w:hAnsi="Times New Roman"/>
          <w:noProof/>
          <w:sz w:val="24"/>
          <w:vertAlign w:val="superscript"/>
        </w:rPr>
        <w:footnoteReference w:id="25"/>
      </w:r>
      <w:r>
        <w:rPr>
          <w:rFonts w:ascii="Times New Roman" w:hAnsi="Times New Roman"/>
          <w:noProof/>
          <w:sz w:val="24"/>
        </w:rPr>
        <w:t>.</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2.3. Politikas apguve</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Visbūtiskākie jautājumi nodarbinātības jomā, šķiet, ir šādi: nodrošināt efektīvu pāreju no izglītības uz atvērtu darba tirgu, novērst darba devēju īstenotu diskrimināciju un nodrošināt, ka pieprasījums pēc darbaspēka atbilst piedāvājumam (īpaši to romu jauniešu vidū, kuri nemācās, nestrādā un neapgūst arodu). Lai mazinātu dzimumu nevienlīdzību nodarbinātības jomā un to romu jauniešu īpatsvaru, kuri nemācās, nestrādā un neapgūst arodu, ir svarīgi noteikt stimulus un cieši sadarboties ar privātā sektora darba devējiem, kā arī skaidri pievērsties romu jauniešiem un sievietēm vispārējās politikas kontekstā (nevis radot paralēlas nodarbinātības struktūras). Romu nodarbinātības uzlabošanas pasākumos būtu jāietver arī IT prasmju un svešvalodu prasmju attīstīšana. Tomēr, lai garantētu nodarbinātību, ir jāpievēršas arī citiem šķēršļiem, jo īpaši darba devēju īstenotai diskriminācijai, tam, ka romu darba meklētājiem ir ierobežots sociālais tīkls, vai tradicionālajām dzimumu lomām romu kopienās. Svarīga nozīme var būt apmācības, atbalstītas prakses iespēju un darba devējiem paredzētu diskriminācijas novēršanas pasākumu apvienošanai.</w:t>
      </w:r>
    </w:p>
    <w:tbl>
      <w:tblPr>
        <w:tblStyle w:val="TableGrid"/>
        <w:tblW w:w="9498" w:type="dxa"/>
        <w:tblInd w:w="-5" w:type="dxa"/>
        <w:tblLook w:val="04A0" w:firstRow="1" w:lastRow="0" w:firstColumn="1" w:lastColumn="0" w:noHBand="0" w:noVBand="1"/>
      </w:tblPr>
      <w:tblGrid>
        <w:gridCol w:w="4962"/>
        <w:gridCol w:w="4536"/>
      </w:tblGrid>
      <w:tr>
        <w:tc>
          <w:tcPr>
            <w:tcW w:w="4962" w:type="dxa"/>
            <w:shd w:val="clear" w:color="auto" w:fill="D9D9D9"/>
          </w:tcPr>
          <w:p>
            <w:pPr>
              <w:keepNext/>
              <w:keepLines/>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Daudzsološas pieejas</w:t>
            </w:r>
          </w:p>
        </w:tc>
        <w:tc>
          <w:tcPr>
            <w:tcW w:w="4536"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Prioritātes, kurām jāpievēršas</w:t>
            </w:r>
          </w:p>
        </w:tc>
      </w:tr>
      <w:tr>
        <w:tc>
          <w:tcPr>
            <w:tcW w:w="4962" w:type="dxa"/>
          </w:tcPr>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BG, CY, ES, IT, LV, NL, PT, SI: </w:t>
            </w:r>
            <w:r>
              <w:rPr>
                <w:rFonts w:ascii="Times New Roman" w:hAnsi="Times New Roman"/>
                <w:noProof/>
                <w:sz w:val="19"/>
              </w:rPr>
              <w:t>reģionālās vai vietējās nodarbinātības programmas (individuālas konsultācijas) ar mērķi sekmēt aktīvu darba meklēšanu vai pašnodarbinātību</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HU, EL, ES, FR: </w:t>
            </w:r>
            <w:r>
              <w:rPr>
                <w:rFonts w:ascii="Times New Roman" w:hAnsi="Times New Roman"/>
                <w:noProof/>
                <w:sz w:val="19"/>
              </w:rPr>
              <w:t>mērķorientētas programmas, lai uzlabotu romu sieviešu nodarbināmību (sociālajā sektorā)</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IT, LT, HU: </w:t>
            </w:r>
            <w:r>
              <w:rPr>
                <w:rFonts w:ascii="Times New Roman" w:hAnsi="Times New Roman"/>
                <w:noProof/>
                <w:sz w:val="19"/>
              </w:rPr>
              <w:t>piemēri sadarbībai ar darba devējiem attiecībā uz romu iekārtošanu darbā un stereotipu novēršanu</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SK: </w:t>
            </w:r>
            <w:r>
              <w:rPr>
                <w:rFonts w:ascii="Times New Roman" w:hAnsi="Times New Roman"/>
                <w:noProof/>
                <w:sz w:val="19"/>
              </w:rPr>
              <w:t>grozījums Likumā par valsts nodarbinātības dienestiem, paredzot individuālu rīcības plānu, lai atbalstītu integrāciju darba tirgū, kas ir saistošs darba meklētājam un nodarbinātības birojam</w:t>
            </w:r>
          </w:p>
          <w:p>
            <w:pPr>
              <w:keepNext/>
              <w:keepLines/>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rPr>
              <w:t xml:space="preserve">BE: </w:t>
            </w:r>
            <w:r>
              <w:rPr>
                <w:rFonts w:ascii="Times New Roman" w:hAnsi="Times New Roman"/>
                <w:noProof/>
                <w:sz w:val="19"/>
              </w:rPr>
              <w:t>kopš 2016. gada romiem ir piekļuve “integrācijas ceļam”, kas Valonijā izveidots ārvalstu izcelsmes personām (franču valodas kursi, pamatzināšanas par sabiedrību, atbalsts darba meklējumos un bērnu skološanā). Pašvaldības nodarbina romu starpniekus publiskos sociālās palīdzības centros, kā arī preventīvo vai tiešo pakalpojumu sniegšanai</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HR: </w:t>
            </w:r>
            <w:r>
              <w:rPr>
                <w:rFonts w:ascii="Times New Roman" w:hAnsi="Times New Roman"/>
                <w:noProof/>
                <w:sz w:val="19"/>
              </w:rPr>
              <w:t>Ombuda birojs sniedz apmācību diskriminācijas novēršanas jomā valsts nodarbinātības dienestu darbiniekiem un citiem civildienesta ierēdņiem</w:t>
            </w:r>
          </w:p>
          <w:p>
            <w:pPr>
              <w:keepNext/>
              <w:keepLines/>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rPr>
              <w:t xml:space="preserve">UK: </w:t>
            </w:r>
            <w:r>
              <w:rPr>
                <w:rFonts w:ascii="Times New Roman" w:hAnsi="Times New Roman"/>
                <w:noProof/>
                <w:sz w:val="19"/>
              </w:rPr>
              <w:t>rasu atšķirību revīzija un tīmekļa vietne, kurā apkopo un izplata informāciju par diskrimināciju nodarbinātības jomā</w:t>
            </w:r>
          </w:p>
        </w:tc>
        <w:tc>
          <w:tcPr>
            <w:tcW w:w="4536" w:type="dxa"/>
          </w:tcPr>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 xml:space="preserve">Nodrošināt vispārējus valsts nodarbinātības pakalpojumus ar mērķi efektīvi atbalstīt romu darba meklētāju integrāciju primārajā darba tirgū </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(Turpināt) apmācīt un nodarbināt romus, jauniešu padomdevējus, starpniekus ar mērķi atbalstīt pārejas posmus izglītībā un uz darba tirgu</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Skaidrāk pievērsties romiem (jauniešiem un sievietēm), īstenojot aktīvu darba tirgus politiku, ietverot Garantiju jauniešiem</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Izraisīt darba devēju interesi par romu nodarbināšanu un stimulēt darba devējus nodarbināt romus</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Sistemātiski pārraudzīt un apkarot diskrimināciju saistībā ar piekļuvi darba tirgum un darbavietā</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Apvienot darbā iekārtošanas atbalstu (praksi) ar IT un valodu apmācību un darbu ar darba devējiem</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 xml:space="preserve">Piešķirt prioritāru nozīmi (re)integrācijai primārajā darba tirgū attiecībā pret paralēlām sistēmām (piem., valsts vai neoficiāls darbs) </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Izstrādāt integrētus risinājumus ar mērķi novērst nereģistrētu mobilu romu neaizsargāto situāciju, izmantojot arī starpvalstu sadarbību</w:t>
            </w:r>
          </w:p>
        </w:tc>
      </w:tr>
    </w:tbl>
    <w:p>
      <w:pPr>
        <w:spacing w:before="180" w:after="60" w:line="240" w:lineRule="auto"/>
        <w:ind w:right="-142"/>
        <w:outlineLvl w:val="1"/>
        <w:rPr>
          <w:rFonts w:ascii="Times New Roman" w:hAnsi="Times New Roman"/>
          <w:noProof/>
          <w:sz w:val="24"/>
        </w:rPr>
      </w:pPr>
      <w:r>
        <w:rPr>
          <w:rFonts w:ascii="Times New Roman" w:hAnsi="Times New Roman"/>
          <w:b/>
          <w:smallCaps/>
          <w:noProof/>
          <w:sz w:val="24"/>
        </w:rPr>
        <w:t>3. Veselības aprūpe</w:t>
      </w:r>
      <w:r>
        <w:rPr>
          <w:rFonts w:ascii="Times New Roman" w:hAnsi="Times New Roman"/>
          <w:noProof/>
          <w:sz w:val="24"/>
        </w:rPr>
        <w:t xml:space="preserve"> </w:t>
      </w:r>
    </w:p>
    <w:p>
      <w:pPr>
        <w:spacing w:before="180" w:after="60" w:line="240" w:lineRule="auto"/>
        <w:ind w:right="-142"/>
        <w:outlineLvl w:val="1"/>
        <w:rPr>
          <w:rFonts w:ascii="Times New Roman" w:hAnsi="Times New Roman"/>
          <w:noProof/>
          <w:sz w:val="24"/>
        </w:rPr>
      </w:pPr>
      <w:r>
        <w:rPr>
          <w:noProof/>
          <w:lang w:val="en-GB" w:eastAsia="en-GB" w:bidi="ar-SA"/>
        </w:rPr>
        <w:drawing>
          <wp:inline distT="0" distB="0" distL="0" distR="0">
            <wp:extent cx="6027362" cy="1133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34638" cy="1134843"/>
                    </a:xfrm>
                    <a:prstGeom prst="rect">
                      <a:avLst/>
                    </a:prstGeom>
                    <a:noFill/>
                    <a:ln>
                      <a:noFill/>
                    </a:ln>
                  </pic:spPr>
                </pic:pic>
              </a:graphicData>
            </a:graphic>
          </wp:inline>
        </w:drawing>
      </w:r>
    </w:p>
    <w:p>
      <w:pPr>
        <w:spacing w:before="180" w:after="60" w:line="240" w:lineRule="auto"/>
        <w:ind w:right="-142"/>
        <w:outlineLvl w:val="1"/>
        <w:rPr>
          <w:rFonts w:ascii="Times New Roman" w:eastAsia="MS Mincho" w:hAnsi="Times New Roman" w:cs="Times New Roman"/>
          <w:b/>
          <w:bCs/>
          <w:smallCaps/>
          <w:noProof/>
          <w:sz w:val="24"/>
          <w:szCs w:val="24"/>
        </w:rPr>
      </w:pPr>
    </w:p>
    <w:p>
      <w:pPr>
        <w:spacing w:before="180" w:after="60" w:line="240" w:lineRule="auto"/>
        <w:ind w:right="-142"/>
        <w:outlineLvl w:val="1"/>
        <w:rPr>
          <w:rFonts w:ascii="Times New Roman" w:eastAsia="MS Mincho" w:hAnsi="Times New Roman" w:cs="Times New Roman"/>
          <w:b/>
          <w:bCs/>
          <w:smallCaps/>
          <w:noProof/>
          <w:sz w:val="24"/>
          <w:szCs w:val="24"/>
        </w:rPr>
      </w:pPr>
      <w:r>
        <w:rPr>
          <w:rFonts w:ascii="Times New Roman" w:hAnsi="Times New Roman"/>
          <w:i/>
          <w:noProof/>
          <w:sz w:val="24"/>
        </w:rPr>
        <w:t xml:space="preserve">3.1. Pasākumu mērķis </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Divi visnozīmīgākie pasākumu veidi, par kuriem ziņoja lielākā daļa dalībvalstu, ir vērsti uz vispārējo šķēršļu likvidēšanu attiecībā uz veselības aprūpi un izpratnes par veselību veicināšanu (13–14 DV), veidojot līdzsvaru starp piedāvājuma un pieprasījuma puses intervences pasākumiem. Citi būtiski pasākumi ietver mērķtiecīgas vakcinācijas programmas un piekļuvi specializētiem veselības aprūpes pakalpojumiem (6–7 DV).</w:t>
      </w:r>
    </w:p>
    <w:p>
      <w:pPr>
        <w:spacing w:after="120" w:line="240" w:lineRule="auto"/>
        <w:ind w:right="-142"/>
        <w:jc w:val="both"/>
        <w:rPr>
          <w:rFonts w:ascii="Times New Roman" w:eastAsia="MS Mincho" w:hAnsi="Times New Roman" w:cs="Times New Roman"/>
          <w:noProof/>
          <w:sz w:val="24"/>
          <w:szCs w:val="24"/>
        </w:rPr>
      </w:pPr>
      <w:r>
        <w:rPr>
          <w:noProof/>
          <w:lang w:val="en-GB" w:eastAsia="en-GB" w:bidi="ar-SA"/>
        </w:rPr>
        <w:drawing>
          <wp:inline distT="0" distB="0" distL="0" distR="0">
            <wp:extent cx="6454140" cy="2571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55639" cy="2572347"/>
                    </a:xfrm>
                    <a:prstGeom prst="rect">
                      <a:avLst/>
                    </a:prstGeom>
                    <a:noFill/>
                    <a:ln>
                      <a:noFill/>
                    </a:ln>
                  </pic:spPr>
                </pic:pic>
              </a:graphicData>
            </a:graphic>
          </wp:inline>
        </w:drawing>
      </w:r>
    </w:p>
    <w:p>
      <w:pPr>
        <w:spacing w:before="120"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 xml:space="preserve">Kam tiek pievērsta būtiska uzmanība, īstenojot šādus pasākumus? Šajā saistībā mēs konstatējām, ka dalībvalstis visbiežāk izvēlas pasākumus, ar kuriem tiek uzlabota piedāvājuma puse (darbinieki, telpas) veselības aprūpes nodrošināšanas jomā (26 % no pasākumiem). Tās risina arī problēmas, kas attiecas uz pieprasījuma pusi, īstenojot informatīvi izglītojošas kampaņas un informācijas kampaņas par jautājumiem, kas saistīti ar veselību (21 %). Citas būtiskas pasākumu grupas ietver vispārējas darbības ar mērķi uzlabot veselības aprūpes un sanitārijas infrastruktūru vietējā līmenī un profilakses pakalpojumu sniegšanu (16–17 %). Daudz mazāk izplatīti ir ļoti svarīgi intervences pasākumi — veselības apdrošināšanas nodrošināšana romiem un veselības aprūpes nozares profesionāļiem paredzētu diskriminācijas novēršanas kampaņu īstenošana (6–7 %). </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3.2. Panākumi un problēmas</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VKRJ visbiežāk pieminētie panākumi: vakcinācijas kampaņas</w:t>
      </w:r>
      <w:r>
        <w:rPr>
          <w:rFonts w:ascii="Times New Roman" w:hAnsi="Times New Roman"/>
          <w:noProof/>
          <w:sz w:val="24"/>
          <w:vertAlign w:val="superscript"/>
        </w:rPr>
        <w:footnoteReference w:id="26"/>
      </w:r>
      <w:r>
        <w:rPr>
          <w:rFonts w:ascii="Times New Roman" w:hAnsi="Times New Roman"/>
          <w:noProof/>
          <w:sz w:val="24"/>
        </w:rPr>
        <w:t>, citas profilakses un konstatēšanas programmas</w:t>
      </w:r>
      <w:r>
        <w:rPr>
          <w:rFonts w:ascii="Times New Roman" w:hAnsi="Times New Roman"/>
          <w:noProof/>
          <w:sz w:val="24"/>
          <w:vertAlign w:val="superscript"/>
        </w:rPr>
        <w:footnoteReference w:id="27"/>
      </w:r>
      <w:r>
        <w:rPr>
          <w:rFonts w:ascii="Times New Roman" w:hAnsi="Times New Roman"/>
          <w:noProof/>
          <w:sz w:val="24"/>
        </w:rPr>
        <w:t>, higiēnas, veselības aizsardzības prasību un piekļuves veselības aprūpei uzlabošana</w:t>
      </w:r>
      <w:r>
        <w:rPr>
          <w:rFonts w:ascii="Times New Roman" w:hAnsi="Times New Roman"/>
          <w:noProof/>
          <w:sz w:val="24"/>
          <w:vertAlign w:val="superscript"/>
        </w:rPr>
        <w:footnoteReference w:id="28"/>
      </w:r>
      <w:r>
        <w:rPr>
          <w:rFonts w:ascii="Times New Roman" w:hAnsi="Times New Roman"/>
          <w:noProof/>
          <w:sz w:val="24"/>
        </w:rPr>
        <w:t>, izpratnes veidošana</w:t>
      </w:r>
      <w:r>
        <w:rPr>
          <w:rFonts w:ascii="Times New Roman" w:hAnsi="Times New Roman"/>
          <w:noProof/>
          <w:sz w:val="24"/>
          <w:vertAlign w:val="superscript"/>
        </w:rPr>
        <w:footnoteReference w:id="29"/>
      </w:r>
      <w:r>
        <w:rPr>
          <w:rFonts w:ascii="Times New Roman" w:hAnsi="Times New Roman"/>
          <w:noProof/>
          <w:sz w:val="24"/>
        </w:rPr>
        <w:t>, starpniecība veselības jomā</w:t>
      </w:r>
      <w:r>
        <w:rPr>
          <w:rFonts w:ascii="Times New Roman" w:hAnsi="Times New Roman"/>
          <w:noProof/>
          <w:sz w:val="24"/>
          <w:vertAlign w:val="superscript"/>
        </w:rPr>
        <w:footnoteReference w:id="30"/>
      </w:r>
      <w:r>
        <w:rPr>
          <w:rFonts w:ascii="Times New Roman" w:hAnsi="Times New Roman"/>
          <w:noProof/>
          <w:sz w:val="24"/>
        </w:rPr>
        <w:t xml:space="preserve"> un vairāku ieinteresēto personu sadarbība, iesaistot valsts un vietējās iestādes un pilsonisko sabiedrību</w:t>
      </w:r>
      <w:r>
        <w:rPr>
          <w:rFonts w:ascii="Times New Roman" w:hAnsi="Times New Roman"/>
          <w:noProof/>
          <w:sz w:val="24"/>
          <w:vertAlign w:val="superscript"/>
        </w:rPr>
        <w:footnoteReference w:id="31"/>
      </w:r>
      <w:r>
        <w:rPr>
          <w:rFonts w:ascii="Times New Roman" w:hAnsi="Times New Roman"/>
          <w:noProof/>
          <w:sz w:val="24"/>
        </w:rPr>
        <w:t>. Bija vērojams tas, ka trūkst atsauču uz diskriminācijas novēršanas centieniem, sanitāro dzīves apstākļu uzlabošanu un veselīgas pārtikas pieejamību.</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Cita starpā tika ziņots par šādām problēmām: koordinēšanas un efektīvas saziņas trūkums starp valsts un vietējā līmeņa iestādēm; atbilstoša (valsts vai ES) finansējuma saglabāšana vai personāla komplektēšana</w:t>
      </w:r>
      <w:r>
        <w:rPr>
          <w:rFonts w:ascii="Times New Roman" w:hAnsi="Times New Roman"/>
          <w:noProof/>
          <w:sz w:val="24"/>
          <w:vertAlign w:val="superscript"/>
        </w:rPr>
        <w:footnoteReference w:id="32"/>
      </w:r>
      <w:r>
        <w:rPr>
          <w:rFonts w:ascii="Times New Roman" w:hAnsi="Times New Roman"/>
          <w:noProof/>
          <w:sz w:val="24"/>
        </w:rPr>
        <w:t>; pašapziņas trūkums veselības jautājumu kontekstā</w:t>
      </w:r>
      <w:r>
        <w:rPr>
          <w:rFonts w:ascii="Times New Roman" w:hAnsi="Times New Roman"/>
          <w:noProof/>
          <w:sz w:val="24"/>
          <w:vertAlign w:val="superscript"/>
        </w:rPr>
        <w:footnoteReference w:id="33"/>
      </w:r>
      <w:r>
        <w:rPr>
          <w:rFonts w:ascii="Times New Roman" w:hAnsi="Times New Roman"/>
          <w:noProof/>
          <w:sz w:val="24"/>
        </w:rPr>
        <w:t>; veselības apdrošināšanas seguma trūkums romu vidū</w:t>
      </w:r>
      <w:r>
        <w:rPr>
          <w:rFonts w:ascii="Times New Roman" w:hAnsi="Times New Roman"/>
          <w:noProof/>
          <w:sz w:val="24"/>
          <w:vertAlign w:val="superscript"/>
        </w:rPr>
        <w:footnoteReference w:id="34"/>
      </w:r>
      <w:r>
        <w:rPr>
          <w:rFonts w:ascii="Times New Roman" w:hAnsi="Times New Roman"/>
          <w:noProof/>
          <w:sz w:val="24"/>
        </w:rPr>
        <w:t>; nepietiekamas veselības nozares profesionāļu zināšanas par jautājumiem, kas saistīti ar romiem</w:t>
      </w:r>
      <w:r>
        <w:rPr>
          <w:rFonts w:ascii="Times New Roman" w:hAnsi="Times New Roman"/>
          <w:noProof/>
          <w:sz w:val="24"/>
          <w:vertAlign w:val="superscript"/>
        </w:rPr>
        <w:footnoteReference w:id="35"/>
      </w:r>
      <w:r>
        <w:rPr>
          <w:rFonts w:ascii="Times New Roman" w:hAnsi="Times New Roman"/>
          <w:noProof/>
          <w:sz w:val="24"/>
        </w:rPr>
        <w:t>. Pastāvēja arī bažas par zemu vakcinācijas līmeni romu vidū, un tika ziņots, ka dažās valstīs tas ir veicinājis augstākus priekšlaicīgas mirstības un saslimstības rādītājus</w:t>
      </w:r>
      <w:r>
        <w:rPr>
          <w:rFonts w:ascii="Times New Roman" w:hAnsi="Times New Roman"/>
          <w:noProof/>
          <w:sz w:val="24"/>
          <w:vertAlign w:val="superscript"/>
        </w:rPr>
        <w:footnoteReference w:id="36"/>
      </w:r>
      <w:r>
        <w:rPr>
          <w:rFonts w:ascii="Times New Roman" w:hAnsi="Times New Roman"/>
          <w:noProof/>
          <w:sz w:val="24"/>
        </w:rPr>
        <w:t>. Romu līdzdalība un iespēju nodrošināšana viņiem veselības aprūpes iniciatīvās tiek uzskatīta par problemātisku arī zemā rakstpratības līmeņa un valodas barjeru dēļ</w:t>
      </w:r>
      <w:r>
        <w:rPr>
          <w:rFonts w:ascii="Times New Roman" w:hAnsi="Times New Roman"/>
          <w:noProof/>
          <w:sz w:val="24"/>
          <w:vertAlign w:val="superscript"/>
        </w:rPr>
        <w:footnoteReference w:id="37"/>
      </w:r>
      <w:r>
        <w:rPr>
          <w:rFonts w:ascii="Times New Roman" w:hAnsi="Times New Roman"/>
          <w:noProof/>
          <w:sz w:val="24"/>
        </w:rPr>
        <w:t>.</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3.3. Politikas apguve</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Veselības aprūpes jomā (kā arī mājokļu jomā) pasākumu un novērtējumu skaits ir nepietiekams, tādējādi ierobežojot politikas apguves un pārnešanas iespējas. Visplašāk izmantotā daudzsološā prakse ir vērsta uz profilaksi, īstenojot vakcinācijas kampaņas un apmācot un nodarbinot romu starpniekus veselības jomā. Tomēr ir svarīgi, lai mērķorientēti atbalsta pakalpojumi aktīvi tiktu vērsti uz mērķi uzlabot romu izpratni par veselību, mainīt viņu uzvedību un veicināt ilgtermiņa pašpaļāvību un spējas iesaistīties saziņā ar galvenajām iestādēm, nevis paļauties uz pastāvīgiem starpniekiem un ilgtermiņa paralēlām struktūrām. Prioritāra nozīme būtu jāpiešķir diskriminācijas novēršanas pasākumiem, kas paredzēti veselības aprūpes nozares profesionāļiem.</w:t>
      </w:r>
    </w:p>
    <w:tbl>
      <w:tblPr>
        <w:tblStyle w:val="TableGrid"/>
        <w:tblW w:w="9498" w:type="dxa"/>
        <w:tblInd w:w="-5" w:type="dxa"/>
        <w:tblLook w:val="04A0" w:firstRow="1" w:lastRow="0" w:firstColumn="1" w:lastColumn="0" w:noHBand="0" w:noVBand="1"/>
      </w:tblPr>
      <w:tblGrid>
        <w:gridCol w:w="6096"/>
        <w:gridCol w:w="3402"/>
      </w:tblGrid>
      <w:tr>
        <w:tc>
          <w:tcPr>
            <w:tcW w:w="6096"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Daudzsološas pieejas</w:t>
            </w:r>
          </w:p>
        </w:tc>
        <w:tc>
          <w:tcPr>
            <w:tcW w:w="3402"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Prioritātes, kurām jāpievēršas</w:t>
            </w:r>
          </w:p>
        </w:tc>
      </w:tr>
      <w:tr>
        <w:tc>
          <w:tcPr>
            <w:tcW w:w="6096" w:type="dxa"/>
          </w:tcPr>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rPr>
              <w:t xml:space="preserve">BG, CZ, DK, EL, FR, HU, PL, PT, RO, SE, SI, SK: </w:t>
            </w:r>
            <w:r>
              <w:rPr>
                <w:rFonts w:ascii="Times New Roman" w:hAnsi="Times New Roman"/>
                <w:noProof/>
                <w:sz w:val="19"/>
              </w:rPr>
              <w:t>romu starpnieku veselības jomā (palīgu, apmeklētāju, saiknes veidotāju) apmācība un nodarbināšana, lai sekmētu romu piekļuvi veselības aprūpei</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rPr>
              <w:t xml:space="preserve">AT, BG, EL, FR, HU, HR, PL, SK, UK: </w:t>
            </w:r>
            <w:r>
              <w:rPr>
                <w:rFonts w:ascii="Times New Roman" w:hAnsi="Times New Roman"/>
                <w:noProof/>
                <w:sz w:val="19"/>
              </w:rPr>
              <w:t>vakcinācijas kampaņas, kas vērstas uz romiem (meitenēm, sievietēm) un personām, kuras dzīvo marginalizētās teritorijās</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CZ, IT, RO, SI, SK:</w:t>
            </w:r>
            <w:r>
              <w:rPr>
                <w:rFonts w:ascii="Times New Roman" w:hAnsi="Times New Roman"/>
                <w:noProof/>
                <w:sz w:val="19"/>
              </w:rPr>
              <w:t xml:space="preserve"> ilgtermiņa valsts veselības programmas, rīcības plāni, stratēģijas</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ES:</w:t>
            </w:r>
            <w:r>
              <w:rPr>
                <w:rFonts w:ascii="Times New Roman" w:hAnsi="Times New Roman"/>
                <w:noProof/>
                <w:sz w:val="19"/>
              </w:rPr>
              <w:t xml:space="preserve"> romu un pilsoniskās līdzdalības nodrošināšana tādu veselības profilakses un apmācības programmu izstrādē, kas paredzētas sociālo pakalpojumu jomas profesionāļiem</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FI:</w:t>
            </w:r>
            <w:r>
              <w:rPr>
                <w:rFonts w:ascii="Times New Roman" w:hAnsi="Times New Roman"/>
                <w:noProof/>
                <w:sz w:val="19"/>
              </w:rPr>
              <w:t xml:space="preserve"> Valsts veselības un labklājības institūta Pētījums par romu labklājību</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rPr>
              <w:t>PT:</w:t>
            </w:r>
            <w:r>
              <w:rPr>
                <w:rFonts w:ascii="Times New Roman" w:hAnsi="Times New Roman"/>
                <w:noProof/>
                <w:sz w:val="19"/>
              </w:rPr>
              <w:t xml:space="preserve"> uz pierādījumiem balstīta tādu intervences pasākumu plānošana, kuru mērķis ir apkarot nevienlīdzību veselības aprūpes jomā attiecībā uz romiem, ietverot informāciju un izpratnes veidošanas materiālus par pusaudžu maternitāti, pediatrisko uzskaiti un veselīgiem ēšanas paradumiem</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rPr>
              <w:t xml:space="preserve">LT: </w:t>
            </w:r>
            <w:r>
              <w:rPr>
                <w:rFonts w:ascii="Times New Roman" w:hAnsi="Times New Roman"/>
                <w:noProof/>
                <w:sz w:val="19"/>
              </w:rPr>
              <w:t>romu sievietēm un jauniešiem paredzēti informatīvi izglītojoši semināri veselības jomā par profilaktisko aprūpi, seksuālo un reproduktīvo veselību un bērnu aprūpi</w:t>
            </w:r>
          </w:p>
        </w:tc>
        <w:tc>
          <w:tcPr>
            <w:tcW w:w="3402"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Palielināt veselības apdrošināšanas segumu, novērst nepilnības primārās un specializētās aprūpes nodrošināšanā, tostarp reproduktīvās un seksuālās veselības jomā mazāk attīstītās teritorijās</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 xml:space="preserve">Pastiprināt centienus novērst un apkarot narkomāniju, smēķēšanu, HIV, hepatītu, tuberkulozi, sirds un asinsvadu slimības, priekšlaicīgas dzemdības </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Pārraudzīt un apkarot diskrimināciju saistībā ar piekļuvi veselības aprūpei un izraisīt veselības nozares profesionāļu interesi par romu vajadzībām</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Nodrošināt, ka romu starpnieki veselības jomā, attiecībā uz kuriem ir paredzēti pasākumi, palīdz veidot romu ilgtermiņa pašpaļāvību</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Uzlabot uzturu un apkarot neveselīgus dzīves apstākļus, pievēršoties romu sievietēm un ģimenēm ar bērniem</w:t>
            </w:r>
          </w:p>
        </w:tc>
      </w:tr>
    </w:tbl>
    <w:p>
      <w:pPr>
        <w:pageBreakBefore/>
        <w:spacing w:before="180" w:after="0" w:line="240" w:lineRule="auto"/>
        <w:ind w:right="-142"/>
        <w:outlineLvl w:val="1"/>
        <w:rPr>
          <w:rFonts w:ascii="Times New Roman" w:eastAsia="MS Mincho" w:hAnsi="Times New Roman" w:cs="Times New Roman"/>
          <w:b/>
          <w:bCs/>
          <w:smallCaps/>
          <w:noProof/>
          <w:sz w:val="24"/>
          <w:szCs w:val="24"/>
        </w:rPr>
      </w:pPr>
      <w:r>
        <w:rPr>
          <w:rFonts w:ascii="Times New Roman" w:hAnsi="Times New Roman"/>
          <w:b/>
          <w:smallCaps/>
          <w:noProof/>
          <w:sz w:val="24"/>
        </w:rPr>
        <w:t>4. Mājokļi</w:t>
      </w:r>
      <w:r>
        <w:rPr>
          <w:rFonts w:ascii="Times New Roman" w:hAnsi="Times New Roman"/>
          <w:noProof/>
          <w:sz w:val="24"/>
        </w:rPr>
        <w:t xml:space="preserve"> </w:t>
      </w:r>
      <w:r>
        <w:rPr>
          <w:noProof/>
          <w:lang w:val="en-GB" w:eastAsia="en-GB" w:bidi="ar-SA"/>
        </w:rPr>
        <w:drawing>
          <wp:inline distT="0" distB="0" distL="0" distR="0">
            <wp:extent cx="6545580" cy="220963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5476" cy="2219727"/>
                    </a:xfrm>
                    <a:prstGeom prst="rect">
                      <a:avLst/>
                    </a:prstGeom>
                    <a:noFill/>
                    <a:ln>
                      <a:noFill/>
                    </a:ln>
                  </pic:spPr>
                </pic:pic>
              </a:graphicData>
            </a:graphic>
          </wp:inline>
        </w:drawing>
      </w:r>
    </w:p>
    <w:p>
      <w:pPr>
        <w:keepNext/>
        <w:spacing w:before="12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 xml:space="preserve">4.1. Pasākumu mērķis </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Dalībvalstis visbiežāk ziņoja par pasākumiem, kuru mērķis ir: nodrošināt piekļuvi komunālajiem pakalpojumiem (ūdens, elektrība, gāze) un infrastruktūrai mājokļos, atbalstīt segregācijas novēršanu, sekmēt nediskriminējošu piekļuvi sociālajiem mājokļiem (10–12 DV). Tikai neliela daļa dalībvalstu iegulda tādos integrētos intervences pasākumos mājokļu jomā, kas vērsti uz marginalizētām kopienām vietējo pilsētvides atjaunošanas projektu ietvaros (7 DV), vai izmanto ESI fondus kopienas vadītai vietējai attīstībai vai integrētiem teritoriālajiem ieguldījumiem (4 DV). Tikai 2 dalībvalstis ziņoja, ka nodrošina apmešanās vietas romiem, kuri neuzturas vienā vietā.</w:t>
      </w:r>
    </w:p>
    <w:p>
      <w:pPr>
        <w:spacing w:after="120" w:line="240" w:lineRule="auto"/>
        <w:ind w:right="-142"/>
        <w:jc w:val="both"/>
        <w:rPr>
          <w:rFonts w:ascii="Times New Roman" w:eastAsia="MS Mincho" w:hAnsi="Times New Roman" w:cs="Times New Roman"/>
          <w:noProof/>
          <w:sz w:val="24"/>
          <w:szCs w:val="24"/>
        </w:rPr>
      </w:pPr>
      <w:r>
        <w:rPr>
          <w:noProof/>
          <w:lang w:val="en-GB" w:eastAsia="en-GB" w:bidi="ar-SA"/>
        </w:rPr>
        <w:drawing>
          <wp:inline distT="0" distB="0" distL="0" distR="0">
            <wp:extent cx="6482429" cy="3733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87012" cy="3736440"/>
                    </a:xfrm>
                    <a:prstGeom prst="rect">
                      <a:avLst/>
                    </a:prstGeom>
                    <a:noFill/>
                    <a:ln>
                      <a:noFill/>
                    </a:ln>
                  </pic:spPr>
                </pic:pic>
              </a:graphicData>
            </a:graphic>
          </wp:inline>
        </w:drawing>
      </w:r>
    </w:p>
    <w:p>
      <w:pPr>
        <w:spacing w:before="120"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Kam tiek pievērsta būtiska uzmanība, īstenojot šādus pasākumus? Šajā saistībā mēs konstatējām, ka dalībvalstis visbiežāk pievēršas pašvaldību un sociālo mājokļu uzturēšanai, nodrošināšanai un remontam (27 %), infrastruktūrai romu apmetnēs (16 %), kā arī tiesību aktiem, būvatļaujām vai neoficiālu mājokļu legalizācijai (13 %). Kā ieguldījumu galvenais mērķis daudz mazāk izplatīti ir skaidri, aktīvi segregācijas novēršanas pasākumi, tostarp graustu likvidēšana, kā arī integrēti teritoriālie pasākumi vai sociālais/infrastruktūras atbalsts bezpajumtniekiem (7 % katrā gadījumā).</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4.2. Panākumi un problēmas</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VKRJ ziņoja, ka visbūtiskākie panākumi ir sasniegti sociālo mājokļu pieejamības ziņā</w:t>
      </w:r>
      <w:r>
        <w:rPr>
          <w:rFonts w:ascii="Times New Roman" w:hAnsi="Times New Roman"/>
          <w:noProof/>
          <w:sz w:val="24"/>
          <w:vertAlign w:val="superscript"/>
        </w:rPr>
        <w:footnoteReference w:id="38"/>
      </w:r>
      <w:r>
        <w:rPr>
          <w:rFonts w:ascii="Times New Roman" w:hAnsi="Times New Roman"/>
          <w:noProof/>
          <w:sz w:val="24"/>
        </w:rPr>
        <w:t>. Vēl viena svarīga panākumu grupa, ko minēja vairāki VKRJ, bija graustu un teritoriālās segregācijas likvidēšana</w:t>
      </w:r>
      <w:r>
        <w:rPr>
          <w:rFonts w:ascii="Times New Roman" w:hAnsi="Times New Roman"/>
          <w:noProof/>
          <w:sz w:val="24"/>
          <w:vertAlign w:val="superscript"/>
        </w:rPr>
        <w:footnoteReference w:id="39"/>
      </w:r>
      <w:r>
        <w:rPr>
          <w:rFonts w:ascii="Times New Roman" w:hAnsi="Times New Roman"/>
          <w:noProof/>
          <w:sz w:val="24"/>
        </w:rPr>
        <w:t>. VKRJ arī minēja rezultātus, kas saistīti ar apmešanās vietu nodrošināšanu</w:t>
      </w:r>
      <w:r>
        <w:rPr>
          <w:rFonts w:ascii="Times New Roman" w:hAnsi="Times New Roman"/>
          <w:noProof/>
          <w:sz w:val="24"/>
          <w:vertAlign w:val="superscript"/>
        </w:rPr>
        <w:footnoteReference w:id="40"/>
      </w:r>
      <w:r>
        <w:rPr>
          <w:rFonts w:ascii="Times New Roman" w:hAnsi="Times New Roman"/>
          <w:noProof/>
          <w:sz w:val="24"/>
        </w:rPr>
        <w:t>, piekļuvi komunālajiem pakalpojumiem (piem., ūdenim, elektrībai un gāzei) un infrastruktūrai mājokļos</w:t>
      </w:r>
      <w:r>
        <w:rPr>
          <w:rFonts w:ascii="Times New Roman" w:hAnsi="Times New Roman"/>
          <w:noProof/>
          <w:sz w:val="24"/>
          <w:vertAlign w:val="superscript"/>
        </w:rPr>
        <w:footnoteReference w:id="41"/>
      </w:r>
      <w:r>
        <w:rPr>
          <w:rFonts w:ascii="Times New Roman" w:hAnsi="Times New Roman"/>
          <w:noProof/>
          <w:sz w:val="24"/>
        </w:rPr>
        <w:t>, mājokļu legalizāciju</w:t>
      </w:r>
      <w:r>
        <w:rPr>
          <w:rFonts w:ascii="Times New Roman" w:hAnsi="Times New Roman"/>
          <w:noProof/>
          <w:sz w:val="24"/>
          <w:vertAlign w:val="superscript"/>
        </w:rPr>
        <w:footnoteReference w:id="42"/>
      </w:r>
      <w:r>
        <w:rPr>
          <w:rFonts w:ascii="Times New Roman" w:hAnsi="Times New Roman"/>
          <w:noProof/>
          <w:sz w:val="24"/>
        </w:rPr>
        <w:t xml:space="preserve"> un pilsētvides atjaunošanu</w:t>
      </w:r>
      <w:r>
        <w:rPr>
          <w:rFonts w:ascii="Times New Roman" w:hAnsi="Times New Roman"/>
          <w:noProof/>
          <w:sz w:val="24"/>
          <w:vertAlign w:val="superscript"/>
        </w:rPr>
        <w:footnoteReference w:id="43"/>
      </w:r>
      <w:r>
        <w:rPr>
          <w:rFonts w:ascii="Times New Roman" w:hAnsi="Times New Roman"/>
          <w:noProof/>
          <w:sz w:val="24"/>
        </w:rPr>
        <w:t>.</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Cita starpā tika ziņots par šādām problēmām: teritoriālā segregācija</w:t>
      </w:r>
      <w:r>
        <w:rPr>
          <w:rFonts w:ascii="Times New Roman" w:hAnsi="Times New Roman"/>
          <w:noProof/>
          <w:sz w:val="24"/>
          <w:vertAlign w:val="superscript"/>
        </w:rPr>
        <w:footnoteReference w:id="44"/>
      </w:r>
      <w:r>
        <w:rPr>
          <w:rFonts w:ascii="Times New Roman" w:hAnsi="Times New Roman"/>
          <w:noProof/>
          <w:sz w:val="24"/>
        </w:rPr>
        <w:t>, šķēršļi romiem saistībā ar piekļuvi mājokļiem privātajā sektorā</w:t>
      </w:r>
      <w:r>
        <w:rPr>
          <w:rFonts w:ascii="Times New Roman" w:hAnsi="Times New Roman"/>
          <w:noProof/>
          <w:sz w:val="24"/>
          <w:vertAlign w:val="superscript"/>
        </w:rPr>
        <w:footnoteReference w:id="45"/>
      </w:r>
      <w:r>
        <w:rPr>
          <w:rFonts w:ascii="Times New Roman" w:hAnsi="Times New Roman"/>
          <w:noProof/>
          <w:sz w:val="24"/>
        </w:rPr>
        <w:t>, kā arī nepilnības saistībā ar valsts atbalstu un tiesību aktiem par piekļuvi sociālajiem mājokļiem</w:t>
      </w:r>
      <w:r>
        <w:rPr>
          <w:rFonts w:ascii="Times New Roman" w:hAnsi="Times New Roman"/>
          <w:noProof/>
          <w:sz w:val="24"/>
          <w:vertAlign w:val="superscript"/>
        </w:rPr>
        <w:footnoteReference w:id="46"/>
      </w:r>
      <w:r>
        <w:rPr>
          <w:rFonts w:ascii="Times New Roman" w:hAnsi="Times New Roman"/>
          <w:noProof/>
          <w:sz w:val="24"/>
        </w:rPr>
        <w:t>.</w:t>
      </w:r>
    </w:p>
    <w:p>
      <w:pPr>
        <w:keepNext/>
        <w:spacing w:before="180" w:after="120" w:line="240" w:lineRule="auto"/>
        <w:ind w:right="-142"/>
        <w:outlineLvl w:val="2"/>
        <w:rPr>
          <w:rFonts w:ascii="Times New Roman" w:eastAsia="MS Mincho" w:hAnsi="Times New Roman" w:cs="Times New Roman"/>
          <w:i/>
          <w:noProof/>
          <w:sz w:val="24"/>
          <w:szCs w:val="24"/>
        </w:rPr>
      </w:pPr>
      <w:r>
        <w:rPr>
          <w:rFonts w:ascii="Times New Roman" w:hAnsi="Times New Roman"/>
          <w:i/>
          <w:noProof/>
          <w:sz w:val="24"/>
        </w:rPr>
        <w:t>4.3. Politikas apguve</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 xml:space="preserve">Mājokļu politikā ir vismazāk daudzsološu pieeju, kas būtu kopīgas vairākām valstīm. Tā ir arī joma, kurā tiek uzskatīts, ka īpaši būtiska ir ilgtermiņa, integrēta un visaptveroša pieeja, ietverot šādus jautājumus: papildināt mājokļu nodrošināšanu ar papildu atbalstu, apvienojot nodarbinātības, izglītības, veselības aprūpes un kopienas attīstības elementus; iekļaut intervences pasākumus plašākā valsts politikā un tiesību aktos par zemi un sociālajiem mājokļiem. Teritoriālās segregācijas novēršanas veicināšanai ir nepieciešams mērķorientēts, saskaņots un līdzdalības process: romu saņēmēju iesaistīšana kopienas un individuālo mājokļu iespēju sagatavošanā un ieviešanā; ieguldījumu infrastruktūrā un cilvēkkapitālā apvienošana; un izpratnes veidošana ar mērķi mazināt etnisko spriedzi un pārvarēt sabiedrības vairākuma pretestību. Citas jomas, kurām ir jāpiešķir prioritāra nozīme, ir arī šādas: sociālo mājokļu rezerves nodrošināšana, garantējot romiem labāku piekļuvi; piespiedu izlikšanas novēršana vairāku ieinteresēto personu, plašas pieejas ietvaros mājokļu jomā; kā arī pietiekamu un kultūras ziņā atbilstošu apmešanās vietu nodrošināšana romiem, kuri neuzturas vienā vietā. </w:t>
      </w:r>
    </w:p>
    <w:tbl>
      <w:tblPr>
        <w:tblStyle w:val="TableGrid"/>
        <w:tblW w:w="9498" w:type="dxa"/>
        <w:tblInd w:w="-5" w:type="dxa"/>
        <w:tblLook w:val="04A0" w:firstRow="1" w:lastRow="0" w:firstColumn="1" w:lastColumn="0" w:noHBand="0" w:noVBand="1"/>
      </w:tblPr>
      <w:tblGrid>
        <w:gridCol w:w="6237"/>
        <w:gridCol w:w="3261"/>
      </w:tblGrid>
      <w:tr>
        <w:tc>
          <w:tcPr>
            <w:tcW w:w="6237"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Daudzsološas pieejas</w:t>
            </w:r>
          </w:p>
        </w:tc>
        <w:tc>
          <w:tcPr>
            <w:tcW w:w="3261"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Prioritātes, kurām jāpievēršas</w:t>
            </w:r>
          </w:p>
        </w:tc>
      </w:tr>
      <w:tr>
        <w:tc>
          <w:tcPr>
            <w:tcW w:w="6237"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ES:</w:t>
            </w:r>
            <w:r>
              <w:rPr>
                <w:rFonts w:ascii="Times New Roman" w:hAnsi="Times New Roman"/>
                <w:noProof/>
                <w:sz w:val="19"/>
              </w:rPr>
              <w:t xml:space="preserve"> vietējās un reģionālās valdības ar NVO atbalstu pēdējos 15 gados ir ievērojami samazinājušas graustu rajonu izplatību, tādējādi segregācijas novēršana ir kļuvusi par daļu no integrētas pieejas, kas ietver arī būtiskus uzlabojumus izglītībā, veselības aprūpē un nodarbinātībā</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CZ: </w:t>
            </w:r>
            <w:r>
              <w:rPr>
                <w:rFonts w:ascii="Times New Roman" w:hAnsi="Times New Roman"/>
                <w:noProof/>
                <w:sz w:val="19"/>
              </w:rPr>
              <w:t xml:space="preserve">ESI fondu atbalsts, paplašinot vietējās iniciatīvas “Galvenais ir mājoklis”, balstoties uz modeļiem veiksmīgā sociālo mājokļu izmēģinājumā, ko īstenoja vietējās pašvaldības, un sociālo nomas aģentūru, ko īstenoja NVO, izņemot mājokļus segregētās teritorijās (metodika, kuras mērķis ir </w:t>
            </w:r>
            <w:hyperlink r:id="rId25">
              <w:r>
                <w:rPr>
                  <w:rFonts w:ascii="Times New Roman" w:hAnsi="Times New Roman"/>
                  <w:noProof/>
                  <w:sz w:val="19"/>
                </w:rPr>
                <w:t>identificēt dzīvesvietu segregāciju</w:t>
              </w:r>
            </w:hyperlink>
            <w:r>
              <w:rPr>
                <w:rFonts w:ascii="Times New Roman" w:hAnsi="Times New Roman"/>
                <w:noProof/>
                <w:sz w:val="19"/>
              </w:rPr>
              <w:t xml:space="preserve"> un kuru izmēģināja Darba ministrija un 12 pašvaldības)</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EL:</w:t>
            </w:r>
            <w:r>
              <w:rPr>
                <w:rFonts w:ascii="Times New Roman" w:hAnsi="Times New Roman"/>
                <w:noProof/>
                <w:sz w:val="19"/>
              </w:rPr>
              <w:t xml:space="preserve"> jauni noteikumi, kas paredzēti tam, lai veicinātu pārcelšanu no nometnēm un apmetnēm; infrastruktūras uzlabošanu; dzīvojamo kompleksu pašpārvaldības un aizsardzības sistēmas izveidi; un īres subsīdijas, lai palīdzētu atrast mājokli integrētos apstākļos</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FR:</w:t>
            </w:r>
            <w:r>
              <w:rPr>
                <w:rFonts w:ascii="Times New Roman" w:hAnsi="Times New Roman"/>
                <w:noProof/>
                <w:sz w:val="19"/>
              </w:rPr>
              <w:t xml:space="preserve"> vairāku ieinteresēto personu visaptveroša pieeja “Galvenais ir mājoklis” Tulūzā ar mērķi palīdzēt romiem pārcelties no nometnēm un integrētiem rajoniem, papildinot to ar sociālo atbalstu, rakstpratības un citu apmācību, piekļuvi izglītībai, nodarbinātībai un veselības aprūpei</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 xml:space="preserve">SI: </w:t>
            </w:r>
            <w:r>
              <w:rPr>
                <w:rFonts w:ascii="Times New Roman" w:hAnsi="Times New Roman"/>
                <w:noProof/>
                <w:sz w:val="19"/>
              </w:rPr>
              <w:t>publiskie iepirkumi saistībā ar pamata komunālās infrastruktūras izveidi (ūdens, elektrība, ceļi), kas paredzēti pašvaldību teritorijām, kurās mitinās romi</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rPr>
              <w:t>LT:</w:t>
            </w:r>
            <w:r>
              <w:rPr>
                <w:rFonts w:ascii="Times New Roman" w:hAnsi="Times New Roman"/>
                <w:noProof/>
                <w:sz w:val="19"/>
              </w:rPr>
              <w:t xml:space="preserve"> segregācijas novēršanas process </w:t>
            </w:r>
            <w:r>
              <w:rPr>
                <w:rFonts w:ascii="Times New Roman" w:hAnsi="Times New Roman"/>
                <w:i/>
                <w:noProof/>
                <w:sz w:val="19"/>
              </w:rPr>
              <w:t>Kirtimai</w:t>
            </w:r>
            <w:r>
              <w:rPr>
                <w:rFonts w:ascii="Times New Roman" w:hAnsi="Times New Roman"/>
                <w:noProof/>
                <w:sz w:val="19"/>
              </w:rPr>
              <w:t xml:space="preserve"> apmetnē Viļņā, nodrošinot pārcelšanu kopā ar sociālā mājokļa piedāvājumu ar subsidētu īri daudzbērnu ģimenēm</w:t>
            </w:r>
            <w:r>
              <w:rPr>
                <w:rFonts w:ascii="Times New Roman" w:hAnsi="Times New Roman"/>
                <w:b/>
                <w:noProof/>
                <w:sz w:val="19"/>
              </w:rPr>
              <w:t xml:space="preserve"> </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rPr>
              <w:t xml:space="preserve">SE: </w:t>
            </w:r>
            <w:r>
              <w:rPr>
                <w:rFonts w:ascii="Times New Roman" w:hAnsi="Times New Roman"/>
                <w:noProof/>
                <w:sz w:val="19"/>
              </w:rPr>
              <w:t>padomi un apmācība mājokļu saimniekiem ar mērķi papildināt zināšanas un apkarot romu diskrimināciju</w:t>
            </w:r>
          </w:p>
        </w:tc>
        <w:tc>
          <w:tcPr>
            <w:tcW w:w="3261"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Ieguldīt cenu ziņā pieejamās un atbilstošās sociālo mājokļu rezervēs integrētos rajonos un nodrošināt, ka atbilstības kritēriji ir pieejami romiem</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Nodrošināt tādu palīdzību mājokļu jomā, kas paredzēta visneaizsargātākajiem</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Legalizēt mājokļus un novērst piespiedu izlikšanu no mājokļa</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Apvienot visaptverošus ilgtermiņa segregācijas novēršanas pasākumus ar sagatavošanas un papildu pasākumiem, ar kuriem veido sabiedrības atbalstu un starpetnisku kopienu attiecības, un nodrošināt kopienu līdzdalību izstrādē un īstenošanā</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Nodrošināt visiem piekļuvi tīram ūdenim, pamata sabiedriskajiem pakalpojumiem un būtiskiem valsts pakalpojumiem, garantējot skaidrus aizsardzības pasākumus romiem</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Apkarot diskrimināciju saistībā ar piekļuvi (sociālajiem un privātajiem) mājokļiem</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Garantēt, ka nomadiem tiek nodrošinātas pietiekamas, pienācīgi apkalpotas un kultūras ziņā atbilstošas apmešanās vietas</w:t>
            </w:r>
          </w:p>
        </w:tc>
      </w:tr>
    </w:tbl>
    <w:p>
      <w:pPr>
        <w:keepNext/>
        <w:keepLines/>
        <w:spacing w:before="240" w:after="120" w:line="240" w:lineRule="auto"/>
        <w:ind w:right="-142"/>
        <w:outlineLvl w:val="0"/>
        <w:rPr>
          <w:rFonts w:ascii="Times New Roman" w:hAnsi="Times New Roman"/>
          <w:b/>
          <w:smallCaps/>
          <w:noProof/>
          <w:sz w:val="24"/>
        </w:rPr>
      </w:pPr>
      <w:r>
        <w:rPr>
          <w:rFonts w:ascii="Times New Roman" w:hAnsi="Times New Roman"/>
          <w:b/>
          <w:smallCaps/>
          <w:noProof/>
          <w:sz w:val="24"/>
        </w:rPr>
        <w:t xml:space="preserve">II. Diskriminācijas un pret romiem vērsta noskaņojuma apkarošana </w:t>
      </w:r>
    </w:p>
    <w:p>
      <w:pPr>
        <w:keepNext/>
        <w:keepLines/>
        <w:spacing w:before="240" w:after="120" w:line="240" w:lineRule="auto"/>
        <w:ind w:right="-142"/>
        <w:outlineLvl w:val="0"/>
        <w:rPr>
          <w:rFonts w:ascii="Times New Roman" w:eastAsia="MS Mincho" w:hAnsi="Times New Roman" w:cs="Times New Roman"/>
          <w:b/>
          <w:bCs/>
          <w:smallCaps/>
          <w:noProof/>
          <w:sz w:val="24"/>
          <w:szCs w:val="24"/>
        </w:rPr>
      </w:pPr>
      <w:r>
        <w:rPr>
          <w:noProof/>
          <w:lang w:val="en-GB" w:eastAsia="en-GB" w:bidi="ar-SA"/>
        </w:rPr>
        <w:drawing>
          <wp:inline distT="0" distB="0" distL="0" distR="0">
            <wp:extent cx="6520988" cy="31337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39231" cy="3142492"/>
                    </a:xfrm>
                    <a:prstGeom prst="rect">
                      <a:avLst/>
                    </a:prstGeom>
                    <a:noFill/>
                    <a:ln>
                      <a:noFill/>
                    </a:ln>
                  </pic:spPr>
                </pic:pic>
              </a:graphicData>
            </a:graphic>
          </wp:inline>
        </w:drawing>
      </w:r>
    </w:p>
    <w:p>
      <w:pPr>
        <w:pStyle w:val="ListParagraph"/>
        <w:keepNext/>
        <w:numPr>
          <w:ilvl w:val="0"/>
          <w:numId w:val="18"/>
        </w:numPr>
        <w:spacing w:before="180" w:after="120"/>
        <w:ind w:right="-142"/>
        <w:outlineLvl w:val="2"/>
        <w:rPr>
          <w:rFonts w:ascii="Times New Roman" w:eastAsia="MS Mincho" w:hAnsi="Times New Roman" w:cs="Times New Roman"/>
          <w:i/>
          <w:noProof/>
        </w:rPr>
      </w:pPr>
      <w:r>
        <w:rPr>
          <w:rFonts w:ascii="Times New Roman" w:hAnsi="Times New Roman"/>
          <w:i/>
          <w:noProof/>
        </w:rPr>
        <w:t xml:space="preserve">Pasākumu mērķis </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Diskriminācijas novēršanas pasākumi, par kuriem visvairāk ziņojušas dalībvalstis, cita starpā ir šādi: pret romiem vērsta noskaņojuma apkarošana, veidojot izpratni par to, kādus ieguvumus sniegtu romu iekļaušana; izpratnes veidošana par daudzveidību; un pret romiem vērstas retorikas un naida runas apkarošana (10–12 DV). Dažas dalībvalstis iegulda pasākumos, kuru mērķis ir aizsargāt romu sievietes un bērnus, apkarojot daudzkārtēju diskrimināciju, vardarbību (ģimenē) vai agrīnas un piespiedu laulības (2–4 DV). Tikai 4 dalībvalstis ziņoja par ieguldījumiem pasākumos, ar ko nodrošina Rasu vienlīdzības direktīvas (Direktīva 2000/43/EK) efektīvu īstenošanu. Vēl mazāk dalībvalstu ziņoja par vietēja vai reģionāla mēroga segregācijas novēršanas pasākumiem (3 DV) vai cilvēku tirdzniecības apkarošanu (2 DV). Tikai viena dalībvalsts ziņoja par pasākumiem, ar ko novērš nelikumīgu izlikšanu no mājokļa vai ubagošanu ar bērniem, kā arī veicina pārrobežu sadarbību.</w:t>
      </w:r>
    </w:p>
    <w:p>
      <w:pPr>
        <w:spacing w:after="120" w:line="240" w:lineRule="auto"/>
        <w:ind w:right="-142"/>
        <w:jc w:val="both"/>
        <w:rPr>
          <w:rFonts w:ascii="Times New Roman" w:eastAsia="MS Mincho" w:hAnsi="Times New Roman" w:cs="Times New Roman"/>
          <w:noProof/>
          <w:sz w:val="24"/>
          <w:szCs w:val="24"/>
        </w:rPr>
      </w:pPr>
      <w:r>
        <w:rPr>
          <w:noProof/>
          <w:lang w:val="en-GB" w:eastAsia="en-GB" w:bidi="ar-SA"/>
        </w:rPr>
        <w:drawing>
          <wp:inline distT="0" distB="0" distL="0" distR="0">
            <wp:extent cx="6030595" cy="4784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30595" cy="4784150"/>
                    </a:xfrm>
                    <a:prstGeom prst="rect">
                      <a:avLst/>
                    </a:prstGeom>
                    <a:noFill/>
                    <a:ln>
                      <a:noFill/>
                    </a:ln>
                  </pic:spPr>
                </pic:pic>
              </a:graphicData>
            </a:graphic>
          </wp:inline>
        </w:drawing>
      </w:r>
    </w:p>
    <w:p>
      <w:pPr>
        <w:spacing w:before="120"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Kam tiek pievērsta būtiska uzmanība, īstenojot šādus pasākumus? Šajā saistībā mēs konstatējām, ka dalībvalstis visbiežāk iegulda romu kultūras un mantojuma veicināšanā, kas tiek uzskatīts par veidu, kā netieši plašā sabiedrībā veidot izpratni un apkarot pret romiem vērstu noskaņojumu (22 %). Nedaudz mazāk pasākumu ir vērsti uz izpratnes veidošanu ar mērķi tiešā veidā apkarot diskrimināciju un neiecietību (18 %). Citi pasākumi ir vērsti uz iestāžu (15 %), romu pilsoniskās sabiedrības (12 %) un cilvēktiesību uzraudzības mehānismu (11 %) spēju veidošanu. Galvenās jomas, kurām tika pievērsts mazāk uzmanības, bija juridiskā atbalsta sniegšana, romu sieviešu iespēju veicināšana un segregācijas novēršana (5–6 %). Tikai 16 % no diskriminācijas novēršanas pasākumiem, par kuriem tika paziņots, bija skaidri vērsti uz romu jauniešiem, bet 10 % — uz romu sievietēm.</w:t>
      </w:r>
    </w:p>
    <w:p>
      <w:pPr>
        <w:pStyle w:val="ListParagraph"/>
        <w:keepNext/>
        <w:numPr>
          <w:ilvl w:val="0"/>
          <w:numId w:val="18"/>
        </w:numPr>
        <w:spacing w:before="180" w:after="120"/>
        <w:ind w:right="-142"/>
        <w:outlineLvl w:val="2"/>
        <w:rPr>
          <w:rFonts w:ascii="Times New Roman" w:eastAsia="MS Mincho" w:hAnsi="Times New Roman" w:cs="Times New Roman"/>
          <w:i/>
          <w:noProof/>
        </w:rPr>
      </w:pPr>
      <w:r>
        <w:rPr>
          <w:rFonts w:ascii="Times New Roman" w:hAnsi="Times New Roman"/>
          <w:i/>
          <w:noProof/>
        </w:rPr>
        <w:t>Panākumi un problēmas</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VKRJ visbiežāk minētie panākumi bija šādi: romu sieviešu un bērnu apstākļu uzlabošana</w:t>
      </w:r>
      <w:r>
        <w:rPr>
          <w:rFonts w:ascii="Times New Roman" w:hAnsi="Times New Roman"/>
          <w:noProof/>
          <w:sz w:val="24"/>
          <w:vertAlign w:val="superscript"/>
        </w:rPr>
        <w:footnoteReference w:id="47"/>
      </w:r>
      <w:r>
        <w:rPr>
          <w:rFonts w:ascii="Times New Roman" w:hAnsi="Times New Roman"/>
          <w:noProof/>
          <w:sz w:val="24"/>
        </w:rPr>
        <w:t>; pret romiem vērsta noskaņojuma apkarošana, laužot stereotipus vai informējot par romu kultūru un vēsturi</w:t>
      </w:r>
      <w:r>
        <w:rPr>
          <w:rFonts w:ascii="Times New Roman" w:hAnsi="Times New Roman"/>
          <w:noProof/>
          <w:sz w:val="24"/>
          <w:vertAlign w:val="superscript"/>
        </w:rPr>
        <w:footnoteReference w:id="48"/>
      </w:r>
      <w:r>
        <w:rPr>
          <w:rFonts w:ascii="Times New Roman" w:hAnsi="Times New Roman"/>
          <w:noProof/>
          <w:sz w:val="24"/>
        </w:rPr>
        <w:t>; un visu attiecīgo dalībnieku (valsts iestāžu, pilsoniskās sabiedrības un romu kopienu) iesaistīšana centienos veicināt diskriminācijas novēršanu</w:t>
      </w:r>
      <w:r>
        <w:rPr>
          <w:rFonts w:ascii="Times New Roman" w:hAnsi="Times New Roman"/>
          <w:noProof/>
          <w:sz w:val="24"/>
          <w:vertAlign w:val="superscript"/>
        </w:rPr>
        <w:footnoteReference w:id="49"/>
      </w:r>
      <w:r>
        <w:rPr>
          <w:rFonts w:ascii="Times New Roman" w:hAnsi="Times New Roman"/>
          <w:noProof/>
          <w:sz w:val="24"/>
        </w:rPr>
        <w:t>.</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Vairāki VKRJ minēja problēmas saistībā ar piekļuves uzlabošanu tiesiskajai aizsardzībai un izpratnes par tiesībām uzlabošanu</w:t>
      </w:r>
      <w:r>
        <w:rPr>
          <w:rFonts w:ascii="Times New Roman" w:hAnsi="Times New Roman"/>
          <w:noProof/>
          <w:sz w:val="24"/>
          <w:vertAlign w:val="superscript"/>
        </w:rPr>
        <w:footnoteReference w:id="50"/>
      </w:r>
      <w:r>
        <w:rPr>
          <w:rFonts w:ascii="Times New Roman" w:hAnsi="Times New Roman"/>
          <w:noProof/>
          <w:sz w:val="24"/>
        </w:rPr>
        <w:t>, kā arī grūtības stereotipu apkarošanas</w:t>
      </w:r>
      <w:r>
        <w:rPr>
          <w:rFonts w:ascii="Times New Roman" w:hAnsi="Times New Roman"/>
          <w:noProof/>
          <w:sz w:val="24"/>
          <w:vertAlign w:val="superscript"/>
        </w:rPr>
        <w:footnoteReference w:id="51"/>
      </w:r>
      <w:r>
        <w:rPr>
          <w:rFonts w:ascii="Times New Roman" w:hAnsi="Times New Roman"/>
          <w:noProof/>
          <w:sz w:val="24"/>
        </w:rPr>
        <w:t xml:space="preserve"> un romu sieviešu un bērnu stāvokļa uzlabošanas kontekstā</w:t>
      </w:r>
      <w:r>
        <w:rPr>
          <w:rFonts w:ascii="Times New Roman" w:hAnsi="Times New Roman"/>
          <w:noProof/>
          <w:sz w:val="24"/>
          <w:vertAlign w:val="superscript"/>
        </w:rPr>
        <w:footnoteReference w:id="52"/>
      </w:r>
      <w:r>
        <w:rPr>
          <w:rFonts w:ascii="Times New Roman" w:hAnsi="Times New Roman"/>
          <w:noProof/>
          <w:sz w:val="24"/>
        </w:rPr>
        <w:t>. Tikai tas vien, ka vairākas dalībvalstis</w:t>
      </w:r>
      <w:r>
        <w:rPr>
          <w:rFonts w:ascii="Times New Roman" w:hAnsi="Times New Roman"/>
          <w:noProof/>
          <w:sz w:val="24"/>
          <w:vertAlign w:val="superscript"/>
        </w:rPr>
        <w:footnoteReference w:id="53"/>
      </w:r>
      <w:r>
        <w:rPr>
          <w:rFonts w:ascii="Times New Roman" w:hAnsi="Times New Roman"/>
          <w:noProof/>
          <w:sz w:val="24"/>
        </w:rPr>
        <w:t> —, tostarp dažas, kurās dzīvo lielas romu kopienas, un dažas, kurās ir ļoti augsts redzamās romu diskriminācijas līmenis, — neziņoja ne par kādiem diskriminācijas novēršanas pasākumiem, uzsver problēmu nopietnību šajā jomā.</w:t>
      </w:r>
    </w:p>
    <w:p>
      <w:pPr>
        <w:pStyle w:val="ListParagraph"/>
        <w:keepNext/>
        <w:numPr>
          <w:ilvl w:val="0"/>
          <w:numId w:val="18"/>
        </w:numPr>
        <w:spacing w:before="180" w:after="120"/>
        <w:ind w:right="-142"/>
        <w:outlineLvl w:val="2"/>
        <w:rPr>
          <w:rFonts w:ascii="Times New Roman" w:eastAsia="MS Mincho" w:hAnsi="Times New Roman" w:cs="Times New Roman"/>
          <w:i/>
          <w:noProof/>
        </w:rPr>
      </w:pPr>
      <w:r>
        <w:rPr>
          <w:rFonts w:ascii="Times New Roman" w:hAnsi="Times New Roman"/>
          <w:i/>
          <w:noProof/>
        </w:rPr>
        <w:t>Politikas apguve</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 xml:space="preserve">Pieredze, kas gūta, īstenojot romu iekļaušanas pasākumus, rāda, ka, lai varētu īstenot ilgtermiņa pārmaiņas jebkurā no minētajām politikas jomām, ir jānovērš pret romiem vērsts noskaņojums un romu diskriminācija un ir jāveido uzticēšanās starp romiem un citas izcelsmes personu kopienām. Lai gūtu panākumus, romu iekļaušanas pasākumiem visās politikas jomās ir jābūt saistītiem ar kopējām vērtībām un ir jāietver plašai sabiedrībai paredzētas izpratnes veidošanas darbības. Lai apkarotu stereotipus, naida runu un naida noziegumus, ir nepieciešams, lai plašai sabiedrībai tiktu sniegti pozitīvi romu apraksti un tiktu stiprināta romu identitāte, īstenojot īpašus mērķorientētus pasākumus pret romiem vērsta noskaņojuma apkarošanai un romu vēstures (tostarp holokausta) atzīšanas sekmēšanai. Visveiksmīgākie pasākumi ne tikai ir saskaņoti ar vispārējām struktūrām un politiku, bet drīzāk pārveido tās, apkarojot aizspriedumus un stereotipus un veidojot pozitīvu romu tēlu politikas veidotāju un citu ieinteresēto personu vidū. </w:t>
      </w:r>
    </w:p>
    <w:tbl>
      <w:tblPr>
        <w:tblStyle w:val="TableGrid"/>
        <w:tblW w:w="9752" w:type="dxa"/>
        <w:tblInd w:w="-5" w:type="dxa"/>
        <w:tblLook w:val="04A0" w:firstRow="1" w:lastRow="0" w:firstColumn="1" w:lastColumn="0" w:noHBand="0" w:noVBand="1"/>
      </w:tblPr>
      <w:tblGrid>
        <w:gridCol w:w="6492"/>
        <w:gridCol w:w="3260"/>
      </w:tblGrid>
      <w:tr>
        <w:tc>
          <w:tcPr>
            <w:tcW w:w="6492"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Daudzsološas pieejas</w:t>
            </w:r>
          </w:p>
        </w:tc>
        <w:tc>
          <w:tcPr>
            <w:tcW w:w="3260"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rPr>
              <w:t>Prioritātes, kurām jāpievēršas</w:t>
            </w:r>
          </w:p>
        </w:tc>
      </w:tr>
      <w:tr>
        <w:tc>
          <w:tcPr>
            <w:tcW w:w="6492"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AT:</w:t>
            </w:r>
            <w:r>
              <w:rPr>
                <w:rFonts w:ascii="Times New Roman" w:hAnsi="Times New Roman"/>
                <w:noProof/>
                <w:sz w:val="19"/>
              </w:rPr>
              <w:t xml:space="preserve"> pateicoties rezultātiem, kas tika gūti tiešsaistes apspriešanā par RIVS, tika pastiprināti centieni mazināt pret romiem vērstu noskaņojumu. Pret romiem vērsta noskaņojuma apkarošana kļuva par prioritāti pārskatītajā stratēģijā un par specializēta pasākuma galveno mērķi Austrijas ES prezidentūras laikā </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DE:</w:t>
            </w:r>
            <w:r>
              <w:rPr>
                <w:rFonts w:ascii="Times New Roman" w:hAnsi="Times New Roman"/>
                <w:noProof/>
                <w:sz w:val="19"/>
              </w:rPr>
              <w:t xml:space="preserve"> ir izveidota neatkarīga ekspertu komisija pret romiem vērsta noskaņojuma apkarošanas jautājumos ar mērķi sniegt valdībai konkrētus ieteikumus saistībā ar sintu un romu vēsturi Vācijā, viņu vajāšanu un diskrimināciju, kā arī ieteikumus pret romiem vērsta noskaņojuma novēršanai mūsdienās.</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Romu holokausta atzīšana un rasisma novēršanas komitejas izveide, nodrošinot romu līdzdalību (</w:t>
            </w:r>
            <w:r>
              <w:rPr>
                <w:rFonts w:ascii="Times New Roman" w:hAnsi="Times New Roman"/>
                <w:b/>
                <w:noProof/>
                <w:sz w:val="19"/>
              </w:rPr>
              <w:t>SK</w:t>
            </w:r>
            <w:r>
              <w:rPr>
                <w:rFonts w:ascii="Times New Roman" w:hAnsi="Times New Roman"/>
                <w:noProof/>
                <w:sz w:val="19"/>
              </w:rPr>
              <w:t>); pieminekļi, izstādes un tiešsaistes platforma romu holokausta upuru piemiņai (</w:t>
            </w:r>
            <w:r>
              <w:rPr>
                <w:rFonts w:ascii="Times New Roman" w:hAnsi="Times New Roman"/>
                <w:b/>
                <w:noProof/>
                <w:sz w:val="19"/>
              </w:rPr>
              <w:t>NL</w:t>
            </w:r>
            <w:r>
              <w:rPr>
                <w:rFonts w:ascii="Times New Roman" w:hAnsi="Times New Roman"/>
                <w:noProof/>
                <w:sz w:val="19"/>
              </w:rPr>
              <w:t>); ikgadēja Eiropas romu holokausta upuru piemiņas dienas ceremonija Aušvicas-Birkenavas koncentrācijas nometnē (</w:t>
            </w:r>
            <w:r>
              <w:rPr>
                <w:rFonts w:ascii="Times New Roman" w:hAnsi="Times New Roman"/>
                <w:b/>
                <w:noProof/>
                <w:sz w:val="19"/>
              </w:rPr>
              <w:t>PL</w:t>
            </w:r>
            <w:r>
              <w:rPr>
                <w:rFonts w:ascii="Times New Roman" w:hAnsi="Times New Roman"/>
                <w:noProof/>
                <w:sz w:val="19"/>
              </w:rPr>
              <w:t>); Romu vēstures un mākslas muzejs un kompensācija piespiedu darba upuriem (</w:t>
            </w:r>
            <w:r>
              <w:rPr>
                <w:rFonts w:ascii="Times New Roman" w:hAnsi="Times New Roman"/>
                <w:b/>
                <w:noProof/>
                <w:sz w:val="19"/>
              </w:rPr>
              <w:t>LV</w:t>
            </w:r>
            <w:r>
              <w:rPr>
                <w:rFonts w:ascii="Times New Roman" w:hAnsi="Times New Roman"/>
                <w:noProof/>
                <w:sz w:val="19"/>
              </w:rPr>
              <w:t>)</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CZ:</w:t>
            </w:r>
            <w:r>
              <w:rPr>
                <w:rFonts w:ascii="Times New Roman" w:hAnsi="Times New Roman"/>
                <w:noProof/>
                <w:sz w:val="19"/>
              </w:rPr>
              <w:t xml:space="preserve"> valdība iegādājās cūku audzēšanas saimniecību, kas atradās bijušās koncentrācijas nometnes vietā </w:t>
            </w:r>
            <w:r>
              <w:rPr>
                <w:rFonts w:ascii="Times New Roman" w:hAnsi="Times New Roman"/>
                <w:i/>
                <w:noProof/>
                <w:sz w:val="19"/>
              </w:rPr>
              <w:t>Lety u Písku</w:t>
            </w:r>
            <w:r>
              <w:rPr>
                <w:rFonts w:ascii="Times New Roman" w:hAnsi="Times New Roman"/>
                <w:noProof/>
                <w:sz w:val="19"/>
              </w:rPr>
              <w:t>. Ar EEZ dotāciju atbalstu tiks uzbūvēts romu holokausta upuriem veltīts memoriāls</w:t>
            </w:r>
          </w:p>
          <w:p>
            <w:pPr>
              <w:keepNext/>
              <w:keepLines/>
              <w:pageBreakBefore/>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SE:</w:t>
            </w:r>
            <w:r>
              <w:rPr>
                <w:rFonts w:ascii="Times New Roman" w:hAnsi="Times New Roman"/>
                <w:noProof/>
                <w:sz w:val="19"/>
              </w:rPr>
              <w:t xml:space="preserve"> pret romiem vērsta noskaņojuma apkarošanas komisijas darba rezultātā tika atzīts, ka vēsturiski pastāvēja un joprojām pastāv pret romiem vērsts noskaņojums; īpašas policijas vienības apkaro naida noziegumus sadarbībā ar minoritātēm, tostarp romiem</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ES:</w:t>
            </w:r>
            <w:r>
              <w:rPr>
                <w:rFonts w:ascii="Times New Roman" w:hAnsi="Times New Roman"/>
                <w:noProof/>
                <w:sz w:val="19"/>
              </w:rPr>
              <w:t xml:space="preserve"> Romu kultūras institūta un reģionālo valdību (iesaistot romu pilsonisko sabiedrību) vadītas kampaņas stereotipu apkarošanai un romu kultūras izplatīšanai; Madrides, Barselonas, Malagas, Seviljas un Kordovas advokātu asociāciju sniegts bezmaksas juridiskā atbalsta pakalpojums diskriminācijas un naida noziegumu upuriem; prokurors, kura specializācija ir naida noziegumi un diskriminācija Spānijas provincēs</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IT:</w:t>
            </w:r>
            <w:r>
              <w:rPr>
                <w:rFonts w:ascii="Times New Roman" w:hAnsi="Times New Roman"/>
                <w:noProof/>
                <w:sz w:val="19"/>
              </w:rPr>
              <w:t xml:space="preserve"> vienlīdzību veicinošā struktūra (un VKRJ) izveidoja tādu kontaktcentru sūdzībām par naida noziegumiem, kas sniedz atbalstu un juridisku palīdzību upuriem, un plašsaziņas līdzekļu un interneta novērošanas centru, kas sniedz apmācību romu un citas izcelsmes jauniešiem ar mērķi uzraudzīt un novērst naida runu vai ziņot par to </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FI:</w:t>
            </w:r>
            <w:r>
              <w:rPr>
                <w:rFonts w:ascii="Times New Roman" w:hAnsi="Times New Roman"/>
                <w:noProof/>
                <w:sz w:val="19"/>
              </w:rPr>
              <w:t xml:space="preserve"> NVO (iesaistot romus) organizētas diskriminācijas novēršanas kampaņas pret naida noziegumiem un naida runu; romu izpratnes veidošana par dzimtes lomām ģimenē; obligāta vienlīdzības plānošana, ko veic pašvaldības un lielāki darba devēji un pārrauga Diskriminācijas novēršanas ombuda birojs</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IE:</w:t>
            </w:r>
            <w:r>
              <w:rPr>
                <w:rFonts w:ascii="Times New Roman" w:hAnsi="Times New Roman"/>
                <w:noProof/>
                <w:sz w:val="19"/>
              </w:rPr>
              <w:t xml:space="preserve"> Īrijas policijas ētikas kodekss ar īpašu atsauci uz nomadu kopienas diskriminācijas apkarošanu; 277 etnisko sadarbības koordinatoru norīkošana ar mērķi veidot uzticēšanos starp nomadiem un policiju</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rPr>
              <w:t>CZ, EL, HU SK, RO:</w:t>
            </w:r>
            <w:r>
              <w:rPr>
                <w:rFonts w:ascii="Times New Roman" w:hAnsi="Times New Roman"/>
                <w:noProof/>
                <w:sz w:val="19"/>
              </w:rPr>
              <w:t xml:space="preserve"> tādu sociāli atstumtu / romu kopienu kartēšana, kuras var izmantot, plānojot intervences pasākumus, tostarp no ESI fondiem finansētos pasākumus</w:t>
            </w:r>
          </w:p>
          <w:p>
            <w:pPr>
              <w:numPr>
                <w:ilvl w:val="0"/>
                <w:numId w:val="11"/>
              </w:numPr>
              <w:spacing w:before="60" w:after="60"/>
              <w:ind w:left="154" w:hanging="173"/>
              <w:jc w:val="both"/>
              <w:rPr>
                <w:rFonts w:ascii="Times New Roman" w:eastAsia="MS Mincho" w:hAnsi="Times New Roman" w:cs="Times New Roman"/>
                <w:noProof/>
                <w:sz w:val="19"/>
                <w:szCs w:val="19"/>
              </w:rPr>
            </w:pPr>
            <w:r>
              <w:rPr>
                <w:rFonts w:ascii="Times New Roman" w:hAnsi="Times New Roman"/>
                <w:b/>
                <w:noProof/>
                <w:sz w:val="19"/>
              </w:rPr>
              <w:t>UK:</w:t>
            </w:r>
            <w:r>
              <w:rPr>
                <w:rFonts w:ascii="Times New Roman" w:hAnsi="Times New Roman"/>
                <w:noProof/>
                <w:sz w:val="19"/>
              </w:rPr>
              <w:t xml:space="preserve"> objekts tiešsaistes ziņošanai par naida noziegumiem</w:t>
            </w:r>
          </w:p>
        </w:tc>
        <w:tc>
          <w:tcPr>
            <w:tcW w:w="3260"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Sagatavot etniski sadalītu (anonimizētu) datu apkopojumu ar mērķi pārraudzīt pret romiem vērstu noskaņojumu, diskrimināciju un publiskās politikas ietekmi uz romiem</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Izstrādāt pasākumus ar mērķi apkarot un pārraudzīt pret romiem vērstu noskaņojumu, naida noziegumus un naida runu, veidot izpratni par tiem un piemērot sankcijas par tiem (saistībā ar plašākām rasisma novēršanas stratēģijām), iesaistot romu pilsonisko sabiedrību un pievēršoties sabiedrībai kopumā</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Nodrošināt līdztiesības likumu izpildi un novērst diskriminējošu attieksmi, ko īsteno tiesībaizsardzības iestādes un citas publiskās iestādes, veicot rūpīgu izpēti, piemērojot atturošas sankcijas, izraisot interesi un īstenojot apmācību par diskriminācijas novēršanu</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Atbalstīt tiesu iestāžu pieejamību romiem, īpaši pievēršoties daudzkārtējas diskriminācijas upuriem (sievietēm, LGBTI (lesbietēm, gejiem, biseksuāļiem, transpersonām un interseksuāļiem), romiem, kuri nav attiecīgās valsts pilsoņi), un stiprināt vienlīdzību veicinošo struktūru spējas novērst romu diskrimināciju</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Izveidot romu vadītas patiesības un izlīguma procedūras ar mērķi izpētīt un dokumentēt agrākus pārkāpumus pret romiem un veidot izpratni par tiem, kā arī sekmēt uzticēšanos un izlīgumu</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Nodrošināt iespējas romiem pilnvērtīgi piedalīties politiskajā, kultūras un sociālajā dzīvē un visos politikas procesa posmos</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 xml:space="preserve">Ievērot holistisku, dzimumam un bērniem piemērotu pieeju; apkarot vardarbīgu izturēšanos pret bērnu, agrīnas laulības, ubagošanu, kurā iesaistīti bērni (īstenojot tiesību aktus, ar ko aizsargā bērna tiesības), vardarbību, tostarp cilvēku tirdzniecību </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rPr>
              <w:t>Mazināt ubagošanas sociālās izmaksas un saglabāt cilvēka cieņu</w:t>
            </w:r>
          </w:p>
        </w:tc>
      </w:tr>
    </w:tbl>
    <w:p>
      <w:pPr>
        <w:spacing w:before="180" w:after="60" w:line="240" w:lineRule="auto"/>
        <w:ind w:right="-142"/>
        <w:outlineLvl w:val="1"/>
        <w:rPr>
          <w:rFonts w:ascii="Times New Roman" w:eastAsia="MS Mincho" w:hAnsi="Times New Roman" w:cs="Times New Roman"/>
          <w:b/>
          <w:bCs/>
          <w:smallCaps/>
          <w:noProof/>
          <w:sz w:val="24"/>
          <w:szCs w:val="24"/>
        </w:rPr>
      </w:pPr>
      <w:r>
        <w:rPr>
          <w:rFonts w:ascii="Times New Roman" w:hAnsi="Times New Roman"/>
          <w:b/>
          <w:smallCaps/>
          <w:noProof/>
          <w:sz w:val="24"/>
        </w:rPr>
        <w:t>III. Romu iekļaušana paplašināšanās reģionā</w:t>
      </w:r>
    </w:p>
    <w:p>
      <w:pPr>
        <w:spacing w:after="120" w:line="240" w:lineRule="auto"/>
        <w:ind w:right="-142"/>
        <w:jc w:val="both"/>
        <w:rPr>
          <w:rFonts w:ascii="Times New Roman" w:eastAsia="MS Mincho" w:hAnsi="Times New Roman" w:cs="Times New Roman"/>
          <w:noProof/>
          <w:sz w:val="24"/>
          <w:szCs w:val="24"/>
        </w:rPr>
      </w:pPr>
      <w:r>
        <w:rPr>
          <w:rFonts w:ascii="Times New Roman" w:hAnsi="Times New Roman"/>
          <w:noProof/>
          <w:sz w:val="24"/>
        </w:rPr>
        <w:t>Rietumbalkānu valstis, pārsniedzot gaidīto un pilnvaras</w:t>
      </w:r>
      <w:r>
        <w:rPr>
          <w:rFonts w:ascii="Cambria" w:hAnsi="Cambria"/>
          <w:noProof/>
          <w:sz w:val="24"/>
          <w:vertAlign w:val="superscript"/>
        </w:rPr>
        <w:footnoteReference w:id="54"/>
      </w:r>
      <w:r>
        <w:rPr>
          <w:rFonts w:ascii="Times New Roman" w:hAnsi="Times New Roman"/>
          <w:noProof/>
          <w:sz w:val="24"/>
        </w:rPr>
        <w:t>, palielināja savu mērķu vērienīgumu un apstiprināja tādus pašus romu iekļaušanas mērķus un darba metodes</w:t>
      </w:r>
      <w:r>
        <w:rPr>
          <w:rFonts w:ascii="Times New Roman" w:hAnsi="Times New Roman"/>
          <w:noProof/>
          <w:sz w:val="24"/>
          <w:vertAlign w:val="superscript"/>
        </w:rPr>
        <w:footnoteReference w:id="55"/>
      </w:r>
      <w:r>
        <w:rPr>
          <w:rFonts w:ascii="Times New Roman" w:hAnsi="Times New Roman"/>
          <w:noProof/>
          <w:sz w:val="24"/>
        </w:rPr>
        <w:t xml:space="preserve"> kā dalībvalstis. Lai panāktu progresu virzībā uz ES, ir nepieciešami stabili un ilgtspējīgi uzlabojumi romu integrācijas jomā. Lai ņemtu vērā iepriekšējo pievienošanās gadījumu ietekmi, jo īpaši personu brīvas pārvietošanās jomā, progress romu integrācijas jomā pirmo reizi kā pilnvērtīgs elements tiek iekļauts notiekošajās pievienošanās procesa sarunās attiecībā uz 23. nodaļu “Tiesu sistēma un pamattiesības”. 2017. gada apsekojumā par romu sociāli ekonomisko situāciju Rietumbalkānu valstīs iegūtie rezultāti ļāva partneriem identificēt jaunus uzdevumus, piemēram, ir jāuzlabo atbalsts to personu veiksmīgai reintegrācijai, kuras atgriežas reģionā, un ir jāizveido stabils pamats prasību definēšanai turpmākajā politikā attiecībā uz romiem. Pirmo reizi šā ziņojuma īpašā pielikumā ir pievērsta uzmanība jautājumam par romu iekļaušanu paplašināšanās reģionā, sniedzot gan detalizētu horizontālo informāciju, gan informāciju par situāciju katrā valstī.</w:t>
      </w:r>
    </w:p>
    <w:p>
      <w:pPr>
        <w:spacing w:before="240" w:after="120" w:line="240" w:lineRule="auto"/>
        <w:ind w:right="-142"/>
        <w:outlineLvl w:val="0"/>
        <w:rPr>
          <w:rFonts w:ascii="Times New Roman" w:eastAsia="MS Mincho" w:hAnsi="Times New Roman" w:cs="Times New Roman"/>
          <w:b/>
          <w:bCs/>
          <w:smallCaps/>
          <w:noProof/>
          <w:sz w:val="24"/>
          <w:szCs w:val="24"/>
        </w:rPr>
      </w:pPr>
      <w:r>
        <w:rPr>
          <w:rFonts w:ascii="Times New Roman" w:hAnsi="Times New Roman"/>
          <w:b/>
          <w:smallCaps/>
          <w:noProof/>
          <w:sz w:val="24"/>
        </w:rPr>
        <w:t>IV. Secinājumi</w:t>
      </w:r>
    </w:p>
    <w:p>
      <w:pPr>
        <w:spacing w:after="120" w:line="240" w:lineRule="auto"/>
        <w:ind w:right="-142"/>
        <w:jc w:val="both"/>
        <w:rPr>
          <w:rFonts w:ascii="Times New Roman" w:hAnsi="Times New Roman"/>
          <w:noProof/>
        </w:rPr>
      </w:pPr>
      <w:r>
        <w:rPr>
          <w:rFonts w:ascii="Times New Roman" w:hAnsi="Times New Roman"/>
          <w:noProof/>
          <w:sz w:val="24"/>
        </w:rPr>
        <w:t xml:space="preserve">Romu iekļaušanas pasākumu pārskatā ir uzsvērta nepieciešamība ar aktīvu romu līdzdalību identificēt un attīstīt šādus intervences pasākumus: pasākumus, kas paredzēti tam, lai reaģētu uz problēmām, un kas ir samērīgi ar problēmu mērogu; pasākumus, kuru rezultātā ir paredzēts iegūt izmērāmus rezultātus; un pasākumus, kas ietver reālistiskas iespējas nodrošināt pieņemšanu sabiedrībā kopumā. </w:t>
      </w:r>
      <w:r>
        <w:rPr>
          <w:rFonts w:ascii="Times New Roman" w:hAnsi="Times New Roman"/>
          <w:b/>
          <w:noProof/>
        </w:rPr>
        <w:t>Panākumu gūšanas faktori</w:t>
      </w:r>
      <w:r>
        <w:rPr>
          <w:rFonts w:ascii="Times New Roman" w:hAnsi="Times New Roman"/>
          <w:noProof/>
        </w:rPr>
        <w:t xml:space="preserve"> romu iekļaušanas intervences pasākumu plānošanas, īstenošanas un pārraudzības kontekstā ir šādi:</w:t>
      </w:r>
    </w:p>
    <w:p>
      <w:pPr>
        <w:spacing w:after="120" w:line="240" w:lineRule="auto"/>
        <w:ind w:right="-142"/>
        <w:jc w:val="both"/>
        <w:rPr>
          <w:rFonts w:ascii="Times New Roman" w:hAnsi="Times New Roman"/>
          <w:noProof/>
        </w:rPr>
      </w:pP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noProof/>
          <w:lang w:eastAsia="en-US" w:bidi="ar-SA"/>
        </w:rPr>
        <w:t xml:space="preserve">pietiekams </w:t>
      </w:r>
      <w:r>
        <w:rPr>
          <w:rFonts w:ascii="Times New Roman" w:eastAsia="MS Mincho" w:hAnsi="Times New Roman" w:cs="Times New Roman"/>
          <w:b/>
          <w:noProof/>
          <w:lang w:eastAsia="en-US" w:bidi="ar-SA"/>
        </w:rPr>
        <w:t>laiks</w:t>
      </w:r>
      <w:r>
        <w:rPr>
          <w:rFonts w:ascii="Times New Roman" w:eastAsia="MS Mincho" w:hAnsi="Times New Roman" w:cs="Times New Roman"/>
          <w:noProof/>
          <w:lang w:eastAsia="en-US" w:bidi="ar-SA"/>
        </w:rPr>
        <w:t xml:space="preserve"> ne vien īstenošanai, bet arī plānošanai, apspriešanai, ieinteresēto personu iesaistīšanai, uzticēšanās veidošanai kopienās, pārraudzībai, izvērtēšanai un politikas pārskatīšanai;</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noProof/>
          <w:lang w:eastAsia="en-US" w:bidi="ar-SA"/>
        </w:rPr>
        <w:t xml:space="preserve">stabilu </w:t>
      </w:r>
      <w:r>
        <w:rPr>
          <w:rFonts w:ascii="Times New Roman" w:eastAsia="MS Mincho" w:hAnsi="Times New Roman" w:cs="Times New Roman"/>
          <w:b/>
          <w:noProof/>
          <w:lang w:eastAsia="en-US" w:bidi="ar-SA"/>
        </w:rPr>
        <w:t>datu</w:t>
      </w:r>
      <w:r>
        <w:rPr>
          <w:rFonts w:ascii="Times New Roman" w:eastAsia="MS Mincho" w:hAnsi="Times New Roman" w:cs="Times New Roman"/>
          <w:noProof/>
          <w:lang w:eastAsia="en-US" w:bidi="ar-SA"/>
        </w:rPr>
        <w:t xml:space="preserve"> sistemātiska apkopošana, iedalot pēc dzimuma un vecuma, ar mērķi informēt par vajadzībām un analizēt kontekstu, veidot pamatscenāriju, noteikt mērķus un fiksēt iznākuma un ietekmes rādītājus;</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b/>
          <w:noProof/>
          <w:lang w:eastAsia="en-US" w:bidi="ar-SA"/>
        </w:rPr>
        <w:t>mērķtiecīgu intervences pasākumu</w:t>
      </w:r>
      <w:r>
        <w:rPr>
          <w:rFonts w:ascii="Times New Roman" w:eastAsia="MS Mincho" w:hAnsi="Times New Roman" w:cs="Times New Roman"/>
          <w:noProof/>
          <w:lang w:eastAsia="en-US" w:bidi="ar-SA"/>
        </w:rPr>
        <w:t xml:space="preserve"> </w:t>
      </w:r>
      <w:r>
        <w:rPr>
          <w:rFonts w:ascii="Times New Roman" w:eastAsia="MS Mincho" w:hAnsi="Times New Roman" w:cs="Times New Roman"/>
          <w:b/>
          <w:noProof/>
          <w:lang w:eastAsia="en-US" w:bidi="ar-SA"/>
        </w:rPr>
        <w:t>iekļaušana vispārējā politikā un tiesiskajā regulējumā</w:t>
      </w:r>
      <w:r>
        <w:rPr>
          <w:rFonts w:ascii="Times New Roman" w:eastAsia="MS Mincho" w:hAnsi="Times New Roman" w:cs="Times New Roman"/>
          <w:noProof/>
          <w:lang w:eastAsia="en-US" w:bidi="ar-SA"/>
        </w:rPr>
        <w:t>, lai nodrošinātu, ka tie ir īslaicīgi un veicina romu efektīvu vienlīdzīgu piekļuvi vispārējiem pakalpojumiem, nevis ka tiek izveidotas pastāvīgas paralēlas struktūras;</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noProof/>
          <w:lang w:eastAsia="en-US" w:bidi="ar-SA"/>
        </w:rPr>
        <w:t xml:space="preserve">spēcīga </w:t>
      </w:r>
      <w:r>
        <w:rPr>
          <w:rFonts w:ascii="Times New Roman" w:eastAsia="MS Mincho" w:hAnsi="Times New Roman" w:cs="Times New Roman"/>
          <w:b/>
          <w:noProof/>
          <w:lang w:eastAsia="en-US" w:bidi="ar-SA"/>
        </w:rPr>
        <w:t>vairāku ieinteresēto personu partnerība</w:t>
      </w:r>
      <w:r>
        <w:rPr>
          <w:rFonts w:ascii="Times New Roman" w:eastAsia="MS Mincho" w:hAnsi="Times New Roman" w:cs="Times New Roman"/>
          <w:noProof/>
          <w:lang w:eastAsia="en-US" w:bidi="ar-SA"/>
        </w:rPr>
        <w:t xml:space="preserve"> ar mērķi nodrošināt līdzdalību, kopīgu atbildību un ilgtspēju</w:t>
      </w:r>
      <w:r>
        <w:rPr>
          <w:rFonts w:ascii="Times New Roman" w:eastAsia="MS Mincho" w:hAnsi="Times New Roman" w:cs="Times New Roman"/>
          <w:noProof/>
          <w:lang w:val="en-GB" w:eastAsia="en-US" w:bidi="ar-SA"/>
        </w:rPr>
        <w:footnoteReference w:id="56"/>
      </w:r>
      <w:r>
        <w:rPr>
          <w:rFonts w:ascii="Times New Roman" w:eastAsia="MS Mincho" w:hAnsi="Times New Roman" w:cs="Times New Roman"/>
          <w:noProof/>
          <w:lang w:eastAsia="en-US" w:bidi="ar-SA"/>
        </w:rPr>
        <w:t>;</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b/>
          <w:noProof/>
          <w:lang w:eastAsia="en-US" w:bidi="ar-SA"/>
        </w:rPr>
        <w:t>romu</w:t>
      </w:r>
      <w:r>
        <w:rPr>
          <w:rFonts w:ascii="Times New Roman" w:eastAsia="MS Mincho" w:hAnsi="Times New Roman" w:cs="Times New Roman"/>
          <w:noProof/>
          <w:lang w:eastAsia="en-US" w:bidi="ar-SA"/>
        </w:rPr>
        <w:t xml:space="preserve"> un visu ieinteresēto personu </w:t>
      </w:r>
      <w:r>
        <w:rPr>
          <w:rFonts w:ascii="Times New Roman" w:eastAsia="MS Mincho" w:hAnsi="Times New Roman" w:cs="Times New Roman"/>
          <w:b/>
          <w:noProof/>
          <w:lang w:eastAsia="en-US" w:bidi="ar-SA"/>
        </w:rPr>
        <w:t>aktīva dalība</w:t>
      </w:r>
      <w:r>
        <w:rPr>
          <w:rFonts w:ascii="Times New Roman" w:eastAsia="MS Mincho" w:hAnsi="Times New Roman" w:cs="Times New Roman"/>
          <w:noProof/>
          <w:lang w:eastAsia="en-US" w:bidi="ar-SA"/>
        </w:rPr>
        <w:t xml:space="preserve"> visos posmos (plānošanā, īstenošanā, pārraudzībā, izvērtēšanā un politikas pārskatīšanā);</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b/>
          <w:noProof/>
          <w:lang w:eastAsia="en-US" w:bidi="ar-SA"/>
        </w:rPr>
        <w:t>kombinētas, starpnozaru, integrētas</w:t>
      </w:r>
      <w:r>
        <w:rPr>
          <w:rFonts w:ascii="Times New Roman" w:eastAsia="MS Mincho" w:hAnsi="Times New Roman" w:cs="Times New Roman"/>
          <w:noProof/>
          <w:lang w:eastAsia="en-US" w:bidi="ar-SA"/>
        </w:rPr>
        <w:t xml:space="preserve"> pieejas ar mērķi novērst daudzkārtēju diskrimināciju un daudzējādu atstumtību;</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b/>
          <w:noProof/>
          <w:lang w:eastAsia="en-US" w:bidi="ar-SA"/>
        </w:rPr>
        <w:t>dzimumam un bērniem piemērota</w:t>
      </w:r>
      <w:r>
        <w:rPr>
          <w:rFonts w:ascii="Times New Roman" w:eastAsia="MS Mincho" w:hAnsi="Times New Roman" w:cs="Times New Roman"/>
          <w:noProof/>
          <w:lang w:eastAsia="en-US" w:bidi="ar-SA"/>
        </w:rPr>
        <w:t xml:space="preserve"> pieeja: plānošana, balstoties uz romu sieviešu un bērnu vajadzību analīzi, visaptveroša pieeja un pastāvīgs atbalsts, jo īpaši kritisku pāreju gadījumā;</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noProof/>
          <w:lang w:eastAsia="en-US" w:bidi="ar-SA"/>
        </w:rPr>
        <w:t xml:space="preserve">romu </w:t>
      </w:r>
      <w:r>
        <w:rPr>
          <w:rFonts w:ascii="Times New Roman" w:eastAsia="MS Mincho" w:hAnsi="Times New Roman" w:cs="Times New Roman"/>
          <w:b/>
          <w:noProof/>
          <w:lang w:eastAsia="en-US" w:bidi="ar-SA"/>
        </w:rPr>
        <w:t>daudzveidības</w:t>
      </w:r>
      <w:r>
        <w:rPr>
          <w:rFonts w:ascii="Times New Roman" w:eastAsia="MS Mincho" w:hAnsi="Times New Roman" w:cs="Times New Roman"/>
          <w:noProof/>
          <w:lang w:eastAsia="en-US" w:bidi="ar-SA"/>
        </w:rPr>
        <w:t xml:space="preserve"> atspoguļojums: apsvērt reālās vajadzības, nodrošināt intereses radīšanu par vietējo kontekstu un novērst izslēgšanas un diskriminācijas tendences, ar ko saskaras konkrētas romu kopienas;</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b/>
          <w:noProof/>
          <w:lang w:eastAsia="en-US" w:bidi="ar-SA"/>
        </w:rPr>
        <w:t>galējas nabadzības novēršana</w:t>
      </w:r>
      <w:r>
        <w:rPr>
          <w:rFonts w:ascii="Times New Roman" w:eastAsia="MS Mincho" w:hAnsi="Times New Roman" w:cs="Times New Roman"/>
          <w:noProof/>
          <w:lang w:eastAsia="en-US" w:bidi="ar-SA"/>
        </w:rPr>
        <w:t>, visaptverošos intervences pasākumos pievēršoties gan teritorijām, gan grupām ar mērķi veicināt ilgtermiņa pārmaiņas;</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b/>
          <w:noProof/>
          <w:lang w:eastAsia="en-US" w:bidi="ar-SA"/>
        </w:rPr>
        <w:t>skaidra, bet neizslēdzoša</w:t>
      </w:r>
      <w:r>
        <w:rPr>
          <w:rFonts w:ascii="Times New Roman" w:eastAsia="MS Mincho" w:hAnsi="Times New Roman" w:cs="Times New Roman"/>
          <w:noProof/>
          <w:lang w:eastAsia="en-US" w:bidi="ar-SA"/>
        </w:rPr>
        <w:t xml:space="preserve"> plānošana ar mērķi nodrošināt plašāka konteksta ņemšanu vērā un novērst aizvainojumu, ko varētu paust citas nelabvēlīgā situācijā esošas grupas;</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b/>
          <w:noProof/>
          <w:lang w:eastAsia="en-US" w:bidi="ar-SA"/>
        </w:rPr>
        <w:t>novēršanas</w:t>
      </w:r>
      <w:r>
        <w:rPr>
          <w:rFonts w:ascii="Times New Roman" w:eastAsia="MS Mincho" w:hAnsi="Times New Roman" w:cs="Times New Roman"/>
          <w:noProof/>
          <w:lang w:eastAsia="en-US" w:bidi="ar-SA"/>
        </w:rPr>
        <w:t xml:space="preserve"> un </w:t>
      </w:r>
      <w:r>
        <w:rPr>
          <w:rFonts w:ascii="Times New Roman" w:eastAsia="MS Mincho" w:hAnsi="Times New Roman" w:cs="Times New Roman"/>
          <w:b/>
          <w:noProof/>
          <w:lang w:eastAsia="en-US" w:bidi="ar-SA"/>
        </w:rPr>
        <w:t>agrīnas iejaukšanās</w:t>
      </w:r>
      <w:r>
        <w:rPr>
          <w:rFonts w:ascii="Times New Roman" w:eastAsia="MS Mincho" w:hAnsi="Times New Roman" w:cs="Times New Roman"/>
          <w:noProof/>
          <w:lang w:eastAsia="en-US" w:bidi="ar-SA"/>
        </w:rPr>
        <w:t xml:space="preserve"> darbību noteikšana par prioritāti ar mērķi nodrošināt izmaksu efektivitāti un radīt ilgtermiņa, ilgtspējīgas pārmaiņas;</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b/>
          <w:noProof/>
          <w:lang w:eastAsia="en-US" w:bidi="ar-SA"/>
        </w:rPr>
        <w:t>segregācijas novēršana</w:t>
      </w:r>
      <w:r>
        <w:rPr>
          <w:rFonts w:ascii="Times New Roman" w:eastAsia="MS Mincho" w:hAnsi="Times New Roman" w:cs="Times New Roman"/>
          <w:noProof/>
          <w:lang w:eastAsia="en-US" w:bidi="ar-SA"/>
        </w:rPr>
        <w:t xml:space="preserve"> (izglītības un mājokļu jomā) kā ilgtermiņa prioritāte — tā vietā, lai uzlabotu kvalitāti segregācijas apstākļos;</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b/>
          <w:noProof/>
          <w:lang w:eastAsia="en-US" w:bidi="ar-SA"/>
        </w:rPr>
        <w:t>pret romiem vērsta noskaņojuma atzīšana</w:t>
      </w:r>
      <w:r>
        <w:rPr>
          <w:rFonts w:ascii="Times New Roman" w:eastAsia="MS Mincho" w:hAnsi="Times New Roman" w:cs="Times New Roman"/>
          <w:noProof/>
          <w:lang w:eastAsia="en-US" w:bidi="ar-SA"/>
        </w:rPr>
        <w:t xml:space="preserve"> ar mērķi veicināt spēcīgu diskriminācijas novēršanas pieeju romu iekļaušanas intervences pasākumos visās jomās</w:t>
      </w:r>
      <w:r>
        <w:rPr>
          <w:rFonts w:ascii="Times New Roman" w:eastAsia="MS Mincho" w:hAnsi="Times New Roman" w:cs="Times New Roman"/>
          <w:noProof/>
          <w:lang w:val="en-GB" w:eastAsia="en-US" w:bidi="ar-SA"/>
        </w:rPr>
        <w:footnoteReference w:id="57"/>
      </w:r>
      <w:r>
        <w:rPr>
          <w:rFonts w:ascii="Times New Roman" w:eastAsia="MS Mincho" w:hAnsi="Times New Roman" w:cs="Times New Roman"/>
          <w:noProof/>
          <w:lang w:eastAsia="en-US" w:bidi="ar-SA"/>
        </w:rPr>
        <w:t>;</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b/>
          <w:noProof/>
          <w:lang w:eastAsia="en-US" w:bidi="ar-SA"/>
        </w:rPr>
        <w:t>zinātība</w:t>
      </w:r>
      <w:r>
        <w:rPr>
          <w:rFonts w:ascii="Times New Roman" w:eastAsia="MS Mincho" w:hAnsi="Times New Roman" w:cs="Times New Roman"/>
          <w:noProof/>
          <w:lang w:eastAsia="en-US" w:bidi="ar-SA"/>
        </w:rPr>
        <w:t xml:space="preserve"> ar mērķi nodrošināt kvalitatīvus, nediskriminējošus pakalpojumus;</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noProof/>
          <w:lang w:eastAsia="en-US" w:bidi="ar-SA"/>
        </w:rPr>
        <w:t xml:space="preserve">pilsoniskās sabiedrības, valsts pārvaldes un romu </w:t>
      </w:r>
      <w:r>
        <w:rPr>
          <w:rFonts w:ascii="Times New Roman" w:eastAsia="MS Mincho" w:hAnsi="Times New Roman" w:cs="Times New Roman"/>
          <w:b/>
          <w:noProof/>
          <w:lang w:eastAsia="en-US" w:bidi="ar-SA"/>
        </w:rPr>
        <w:t>spēju veidošana</w:t>
      </w:r>
      <w:r>
        <w:rPr>
          <w:rFonts w:ascii="Times New Roman" w:eastAsia="MS Mincho" w:hAnsi="Times New Roman" w:cs="Times New Roman"/>
          <w:noProof/>
          <w:lang w:eastAsia="en-US" w:bidi="ar-SA"/>
        </w:rPr>
        <w:t>;</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noProof/>
          <w:lang w:eastAsia="en-US" w:bidi="ar-SA"/>
        </w:rPr>
        <w:t xml:space="preserve">pamanāms, ilgtermiņa </w:t>
      </w:r>
      <w:r>
        <w:rPr>
          <w:rFonts w:ascii="Times New Roman" w:eastAsia="MS Mincho" w:hAnsi="Times New Roman" w:cs="Times New Roman"/>
          <w:b/>
          <w:noProof/>
          <w:lang w:eastAsia="en-US" w:bidi="ar-SA"/>
        </w:rPr>
        <w:t>politiskais</w:t>
      </w:r>
      <w:r>
        <w:rPr>
          <w:rFonts w:ascii="Times New Roman" w:eastAsia="MS Mincho" w:hAnsi="Times New Roman" w:cs="Times New Roman"/>
          <w:noProof/>
          <w:lang w:eastAsia="en-US" w:bidi="ar-SA"/>
        </w:rPr>
        <w:t xml:space="preserve"> un pietiekams </w:t>
      </w:r>
      <w:r>
        <w:rPr>
          <w:rFonts w:ascii="Times New Roman" w:eastAsia="MS Mincho" w:hAnsi="Times New Roman" w:cs="Times New Roman"/>
          <w:b/>
          <w:noProof/>
          <w:lang w:eastAsia="en-US" w:bidi="ar-SA"/>
        </w:rPr>
        <w:t>finansiālais atbalsts</w:t>
      </w:r>
      <w:r>
        <w:rPr>
          <w:rFonts w:ascii="Times New Roman" w:eastAsia="MS Mincho" w:hAnsi="Times New Roman" w:cs="Times New Roman"/>
          <w:noProof/>
          <w:lang w:eastAsia="en-US" w:bidi="ar-SA"/>
        </w:rPr>
        <w:t xml:space="preserve"> (tostarp piešķīrums no valsts budžeta) ar mērķi nodrošināt likumīga statusa piešķiršanu daudzsološai praksei un ilgtspējai;</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b/>
          <w:noProof/>
          <w:lang w:eastAsia="en-US" w:bidi="ar-SA"/>
        </w:rPr>
        <w:t>elastība</w:t>
      </w:r>
      <w:r>
        <w:rPr>
          <w:rFonts w:ascii="Times New Roman" w:eastAsia="MS Mincho" w:hAnsi="Times New Roman" w:cs="Times New Roman"/>
          <w:noProof/>
          <w:lang w:eastAsia="en-US" w:bidi="ar-SA"/>
        </w:rPr>
        <w:t xml:space="preserve"> ar mērķi nodrošināt panākumus, sniedzot iespējas īstenot politikas apguvi un pielāgošanu;</w:t>
      </w:r>
    </w:p>
    <w:p>
      <w:pPr>
        <w:pStyle w:val="ListParagraph"/>
        <w:numPr>
          <w:ilvl w:val="0"/>
          <w:numId w:val="14"/>
        </w:numPr>
        <w:spacing w:after="120"/>
        <w:ind w:left="720" w:right="-142"/>
        <w:jc w:val="both"/>
        <w:rPr>
          <w:rFonts w:ascii="Times New Roman" w:eastAsia="MS Mincho" w:hAnsi="Times New Roman" w:cs="Times New Roman"/>
          <w:noProof/>
          <w:lang w:eastAsia="en-US" w:bidi="ar-SA"/>
        </w:rPr>
      </w:pPr>
      <w:r>
        <w:rPr>
          <w:rFonts w:ascii="Times New Roman" w:eastAsia="MS Mincho" w:hAnsi="Times New Roman" w:cs="Times New Roman"/>
          <w:noProof/>
          <w:lang w:eastAsia="en-US" w:bidi="ar-SA"/>
        </w:rPr>
        <w:t xml:space="preserve">neatkarīga kvantitatīva un kvalitatīva </w:t>
      </w:r>
      <w:r>
        <w:rPr>
          <w:rFonts w:ascii="Times New Roman" w:eastAsia="MS Mincho" w:hAnsi="Times New Roman" w:cs="Times New Roman"/>
          <w:b/>
          <w:noProof/>
          <w:lang w:eastAsia="en-US" w:bidi="ar-SA"/>
        </w:rPr>
        <w:t>pārraudzība un novērtējums</w:t>
      </w:r>
      <w:r>
        <w:rPr>
          <w:rFonts w:ascii="Times New Roman" w:eastAsia="MS Mincho" w:hAnsi="Times New Roman" w:cs="Times New Roman"/>
          <w:noProof/>
          <w:lang w:eastAsia="en-US" w:bidi="ar-SA"/>
        </w:rPr>
        <w:t xml:space="preserve"> ar mērķi novērtēt progresu un nodrošināt politikas pārskatīšanu.</w:t>
      </w:r>
    </w:p>
    <w:sectPr>
      <w:headerReference w:type="even" r:id="rId28"/>
      <w:headerReference w:type="default" r:id="rId29"/>
      <w:footerReference w:type="even" r:id="rId30"/>
      <w:footerReference w:type="default" r:id="rId31"/>
      <w:headerReference w:type="first" r:id="rId32"/>
      <w:footerReference w:type="first" r:id="rId33"/>
      <w:pgSz w:w="11900" w:h="16840"/>
      <w:pgMar w:top="1134" w:right="1127" w:bottom="709"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14945061"/>
      <w:docPartObj>
        <w:docPartGallery w:val="Page Numbers (Bottom of Page)"/>
        <w:docPartUnique/>
      </w:docPartObj>
    </w:sdtPr>
    <w:sdtEndPr>
      <w:rPr>
        <w:noProof/>
      </w:rPr>
    </w:sdtEndPr>
    <w:sdtContent>
      <w:p>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noProof/>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1"/>
        <w:ind w:right="-99"/>
        <w:contextualSpacing/>
        <w:rPr>
          <w:sz w:val="18"/>
          <w:szCs w:val="18"/>
          <w:lang w:val="hu-HU"/>
        </w:rPr>
      </w:pPr>
      <w:r>
        <w:rPr>
          <w:rStyle w:val="FootnoteReference"/>
          <w:sz w:val="18"/>
        </w:rPr>
        <w:footnoteRef/>
      </w:r>
      <w:r>
        <w:rPr>
          <w:sz w:val="18"/>
        </w:rPr>
        <w:t xml:space="preserve"> </w:t>
      </w:r>
      <w:r>
        <w:rPr>
          <w:rFonts w:ascii="Times New Roman" w:hAnsi="Times New Roman"/>
          <w:sz w:val="18"/>
        </w:rPr>
        <w:t>COM(2011) 173 galīgā redakcija. Saskaņā ar Padomes secinājumiem (</w:t>
      </w:r>
      <w:r>
        <w:rPr>
          <w:rFonts w:ascii="Times New Roman" w:hAnsi="Times New Roman"/>
          <w:i/>
          <w:sz w:val="18"/>
        </w:rPr>
        <w:t>EPSCO</w:t>
      </w:r>
      <w:r>
        <w:rPr>
          <w:rFonts w:ascii="Times New Roman" w:hAnsi="Times New Roman"/>
          <w:sz w:val="18"/>
        </w:rPr>
        <w:t>, 106665/11), ar kuriem tika apstiprināta šī programma, dalībvalstīm bija jāpilnveido “romu iekļaušanas valsts stratēģijas vai integrētas politikas pasākumu kopas plašākā sociālās iekļaušanas politikā”. Termini “RIVS” un “stratēģija” arī aptver integrētas politikas pasākumu kopas.</w:t>
      </w:r>
    </w:p>
  </w:footnote>
  <w:footnote w:id="2">
    <w:p>
      <w:pPr>
        <w:pStyle w:val="FootnoteText1"/>
        <w:ind w:right="-99"/>
        <w:contextualSpacing/>
        <w:rPr>
          <w:sz w:val="18"/>
          <w:szCs w:val="18"/>
          <w:lang w:val="hu-HU"/>
        </w:rPr>
      </w:pPr>
      <w:r>
        <w:rPr>
          <w:rStyle w:val="FootnoteReference"/>
          <w:sz w:val="18"/>
        </w:rPr>
        <w:footnoteRef/>
      </w:r>
      <w:r>
        <w:rPr>
          <w:sz w:val="18"/>
        </w:rPr>
        <w:t xml:space="preserve"> </w:t>
      </w:r>
      <w:r>
        <w:rPr>
          <w:rFonts w:ascii="Times New Roman" w:hAnsi="Times New Roman"/>
          <w:sz w:val="18"/>
        </w:rPr>
        <w:t xml:space="preserve">COM(2018) 785 </w:t>
      </w:r>
      <w:r>
        <w:rPr>
          <w:rFonts w:ascii="Times New Roman" w:hAnsi="Times New Roman"/>
          <w:i/>
          <w:sz w:val="18"/>
        </w:rPr>
        <w:t>final</w:t>
      </w:r>
      <w:r>
        <w:rPr>
          <w:rFonts w:ascii="Times New Roman" w:hAnsi="Times New Roman"/>
          <w:sz w:val="18"/>
        </w:rPr>
        <w:t>. Termins “romi” tiek attiecināts uz vairākām dažādām grupām (piem., romiem, sintiem, kaliem, čigāniem, romanišeliem, bojašiem, aškaliem, “ēģiptiešiem”, jenišiem, domiem, lomiem, romiem, abdaliem), kā arī ietver nomadus, nenoliedzot minētajām grupām piemītošās īpatnības.</w:t>
      </w:r>
    </w:p>
  </w:footnote>
  <w:footnote w:id="3">
    <w:p>
      <w:pPr>
        <w:pStyle w:val="FootnoteText1"/>
        <w:ind w:right="-99"/>
        <w:contextualSpacing/>
        <w:rPr>
          <w:rFonts w:ascii="Times New Roman" w:hAnsi="Times New Roman" w:cs="Times New Roman"/>
          <w:sz w:val="18"/>
          <w:szCs w:val="18"/>
        </w:rPr>
      </w:pPr>
      <w:r>
        <w:rPr>
          <w:rStyle w:val="FootnoteReference"/>
          <w:sz w:val="18"/>
        </w:rPr>
        <w:footnoteRef/>
      </w:r>
      <w:r>
        <w:rPr>
          <w:sz w:val="18"/>
        </w:rPr>
        <w:t xml:space="preserve"> </w:t>
      </w:r>
      <w:r>
        <w:rPr>
          <w:rFonts w:ascii="Times New Roman" w:hAnsi="Times New Roman"/>
          <w:sz w:val="18"/>
        </w:rPr>
        <w:t>Valstu nosaukumu saīsinājumus skatīt</w:t>
      </w:r>
      <w:r>
        <w:rPr>
          <w:sz w:val="18"/>
        </w:rPr>
        <w:t xml:space="preserve"> </w:t>
      </w:r>
      <w:hyperlink r:id="rId1" w:anchor="Codes.2C_names_and_protocol_order_of_European_Union_.28EU.29_Member_States">
        <w:r>
          <w:rPr>
            <w:rStyle w:val="Hyperlink1"/>
            <w:sz w:val="18"/>
          </w:rPr>
          <w:t>www.ec.europa.eu/eurostat</w:t>
        </w:r>
      </w:hyperlink>
      <w:r>
        <w:rPr>
          <w:sz w:val="18"/>
        </w:rPr>
        <w:t xml:space="preserve">. </w:t>
      </w:r>
      <w:r>
        <w:rPr>
          <w:rFonts w:ascii="Times New Roman" w:hAnsi="Times New Roman"/>
          <w:sz w:val="18"/>
        </w:rPr>
        <w:t>Visas dalībvalstis (DV), izņemot DK, FI un IE (un MT, kurā nav romu kopienas), sniedza ziņojumus 2018. gadā. Tā kā DE ziņojums tika iesniegts novēloti, to varēja iekļaut tikai 1. pielikumā (valstu kopsavilkumi), bet ne tematiskajā analīzē, kas atspoguļota šajā paziņojumā un Komisijas dienestu darba dokumentā (</w:t>
      </w:r>
      <w:r>
        <w:rPr>
          <w:rFonts w:ascii="Times New Roman" w:hAnsi="Times New Roman"/>
          <w:i/>
          <w:sz w:val="18"/>
        </w:rPr>
        <w:t>SWD</w:t>
      </w:r>
      <w:r>
        <w:rPr>
          <w:rFonts w:ascii="Times New Roman" w:hAnsi="Times New Roman"/>
          <w:sz w:val="18"/>
        </w:rPr>
        <w:t>).</w:t>
      </w:r>
    </w:p>
  </w:footnote>
  <w:footnote w:id="4">
    <w:p>
      <w:pPr>
        <w:pStyle w:val="FootnoteText1"/>
        <w:ind w:right="-99"/>
        <w:contextualSpacing/>
        <w:rPr>
          <w:rFonts w:ascii="Times New Roman" w:hAnsi="Times New Roman" w:cs="Times New Roman"/>
          <w:sz w:val="18"/>
          <w:szCs w:val="18"/>
        </w:rPr>
      </w:pPr>
      <w:r>
        <w:rPr>
          <w:rStyle w:val="FootnoteReference"/>
          <w:sz w:val="18"/>
        </w:rPr>
        <w:footnoteRef/>
      </w:r>
      <w:r>
        <w:rPr>
          <w:sz w:val="18"/>
        </w:rPr>
        <w:t xml:space="preserve"> </w:t>
      </w:r>
      <w:r>
        <w:rPr>
          <w:rFonts w:ascii="Times New Roman" w:hAnsi="Times New Roman"/>
          <w:sz w:val="18"/>
        </w:rPr>
        <w:t>Sk. 1. pielikumu.</w:t>
      </w:r>
    </w:p>
  </w:footnote>
  <w:footnote w:id="5">
    <w:p>
      <w:pPr>
        <w:pStyle w:val="FootnoteText1"/>
        <w:ind w:right="-99"/>
        <w:contextualSpacing/>
        <w:rPr>
          <w:sz w:val="18"/>
          <w:szCs w:val="18"/>
          <w:lang w:val="hu-HU"/>
        </w:rPr>
      </w:pPr>
      <w:r>
        <w:rPr>
          <w:rStyle w:val="FootnoteReference"/>
          <w:sz w:val="18"/>
        </w:rPr>
        <w:footnoteRef/>
      </w:r>
      <w:r>
        <w:rPr>
          <w:sz w:val="18"/>
        </w:rPr>
        <w:t xml:space="preserve"> </w:t>
      </w:r>
      <w:r>
        <w:rPr>
          <w:rFonts w:ascii="Times New Roman" w:hAnsi="Times New Roman"/>
          <w:i/>
          <w:sz w:val="18"/>
        </w:rPr>
        <w:t>SWD</w:t>
      </w:r>
      <w:r>
        <w:rPr>
          <w:rFonts w:ascii="Times New Roman" w:hAnsi="Times New Roman"/>
          <w:sz w:val="18"/>
        </w:rPr>
        <w:t>.</w:t>
      </w:r>
    </w:p>
  </w:footnote>
  <w:footnote w:id="6">
    <w:p>
      <w:pPr>
        <w:pStyle w:val="FootnoteText1"/>
        <w:ind w:right="-99"/>
        <w:contextualSpacing/>
        <w:rPr>
          <w:sz w:val="18"/>
          <w:szCs w:val="18"/>
          <w:lang w:val="hu-HU"/>
        </w:rPr>
      </w:pPr>
      <w:r>
        <w:rPr>
          <w:rStyle w:val="FootnoteReference"/>
          <w:sz w:val="18"/>
        </w:rPr>
        <w:footnoteRef/>
      </w:r>
      <w:r>
        <w:rPr>
          <w:sz w:val="18"/>
        </w:rPr>
        <w:t xml:space="preserve"> </w:t>
      </w:r>
      <w:r>
        <w:rPr>
          <w:rFonts w:ascii="Times New Roman" w:hAnsi="Times New Roman"/>
          <w:sz w:val="18"/>
        </w:rPr>
        <w:t>Konceptuālais novērtējums par intervences pasākumiem romu iekļaušanas nolūkā (“</w:t>
      </w:r>
      <w:r>
        <w:rPr>
          <w:rFonts w:ascii="Times New Roman" w:hAnsi="Times New Roman"/>
          <w:i/>
          <w:sz w:val="18"/>
        </w:rPr>
        <w:t>Meta-evaluation of Roma inclusion interventions</w:t>
      </w:r>
      <w:r>
        <w:rPr>
          <w:rFonts w:ascii="Times New Roman" w:hAnsi="Times New Roman"/>
          <w:sz w:val="18"/>
        </w:rPr>
        <w:t>”), Eiropas Komisija, Kopīgais pētniecības centrs, gaidāms 2019. gadā.</w:t>
      </w:r>
    </w:p>
  </w:footnote>
  <w:footnote w:id="7">
    <w:p>
      <w:pPr>
        <w:pStyle w:val="FootnoteText1"/>
        <w:ind w:right="-99"/>
        <w:contextualSpacing/>
        <w:rPr>
          <w:sz w:val="18"/>
          <w:szCs w:val="18"/>
          <w:lang w:val="hu-HU"/>
        </w:rPr>
      </w:pPr>
      <w:r>
        <w:rPr>
          <w:rStyle w:val="FootnoteReference"/>
          <w:sz w:val="18"/>
        </w:rPr>
        <w:footnoteRef/>
      </w:r>
      <w:r>
        <w:rPr>
          <w:sz w:val="18"/>
        </w:rPr>
        <w:t xml:space="preserve"> </w:t>
      </w:r>
      <w:r>
        <w:rPr>
          <w:rFonts w:ascii="Times New Roman" w:hAnsi="Times New Roman"/>
          <w:sz w:val="18"/>
        </w:rPr>
        <w:t>Turpat.</w:t>
      </w:r>
    </w:p>
  </w:footnote>
  <w:footnote w:id="8">
    <w:p>
      <w:pPr>
        <w:pStyle w:val="FootnoteText1"/>
        <w:contextualSpacing/>
        <w:rPr>
          <w:rFonts w:ascii="Times New Roman" w:hAnsi="Times New Roman" w:cs="Times New Roman"/>
          <w:sz w:val="18"/>
          <w:szCs w:val="18"/>
          <w:lang w:val="hu-HU"/>
        </w:rPr>
      </w:pPr>
      <w:r>
        <w:rPr>
          <w:rStyle w:val="FootnoteReference"/>
        </w:rPr>
        <w:footnoteRef/>
      </w:r>
      <w:r>
        <w:t xml:space="preserve"> </w:t>
      </w:r>
      <w:r>
        <w:rPr>
          <w:rFonts w:ascii="Times New Roman" w:hAnsi="Times New Roman"/>
          <w:sz w:val="18"/>
        </w:rPr>
        <w:t>2013/C 378/01.</w:t>
      </w:r>
    </w:p>
  </w:footnote>
  <w:footnote w:id="9">
    <w:p>
      <w:pPr>
        <w:pStyle w:val="FootnoteText1"/>
        <w:rPr>
          <w:rFonts w:ascii="Times New Roman" w:hAnsi="Times New Roman" w:cs="Times New Roman"/>
          <w:sz w:val="18"/>
          <w:szCs w:val="18"/>
          <w:lang w:val="hu-HU"/>
        </w:rPr>
      </w:pPr>
      <w:r>
        <w:rPr>
          <w:rStyle w:val="FootnoteReference"/>
          <w:rFonts w:ascii="Times New Roman" w:hAnsi="Times New Roman"/>
          <w:sz w:val="18"/>
        </w:rPr>
        <w:footnoteRef/>
      </w:r>
      <w:r>
        <w:rPr>
          <w:rFonts w:ascii="Times New Roman" w:hAnsi="Times New Roman"/>
          <w:sz w:val="18"/>
        </w:rPr>
        <w:t xml:space="preserve"> AT, FR, EL, ES, IT, LV, RO.</w:t>
      </w:r>
    </w:p>
  </w:footnote>
  <w:footnote w:id="10">
    <w:p>
      <w:pPr>
        <w:pStyle w:val="FootnoteText1"/>
        <w:rPr>
          <w:rFonts w:ascii="Times New Roman" w:hAnsi="Times New Roman" w:cs="Times New Roman"/>
          <w:sz w:val="18"/>
          <w:szCs w:val="18"/>
          <w:lang w:val="hu-HU"/>
        </w:rPr>
      </w:pPr>
      <w:r>
        <w:rPr>
          <w:rStyle w:val="FootnoteReference"/>
          <w:rFonts w:ascii="Times New Roman" w:hAnsi="Times New Roman"/>
          <w:sz w:val="18"/>
        </w:rPr>
        <w:footnoteRef/>
      </w:r>
      <w:r>
        <w:rPr>
          <w:rFonts w:ascii="Times New Roman" w:hAnsi="Times New Roman"/>
          <w:sz w:val="18"/>
        </w:rPr>
        <w:t xml:space="preserve"> Piem., CZ, SK.</w:t>
      </w:r>
    </w:p>
  </w:footnote>
  <w:footnote w:id="11">
    <w:p>
      <w:pPr>
        <w:pStyle w:val="FootnoteText1"/>
        <w:rPr>
          <w:rFonts w:ascii="Times New Roman" w:hAnsi="Times New Roman" w:cs="Times New Roman"/>
          <w:sz w:val="18"/>
          <w:szCs w:val="18"/>
          <w:lang w:val="hu-HU"/>
        </w:rPr>
      </w:pPr>
      <w:r>
        <w:rPr>
          <w:rStyle w:val="FootnoteReference"/>
          <w:rFonts w:ascii="Times New Roman" w:hAnsi="Times New Roman"/>
          <w:sz w:val="18"/>
        </w:rPr>
        <w:footnoteRef/>
      </w:r>
      <w:r>
        <w:rPr>
          <w:rFonts w:ascii="Times New Roman" w:hAnsi="Times New Roman"/>
          <w:sz w:val="18"/>
        </w:rPr>
        <w:t xml:space="preserve"> Piem., HU, ES, LV.</w:t>
      </w:r>
    </w:p>
  </w:footnote>
  <w:footnote w:id="12">
    <w:p>
      <w:pPr>
        <w:pStyle w:val="FootnoteText1"/>
        <w:rPr>
          <w:lang w:val="de-DE"/>
        </w:rPr>
      </w:pPr>
      <w:r>
        <w:rPr>
          <w:rStyle w:val="FootnoteReference"/>
          <w:rFonts w:ascii="Times New Roman" w:hAnsi="Times New Roman"/>
          <w:sz w:val="18"/>
        </w:rPr>
        <w:footnoteRef/>
      </w:r>
      <w:r>
        <w:rPr>
          <w:rFonts w:ascii="Times New Roman" w:hAnsi="Times New Roman"/>
          <w:sz w:val="18"/>
        </w:rPr>
        <w:t xml:space="preserve"> Piem., AT, ES, IT, PT.</w:t>
      </w:r>
    </w:p>
  </w:footnote>
  <w:footnote w:id="13">
    <w:p>
      <w:pPr>
        <w:pStyle w:val="FootnoteText1"/>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AT, CY, EE, EL, ES, FR, HR, LT, NL.</w:t>
      </w:r>
    </w:p>
  </w:footnote>
  <w:footnote w:id="14">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EL, ES, HR, RO.</w:t>
      </w:r>
    </w:p>
  </w:footnote>
  <w:footnote w:id="15">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EL, LV, SE, SK. </w:t>
      </w:r>
    </w:p>
  </w:footnote>
  <w:footnote w:id="16">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ES, LT, LV, PL. </w:t>
      </w:r>
    </w:p>
  </w:footnote>
  <w:footnote w:id="17">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BG, EL, ES.</w:t>
      </w:r>
    </w:p>
  </w:footnote>
  <w:footnote w:id="18">
    <w:p>
      <w:pPr>
        <w:pStyle w:val="FootnoteText1"/>
        <w:rPr>
          <w:rFonts w:ascii="Times New Roman" w:hAnsi="Times New Roman" w:cs="Times New Roman"/>
          <w:sz w:val="18"/>
          <w:szCs w:val="18"/>
          <w:lang w:val="en-IE"/>
        </w:rPr>
      </w:pPr>
      <w:r>
        <w:rPr>
          <w:rStyle w:val="FootnoteReference"/>
          <w:rFonts w:ascii="Times New Roman" w:hAnsi="Times New Roman"/>
          <w:sz w:val="18"/>
        </w:rPr>
        <w:footnoteRef/>
      </w:r>
      <w:r>
        <w:rPr>
          <w:rFonts w:ascii="Times New Roman" w:hAnsi="Times New Roman"/>
          <w:sz w:val="18"/>
        </w:rPr>
        <w:t xml:space="preserve"> AT, BG, EL.</w:t>
      </w:r>
    </w:p>
  </w:footnote>
  <w:footnote w:id="19">
    <w:p>
      <w:pPr>
        <w:pStyle w:val="FootnoteText1"/>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HR, IT, PT.</w:t>
      </w:r>
    </w:p>
  </w:footnote>
  <w:footnote w:id="20">
    <w:p>
      <w:pPr>
        <w:ind w:right="-99"/>
        <w:contextualSpacing/>
        <w:jc w:val="both"/>
        <w:rPr>
          <w:rFonts w:ascii="Times New Roman" w:hAnsi="Times New Roman" w:cs="Times New Roman"/>
          <w:color w:val="0000FF"/>
          <w:sz w:val="18"/>
          <w:szCs w:val="18"/>
          <w:u w:val="single"/>
          <w:lang w:val="hu-HU"/>
        </w:rPr>
      </w:pPr>
      <w:r>
        <w:rPr>
          <w:rStyle w:val="FootnoteReference"/>
          <w:rFonts w:ascii="Times New Roman" w:hAnsi="Times New Roman"/>
          <w:sz w:val="18"/>
        </w:rPr>
        <w:footnoteRef/>
      </w:r>
      <w:r>
        <w:rPr>
          <w:rFonts w:ascii="Times New Roman" w:hAnsi="Times New Roman"/>
          <w:sz w:val="18"/>
        </w:rPr>
        <w:t xml:space="preserve"> </w:t>
      </w:r>
      <w:hyperlink r:id="rId2">
        <w:r>
          <w:rPr>
            <w:rStyle w:val="Hyperlink1"/>
            <w:rFonts w:ascii="Times New Roman" w:hAnsi="Times New Roman"/>
            <w:sz w:val="18"/>
          </w:rPr>
          <w:t>http://www.romaeducationfund.org/sites/default/files/publications/desegregation_toolkit__2015_web.pdf.</w:t>
        </w:r>
      </w:hyperlink>
    </w:p>
  </w:footnote>
  <w:footnote w:id="21">
    <w:p>
      <w:pPr>
        <w:pStyle w:val="FootnoteText1"/>
        <w:rPr>
          <w:rFonts w:ascii="Times New Roman" w:hAnsi="Times New Roman" w:cs="Times New Roman"/>
          <w:sz w:val="18"/>
          <w:szCs w:val="18"/>
          <w:lang w:val="de-DE"/>
        </w:rPr>
      </w:pPr>
      <w:r>
        <w:rPr>
          <w:rStyle w:val="FootnoteReference"/>
          <w:rFonts w:ascii="Times New Roman" w:hAnsi="Times New Roman"/>
          <w:sz w:val="18"/>
        </w:rPr>
        <w:footnoteRef/>
      </w:r>
      <w:r>
        <w:rPr>
          <w:rFonts w:ascii="Times New Roman" w:hAnsi="Times New Roman"/>
          <w:sz w:val="18"/>
        </w:rPr>
        <w:t xml:space="preserve"> BG, ES, HR. </w:t>
      </w:r>
    </w:p>
  </w:footnote>
  <w:footnote w:id="22">
    <w:p>
      <w:pPr>
        <w:pStyle w:val="FootnoteText1"/>
        <w:rPr>
          <w:rFonts w:ascii="Times New Roman" w:hAnsi="Times New Roman" w:cs="Times New Roman"/>
          <w:sz w:val="18"/>
          <w:szCs w:val="18"/>
          <w:lang w:val="de-DE"/>
        </w:rPr>
      </w:pPr>
      <w:r>
        <w:rPr>
          <w:rStyle w:val="FootnoteReference"/>
          <w:rFonts w:ascii="Times New Roman" w:hAnsi="Times New Roman"/>
          <w:sz w:val="18"/>
        </w:rPr>
        <w:footnoteRef/>
      </w:r>
      <w:r>
        <w:rPr>
          <w:rFonts w:ascii="Times New Roman" w:hAnsi="Times New Roman"/>
          <w:sz w:val="18"/>
        </w:rPr>
        <w:t xml:space="preserve"> AT, BG, CZ, ES, FR, HR, HU, LV, NL, SK.</w:t>
      </w:r>
    </w:p>
  </w:footnote>
  <w:footnote w:id="23">
    <w:p>
      <w:pPr>
        <w:pStyle w:val="FootnoteText1"/>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AT, EL, PL, PT, SK.</w:t>
      </w:r>
    </w:p>
  </w:footnote>
  <w:footnote w:id="24">
    <w:p>
      <w:pPr>
        <w:pStyle w:val="FootnoteText1"/>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EE, ES, LT, LV, NL, PT, RO.</w:t>
      </w:r>
    </w:p>
  </w:footnote>
  <w:footnote w:id="25">
    <w:p>
      <w:pPr>
        <w:pStyle w:val="FootnoteText1"/>
        <w:rPr>
          <w:lang w:val="es-ES"/>
        </w:rPr>
      </w:pPr>
      <w:r>
        <w:rPr>
          <w:rStyle w:val="FootnoteReference"/>
          <w:rFonts w:ascii="Times New Roman" w:hAnsi="Times New Roman"/>
          <w:sz w:val="18"/>
        </w:rPr>
        <w:footnoteRef/>
      </w:r>
      <w:r>
        <w:rPr>
          <w:rFonts w:ascii="Times New Roman" w:hAnsi="Times New Roman"/>
          <w:sz w:val="18"/>
        </w:rPr>
        <w:t xml:space="preserve"> BG, EE, FR, NL, PT.</w:t>
      </w:r>
    </w:p>
  </w:footnote>
  <w:footnote w:id="26">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EL, FR, HU, HR. </w:t>
      </w:r>
    </w:p>
  </w:footnote>
  <w:footnote w:id="27">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HU, PL, SI.</w:t>
      </w:r>
    </w:p>
  </w:footnote>
  <w:footnote w:id="28">
    <w:p>
      <w:pPr>
        <w:pStyle w:val="FootnoteText1"/>
        <w:rPr>
          <w:rFonts w:ascii="Times New Roman" w:hAnsi="Times New Roman" w:cs="Times New Roman"/>
          <w:sz w:val="18"/>
          <w:szCs w:val="18"/>
          <w:lang w:val="nb-NO"/>
        </w:rPr>
      </w:pPr>
      <w:r>
        <w:rPr>
          <w:rStyle w:val="FootnoteReference"/>
          <w:rFonts w:ascii="Times New Roman" w:hAnsi="Times New Roman"/>
          <w:sz w:val="18"/>
        </w:rPr>
        <w:footnoteRef/>
      </w:r>
      <w:r>
        <w:rPr>
          <w:rFonts w:ascii="Times New Roman" w:hAnsi="Times New Roman"/>
          <w:sz w:val="18"/>
        </w:rPr>
        <w:t xml:space="preserve"> AT, HU, RO.</w:t>
      </w:r>
    </w:p>
  </w:footnote>
  <w:footnote w:id="29">
    <w:p>
      <w:pPr>
        <w:pStyle w:val="FootnoteText1"/>
        <w:rPr>
          <w:rFonts w:ascii="Times New Roman" w:hAnsi="Times New Roman" w:cs="Times New Roman"/>
          <w:sz w:val="18"/>
          <w:szCs w:val="18"/>
          <w:lang w:val="nb-NO"/>
        </w:rPr>
      </w:pPr>
      <w:r>
        <w:rPr>
          <w:rStyle w:val="FootnoteReference"/>
          <w:rFonts w:ascii="Times New Roman" w:hAnsi="Times New Roman"/>
          <w:sz w:val="18"/>
        </w:rPr>
        <w:footnoteRef/>
      </w:r>
      <w:r>
        <w:rPr>
          <w:rFonts w:ascii="Times New Roman" w:hAnsi="Times New Roman"/>
          <w:sz w:val="18"/>
        </w:rPr>
        <w:t xml:space="preserve"> CZ, HU, LT, SI.</w:t>
      </w:r>
    </w:p>
  </w:footnote>
  <w:footnote w:id="30">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FR, RO, SE, SK.</w:t>
      </w:r>
    </w:p>
  </w:footnote>
  <w:footnote w:id="31">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BG, RO.</w:t>
      </w:r>
    </w:p>
  </w:footnote>
  <w:footnote w:id="32">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EL, HU, LT, SE, RO.</w:t>
      </w:r>
    </w:p>
  </w:footnote>
  <w:footnote w:id="33">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BG, CZ, EL, HR.</w:t>
      </w:r>
    </w:p>
  </w:footnote>
  <w:footnote w:id="34">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BG, ES, HR, RO.</w:t>
      </w:r>
    </w:p>
  </w:footnote>
  <w:footnote w:id="35">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AT, CZ. </w:t>
      </w:r>
    </w:p>
  </w:footnote>
  <w:footnote w:id="36">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ES, EL.</w:t>
      </w:r>
    </w:p>
  </w:footnote>
  <w:footnote w:id="37">
    <w:p>
      <w:pPr>
        <w:pStyle w:val="FootnoteText1"/>
        <w:rPr>
          <w:rFonts w:ascii="Times New Roman" w:hAnsi="Times New Roman" w:cs="Times New Roman"/>
          <w:sz w:val="18"/>
          <w:szCs w:val="18"/>
          <w:lang w:val="es-ES"/>
        </w:rPr>
      </w:pPr>
      <w:r>
        <w:rPr>
          <w:rStyle w:val="FootnoteReference"/>
          <w:rFonts w:ascii="Times New Roman" w:hAnsi="Times New Roman"/>
          <w:sz w:val="18"/>
        </w:rPr>
        <w:footnoteRef/>
      </w:r>
      <w:r>
        <w:rPr>
          <w:rFonts w:ascii="Times New Roman" w:hAnsi="Times New Roman"/>
          <w:sz w:val="18"/>
        </w:rPr>
        <w:t xml:space="preserve"> BG, PL, SK.</w:t>
      </w:r>
    </w:p>
  </w:footnote>
  <w:footnote w:id="38">
    <w:p>
      <w:pPr>
        <w:pStyle w:val="FootnoteText1"/>
      </w:pPr>
      <w:r>
        <w:rPr>
          <w:rStyle w:val="FootnoteReference"/>
        </w:rPr>
        <w:footnoteRef/>
      </w:r>
      <w:r>
        <w:t xml:space="preserve"> AT, CZ, EL, HU, LV, LT, PT, RO.</w:t>
      </w:r>
    </w:p>
  </w:footnote>
  <w:footnote w:id="39">
    <w:p>
      <w:pPr>
        <w:pStyle w:val="FootnoteText1"/>
        <w:rPr>
          <w:lang w:val="de-DE"/>
        </w:rPr>
      </w:pPr>
      <w:r>
        <w:rPr>
          <w:rStyle w:val="FootnoteReference"/>
        </w:rPr>
        <w:footnoteRef/>
      </w:r>
      <w:r>
        <w:t xml:space="preserve"> ES, FR, HU, IT, LT.</w:t>
      </w:r>
    </w:p>
  </w:footnote>
  <w:footnote w:id="40">
    <w:p>
      <w:pPr>
        <w:pStyle w:val="FootnoteText1"/>
        <w:rPr>
          <w:lang w:val="de-DE"/>
        </w:rPr>
      </w:pPr>
      <w:r>
        <w:rPr>
          <w:rStyle w:val="FootnoteReference"/>
        </w:rPr>
        <w:footnoteRef/>
      </w:r>
      <w:r>
        <w:t xml:space="preserve"> FR, NL.</w:t>
      </w:r>
    </w:p>
  </w:footnote>
  <w:footnote w:id="41">
    <w:p>
      <w:pPr>
        <w:pStyle w:val="FootnoteText1"/>
        <w:rPr>
          <w:lang w:val="de-DE"/>
        </w:rPr>
      </w:pPr>
      <w:r>
        <w:rPr>
          <w:rStyle w:val="FootnoteReference"/>
        </w:rPr>
        <w:footnoteRef/>
      </w:r>
      <w:r>
        <w:t xml:space="preserve"> SI.</w:t>
      </w:r>
    </w:p>
  </w:footnote>
  <w:footnote w:id="42">
    <w:p>
      <w:pPr>
        <w:pStyle w:val="FootnoteText1"/>
        <w:rPr>
          <w:lang w:val="de-DE"/>
        </w:rPr>
      </w:pPr>
      <w:r>
        <w:rPr>
          <w:rStyle w:val="FootnoteReference"/>
        </w:rPr>
        <w:footnoteRef/>
      </w:r>
      <w:r>
        <w:t xml:space="preserve"> HR.</w:t>
      </w:r>
    </w:p>
  </w:footnote>
  <w:footnote w:id="43">
    <w:p>
      <w:pPr>
        <w:pStyle w:val="FootnoteText1"/>
        <w:rPr>
          <w:lang w:val="de-DE"/>
        </w:rPr>
      </w:pPr>
      <w:r>
        <w:rPr>
          <w:rStyle w:val="FootnoteReference"/>
        </w:rPr>
        <w:footnoteRef/>
      </w:r>
      <w:r>
        <w:t xml:space="preserve"> BG.</w:t>
      </w:r>
    </w:p>
  </w:footnote>
  <w:footnote w:id="44">
    <w:p>
      <w:pPr>
        <w:pStyle w:val="FootnoteText1"/>
        <w:rPr>
          <w:lang w:val="de-DE"/>
        </w:rPr>
      </w:pPr>
      <w:r>
        <w:rPr>
          <w:rStyle w:val="FootnoteReference"/>
        </w:rPr>
        <w:footnoteRef/>
      </w:r>
      <w:r>
        <w:t xml:space="preserve"> BG, CY, ES, SK.</w:t>
      </w:r>
    </w:p>
  </w:footnote>
  <w:footnote w:id="45">
    <w:p>
      <w:pPr>
        <w:pStyle w:val="FootnoteText1"/>
        <w:rPr>
          <w:lang w:val="de-DE"/>
        </w:rPr>
      </w:pPr>
      <w:r>
        <w:rPr>
          <w:rStyle w:val="FootnoteReference"/>
        </w:rPr>
        <w:footnoteRef/>
      </w:r>
      <w:r>
        <w:t xml:space="preserve"> ES, LT, LV, NL.</w:t>
      </w:r>
    </w:p>
  </w:footnote>
  <w:footnote w:id="46">
    <w:p>
      <w:pPr>
        <w:pStyle w:val="FootnoteText1"/>
        <w:rPr>
          <w:lang w:val="de-DE"/>
        </w:rPr>
      </w:pPr>
      <w:r>
        <w:rPr>
          <w:rStyle w:val="FootnoteReference"/>
        </w:rPr>
        <w:footnoteRef/>
      </w:r>
      <w:r>
        <w:t xml:space="preserve"> CZ, BG.</w:t>
      </w:r>
    </w:p>
  </w:footnote>
  <w:footnote w:id="47">
    <w:p>
      <w:pPr>
        <w:pStyle w:val="FootnoteText1"/>
        <w:rPr>
          <w:lang w:val="es-ES"/>
        </w:rPr>
      </w:pPr>
      <w:r>
        <w:rPr>
          <w:rStyle w:val="FootnoteReference"/>
        </w:rPr>
        <w:footnoteRef/>
      </w:r>
      <w:r>
        <w:t xml:space="preserve"> BG, EE, ES, HU, HR, PT, SK.</w:t>
      </w:r>
    </w:p>
  </w:footnote>
  <w:footnote w:id="48">
    <w:p>
      <w:pPr>
        <w:pStyle w:val="FootnoteText1"/>
        <w:rPr>
          <w:lang w:val="es-ES"/>
        </w:rPr>
      </w:pPr>
      <w:r>
        <w:rPr>
          <w:rStyle w:val="FootnoteReference"/>
        </w:rPr>
        <w:footnoteRef/>
      </w:r>
      <w:r>
        <w:t xml:space="preserve"> ES, FR, HU, LV.</w:t>
      </w:r>
    </w:p>
  </w:footnote>
  <w:footnote w:id="49">
    <w:p>
      <w:pPr>
        <w:pStyle w:val="FootnoteText1"/>
        <w:rPr>
          <w:lang w:val="es-ES"/>
        </w:rPr>
      </w:pPr>
      <w:r>
        <w:rPr>
          <w:rStyle w:val="FootnoteReference"/>
        </w:rPr>
        <w:footnoteRef/>
      </w:r>
      <w:r>
        <w:t xml:space="preserve"> IT, ES, SI.</w:t>
      </w:r>
    </w:p>
  </w:footnote>
  <w:footnote w:id="50">
    <w:p>
      <w:pPr>
        <w:pStyle w:val="FootnoteText1"/>
        <w:rPr>
          <w:lang w:val="es-ES"/>
        </w:rPr>
      </w:pPr>
      <w:r>
        <w:rPr>
          <w:rStyle w:val="FootnoteReference"/>
        </w:rPr>
        <w:footnoteRef/>
      </w:r>
      <w:r>
        <w:t xml:space="preserve"> AT, CZ, LT, PT.</w:t>
      </w:r>
    </w:p>
  </w:footnote>
  <w:footnote w:id="51">
    <w:p>
      <w:pPr>
        <w:pStyle w:val="FootnoteText1"/>
        <w:rPr>
          <w:lang w:val="es-ES"/>
        </w:rPr>
      </w:pPr>
      <w:r>
        <w:rPr>
          <w:rStyle w:val="FootnoteReference"/>
        </w:rPr>
        <w:footnoteRef/>
      </w:r>
      <w:r>
        <w:t xml:space="preserve"> EE, ES, HR, LV.</w:t>
      </w:r>
    </w:p>
  </w:footnote>
  <w:footnote w:id="52">
    <w:p>
      <w:pPr>
        <w:pStyle w:val="FootnoteText1"/>
      </w:pPr>
      <w:r>
        <w:rPr>
          <w:rStyle w:val="FootnoteReference"/>
        </w:rPr>
        <w:footnoteRef/>
      </w:r>
      <w:r>
        <w:t xml:space="preserve"> BG, ES, SK.</w:t>
      </w:r>
    </w:p>
  </w:footnote>
  <w:footnote w:id="53">
    <w:p>
      <w:pPr>
        <w:pStyle w:val="FootnoteText1"/>
      </w:pPr>
      <w:r>
        <w:rPr>
          <w:rStyle w:val="FootnoteReference"/>
        </w:rPr>
        <w:footnoteRef/>
      </w:r>
      <w:r>
        <w:t xml:space="preserve"> CY, FR, EL, PL, RO.</w:t>
      </w:r>
    </w:p>
  </w:footnote>
  <w:footnote w:id="54">
    <w:p>
      <w:pPr>
        <w:pStyle w:val="FootnoteText1"/>
        <w:rPr>
          <w:rFonts w:ascii="Times New Roman" w:hAnsi="Times New Roman" w:cs="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rPr>
        <w:t xml:space="preserve">6. punkts. “Romu integrācijas veicināšana ārpus ES: paplašināšanās valstu īpašā situācija”. Paplašināšanās procesā iesaistītajām valstīm tika noteikti trīs mērķi: labāka </w:t>
      </w:r>
      <w:r>
        <w:rPr>
          <w:rFonts w:ascii="Times New Roman" w:hAnsi="Times New Roman"/>
          <w:i/>
          <w:sz w:val="18"/>
        </w:rPr>
        <w:t>IPA</w:t>
      </w:r>
      <w:r>
        <w:rPr>
          <w:rFonts w:ascii="Times New Roman" w:hAnsi="Times New Roman"/>
          <w:sz w:val="18"/>
        </w:rPr>
        <w:t xml:space="preserve"> fondu izmantošana, labāka pārraudzība, ciešāka sadarbība ar pilsonisko sabiedrību.</w:t>
      </w:r>
    </w:p>
  </w:footnote>
  <w:footnote w:id="55">
    <w:p>
      <w:pPr>
        <w:pStyle w:val="FootnoteText1"/>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rPr>
        <w:t>Ikgadēja ziņošana par īstenošanu; norīkoti valsts kontaktpunkti romu jautājumos; organizētas ikgadējās valsts platformas, kurās cieši iesaistītas pilsoniskās sabiedrības organizācijas; organizēti romu semināri; ziņojums par paplašināšanās dokumentu kopumā pausto saistību izpildi un Stabilizācijas un asociācijas nolīguma apakškomitejas.</w:t>
      </w:r>
    </w:p>
  </w:footnote>
  <w:footnote w:id="56">
    <w:p>
      <w:pPr>
        <w:pStyle w:val="FootnoteText1"/>
        <w:rPr>
          <w:sz w:val="18"/>
          <w:szCs w:val="18"/>
        </w:rPr>
      </w:pPr>
      <w:r>
        <w:rPr>
          <w:rStyle w:val="FootnoteReference"/>
        </w:rPr>
        <w:footnoteRef/>
      </w:r>
      <w:r>
        <w:t xml:space="preserve"> </w:t>
      </w:r>
      <w:r>
        <w:rPr>
          <w:rFonts w:ascii="Times New Roman" w:hAnsi="Times New Roman"/>
          <w:sz w:val="18"/>
        </w:rPr>
        <w:t>Tas ietver arī ciešu sadarbību starp ieinteresētajām personām, kas strādā ar romiem, un personām, kas izstrādā un īsteno vispārēju publisku politiku, kā arī sadarbību starp vietējiem publisko un privāto pakalpojumu sniedzējiem, pilsoniskajai sabiedrībai cieši sadarbojoties ar romu kopienām.</w:t>
      </w:r>
    </w:p>
  </w:footnote>
  <w:footnote w:id="57">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Tam būtu jāietver arī pret romiem vērsta noskaņojuma, naida noziegumu un pret romiem vērstas retorikas īpatnību atzīšana, kā arī romu upuru problēmas saistībā ar tiesu iestāžu pieejamību, aizsardzību un atbalstu (piem., nepietiekama ziņošana — arī saistībā ar bailēm no diskriminācijas vai izmeklēšanas iestāžu atriebības, atkārtotas viktimizācijas riskiem, iestāžu neobjektīvas attieksmes ietekmes uz reakciju attiecībā uz krimināltiesībām).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00773"/>
    <w:multiLevelType w:val="hybridMultilevel"/>
    <w:tmpl w:val="BD4C9666"/>
    <w:lvl w:ilvl="0" w:tplc="8382AA5E">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234F1D"/>
    <w:multiLevelType w:val="hybridMultilevel"/>
    <w:tmpl w:val="8A346698"/>
    <w:lvl w:ilvl="0" w:tplc="DDBACED8">
      <w:start w:val="1"/>
      <w:numFmt w:val="bullet"/>
      <w:lvlText w:val="٠"/>
      <w:lvlJc w:val="left"/>
      <w:pPr>
        <w:ind w:left="360" w:hanging="360"/>
      </w:pPr>
      <w:rPr>
        <w:rFonts w:ascii="Courier New" w:hAnsi="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DFB02AD"/>
    <w:multiLevelType w:val="multilevel"/>
    <w:tmpl w:val="04090021"/>
    <w:numStyleLink w:val="Style1"/>
  </w:abstractNum>
  <w:abstractNum w:abstractNumId="4">
    <w:nsid w:val="16795E5C"/>
    <w:multiLevelType w:val="hybridMultilevel"/>
    <w:tmpl w:val="83586FE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A4D36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3A02FED"/>
    <w:multiLevelType w:val="hybridMultilevel"/>
    <w:tmpl w:val="84809C30"/>
    <w:lvl w:ilvl="0" w:tplc="DDBACED8">
      <w:start w:val="1"/>
      <w:numFmt w:val="bullet"/>
      <w:lvlText w:val="٠"/>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370A0"/>
    <w:multiLevelType w:val="hybridMultilevel"/>
    <w:tmpl w:val="18BAE8E0"/>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C13E2"/>
    <w:multiLevelType w:val="hybridMultilevel"/>
    <w:tmpl w:val="EEC4774E"/>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267A9"/>
    <w:multiLevelType w:val="multilevel"/>
    <w:tmpl w:val="04090021"/>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CB37B1A"/>
    <w:multiLevelType w:val="hybridMultilevel"/>
    <w:tmpl w:val="B21A33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623434E2"/>
    <w:multiLevelType w:val="hybridMultilevel"/>
    <w:tmpl w:val="DD549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843CF3"/>
    <w:multiLevelType w:val="hybridMultilevel"/>
    <w:tmpl w:val="F2A8B1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A0D40A0"/>
    <w:multiLevelType w:val="hybridMultilevel"/>
    <w:tmpl w:val="0D54C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9041E9"/>
    <w:multiLevelType w:val="hybridMultilevel"/>
    <w:tmpl w:val="8482D3AE"/>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1E5B39"/>
    <w:multiLevelType w:val="hybridMultilevel"/>
    <w:tmpl w:val="E4B6CE6A"/>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14274F"/>
    <w:multiLevelType w:val="hybridMultilevel"/>
    <w:tmpl w:val="2F4A89C0"/>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21DAA"/>
    <w:multiLevelType w:val="hybridMultilevel"/>
    <w:tmpl w:val="9926B814"/>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5"/>
  </w:num>
  <w:num w:numId="4">
    <w:abstractNumId w:val="8"/>
  </w:num>
  <w:num w:numId="5">
    <w:abstractNumId w:val="17"/>
  </w:num>
  <w:num w:numId="6">
    <w:abstractNumId w:val="14"/>
  </w:num>
  <w:num w:numId="7">
    <w:abstractNumId w:val="7"/>
  </w:num>
  <w:num w:numId="8">
    <w:abstractNumId w:val="0"/>
  </w:num>
  <w:num w:numId="9">
    <w:abstractNumId w:val="4"/>
  </w:num>
  <w:num w:numId="10">
    <w:abstractNumId w:val="11"/>
  </w:num>
  <w:num w:numId="11">
    <w:abstractNumId w:val="6"/>
  </w:num>
  <w:num w:numId="12">
    <w:abstractNumId w:val="12"/>
  </w:num>
  <w:num w:numId="13">
    <w:abstractNumId w:val="10"/>
  </w:num>
  <w:num w:numId="14">
    <w:abstractNumId w:val="2"/>
  </w:num>
  <w:num w:numId="15">
    <w:abstractNumId w:val="3"/>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de-DE" w:vendorID="64" w:dllVersion="131078" w:nlCheck="1" w:checkStyle="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revisionView w:markup="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B6F1640-D374-476D-96A2-48AA90B66DB4"/>
    <w:docVar w:name="LW_COVERPAGE_TYPE" w:val="1"/>
    <w:docVar w:name="LW_CROSSREFERENCE" w:val="{SWD(2019) 320 final}"/>
    <w:docVar w:name="LW_DocType" w:val="NORMAL"/>
    <w:docVar w:name="LW_EMISSION" w:val="5.9.2019"/>
    <w:docVar w:name="LW_EMISSION_ISODATE" w:val="2019-09-05"/>
    <w:docVar w:name="LW_EMISSION_LOCATION" w:val="BRX"/>
    <w:docVar w:name="LW_EMISSION_PREFIX" w:val="Briselē, "/>
    <w:docVar w:name="LW_EMISSION_SUFFIX" w:val="."/>
    <w:docVar w:name="LW_ID_DOCTYPE_NONLW" w:val="CP-012"/>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4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Zi\u326?ojums par romu integr\u257?cijas valsts strat\u275?\u291?iju \u299?steno\u353?anu \u8211? 2019. gads"/>
    <w:docVar w:name="LW_TYPE.DOC.CP" w:val="KOMISIJAS PAZI\u325?OJUMS EIROPAS PARLAMENTAM UN PADOME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120" w:line="240" w:lineRule="auto"/>
      <w:ind w:right="-96"/>
      <w:outlineLvl w:val="0"/>
    </w:pPr>
    <w:rPr>
      <w:rFonts w:ascii="Times New Roman" w:hAnsi="Times New Roman" w:cs="Times New Roman"/>
      <w:b/>
      <w:bCs/>
      <w:smallCaps/>
      <w:sz w:val="24"/>
      <w:szCs w:val="24"/>
    </w:rPr>
  </w:style>
  <w:style w:type="paragraph" w:styleId="Heading2">
    <w:name w:val="heading 2"/>
    <w:basedOn w:val="ListParagraph"/>
    <w:next w:val="Normal"/>
    <w:link w:val="Heading2Char"/>
    <w:uiPriority w:val="9"/>
    <w:unhideWhenUsed/>
    <w:qFormat/>
    <w:pPr>
      <w:spacing w:before="180" w:after="60"/>
      <w:ind w:left="0" w:right="-96"/>
      <w:contextualSpacing w:val="0"/>
      <w:outlineLvl w:val="1"/>
    </w:pPr>
    <w:rPr>
      <w:rFonts w:ascii="Times New Roman" w:hAnsi="Times New Roman" w:cs="Times New Roman"/>
      <w:b/>
      <w:bCs/>
      <w:smallCaps/>
    </w:rPr>
  </w:style>
  <w:style w:type="paragraph" w:styleId="Heading3">
    <w:name w:val="heading 3"/>
    <w:basedOn w:val="ListParagraph"/>
    <w:next w:val="Normal"/>
    <w:link w:val="Heading3Char"/>
    <w:uiPriority w:val="9"/>
    <w:unhideWhenUsed/>
    <w:qFormat/>
    <w:pPr>
      <w:keepNext/>
      <w:spacing w:before="180" w:after="120"/>
      <w:ind w:left="0" w:right="-96"/>
      <w:contextualSpacing w:val="0"/>
      <w:outlineLvl w:val="2"/>
    </w:pPr>
    <w:rPr>
      <w:rFonts w:ascii="Times New Roman" w:hAnsi="Times New Roman" w:cs="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hAnsi="Times New Roman" w:cs="Times New Roman"/>
      <w:b/>
      <w:bCs/>
      <w:smallCaps/>
      <w:sz w:val="24"/>
      <w:szCs w:val="24"/>
      <w:lang w:eastAsia="lv-LV"/>
    </w:rPr>
  </w:style>
  <w:style w:type="character" w:customStyle="1" w:styleId="Heading2Char">
    <w:name w:val="Heading 2 Char"/>
    <w:basedOn w:val="DefaultParagraphFont"/>
    <w:link w:val="Heading2"/>
    <w:uiPriority w:val="9"/>
    <w:rPr>
      <w:rFonts w:ascii="Times New Roman" w:hAnsi="Times New Roman" w:cs="Times New Roman"/>
      <w:b/>
      <w:bCs/>
      <w:smallCaps/>
      <w:sz w:val="24"/>
      <w:szCs w:val="24"/>
      <w:lang w:eastAsia="lv-LV"/>
    </w:rPr>
  </w:style>
  <w:style w:type="character" w:customStyle="1" w:styleId="Heading3Char">
    <w:name w:val="Heading 3 Char"/>
    <w:basedOn w:val="DefaultParagraphFont"/>
    <w:link w:val="Heading3"/>
    <w:uiPriority w:val="9"/>
    <w:rPr>
      <w:rFonts w:ascii="Times New Roman" w:hAnsi="Times New Roman" w:cs="Times New Roman"/>
      <w:i/>
      <w:sz w:val="24"/>
      <w:szCs w:val="24"/>
      <w:lang w:eastAsia="lv-LV"/>
    </w:rPr>
  </w:style>
  <w:style w:type="numbering" w:customStyle="1" w:styleId="NoList1">
    <w:name w:val="No List1"/>
    <w:next w:val="NoList"/>
    <w:uiPriority w:val="99"/>
    <w:semiHidden/>
    <w:unhideWhenUsed/>
  </w:style>
  <w:style w:type="paragraph" w:styleId="ListParagraph">
    <w:name w:val="List Paragraph"/>
    <w:basedOn w:val="Normal"/>
    <w:uiPriority w:val="34"/>
    <w:qFormat/>
    <w:pPr>
      <w:spacing w:after="0" w:line="240" w:lineRule="auto"/>
      <w:ind w:left="720"/>
      <w:contextualSpacing/>
    </w:pPr>
    <w:rPr>
      <w:sz w:val="24"/>
      <w:szCs w:val="24"/>
    </w:rPr>
  </w:style>
  <w:style w:type="character" w:customStyle="1" w:styleId="Hyperlink1">
    <w:name w:val="Hyperlink1"/>
    <w:basedOn w:val="DefaultParagraphFont"/>
    <w:uiPriority w:val="99"/>
    <w:unhideWhenUsed/>
    <w:rPr>
      <w:color w:val="0000FF"/>
      <w:u w:val="single"/>
    </w:rPr>
  </w:style>
  <w:style w:type="paragraph" w:customStyle="1" w:styleId="FootnoteText1">
    <w:name w:val="Footnote Text1"/>
    <w:basedOn w:val="Normal"/>
    <w:next w:val="FootnoteText"/>
    <w:uiPriority w:val="99"/>
    <w:unhideWhenUsed/>
    <w:pPr>
      <w:spacing w:after="0" w:line="240" w:lineRule="auto"/>
      <w:jc w:val="both"/>
    </w:pPr>
    <w:rPr>
      <w:rFonts w:eastAsia="Cambria"/>
      <w:sz w:val="20"/>
      <w:szCs w:val="20"/>
    </w:rPr>
  </w:style>
  <w:style w:type="character" w:customStyle="1" w:styleId="FootnoteTextChar">
    <w:name w:val="Footnote Text Char"/>
    <w:basedOn w:val="DefaultParagraphFont"/>
    <w:uiPriority w:val="99"/>
    <w:rPr>
      <w:rFonts w:eastAsia="Cambria"/>
      <w:sz w:val="20"/>
      <w:szCs w:val="20"/>
      <w:lang w:val="lv-LV"/>
    </w:rPr>
  </w:style>
  <w:style w:type="character" w:styleId="FootnoteReference">
    <w:name w:val="footnote reference"/>
    <w:basedOn w:val="DefaultParagraphFont"/>
    <w:uiPriority w:val="99"/>
    <w:unhideWhenUsed/>
    <w:rPr>
      <w:vertAlign w:val="superscript"/>
    </w:rPr>
  </w:style>
  <w:style w:type="character" w:customStyle="1" w:styleId="FollowedHyperlink1">
    <w:name w:val="FollowedHyperlink1"/>
    <w:basedOn w:val="DefaultParagraphFont"/>
    <w:uiPriority w:val="99"/>
    <w:semiHidden/>
    <w:unhideWhenUsed/>
    <w:rPr>
      <w:color w:val="800080"/>
      <w:u w:val="single"/>
    </w:rPr>
  </w:style>
  <w:style w:type="table" w:styleId="TableGrid">
    <w:name w:val="Table Grid"/>
    <w:basedOn w:val="TableNormal"/>
    <w:uiPriority w:val="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pPr>
      <w:spacing w:line="240" w:lineRule="auto"/>
      <w:jc w:val="both"/>
    </w:pPr>
    <w:rPr>
      <w:rFonts w:eastAsia="Cambria"/>
      <w:i/>
      <w:iCs/>
      <w:color w:val="1F497D"/>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after="0" w:line="240" w:lineRule="auto"/>
    </w:pPr>
    <w:rPr>
      <w:sz w:val="24"/>
      <w:szCs w:val="24"/>
    </w:rPr>
  </w:style>
  <w:style w:type="character" w:customStyle="1" w:styleId="CommentTextChar">
    <w:name w:val="Comment Text Char"/>
    <w:basedOn w:val="DefaultParagraphFont"/>
    <w:link w:val="CommentText"/>
    <w:uiPriority w:val="99"/>
    <w:semiHidden/>
    <w:rPr>
      <w:sz w:val="24"/>
      <w:szCs w:val="24"/>
      <w:lang w:eastAsia="lv-LV"/>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lv-LV"/>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eastAsia="lv-LV"/>
    </w:rPr>
  </w:style>
  <w:style w:type="character" w:styleId="PageNumber">
    <w:name w:val="page number"/>
    <w:basedOn w:val="DefaultParagraphFont"/>
    <w:uiPriority w:val="99"/>
    <w:semiHidden/>
    <w:unhideWhenUsed/>
  </w:style>
  <w:style w:type="paragraph" w:customStyle="1" w:styleId="Title1">
    <w:name w:val="Title1"/>
    <w:basedOn w:val="Normal"/>
    <w:next w:val="Normal"/>
    <w:uiPriority w:val="10"/>
    <w:qFormat/>
    <w:pPr>
      <w:spacing w:after="0" w:line="240" w:lineRule="auto"/>
      <w:contextualSpacing/>
      <w:jc w:val="both"/>
    </w:pPr>
    <w:rPr>
      <w:rFonts w:ascii="Calibri" w:eastAsia="MS Gothic" w:hAnsi="Calibri" w:cs="Times New Roman"/>
      <w:spacing w:val="-10"/>
      <w:kern w:val="28"/>
      <w:sz w:val="56"/>
      <w:szCs w:val="56"/>
    </w:rPr>
  </w:style>
  <w:style w:type="character" w:customStyle="1" w:styleId="TitleChar">
    <w:name w:val="Title Char"/>
    <w:basedOn w:val="DefaultParagraphFont"/>
    <w:link w:val="Title"/>
    <w:uiPriority w:val="10"/>
    <w:rPr>
      <w:rFonts w:ascii="Calibri" w:eastAsia="MS Gothic" w:hAnsi="Calibri" w:cs="Times New Roman"/>
      <w:spacing w:val="-10"/>
      <w:kern w:val="28"/>
      <w:sz w:val="56"/>
      <w:szCs w:val="56"/>
      <w:lang w:val="lv-LV" w:eastAsia="lv-LV"/>
    </w:rPr>
  </w:style>
  <w:style w:type="character" w:styleId="Hyperlink">
    <w:name w:val="Hyperlink"/>
    <w:basedOn w:val="DefaultParagraphFont"/>
    <w:uiPriority w:val="99"/>
    <w:semiHidden/>
    <w:unhideWhenUsed/>
    <w:rPr>
      <w:color w:val="0000FF" w:themeColor="hyperlink"/>
      <w:u w:val="single"/>
    </w:rPr>
  </w:style>
  <w:style w:type="paragraph" w:styleId="FootnoteText">
    <w:name w:val="footnote text"/>
    <w:basedOn w:val="Normal"/>
    <w:link w:val="FootnoteTextChar1"/>
    <w:uiPriority w:val="99"/>
    <w:semiHidden/>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Title">
    <w:name w:val="Title"/>
    <w:basedOn w:val="Normal"/>
    <w:next w:val="Normal"/>
    <w:link w:val="TitleChar"/>
    <w:uiPriority w:val="10"/>
    <w:qFormat/>
    <w:pPr>
      <w:spacing w:after="0" w:line="240" w:lineRule="auto"/>
      <w:contextualSpacing/>
    </w:pPr>
    <w:rPr>
      <w:rFonts w:ascii="Calibri" w:eastAsia="MS Gothic" w:hAnsi="Calibri" w:cs="Times New Roman"/>
      <w:spacing w:val="-10"/>
      <w:kern w:val="28"/>
      <w:sz w:val="56"/>
      <w:szCs w:val="56"/>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numbering" w:customStyle="1" w:styleId="Style1">
    <w:name w:val="Style1"/>
    <w:uiPriority w:val="99"/>
    <w:pPr>
      <w:numPr>
        <w:numId w:val="16"/>
      </w:numPr>
    </w:p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bidi="ar-SA"/>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bidi="ar-SA"/>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120" w:line="240" w:lineRule="auto"/>
      <w:ind w:right="-96"/>
      <w:outlineLvl w:val="0"/>
    </w:pPr>
    <w:rPr>
      <w:rFonts w:ascii="Times New Roman" w:hAnsi="Times New Roman" w:cs="Times New Roman"/>
      <w:b/>
      <w:bCs/>
      <w:smallCaps/>
      <w:sz w:val="24"/>
      <w:szCs w:val="24"/>
    </w:rPr>
  </w:style>
  <w:style w:type="paragraph" w:styleId="Heading2">
    <w:name w:val="heading 2"/>
    <w:basedOn w:val="ListParagraph"/>
    <w:next w:val="Normal"/>
    <w:link w:val="Heading2Char"/>
    <w:uiPriority w:val="9"/>
    <w:unhideWhenUsed/>
    <w:qFormat/>
    <w:pPr>
      <w:spacing w:before="180" w:after="60"/>
      <w:ind w:left="0" w:right="-96"/>
      <w:contextualSpacing w:val="0"/>
      <w:outlineLvl w:val="1"/>
    </w:pPr>
    <w:rPr>
      <w:rFonts w:ascii="Times New Roman" w:hAnsi="Times New Roman" w:cs="Times New Roman"/>
      <w:b/>
      <w:bCs/>
      <w:smallCaps/>
    </w:rPr>
  </w:style>
  <w:style w:type="paragraph" w:styleId="Heading3">
    <w:name w:val="heading 3"/>
    <w:basedOn w:val="ListParagraph"/>
    <w:next w:val="Normal"/>
    <w:link w:val="Heading3Char"/>
    <w:uiPriority w:val="9"/>
    <w:unhideWhenUsed/>
    <w:qFormat/>
    <w:pPr>
      <w:keepNext/>
      <w:spacing w:before="180" w:after="120"/>
      <w:ind w:left="0" w:right="-96"/>
      <w:contextualSpacing w:val="0"/>
      <w:outlineLvl w:val="2"/>
    </w:pPr>
    <w:rPr>
      <w:rFonts w:ascii="Times New Roman" w:hAnsi="Times New Roman" w:cs="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hAnsi="Times New Roman" w:cs="Times New Roman"/>
      <w:b/>
      <w:bCs/>
      <w:smallCaps/>
      <w:sz w:val="24"/>
      <w:szCs w:val="24"/>
      <w:lang w:eastAsia="lv-LV"/>
    </w:rPr>
  </w:style>
  <w:style w:type="character" w:customStyle="1" w:styleId="Heading2Char">
    <w:name w:val="Heading 2 Char"/>
    <w:basedOn w:val="DefaultParagraphFont"/>
    <w:link w:val="Heading2"/>
    <w:uiPriority w:val="9"/>
    <w:rPr>
      <w:rFonts w:ascii="Times New Roman" w:hAnsi="Times New Roman" w:cs="Times New Roman"/>
      <w:b/>
      <w:bCs/>
      <w:smallCaps/>
      <w:sz w:val="24"/>
      <w:szCs w:val="24"/>
      <w:lang w:eastAsia="lv-LV"/>
    </w:rPr>
  </w:style>
  <w:style w:type="character" w:customStyle="1" w:styleId="Heading3Char">
    <w:name w:val="Heading 3 Char"/>
    <w:basedOn w:val="DefaultParagraphFont"/>
    <w:link w:val="Heading3"/>
    <w:uiPriority w:val="9"/>
    <w:rPr>
      <w:rFonts w:ascii="Times New Roman" w:hAnsi="Times New Roman" w:cs="Times New Roman"/>
      <w:i/>
      <w:sz w:val="24"/>
      <w:szCs w:val="24"/>
      <w:lang w:eastAsia="lv-LV"/>
    </w:rPr>
  </w:style>
  <w:style w:type="numbering" w:customStyle="1" w:styleId="NoList1">
    <w:name w:val="No List1"/>
    <w:next w:val="NoList"/>
    <w:uiPriority w:val="99"/>
    <w:semiHidden/>
    <w:unhideWhenUsed/>
  </w:style>
  <w:style w:type="paragraph" w:styleId="ListParagraph">
    <w:name w:val="List Paragraph"/>
    <w:basedOn w:val="Normal"/>
    <w:uiPriority w:val="34"/>
    <w:qFormat/>
    <w:pPr>
      <w:spacing w:after="0" w:line="240" w:lineRule="auto"/>
      <w:ind w:left="720"/>
      <w:contextualSpacing/>
    </w:pPr>
    <w:rPr>
      <w:sz w:val="24"/>
      <w:szCs w:val="24"/>
    </w:rPr>
  </w:style>
  <w:style w:type="character" w:customStyle="1" w:styleId="Hyperlink1">
    <w:name w:val="Hyperlink1"/>
    <w:basedOn w:val="DefaultParagraphFont"/>
    <w:uiPriority w:val="99"/>
    <w:unhideWhenUsed/>
    <w:rPr>
      <w:color w:val="0000FF"/>
      <w:u w:val="single"/>
    </w:rPr>
  </w:style>
  <w:style w:type="paragraph" w:customStyle="1" w:styleId="FootnoteText1">
    <w:name w:val="Footnote Text1"/>
    <w:basedOn w:val="Normal"/>
    <w:next w:val="FootnoteText"/>
    <w:uiPriority w:val="99"/>
    <w:unhideWhenUsed/>
    <w:pPr>
      <w:spacing w:after="0" w:line="240" w:lineRule="auto"/>
      <w:jc w:val="both"/>
    </w:pPr>
    <w:rPr>
      <w:rFonts w:eastAsia="Cambria"/>
      <w:sz w:val="20"/>
      <w:szCs w:val="20"/>
    </w:rPr>
  </w:style>
  <w:style w:type="character" w:customStyle="1" w:styleId="FootnoteTextChar">
    <w:name w:val="Footnote Text Char"/>
    <w:basedOn w:val="DefaultParagraphFont"/>
    <w:uiPriority w:val="99"/>
    <w:rPr>
      <w:rFonts w:eastAsia="Cambria"/>
      <w:sz w:val="20"/>
      <w:szCs w:val="20"/>
      <w:lang w:val="lv-LV"/>
    </w:rPr>
  </w:style>
  <w:style w:type="character" w:styleId="FootnoteReference">
    <w:name w:val="footnote reference"/>
    <w:basedOn w:val="DefaultParagraphFont"/>
    <w:uiPriority w:val="99"/>
    <w:unhideWhenUsed/>
    <w:rPr>
      <w:vertAlign w:val="superscript"/>
    </w:rPr>
  </w:style>
  <w:style w:type="character" w:customStyle="1" w:styleId="FollowedHyperlink1">
    <w:name w:val="FollowedHyperlink1"/>
    <w:basedOn w:val="DefaultParagraphFont"/>
    <w:uiPriority w:val="99"/>
    <w:semiHidden/>
    <w:unhideWhenUsed/>
    <w:rPr>
      <w:color w:val="800080"/>
      <w:u w:val="single"/>
    </w:rPr>
  </w:style>
  <w:style w:type="table" w:styleId="TableGrid">
    <w:name w:val="Table Grid"/>
    <w:basedOn w:val="TableNormal"/>
    <w:uiPriority w:val="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pPr>
      <w:spacing w:line="240" w:lineRule="auto"/>
      <w:jc w:val="both"/>
    </w:pPr>
    <w:rPr>
      <w:rFonts w:eastAsia="Cambria"/>
      <w:i/>
      <w:iCs/>
      <w:color w:val="1F497D"/>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after="0" w:line="240" w:lineRule="auto"/>
    </w:pPr>
    <w:rPr>
      <w:sz w:val="24"/>
      <w:szCs w:val="24"/>
    </w:rPr>
  </w:style>
  <w:style w:type="character" w:customStyle="1" w:styleId="CommentTextChar">
    <w:name w:val="Comment Text Char"/>
    <w:basedOn w:val="DefaultParagraphFont"/>
    <w:link w:val="CommentText"/>
    <w:uiPriority w:val="99"/>
    <w:semiHidden/>
    <w:rPr>
      <w:sz w:val="24"/>
      <w:szCs w:val="24"/>
      <w:lang w:eastAsia="lv-LV"/>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lv-LV"/>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eastAsia="lv-LV"/>
    </w:rPr>
  </w:style>
  <w:style w:type="character" w:styleId="PageNumber">
    <w:name w:val="page number"/>
    <w:basedOn w:val="DefaultParagraphFont"/>
    <w:uiPriority w:val="99"/>
    <w:semiHidden/>
    <w:unhideWhenUsed/>
  </w:style>
  <w:style w:type="paragraph" w:customStyle="1" w:styleId="Title1">
    <w:name w:val="Title1"/>
    <w:basedOn w:val="Normal"/>
    <w:next w:val="Normal"/>
    <w:uiPriority w:val="10"/>
    <w:qFormat/>
    <w:pPr>
      <w:spacing w:after="0" w:line="240" w:lineRule="auto"/>
      <w:contextualSpacing/>
      <w:jc w:val="both"/>
    </w:pPr>
    <w:rPr>
      <w:rFonts w:ascii="Calibri" w:eastAsia="MS Gothic" w:hAnsi="Calibri" w:cs="Times New Roman"/>
      <w:spacing w:val="-10"/>
      <w:kern w:val="28"/>
      <w:sz w:val="56"/>
      <w:szCs w:val="56"/>
    </w:rPr>
  </w:style>
  <w:style w:type="character" w:customStyle="1" w:styleId="TitleChar">
    <w:name w:val="Title Char"/>
    <w:basedOn w:val="DefaultParagraphFont"/>
    <w:link w:val="Title"/>
    <w:uiPriority w:val="10"/>
    <w:rPr>
      <w:rFonts w:ascii="Calibri" w:eastAsia="MS Gothic" w:hAnsi="Calibri" w:cs="Times New Roman"/>
      <w:spacing w:val="-10"/>
      <w:kern w:val="28"/>
      <w:sz w:val="56"/>
      <w:szCs w:val="56"/>
      <w:lang w:val="lv-LV" w:eastAsia="lv-LV"/>
    </w:rPr>
  </w:style>
  <w:style w:type="character" w:styleId="Hyperlink">
    <w:name w:val="Hyperlink"/>
    <w:basedOn w:val="DefaultParagraphFont"/>
    <w:uiPriority w:val="99"/>
    <w:semiHidden/>
    <w:unhideWhenUsed/>
    <w:rPr>
      <w:color w:val="0000FF" w:themeColor="hyperlink"/>
      <w:u w:val="single"/>
    </w:rPr>
  </w:style>
  <w:style w:type="paragraph" w:styleId="FootnoteText">
    <w:name w:val="footnote text"/>
    <w:basedOn w:val="Normal"/>
    <w:link w:val="FootnoteTextChar1"/>
    <w:uiPriority w:val="99"/>
    <w:semiHidden/>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Title">
    <w:name w:val="Title"/>
    <w:basedOn w:val="Normal"/>
    <w:next w:val="Normal"/>
    <w:link w:val="TitleChar"/>
    <w:uiPriority w:val="10"/>
    <w:qFormat/>
    <w:pPr>
      <w:spacing w:after="0" w:line="240" w:lineRule="auto"/>
      <w:contextualSpacing/>
    </w:pPr>
    <w:rPr>
      <w:rFonts w:ascii="Calibri" w:eastAsia="MS Gothic" w:hAnsi="Calibri" w:cs="Times New Roman"/>
      <w:spacing w:val="-10"/>
      <w:kern w:val="28"/>
      <w:sz w:val="56"/>
      <w:szCs w:val="56"/>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numbering" w:customStyle="1" w:styleId="Style1">
    <w:name w:val="Style1"/>
    <w:uiPriority w:val="99"/>
    <w:pPr>
      <w:numPr>
        <w:numId w:val="16"/>
      </w:numPr>
    </w:p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bidi="ar-SA"/>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bidi="ar-SA"/>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Word_Document1.docx"/><Relationship Id="rId25" Type="http://schemas.openxmlformats.org/officeDocument/2006/relationships/hyperlink" Target="http://kgi-upol.maps.arcgis.com/apps/webappviewer/index.html?id=c6cedcef4aef45ae99484107a2f8f257"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emf"/><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emf"/><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7.emf"/><Relationship Id="rId27" Type="http://schemas.openxmlformats.org/officeDocument/2006/relationships/image" Target="media/image11.emf"/><Relationship Id="rId30" Type="http://schemas.openxmlformats.org/officeDocument/2006/relationships/footer" Target="foot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omaeducationfund.org/sites/default/files/publications/desegregation_toolkit__2015_web.pdf" TargetMode="External"/><Relationship Id="rId1" Type="http://schemas.openxmlformats.org/officeDocument/2006/relationships/hyperlink" Target="https://ec.europa.eu/eurostat/statistics-explained/index.php?title=Tutorial:Country_codes_and_protocol_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CE12DE6-5803-45D1-8869-3BCB2D2E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16</Pages>
  <Words>4996</Words>
  <Characters>34030</Characters>
  <Application>Microsoft Office Word</Application>
  <DocSecurity>0</DocSecurity>
  <Lines>630</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22</cp:revision>
  <dcterms:created xsi:type="dcterms:W3CDTF">2019-07-18T09:36:00Z</dcterms:created>
  <dcterms:modified xsi:type="dcterms:W3CDTF">2019-09-05T08:11:00Z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ies>
</file>