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5B95C20-96BA-4402-8331-B41146B29646" style="width:449.85pt;height:334.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ind w:right="-142"/>
        <w:jc w:val="both"/>
        <w:rPr>
          <w:rFonts w:ascii="Times New Roman" w:eastAsia="MS Mincho" w:hAnsi="Times New Roman" w:cs="Times New Roman"/>
          <w:b/>
          <w:bCs/>
          <w:smallCaps/>
          <w:noProof/>
          <w:sz w:val="24"/>
          <w:szCs w:val="24"/>
        </w:rPr>
      </w:pPr>
      <w:bookmarkStart w:id="1" w:name="_GoBack"/>
      <w:bookmarkEnd w:id="1"/>
      <w:r>
        <w:rPr>
          <w:rFonts w:ascii="Times New Roman" w:hAnsi="Times New Roman"/>
          <w:b/>
          <w:smallCaps/>
          <w:noProof/>
          <w:sz w:val="24"/>
        </w:rPr>
        <w:lastRenderedPageBreak/>
        <w:t>BEVEZETÉS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2018. december 4-én a Bizottság közzétett egy értékelést a nemzeti romaintegrációs stratégiák 2020-ig tartó uniós keretrendszeréről</w:t>
      </w:r>
      <w:r>
        <w:rPr>
          <w:rFonts w:ascii="Times New Roman" w:hAnsi="Times New Roman"/>
          <w:noProof/>
          <w:sz w:val="24"/>
          <w:vertAlign w:val="superscript"/>
        </w:rPr>
        <w:footnoteReference w:id="1"/>
      </w:r>
      <w:r>
        <w:rPr>
          <w:rFonts w:ascii="Times New Roman" w:hAnsi="Times New Roman"/>
          <w:noProof/>
          <w:sz w:val="24"/>
        </w:rPr>
        <w:t>. Az értékelés megvizsgálta az uniós keretrendszert és azt, hogy az miként mobilizálta a romák integrációja érdekében az egyéb európai szakpolitikai, jogi és finanszírozási eszközöket</w:t>
      </w:r>
      <w:r>
        <w:rPr>
          <w:rFonts w:ascii="Times New Roman" w:hAnsi="Times New Roman"/>
          <w:noProof/>
          <w:sz w:val="24"/>
          <w:vertAlign w:val="superscript"/>
        </w:rPr>
        <w:footnoteReference w:id="2"/>
      </w:r>
      <w:r>
        <w:rPr>
          <w:rFonts w:ascii="Times New Roman" w:hAnsi="Times New Roman"/>
          <w:noProof/>
          <w:sz w:val="24"/>
        </w:rPr>
        <w:t xml:space="preserve">. Annak érdekében, hogy teljes képet kapjunk, ez a 2019. évi jelentés a romaintegrációs intézkedések nemzeti szintű végrehajtására összpontosít. </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rPr>
        <w:t>Az értékelés fő forrásai:</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rPr>
        <w:t>a nemzeti roma kapcsolattartó pontok jelentései</w:t>
      </w:r>
      <w:r>
        <w:rPr>
          <w:rFonts w:ascii="Times New Roman" w:hAnsi="Times New Roman"/>
          <w:noProof/>
          <w:sz w:val="24"/>
          <w:vertAlign w:val="superscript"/>
        </w:rPr>
        <w:footnoteReference w:id="3"/>
      </w:r>
      <w:r>
        <w:rPr>
          <w:rFonts w:ascii="Times New Roman" w:hAnsi="Times New Roman"/>
          <w:noProof/>
          <w:sz w:val="24"/>
        </w:rPr>
        <w:t>;</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rPr>
        <w:t>az EP roma civil társadalmi ellenőrzés elnevezésű kísérleti projektje keretében készített civil társadalmi jelentések</w:t>
      </w:r>
      <w:r>
        <w:rPr>
          <w:rFonts w:ascii="Times New Roman" w:hAnsi="Times New Roman"/>
          <w:noProof/>
          <w:sz w:val="24"/>
          <w:vertAlign w:val="superscript"/>
        </w:rPr>
        <w:footnoteReference w:id="4"/>
      </w:r>
      <w:r>
        <w:rPr>
          <w:rFonts w:ascii="Times New Roman" w:hAnsi="Times New Roman"/>
          <w:noProof/>
          <w:sz w:val="24"/>
        </w:rPr>
        <w:t>;</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rPr>
        <w:t>a romák helyzetére vonatkozóan az Európai Unió Alapjogi Ügynöksége által rendelkezésre bocsátott adatok</w:t>
      </w:r>
      <w:r>
        <w:rPr>
          <w:rFonts w:ascii="Times New Roman" w:hAnsi="Times New Roman"/>
          <w:noProof/>
          <w:sz w:val="24"/>
          <w:vertAlign w:val="superscript"/>
        </w:rPr>
        <w:footnoteReference w:id="5"/>
      </w:r>
      <w:r>
        <w:rPr>
          <w:rFonts w:ascii="Times New Roman" w:hAnsi="Times New Roman"/>
          <w:noProof/>
          <w:sz w:val="24"/>
        </w:rPr>
        <w:t>;</w:t>
      </w:r>
    </w:p>
    <w:p>
      <w:pPr>
        <w:numPr>
          <w:ilvl w:val="0"/>
          <w:numId w:val="1"/>
        </w:numPr>
        <w:spacing w:after="120" w:line="240" w:lineRule="auto"/>
        <w:ind w:left="357" w:right="-142" w:hanging="357"/>
        <w:contextualSpacing/>
        <w:jc w:val="both"/>
        <w:rPr>
          <w:rFonts w:ascii="Times New Roman" w:eastAsia="MS Mincho" w:hAnsi="Times New Roman" w:cs="Times New Roman"/>
          <w:noProof/>
          <w:sz w:val="24"/>
          <w:szCs w:val="24"/>
        </w:rPr>
      </w:pPr>
      <w:r>
        <w:rPr>
          <w:rFonts w:ascii="Times New Roman" w:hAnsi="Times New Roman"/>
          <w:noProof/>
          <w:sz w:val="24"/>
        </w:rPr>
        <w:t>a romaintegrációs beavatkozások metaértékelése</w:t>
      </w:r>
      <w:r>
        <w:rPr>
          <w:rFonts w:ascii="Times New Roman" w:hAnsi="Times New Roman"/>
          <w:noProof/>
          <w:sz w:val="24"/>
          <w:vertAlign w:val="superscript"/>
        </w:rPr>
        <w:footnoteReference w:id="6"/>
      </w:r>
      <w:r>
        <w:rPr>
          <w:rFonts w:ascii="Times New Roman" w:hAnsi="Times New Roman"/>
          <w:noProof/>
          <w:sz w:val="24"/>
        </w:rPr>
        <w:t>.</w:t>
      </w:r>
    </w:p>
    <w:p>
      <w:pPr>
        <w:spacing w:after="120" w:line="240" w:lineRule="auto"/>
        <w:ind w:left="357" w:right="-142"/>
        <w:contextualSpacing/>
        <w:jc w:val="both"/>
        <w:rPr>
          <w:rFonts w:ascii="Times New Roman" w:eastAsia="MS Mincho" w:hAnsi="Times New Roman" w:cs="Times New Roman"/>
          <w:noProof/>
          <w:sz w:val="24"/>
          <w:szCs w:val="24"/>
        </w:rPr>
      </w:pP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Ez a jelentés a nemzeti romaintegrációs stratégiák uniós keretrendszerének négy szakpolitikai területére (oktatás, foglalkoztatás, egészségügy, lakhatás), valamint a hátrányos megkülönböztetés és cigányellenesség elleni küzdelemre összpontosítva összefoglalja a legfontosabb tendenciákat. A jelentés valamennyi területen az alábbiakat emeli ki: a romák helyzete; az integrációs intézkedések fő típusainak, valamint az ezek végrehajtásával kapcsolatos eredmények és kihívások összefoglalása (a nemzeti roma kapcsolattartó pontok jelentései alapján); továbbá szakpolitikai ismeretek megfogalmazása, melyek az ígéretes megközelítéseket és az érvényesítendő prioritásokat emelik ki (a megvalósult értékelések,</w:t>
      </w:r>
      <w:r>
        <w:rPr>
          <w:rFonts w:ascii="Times New Roman" w:hAnsi="Times New Roman"/>
          <w:noProof/>
          <w:sz w:val="24"/>
          <w:vertAlign w:val="superscript"/>
        </w:rPr>
        <w:footnoteReference w:id="7"/>
      </w:r>
      <w:r>
        <w:rPr>
          <w:rFonts w:ascii="Times New Roman" w:hAnsi="Times New Roman"/>
          <w:noProof/>
          <w:sz w:val="24"/>
        </w:rPr>
        <w:t xml:space="preserve"> a civil társadalom és a nemzeti roma kapcsolattartó pontok visszajelzése alapján).</w:t>
      </w:r>
    </w:p>
    <w:p>
      <w:pPr>
        <w:keepNext/>
        <w:spacing w:before="240" w:after="120" w:line="240" w:lineRule="auto"/>
        <w:ind w:right="-142"/>
        <w:outlineLvl w:val="0"/>
        <w:rPr>
          <w:rFonts w:ascii="Times New Roman" w:eastAsia="MS Mincho" w:hAnsi="Times New Roman" w:cs="Times New Roman"/>
          <w:b/>
          <w:bCs/>
          <w:smallCaps/>
          <w:noProof/>
          <w:sz w:val="24"/>
          <w:szCs w:val="24"/>
        </w:rPr>
      </w:pPr>
      <w:r>
        <w:rPr>
          <w:rFonts w:ascii="Times New Roman" w:hAnsi="Times New Roman"/>
          <w:b/>
          <w:smallCaps/>
          <w:noProof/>
          <w:sz w:val="24"/>
        </w:rPr>
        <w:t>I. Lényegi szakpolitikai területek</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rPr>
        <w:t>Ez a jelentés a romák integrációját célzó hatékony tagállami intézkedésekről szóló tanácsi ajánlás</w:t>
      </w:r>
      <w:r>
        <w:rPr>
          <w:rFonts w:ascii="Times New Roman" w:hAnsi="Times New Roman"/>
          <w:noProof/>
          <w:sz w:val="24"/>
          <w:vertAlign w:val="superscript"/>
        </w:rPr>
        <w:footnoteReference w:id="8"/>
      </w:r>
      <w:r>
        <w:rPr>
          <w:rFonts w:ascii="Times New Roman" w:hAnsi="Times New Roman"/>
          <w:noProof/>
          <w:sz w:val="24"/>
        </w:rPr>
        <w:t xml:space="preserve"> keretében tett intézkedésekről szól. A bejelentett intézkedések száma nem feltétlenül tükrözi az erőfeszítések ambíciószintjét vagy hatékonyságát. Az oktatás, a hátrányos megkülönböztetés és cigányellenesség elleni küzdelem terén a legtöbb intézkedés célzottan a romákra irányul. A lakhatás terén megfelelő egyensúly van a célzottan a romákra irányuló és az általános intézkedések között. A foglalkoztatás – és kisebb mértékben az egészségügy – terén a tagállamok túlnyomórészt az általános intézkedésekre támaszkodnak a roma integráció előmozdítása érdekében is.</w:t>
      </w: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4"/>
          <w:szCs w:val="24"/>
        </w:rPr>
      </w:pP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1. Oktatás</w:t>
      </w:r>
    </w:p>
    <w:p>
      <w:pPr>
        <w:spacing w:after="0" w:line="240" w:lineRule="auto"/>
        <w:ind w:left="1843" w:right="-142"/>
        <w:jc w:val="right"/>
        <w:rPr>
          <w:rFonts w:ascii="Times New Roman" w:eastAsia="MS Mincho" w:hAnsi="Times New Roman" w:cs="Times New Roman"/>
          <w:noProof/>
          <w:sz w:val="18"/>
          <w:szCs w:val="19"/>
        </w:rPr>
      </w:pPr>
      <w:r>
        <w:rPr>
          <w:noProof/>
          <w:lang w:val="en-GB" w:eastAsia="en-GB" w:bidi="ar-SA"/>
        </w:rPr>
        <w:drawing>
          <wp:anchor distT="0" distB="0" distL="114300" distR="114300" simplePos="0" relativeHeight="251679744" behindDoc="0" locked="0" layoutInCell="1" allowOverlap="1">
            <wp:simplePos x="0" y="0"/>
            <wp:positionH relativeFrom="column">
              <wp:posOffset>-51044</wp:posOffset>
            </wp:positionH>
            <wp:positionV relativeFrom="paragraph">
              <wp:posOffset>221224</wp:posOffset>
            </wp:positionV>
            <wp:extent cx="6030595" cy="210010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0595" cy="2100101"/>
                    </a:xfrm>
                    <a:prstGeom prst="rect">
                      <a:avLst/>
                    </a:prstGeom>
                    <a:noFill/>
                    <a:ln>
                      <a:noFill/>
                    </a:ln>
                  </pic:spPr>
                </pic:pic>
              </a:graphicData>
            </a:graphic>
          </wp:anchor>
        </w:drawing>
      </w:r>
    </w:p>
    <w:p>
      <w:pPr>
        <w:keepNext/>
        <w:keepLines/>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1.1. Az intézkedések fókusza</w:t>
      </w:r>
    </w:p>
    <w:p>
      <w:pPr>
        <w:keepLines/>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legtöbb tagállam a korai iskolaelhagyást csökkentő intézkedésekbe fektet be (18 tagállam). Az ezt követően leggyakrabban alkalmazott intézkedések az alábbiakat tartalmazzák: az egyes tanulók szükségleteinek figyelembevétele, a családokkal való együttműködésben (14 tagállam); A koragyermekkori neveléshez és gondozáshoz való hozzáférésnek és ezek minőségének javítása (13 tagállam); valamint a romák közép- és felsőfokú oktatásban való részvételének, és közép- és felsőfokú végzettségük megszerzésének ösztönzése (11 tagállam). További erőfeszítéseket tettek az iskolai szegregáció elleni küzdelem; az inkluzív oktatási módszerek; és a munkaerőpiaci igényekhez igazodó készségek kifejlesztése érdekében (mindegyik intézkedés 12 tagállam esetében).</w:t>
      </w:r>
    </w:p>
    <w:p>
      <w:pPr>
        <w:keepNext/>
        <w:keepLines/>
        <w:spacing w:after="120" w:line="240" w:lineRule="auto"/>
        <w:ind w:right="-142"/>
        <w:jc w:val="both"/>
        <w:rPr>
          <w:rFonts w:ascii="Times New Roman" w:eastAsia="MS Mincho" w:hAnsi="Times New Roman" w:cs="Times New Roman"/>
          <w:b/>
          <w:noProof/>
          <w:sz w:val="24"/>
          <w:szCs w:val="24"/>
        </w:rPr>
      </w:pPr>
      <w:r>
        <w:rPr>
          <w:noProof/>
          <w:lang w:val="en-GB" w:eastAsia="en-GB" w:bidi="ar-SA"/>
        </w:rPr>
        <w:drawing>
          <wp:inline distT="0" distB="0" distL="0" distR="0">
            <wp:extent cx="6130138" cy="466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994"/>
                    <a:stretch/>
                  </pic:blipFill>
                  <pic:spPr bwMode="auto">
                    <a:xfrm>
                      <a:off x="0" y="0"/>
                      <a:ext cx="6140990" cy="4670143"/>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fenti célokon kívül mi áll az intézkedések lényegi fókuszában? Az figyelhető meg, hogy a tagállamok leggyakrabban az iskolázottság emelését célzó intézkedéseket választják: iskolából való kimaradás elleni fellépés; a közép- és felsőfokú oktatásba való átmenetnek, valamint a közép- és felsőfokú végzettség megszerzésének ösztönzése; vagy támogatás biztosítása az oktatási hiányosságok vagy anyagi hátrány kompenzálására. Valamennyi ilyen típusú intézkedés az oktatási intézkedések 36 %-át teszi ki. Az intézkedések egyéb jelentős csoportjai a következőkre összpontosítanak: az oktatásból a foglalkoztatásba való átmenet a szakképzés támogatása révén; szakmai előmenetel és egész életen át tartó tanulás; és a szakemberek kapacitásfejlesztése (9–11 %). A kevésbé elterjedt intézkedések az integrált integrációs beavatkozásokra, valamint a roma történelem és kultúra tantervekbe való bevezetésére összpontosítanak (6-6 %).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1.2. Eredmények és kihívások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nemzeti roma kapcsolattartó pontok által az oktatás terén leggyakrabban említett eredmény a közvetítés</w:t>
      </w:r>
      <w:r>
        <w:rPr>
          <w:rFonts w:ascii="Times New Roman" w:hAnsi="Times New Roman"/>
          <w:noProof/>
          <w:sz w:val="24"/>
          <w:vertAlign w:val="superscript"/>
        </w:rPr>
        <w:footnoteReference w:id="9"/>
      </w:r>
      <w:r>
        <w:rPr>
          <w:rFonts w:ascii="Times New Roman" w:hAnsi="Times New Roman"/>
          <w:noProof/>
          <w:sz w:val="24"/>
        </w:rPr>
        <w:t>. A további eredmények közé tartoznak az alábbiak: az óvodai kapacitások fejlesztése</w:t>
      </w:r>
      <w:r>
        <w:rPr>
          <w:rFonts w:ascii="Times New Roman" w:hAnsi="Times New Roman"/>
          <w:noProof/>
          <w:sz w:val="24"/>
          <w:vertAlign w:val="superscript"/>
        </w:rPr>
        <w:footnoteReference w:id="10"/>
      </w:r>
      <w:r>
        <w:rPr>
          <w:rFonts w:ascii="Times New Roman" w:hAnsi="Times New Roman"/>
          <w:noProof/>
          <w:sz w:val="24"/>
        </w:rPr>
        <w:t>; a korai iskolaelhagyás leküzdésének és nyomon követésének fokozottabb támogatása</w:t>
      </w:r>
      <w:r>
        <w:rPr>
          <w:rFonts w:ascii="Times New Roman" w:hAnsi="Times New Roman"/>
          <w:noProof/>
          <w:sz w:val="24"/>
          <w:vertAlign w:val="superscript"/>
        </w:rPr>
        <w:footnoteReference w:id="11"/>
      </w:r>
      <w:r>
        <w:rPr>
          <w:rFonts w:ascii="Times New Roman" w:hAnsi="Times New Roman"/>
          <w:noProof/>
          <w:sz w:val="24"/>
        </w:rPr>
        <w:t>; és a roma integrációval és megkülönböztetésmentességgel kapcsolatos témák tanárképzésekbe vagy nemzeti tantervekbe való felvétele</w:t>
      </w:r>
      <w:r>
        <w:rPr>
          <w:rFonts w:ascii="Times New Roman" w:hAnsi="Times New Roman"/>
          <w:noProof/>
          <w:sz w:val="24"/>
          <w:vertAlign w:val="superscript"/>
        </w:rPr>
        <w:footnoteReference w:id="12"/>
      </w:r>
      <w:r>
        <w:rPr>
          <w:rFonts w:ascii="Times New Roman" w:hAnsi="Times New Roman"/>
          <w:noProof/>
          <w:sz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nemzeti roma kapcsolattartó pontok által leggyakrabban kiemelt kihívások közé az alábbiak tartoznak: iskolai részvétel, iskolából való hiányzás, korai iskolaelhagyás, az alapfokú oktatásból középfokú oktatásba való átmenet és a középfokú végzettség megszerzése.</w:t>
      </w:r>
      <w:r>
        <w:rPr>
          <w:rFonts w:ascii="Times New Roman" w:hAnsi="Times New Roman"/>
          <w:noProof/>
          <w:sz w:val="24"/>
          <w:vertAlign w:val="superscript"/>
        </w:rPr>
        <w:footnoteReference w:id="13"/>
      </w:r>
      <w:r>
        <w:rPr>
          <w:rFonts w:ascii="Times New Roman" w:hAnsi="Times New Roman"/>
          <w:noProof/>
          <w:sz w:val="24"/>
        </w:rPr>
        <w:t xml:space="preserve"> A további kihívások közé tartoznak az alábbiak: szegregáció elleni küzdelem</w:t>
      </w:r>
      <w:r>
        <w:rPr>
          <w:rFonts w:ascii="Times New Roman" w:hAnsi="Times New Roman"/>
          <w:noProof/>
          <w:sz w:val="24"/>
          <w:vertAlign w:val="superscript"/>
        </w:rPr>
        <w:footnoteReference w:id="14"/>
      </w:r>
      <w:r>
        <w:rPr>
          <w:rFonts w:ascii="Times New Roman" w:hAnsi="Times New Roman"/>
          <w:noProof/>
          <w:sz w:val="24"/>
        </w:rPr>
        <w:t>; az emberi erőforrások biztosítása és fejlesztése</w:t>
      </w:r>
      <w:r>
        <w:rPr>
          <w:rFonts w:ascii="Times New Roman" w:hAnsi="Times New Roman"/>
          <w:noProof/>
          <w:sz w:val="24"/>
          <w:vertAlign w:val="superscript"/>
        </w:rPr>
        <w:footnoteReference w:id="15"/>
      </w:r>
      <w:r>
        <w:rPr>
          <w:rFonts w:ascii="Times New Roman" w:hAnsi="Times New Roman"/>
          <w:noProof/>
          <w:sz w:val="24"/>
        </w:rPr>
        <w:t>; az érdekelt felek közti együttműködés</w:t>
      </w:r>
      <w:r>
        <w:rPr>
          <w:rFonts w:ascii="Times New Roman" w:hAnsi="Times New Roman"/>
          <w:noProof/>
          <w:sz w:val="24"/>
          <w:vertAlign w:val="superscript"/>
        </w:rPr>
        <w:footnoteReference w:id="16"/>
      </w:r>
      <w:r>
        <w:rPr>
          <w:rFonts w:ascii="Times New Roman" w:hAnsi="Times New Roman"/>
          <w:noProof/>
          <w:sz w:val="24"/>
        </w:rPr>
        <w:t>; a kisgyermekkori nevelés és gondozás ösztönzése;</w:t>
      </w:r>
      <w:r>
        <w:rPr>
          <w:rFonts w:ascii="Times New Roman" w:hAnsi="Times New Roman"/>
          <w:noProof/>
          <w:sz w:val="24"/>
          <w:vertAlign w:val="superscript"/>
        </w:rPr>
        <w:footnoteReference w:id="17"/>
      </w:r>
      <w:r>
        <w:rPr>
          <w:rFonts w:ascii="Times New Roman" w:hAnsi="Times New Roman"/>
          <w:noProof/>
          <w:sz w:val="24"/>
        </w:rPr>
        <w:t xml:space="preserve"> felnőttképzés és második esélyt nyújtó oktatás</w:t>
      </w:r>
      <w:r>
        <w:rPr>
          <w:rFonts w:ascii="Times New Roman" w:hAnsi="Times New Roman"/>
          <w:noProof/>
          <w:sz w:val="24"/>
          <w:vertAlign w:val="superscript"/>
        </w:rPr>
        <w:footnoteReference w:id="18"/>
      </w:r>
      <w:r>
        <w:rPr>
          <w:rFonts w:ascii="Times New Roman" w:hAnsi="Times New Roman"/>
          <w:noProof/>
          <w:sz w:val="24"/>
        </w:rPr>
        <w:t>; valamint adatelérhetőség</w:t>
      </w:r>
      <w:r>
        <w:rPr>
          <w:rFonts w:ascii="Times New Roman" w:hAnsi="Times New Roman"/>
          <w:noProof/>
          <w:sz w:val="24"/>
          <w:vertAlign w:val="superscript"/>
        </w:rPr>
        <w:footnoteReference w:id="19"/>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1.3. Szakpolitikai ismeretátadás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Az oktatás terén történik a legtöbb beavatkozás és értékelés. Ezért ezen a területen viszonylag több ígéretes megközelítés, illetve több ország esetében közös szakpolitikai tanulság létezik. Az e terén fontos szakpolitikai tanulságok közé többek között az alábbiak tartoznak: a korai beavatkozás és megelőzés fontossága; annak szükségessége, hogy a roma szülők részvételét és szerepvállalását biztosítsák (a gyermekek valamennyi oktatási szakaszban való támogatásának fontos alkotóelemeként); a tanrenden kívüli tevékenységek szerepe a roma gyermekek identitásának és kapcsolati hálójának megerősítése terén; a folyamatos és összetett támogatási intézkedések jelentősége (patronálás ösztöndíjakkal és az egyéb költségkorlátok eltávolítása) az oktatási szintek közötti, valamint a foglalkoztatásba való átmenet előmozdítása terén. Habár a pozitív diszkrimináció segített a romák oktatásban való részvételének javításában, fontos annak megakadályozása, hogy az amúgy hagyományos iskolákba való felvételre jogosult romák számára külön helyeket tartsanak fenn.</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Különösen a nagy arányú roma tanulókkal rendelkező tagállamokban van szükség módszeres, összetett és hosszú távú megközelítésre az iskolában és osztályokban meglévő szegregáció elleni küzdelemhez, ami a többi integrációs intézkedés sikerét aláásó sürgető probléma marad. E megközelítés legfontosabb elemei a következők: korai és ingyenes hozzáférés biztosítása az integrált körülmények között történő minőségi, befogadó koragyermekkori neveléshez és gondozáshoz (mind a roma gyermekek felkészítése, mind a roma és nem roma gyermekek és szülők közti előítéletek leküzdése érdekében, hogy meg lehessen előzni a későbbi szegregációt); a roma szülők támogatása az iskolaválasztás során; a szegregált iskolák fokozatos bezárása az oktatási hatóságok révén; továbbá a roma gyermekek több iskola között való elosztása (az iskolai vonzáskörzetek újraszervezése révén). E szegregációellenes intézkedéseket további pénzügyi és szakmai támogatásnak kell kísérnie, hogy a roma gyermekek többségi iskolákban való szociális és tanulmányi integrációját többek között az alábbiak révén is elő lehessen segíteni: az utazás, tananyagok, étkezések, tanrenden kívüli tevékenységek, különórák költségeinek fedezése; az iskolai előkészítő oktatást nyújtók és tanárok integrált iskolai körülmények közötti új tanítási módszerekkel kapcsolatos képzése (ideértve az előítéletek leküzdését); a szülők és iskolák közti kommunikáció elősegítése; az integrált oktatás előnyeinek megismertetése a szülőkkel; tanulók mentorálása, iskola utáni támogatás roma gyermekek számára, tanárasszisztensek foglalkoztatása; intézkedések, melyek révén rá lehet ébreszteni a lakosságot a befogadó oktatás jelentőségére, valamint kampányok és médiamegjelenések révén a közösségi kapcsolatokat célzó interkulturális oktatás</w:t>
      </w:r>
      <w:r>
        <w:rPr>
          <w:rFonts w:ascii="Times New Roman" w:hAnsi="Times New Roman"/>
          <w:noProof/>
          <w:sz w:val="24"/>
          <w:vertAlign w:val="superscript"/>
        </w:rPr>
        <w:footnoteReference w:id="20"/>
      </w:r>
      <w:r>
        <w:rPr>
          <w:rFonts w:ascii="Times New Roman" w:hAnsi="Times New Roman"/>
          <w:noProof/>
          <w:sz w:val="24"/>
        </w:rPr>
        <w:t>.</w:t>
      </w:r>
    </w:p>
    <w:tbl>
      <w:tblPr>
        <w:tblStyle w:val="TableGrid"/>
        <w:tblW w:w="9498" w:type="dxa"/>
        <w:tblInd w:w="108" w:type="dxa"/>
        <w:tblLook w:val="04A0" w:firstRow="1" w:lastRow="0" w:firstColumn="1" w:lastColumn="0" w:noHBand="0" w:noVBand="1"/>
      </w:tblPr>
      <w:tblGrid>
        <w:gridCol w:w="4253"/>
        <w:gridCol w:w="5245"/>
      </w:tblGrid>
      <w:tr>
        <w:tc>
          <w:tcPr>
            <w:tcW w:w="4253"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Ígéretes megközelítések:</w:t>
            </w:r>
          </w:p>
        </w:tc>
        <w:tc>
          <w:tcPr>
            <w:tcW w:w="5245"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Érvényesítendő prioritások:</w:t>
            </w:r>
          </w:p>
        </w:tc>
      </w:tr>
      <w:tr>
        <w:tc>
          <w:tcPr>
            <w:tcW w:w="4253"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BG, CZ, DK, EL, FI, FR, HR, HU, LT, PL, SK: </w:t>
            </w:r>
            <w:r>
              <w:rPr>
                <w:rFonts w:ascii="Times New Roman" w:hAnsi="Times New Roman"/>
                <w:noProof/>
                <w:sz w:val="19"/>
              </w:rPr>
              <w:t>kötelező (ingyenes) iskolai előtti nevelés bevezetése vagy kiterjesztése, óvodák esb-alapok által támogatott fejlesztése, óvodapedagógusok számára szóló képzések</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CY, EL, ES, IE, IT, HR, HU, LT, LV, NL, PL, PT, RO, SE, SI: </w:t>
            </w:r>
            <w:r>
              <w:rPr>
                <w:rFonts w:ascii="Times New Roman" w:hAnsi="Times New Roman"/>
                <w:noProof/>
                <w:sz w:val="19"/>
              </w:rPr>
              <w:t>a roma (lányok) iskolai lemorzsolódásának megelőzését iskola utáni támogatás biztosítása révén megvalósítani kívánó programok, mentorálás, közvetítés, asszisztensek, második esélyt nyújtó oktatás, tanárképzés, családok támogatása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AT, CY, FI, HU, IE, IT, PT, RO: </w:t>
            </w:r>
            <w:r>
              <w:rPr>
                <w:rFonts w:ascii="Times New Roman" w:hAnsi="Times New Roman"/>
                <w:noProof/>
                <w:sz w:val="19"/>
              </w:rPr>
              <w:t>roma történelem (ideértve a holokausztot) és/vagy kultúra nemzeti tanrendekbe való foglalása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IE, HR, RO:</w:t>
            </w:r>
            <w:r>
              <w:rPr>
                <w:rFonts w:ascii="Times New Roman" w:hAnsi="Times New Roman"/>
                <w:noProof/>
                <w:sz w:val="19"/>
              </w:rPr>
              <w:t xml:space="preserve"> romák számára helyek biztosítása a közép- és felsőfokú oktatásban</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LT:</w:t>
            </w:r>
            <w:r>
              <w:rPr>
                <w:rFonts w:ascii="Times New Roman" w:hAnsi="Times New Roman"/>
                <w:noProof/>
                <w:sz w:val="19"/>
              </w:rPr>
              <w:t xml:space="preserve"> a roma gyermekeket oktató iskolai hálózatok kapacitás- és kompetenciafejlesztése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SE:</w:t>
            </w:r>
            <w:r>
              <w:rPr>
                <w:rFonts w:ascii="Times New Roman" w:hAnsi="Times New Roman"/>
                <w:noProof/>
                <w:sz w:val="19"/>
              </w:rPr>
              <w:t xml:space="preserve"> romani nyelven folytatott tanárképzés (Södertörn egyetem) és középfokú felnőttképzés</w:t>
            </w:r>
          </w:p>
        </w:tc>
        <w:tc>
          <w:tcPr>
            <w:tcW w:w="5245"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szülői feladatok otthoni ellátásának és a koragyermekkori tanulásnak a támogatása az átfogó korai beavatkozási és megelőzési programok részeként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minőségi, inkluzív, ingyenes és kötelező iskola előtti nevelés bevezetése vagy további kiterjesztése, valamint a pénzügyi és nem pénzügyi hozzáférési akadályok eltávolítása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oktatási minőség, integráció és eredmények ösztönzők (finanszírozás és a tanárképzés reformja) révén való előmozdítása, a legjobb tanárok hátrányos helyzetű iskolákba/régiókba való csábítása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iskolában és osztályokban meglévő szegregáció módszeres nyomon követése és leküzdése a roma családokat támogató hosszú távú és átfogó előkészítő és kísérő intézkedések révén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közvélemény támogatásának elnyerése, illetve a valamennyi érdekelt fél közti együttműködés kiépítése a kifejezett aktív szegregációellenes intézkedések kiegészítéséhez</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ösztöndíjak, patronálás és tanrenden kívüli tevékenységek kombinálása a korai iskolaelhagyás megakadályozása és a következő oktatási szakaszba való átmenet elősegítése érdekében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roma lányok, szüleik és tanáraik megcélzása a nemi sztereotípiák leküzdése és a korai iskolaelhagyás csökkentése érdekében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felső középfokú oktatásba és továbbképzésbe való átmenetnek, valamint a felső középfokú oktatás és továbbképzés befejezésének ösztönzése, ideértve a roma tanulók és családok számára nyújtott karrier-tanácsadást</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2. Foglalkoztatás</w:t>
      </w:r>
    </w:p>
    <w:p>
      <w:pPr>
        <w:pStyle w:val="ListParagraph"/>
        <w:ind w:left="567" w:firstLine="142"/>
        <w:contextualSpacing w:val="0"/>
        <w:jc w:val="center"/>
        <w:rPr>
          <w:rFonts w:ascii="Times New Roman" w:hAnsi="Times New Roman" w:cs="Times New Roman"/>
          <w:i/>
          <w:noProof/>
          <w:sz w:val="19"/>
          <w:szCs w:val="19"/>
        </w:rPr>
      </w:pPr>
      <w:r>
        <w:rPr>
          <w:rFonts w:ascii="Times New Roman" w:hAnsi="Times New Roman"/>
          <w:i/>
          <w:noProof/>
          <w:sz w:val="19"/>
          <w:szCs w:val="19"/>
        </w:rPr>
        <w:t>A romák helyzete a foglalkoztatás terén (2016)</w:t>
      </w:r>
    </w:p>
    <w:p>
      <w:pPr>
        <w:pStyle w:val="ListParagraph"/>
        <w:pBdr>
          <w:top w:val="single" w:sz="4" w:space="1" w:color="auto"/>
          <w:between w:val="single" w:sz="4" w:space="1" w:color="auto"/>
        </w:pBdr>
        <w:ind w:left="567" w:firstLine="142"/>
        <w:contextualSpacing w:val="0"/>
        <w:rPr>
          <w:rFonts w:ascii="Times New Roman" w:hAnsi="Times New Roman" w:cs="Times New Roman"/>
          <w:noProof/>
          <w:sz w:val="19"/>
          <w:szCs w:val="19"/>
        </w:rPr>
      </w:pPr>
      <w:r>
        <w:rPr>
          <w:rFonts w:ascii="Times New Roman" w:hAnsi="Times New Roman"/>
          <w:b/>
          <w:noProof/>
          <w:sz w:val="19"/>
          <w:szCs w:val="19"/>
        </w:rPr>
        <w:t xml:space="preserve">A fizetett munkát végző romák aránya </w:t>
      </w:r>
      <w:r>
        <w:rPr>
          <w:rFonts w:ascii="Times New Roman" w:hAnsi="Times New Roman"/>
          <w:noProof/>
          <w:sz w:val="19"/>
          <w:szCs w:val="19"/>
        </w:rPr>
        <w:t>(20–64 év között):</w:t>
      </w:r>
      <w:r>
        <w:rPr>
          <w:rFonts w:ascii="Times New Roman" w:hAnsi="Times New Roman"/>
          <w:b/>
          <w:noProof/>
          <w:sz w:val="19"/>
          <w:szCs w:val="19"/>
        </w:rPr>
        <w:t xml:space="preserve"> </w:t>
      </w:r>
      <w:r>
        <w:rPr>
          <w:rFonts w:ascii="Times New Roman" w:hAnsi="Times New Roman"/>
          <w:b/>
          <w:noProof/>
          <w:sz w:val="19"/>
          <w:szCs w:val="19"/>
        </w:rPr>
        <w:tab/>
      </w:r>
      <w:r>
        <w:rPr>
          <w:rFonts w:ascii="Times New Roman" w:hAnsi="Times New Roman"/>
          <w:noProof/>
          <w:sz w:val="19"/>
          <w:szCs w:val="19"/>
        </w:rPr>
        <w:t>43 % (nő: 29%, férfi: 56 %)</w:t>
      </w:r>
    </w:p>
    <w:p>
      <w:pPr>
        <w:pStyle w:val="ListParagraph"/>
        <w:pBdr>
          <w:top w:val="single" w:sz="4" w:space="1" w:color="auto"/>
          <w:between w:val="single" w:sz="4" w:space="1" w:color="auto"/>
        </w:pBdr>
        <w:ind w:left="709"/>
        <w:contextualSpacing w:val="0"/>
        <w:rPr>
          <w:rFonts w:ascii="Times New Roman" w:hAnsi="Times New Roman" w:cs="Times New Roman"/>
          <w:b/>
          <w:noProof/>
          <w:sz w:val="19"/>
          <w:szCs w:val="19"/>
        </w:rPr>
      </w:pPr>
      <w:r>
        <w:rPr>
          <w:rFonts w:ascii="Times New Roman" w:hAnsi="Times New Roman"/>
          <w:b/>
          <w:noProof/>
          <w:sz w:val="19"/>
          <w:szCs w:val="19"/>
        </w:rPr>
        <w:t xml:space="preserve">A nem foglalkoztatott, oktatásban és képzésben nem részesülő roma fiatalok aránya </w:t>
      </w:r>
      <w:r>
        <w:rPr>
          <w:rFonts w:ascii="Times New Roman" w:hAnsi="Times New Roman"/>
          <w:noProof/>
          <w:sz w:val="19"/>
          <w:szCs w:val="19"/>
        </w:rPr>
        <w:t>(16–24 év között):</w:t>
      </w:r>
      <w:r>
        <w:rPr>
          <w:rFonts w:ascii="Times New Roman" w:hAnsi="Times New Roman"/>
          <w:b/>
          <w:noProof/>
          <w:sz w:val="19"/>
          <w:szCs w:val="19"/>
        </w:rPr>
        <w:t xml:space="preserve"> </w:t>
      </w:r>
      <w:r>
        <w:rPr>
          <w:rFonts w:ascii="Times New Roman" w:hAnsi="Times New Roman"/>
          <w:noProof/>
          <w:sz w:val="19"/>
          <w:szCs w:val="19"/>
        </w:rPr>
        <w:t>63 % (nő: 72 %, férfi: 55 %)</w:t>
      </w:r>
    </w:p>
    <w:p>
      <w:pPr>
        <w:pStyle w:val="ListParagraph"/>
        <w:pBdr>
          <w:top w:val="single" w:sz="4" w:space="1" w:color="auto"/>
          <w:between w:val="single" w:sz="4" w:space="1" w:color="auto"/>
        </w:pBdr>
        <w:tabs>
          <w:tab w:val="left" w:pos="709"/>
        </w:tabs>
        <w:ind w:left="709"/>
        <w:contextualSpacing w:val="0"/>
        <w:rPr>
          <w:rFonts w:ascii="Times New Roman" w:hAnsi="Times New Roman" w:cs="Times New Roman"/>
          <w:b/>
          <w:noProof/>
          <w:sz w:val="19"/>
          <w:szCs w:val="19"/>
        </w:rPr>
      </w:pPr>
      <w:r>
        <w:rPr>
          <w:rFonts w:ascii="Times New Roman" w:hAnsi="Times New Roman"/>
          <w:b/>
          <w:noProof/>
          <w:sz w:val="19"/>
          <w:szCs w:val="19"/>
        </w:rPr>
        <w:t xml:space="preserve">A gyermek, idős vagy beteg hozzátartozó ápolása miatt nem foglalkoztatott vagy munkát nem kereső roma nők aránya </w:t>
      </w:r>
      <w:r>
        <w:rPr>
          <w:rFonts w:ascii="Times New Roman" w:hAnsi="Times New Roman"/>
          <w:noProof/>
          <w:sz w:val="19"/>
          <w:szCs w:val="19"/>
        </w:rPr>
        <w:t>(16–64 év között):</w:t>
      </w:r>
      <w:r>
        <w:rPr>
          <w:rFonts w:ascii="Times New Roman" w:hAnsi="Times New Roman"/>
          <w:b/>
          <w:noProof/>
          <w:sz w:val="19"/>
          <w:szCs w:val="19"/>
        </w:rPr>
        <w:t xml:space="preserve"> </w:t>
      </w:r>
      <w:r>
        <w:rPr>
          <w:rFonts w:ascii="Times New Roman" w:hAnsi="Times New Roman"/>
          <w:b/>
          <w:noProof/>
          <w:sz w:val="19"/>
          <w:szCs w:val="19"/>
        </w:rPr>
        <w:tab/>
      </w:r>
      <w:r>
        <w:rPr>
          <w:rFonts w:ascii="Times New Roman" w:hAnsi="Times New Roman"/>
          <w:noProof/>
          <w:sz w:val="19"/>
          <w:szCs w:val="19"/>
        </w:rPr>
        <w:t>40 %</w:t>
      </w:r>
    </w:p>
    <w:p>
      <w:pPr>
        <w:spacing w:before="180" w:after="60" w:line="240" w:lineRule="auto"/>
        <w:ind w:right="-142"/>
        <w:outlineLvl w:val="1"/>
        <w:rPr>
          <w:rFonts w:ascii="Times New Roman" w:eastAsia="MS Mincho" w:hAnsi="Times New Roman" w:cs="Times New Roman"/>
          <w:i/>
          <w:noProof/>
          <w:sz w:val="24"/>
          <w:szCs w:val="24"/>
        </w:rPr>
      </w:pPr>
      <w:r>
        <w:rPr>
          <w:rFonts w:ascii="Times New Roman" w:hAnsi="Times New Roman"/>
          <w:i/>
          <w:noProof/>
          <w:sz w:val="24"/>
        </w:rPr>
        <w:t xml:space="preserve">2.1. Az intézkedések fókusza </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legtöbb tagállam által végrehajtott két legnagyobb intézkedéscsoport célja a munkaerőpiac előtt álló akadályok eltávolítása (15 tagállam), valamint az álláskeresőknek nyújtott személyre szabott támogatás (13 tagállam). Kevesebb, de még mindig jelentős számú ország fektet be a szakképzésbe (9 tagállam), az egész életen át tartó tanulásba és készségfejlesztésbe (10 tagállam), valamint az önfoglalkoztatásba és vállalkozói készségekbe (8 tagállam). A nem foglalkoztatott, oktatásban és képzésben nem részesülő roma fiatalok növekvő aránya minden bizonnyal még több erőfeszítést igényelne az első munkatapasztalat támogatása érdekében (10 tagállam). A kiemelten kezelendő további két terület: biztosítékok és személyre szabott szolgáltatások annak biztosítására, hogy az általános állami foglalkoztatási szolgálatok hatékonyan el tudják érni a hátrányos helyzetben lévő roma álláskeresőket; valamint pozitív diszkrimináció a romák közigazgatásban való foglalkoztatásának előmozdítására.</w:t>
      </w:r>
    </w:p>
    <w:p>
      <w:pPr>
        <w:pStyle w:val="Caption"/>
        <w:keepNext/>
        <w:keepLines/>
        <w:spacing w:before="120" w:after="60"/>
        <w:ind w:right="-913" w:firstLine="720"/>
        <w:rPr>
          <w:rFonts w:ascii="Times New Roman" w:hAnsi="Times New Roman" w:cs="Times New Roman"/>
          <w:noProof/>
          <w:color w:val="auto"/>
        </w:rPr>
      </w:pPr>
      <w:r>
        <w:rPr>
          <w:rFonts w:ascii="Times New Roman" w:hAnsi="Times New Roman"/>
          <w:noProof/>
          <w:color w:val="auto"/>
        </w:rPr>
        <w:t>A foglalkoztatási intézkedések megoszlása a tanácsi ajánlás alterületei szempontjából fennálló relevancia szerint</w:t>
      </w:r>
    </w:p>
    <w:tbl>
      <w:tblPr>
        <w:tblStyle w:val="TableGrid"/>
        <w:tblW w:w="9289" w:type="dxa"/>
        <w:tblLook w:val="04A0" w:firstRow="1" w:lastRow="0" w:firstColumn="1" w:lastColumn="0" w:noHBand="0" w:noVBand="1"/>
      </w:tblPr>
      <w:tblGrid>
        <w:gridCol w:w="2518"/>
        <w:gridCol w:w="2550"/>
        <w:gridCol w:w="1166"/>
        <w:gridCol w:w="1699"/>
        <w:gridCol w:w="1356"/>
      </w:tblGrid>
      <w:tr>
        <w:trPr>
          <w:trHeight w:val="369"/>
        </w:trPr>
        <w:tc>
          <w:tcPr>
            <w:tcW w:w="2518"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Tematikus alterület</w:t>
            </w:r>
          </w:p>
          <w:p>
            <w:pPr>
              <w:keepNext/>
              <w:keepLines/>
              <w:rPr>
                <w:rFonts w:ascii="Times New Roman" w:hAnsi="Times New Roman" w:cs="Times New Roman"/>
                <w:b/>
                <w:noProof/>
                <w:sz w:val="16"/>
                <w:szCs w:val="16"/>
              </w:rPr>
            </w:pPr>
          </w:p>
        </w:tc>
        <w:tc>
          <w:tcPr>
            <w:tcW w:w="2550"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Tagállam</w:t>
            </w:r>
          </w:p>
        </w:tc>
        <w:tc>
          <w:tcPr>
            <w:tcW w:w="1166"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Az intézkedések száma </w:t>
            </w:r>
          </w:p>
        </w:tc>
        <w:tc>
          <w:tcPr>
            <w:tcW w:w="1699"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Bővítési országok </w:t>
            </w:r>
          </w:p>
        </w:tc>
        <w:tc>
          <w:tcPr>
            <w:tcW w:w="1356"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Az intézkedések száma</w:t>
            </w:r>
          </w:p>
        </w:tc>
      </w:tr>
      <w:tr>
        <w:trPr>
          <w:trHeight w:val="385"/>
        </w:trPr>
        <w:tc>
          <w:tcPr>
            <w:tcW w:w="2518" w:type="dxa"/>
          </w:tcPr>
          <w:p>
            <w:pPr>
              <w:rPr>
                <w:rFonts w:ascii="Times New Roman" w:hAnsi="Times New Roman" w:cs="Times New Roman"/>
                <w:noProof/>
                <w:sz w:val="16"/>
                <w:szCs w:val="16"/>
              </w:rPr>
            </w:pPr>
            <w:r>
              <w:rPr>
                <w:rFonts w:ascii="Times New Roman" w:hAnsi="Times New Roman"/>
                <w:noProof/>
                <w:sz w:val="16"/>
                <w:szCs w:val="16"/>
              </w:rPr>
              <w:t>A munkaerőpiaci akadályok – köztük a hátrányos megkülönböztetés – megszüntetése</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AT, BE, BG, CY, CZ, EL, ES, HR, HU, LT, LU, NL, PT, RO, SK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49</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KOS, ME, MK, RS, TR</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24</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Személyre szabott iránymutatás biztosítása az egyéni álláskeresők számára</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AT, BG, CZ, EL, ES, HU, HR, LV, LU, NL, RO, SI, SK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41</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MK, RS, TR</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11</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Szakképzés támogatása</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AT, BG, CY, ES, LV, LU, NL, RO, SK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20</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KOS, ME, MK, RS, TR</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8</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Az élethosszig tartó tanulás és a készségfejlesztés támogatása</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AT, BG, ES, HR, HU, LV, LT, LU, NL, PT</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18</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MK, RS</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7</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Az önfoglalkoztatás és a vállalkozói készség támogatása</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AT, BG, HR, CZ, EL, ES, HU, LT</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18</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BiH, KOS, ME, MK, RS, TR</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11</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Az első munkatapasztalat megszerzésének támogatása</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AT, BG, CY, CZ, EL, ES, HR, LU, RO, SK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16</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KOS, ME, MK, RS</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9</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A munkahelyi képzés támogatása</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BG, CZ, ES, HU, LV, LU, SK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14</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KOS, MK, RS</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4</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Egyenlő hozzáférés biztosítása az általános állami foglalkoztatási szolgálatokhoz</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BG, HR, CZ, HU, LV, SK, ES, UK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13</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KOS, ME, MK, RS</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16</w:t>
            </w:r>
          </w:p>
        </w:tc>
      </w:tr>
      <w:tr>
        <w:tc>
          <w:tcPr>
            <w:tcW w:w="2518" w:type="dxa"/>
          </w:tcPr>
          <w:p>
            <w:pPr>
              <w:rPr>
                <w:rFonts w:ascii="Times New Roman" w:hAnsi="Times New Roman" w:cs="Times New Roman"/>
                <w:noProof/>
                <w:sz w:val="16"/>
                <w:szCs w:val="16"/>
              </w:rPr>
            </w:pPr>
            <w:r>
              <w:rPr>
                <w:rFonts w:ascii="Times New Roman" w:hAnsi="Times New Roman"/>
                <w:noProof/>
                <w:sz w:val="16"/>
                <w:szCs w:val="16"/>
              </w:rPr>
              <w:t>A közigazgatásban kínált foglalkoztatási lehetőségek elősegítése</w:t>
            </w:r>
          </w:p>
        </w:tc>
        <w:tc>
          <w:tcPr>
            <w:tcW w:w="2550" w:type="dxa"/>
            <w:vAlign w:val="center"/>
          </w:tcPr>
          <w:p>
            <w:pPr>
              <w:rPr>
                <w:rFonts w:ascii="Times New Roman" w:hAnsi="Times New Roman" w:cs="Times New Roman"/>
                <w:noProof/>
                <w:sz w:val="16"/>
                <w:szCs w:val="16"/>
              </w:rPr>
            </w:pPr>
            <w:r>
              <w:rPr>
                <w:rFonts w:ascii="Times New Roman" w:hAnsi="Times New Roman"/>
                <w:noProof/>
                <w:sz w:val="16"/>
                <w:szCs w:val="16"/>
              </w:rPr>
              <w:t>EL, HU, NL, SK</w:t>
            </w:r>
          </w:p>
        </w:tc>
        <w:tc>
          <w:tcPr>
            <w:tcW w:w="1166" w:type="dxa"/>
          </w:tcPr>
          <w:p>
            <w:pPr>
              <w:jc w:val="center"/>
              <w:rPr>
                <w:rFonts w:ascii="Times New Roman" w:hAnsi="Times New Roman" w:cs="Times New Roman"/>
                <w:noProof/>
                <w:sz w:val="16"/>
                <w:szCs w:val="16"/>
              </w:rPr>
            </w:pPr>
            <w:r>
              <w:rPr>
                <w:rFonts w:ascii="Times New Roman" w:hAnsi="Times New Roman"/>
                <w:noProof/>
                <w:sz w:val="16"/>
                <w:szCs w:val="16"/>
              </w:rPr>
              <w:t>8</w:t>
            </w:r>
          </w:p>
        </w:tc>
        <w:tc>
          <w:tcPr>
            <w:tcW w:w="1699"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RS</w:t>
            </w:r>
          </w:p>
        </w:tc>
        <w:tc>
          <w:tcPr>
            <w:tcW w:w="1356"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5</w:t>
            </w:r>
          </w:p>
        </w:tc>
      </w:tr>
    </w:tbl>
    <w:p>
      <w:pPr>
        <w:spacing w:after="0" w:line="240" w:lineRule="auto"/>
        <w:ind w:right="-142"/>
        <w:jc w:val="both"/>
        <w:rPr>
          <w:rFonts w:ascii="Times New Roman" w:eastAsia="MS Mincho" w:hAnsi="Times New Roman" w:cs="Times New Roman"/>
          <w:noProof/>
          <w:sz w:val="2"/>
          <w:szCs w:val="2"/>
        </w:rPr>
      </w:pP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Mi áll az intézkedések lényegi fókuszában? Az figyelhető meg, hogy a tagállamok leggyakrabban a támogatás egyénre irányuló formáit választják, mint például a foglalkoztatási támogatást, a költségek megosztásának egyéb formáit, a karrierfejlesztési támogatást (mentorálás, személyre szabott tanácsadás) és szakképzést (együttesen az összes intézkedés 35 %-a). A társadalmi befogadás, közösségfejlesztés, felnőttképzés és felzárkóztató oktatás elősegítését célzó általánosabb intézkedések az intézkedések 8–9 %-át teszik ki. Az intézkedéseknek csak egyötöde vesz célba fiatalokat, ami egyértelműen nem elegendő, figyelembe véve a foglalkoztatásban lévő roma fiatalok előtt álló kihívásokat.</w:t>
      </w:r>
    </w:p>
    <w:p>
      <w:pPr>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2.2. Eredmények és kihívások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Több nemzeti roma kapcsolattartó pont is utalt arra 2017-es jelentésében, hogy a gazdasági növekedés kedvező hatással van a roma foglalkoztatási kilátásokra</w:t>
      </w:r>
      <w:r>
        <w:rPr>
          <w:rFonts w:ascii="Times New Roman" w:hAnsi="Times New Roman"/>
          <w:noProof/>
          <w:sz w:val="24"/>
          <w:vertAlign w:val="superscript"/>
        </w:rPr>
        <w:footnoteReference w:id="21"/>
      </w:r>
      <w:r>
        <w:rPr>
          <w:rFonts w:ascii="Times New Roman" w:hAnsi="Times New Roman"/>
          <w:noProof/>
          <w:sz w:val="24"/>
        </w:rPr>
        <w:t>. De ennél is több nemzeti roma kapcsolattartó pont említette a célzott intézkedéseket, például a regionális foglalkoztatási programokat (pályaorientáció, szak- vagy munkahelyi képzés, valamint a roma vagy kiszolgáltatott helyzetben lévő álláskeresőkre szabott munkaközvetítés)</w:t>
      </w:r>
      <w:r>
        <w:rPr>
          <w:rFonts w:ascii="Times New Roman" w:hAnsi="Times New Roman"/>
          <w:noProof/>
          <w:sz w:val="24"/>
          <w:vertAlign w:val="superscript"/>
        </w:rPr>
        <w:footnoteReference w:id="22"/>
      </w:r>
      <w:r>
        <w:rPr>
          <w:rFonts w:ascii="Times New Roman" w:hAnsi="Times New Roman"/>
          <w:noProof/>
          <w:sz w:val="24"/>
        </w:rPr>
        <w:t>. Az ilyen intézkedések még hatékonyabbak, amennyiben azokban a romák közvetítői, szociális munkás vagy egyéb szolgáltatói minőségben részt vesznek.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nemzeti roma kapcsolattartó pontok a kihívások három fő típusát emelik ki: a végrehajtási struktúrák kapacitása</w:t>
      </w:r>
      <w:r>
        <w:rPr>
          <w:rFonts w:ascii="Times New Roman" w:hAnsi="Times New Roman"/>
          <w:noProof/>
          <w:sz w:val="24"/>
          <w:vertAlign w:val="superscript"/>
        </w:rPr>
        <w:footnoteReference w:id="23"/>
      </w:r>
      <w:r>
        <w:rPr>
          <w:rFonts w:ascii="Times New Roman" w:hAnsi="Times New Roman"/>
          <w:noProof/>
          <w:sz w:val="24"/>
        </w:rPr>
        <w:t>; romákkal szembeni hátrányos megkülönböztetés</w:t>
      </w:r>
      <w:r>
        <w:rPr>
          <w:rFonts w:ascii="Times New Roman" w:hAnsi="Times New Roman"/>
          <w:noProof/>
          <w:sz w:val="24"/>
          <w:vertAlign w:val="superscript"/>
        </w:rPr>
        <w:footnoteReference w:id="24"/>
      </w:r>
      <w:r>
        <w:rPr>
          <w:rFonts w:ascii="Times New Roman" w:hAnsi="Times New Roman"/>
          <w:noProof/>
          <w:sz w:val="24"/>
        </w:rPr>
        <w:t>; a romák hozzáállása és bizalma</w:t>
      </w:r>
      <w:r>
        <w:rPr>
          <w:rFonts w:ascii="Times New Roman" w:hAnsi="Times New Roman"/>
          <w:noProof/>
          <w:sz w:val="24"/>
          <w:vertAlign w:val="superscript"/>
        </w:rPr>
        <w:footnoteReference w:id="25"/>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2.3. Szakpolitikai ismeretátadás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Úgy tűnik, hogy a foglalkoztatás legkritikusabb elemei a következők: az oktatásból a nyitott munkaerőpiacra való hatékony átmenet biztosítása, a munkáltatók általi hátrányos megkülönböztetés kezelése, valamint a munkaerő-kereslet megfelelő kínálattal való kielégítésének biztosítása (különösen a nem foglalkoztatott, oktatásban és képzésben nem részesülő roma fiatalok körében). A foglalkoztatás területén mutatkozó nemek közötti egyenlőtlenség, valamint a nem foglalkoztatott, oktatásban és képzésben nem részesülő roma fiatalok arányának csökkentéséhez elengedhetetlen a magánszektorbeli munkáltatók ösztönzése és a velük való szoros együttműködés, illetve a roma fiatalok és nők kifejezett célbavétele az általános szakpolitikákban (párhuzamos foglalkoztatási struktúrák kiépítése helyett). A roma foglalkoztathatóság javításának ki kell terjednie az informatikai és az idegen nyelvi készségek fejlesztésére is. A foglalkoztatás biztosításához azonban további akadályokkal is foglalkozni kell, különös tekintettel a munkáltatók általi hátrányos megkülönböztetésre, a roma álláskeresők korlátozott kapcsolati hálójára vagy a roma közösségekben érvényesülő hagyományos nemi szerepekre. A képzések, a támogatott szakmai gyakorlatok és a munkáltatókat megcélzó hátrányos megkülönböztetés elleni intézkedések együttesen fontos szerepet játszhatnak.</w:t>
      </w:r>
    </w:p>
    <w:tbl>
      <w:tblPr>
        <w:tblStyle w:val="TableGrid"/>
        <w:tblW w:w="9498" w:type="dxa"/>
        <w:tblInd w:w="-5" w:type="dxa"/>
        <w:tblLook w:val="04A0" w:firstRow="1" w:lastRow="0" w:firstColumn="1" w:lastColumn="0" w:noHBand="0" w:noVBand="1"/>
      </w:tblPr>
      <w:tblGrid>
        <w:gridCol w:w="4962"/>
        <w:gridCol w:w="4536"/>
      </w:tblGrid>
      <w:tr>
        <w:tc>
          <w:tcPr>
            <w:tcW w:w="4962"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Ígéretes megközelítések:</w:t>
            </w:r>
          </w:p>
        </w:tc>
        <w:tc>
          <w:tcPr>
            <w:tcW w:w="453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Érvényesítendő prioritások:</w:t>
            </w:r>
          </w:p>
        </w:tc>
      </w:tr>
      <w:tr>
        <w:tc>
          <w:tcPr>
            <w:tcW w:w="4962"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BG, CY, ES, IT, LV, NL, PT, SI: </w:t>
            </w:r>
            <w:r>
              <w:rPr>
                <w:rFonts w:ascii="Times New Roman" w:hAnsi="Times New Roman"/>
                <w:noProof/>
                <w:sz w:val="19"/>
              </w:rPr>
              <w:t>regionális vagy helyi foglalkoztatási programok (személyre szabott tanácsadás) az aktív álláskeresés vagy önfoglalkoztatás ösztönzése érdekében</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HU, EL, ES, FR: </w:t>
            </w:r>
            <w:r>
              <w:rPr>
                <w:rFonts w:ascii="Times New Roman" w:hAnsi="Times New Roman"/>
                <w:noProof/>
                <w:sz w:val="19"/>
              </w:rPr>
              <w:t>a roma nők (szociális ágazatban való) foglalkoztathatóságának növelésére irányuló célzott programok</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IT, LT, HU: </w:t>
            </w:r>
            <w:r>
              <w:rPr>
                <w:rFonts w:ascii="Times New Roman" w:hAnsi="Times New Roman"/>
                <w:noProof/>
                <w:sz w:val="19"/>
              </w:rPr>
              <w:t>a munkáltatókkal való együttműködésre vonatkozó példák a romák elhelyezkedése és a sztereotípiákkal szembeni küzdelem érdekében</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SK: </w:t>
            </w:r>
            <w:r>
              <w:rPr>
                <w:rFonts w:ascii="Times New Roman" w:hAnsi="Times New Roman"/>
                <w:noProof/>
                <w:sz w:val="19"/>
              </w:rPr>
              <w:t>az állami foglalkoztatási szolgálatokról szóló törvény módosítása, mely az álláskeresőre és a munkaügyi hivatalra nézve kötelező munkaerőpiaci integráció támogatásához egyéni cselekvési tervről rendelkezik</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BE: </w:t>
            </w:r>
            <w:r>
              <w:rPr>
                <w:rFonts w:ascii="Times New Roman" w:hAnsi="Times New Roman"/>
                <w:noProof/>
                <w:sz w:val="19"/>
              </w:rPr>
              <w:t>2016 óta a romák hozzáférnek a külföldi származású személyek számára Vallóniában kialakított „integrációs útvonalhoz” (tanfolyamok franciául, alapfokú társadalomismeret; álláskereséshez nyújtott támogatás és a gyermekek beiskolázása). az önkormányzatok roma közvetítőket alkalmaznak az állami szociális segélyközpontokban, megelőzési és lakosságközeli szolgálatoknál</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HR: </w:t>
            </w:r>
            <w:r>
              <w:rPr>
                <w:rFonts w:ascii="Times New Roman" w:hAnsi="Times New Roman"/>
                <w:noProof/>
                <w:sz w:val="19"/>
              </w:rPr>
              <w:t>az ombudsman megkülönböztetés elleni képzéseket tart az állami foglalkoztatási tisztviselőknek és más köztisztviselőknek</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UK: </w:t>
            </w:r>
            <w:r>
              <w:rPr>
                <w:rFonts w:ascii="Times New Roman" w:hAnsi="Times New Roman"/>
                <w:noProof/>
                <w:sz w:val="19"/>
              </w:rPr>
              <w:t>faji egyenlőtlenségi ellenőrzés és honlap a foglalkoztatás terén történő hátrányos megkülönböztetéssel kapcsolatos információk összegyűjtése és terjesztése érdekében</w:t>
            </w:r>
          </w:p>
        </w:tc>
        <w:tc>
          <w:tcPr>
            <w:tcW w:w="4536"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annak lehetővé tétele, hogy az általános állami foglalkoztatási szolgálatok hatékonyan legyenek képesek a roma álláskeresők elsődleges munkaerőpiaci integrációját támogatni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roma és ifjúsági mentorok, közvetítők (további) képzése és alkalmazása az oktatásban lezajló és a munkaerőpiacra való átmenet támogatása érdekében</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romák (fiatalok és nők) aktív munkaerőpiaci politikák révén történő kifejezettebb célbavétele, ideértve az ifjúsági garanciát</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munkáltatók érzékenységének növelése és ösztönzése romák alkalmazására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munkaerőpiaci hozzáférés terén és munkahelyen történő hátrányos megkülönböztetés módszeres nyomon követése és leküzdése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elhelyezkedési támogatás (szakmai gyakorlat) kombinálása informatikai és nyelvi képzésekkel, valamint a munkáltatókkal való együttműködéssel</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az elsődleges munkaerőpiaci (re)integráció előnyben részesítése a párhuzamos rendszerekkel szemben (pl. állami vagy informális munka)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integrált megoldásokkal kapcsolatos munka a dokumentumokkal nem rendelkező mobilis romák kiszolgáltatott helyzetének kezelése érdekében, ideértve a transznacionális együttműködést</w:t>
            </w:r>
          </w:p>
        </w:tc>
      </w:tr>
    </w:tbl>
    <w:p>
      <w:pPr>
        <w:spacing w:before="180" w:after="60" w:line="240" w:lineRule="auto"/>
        <w:ind w:right="-142"/>
        <w:outlineLvl w:val="1"/>
        <w:rPr>
          <w:rFonts w:ascii="Times New Roman" w:hAnsi="Times New Roman"/>
          <w:noProof/>
          <w:sz w:val="24"/>
        </w:rPr>
      </w:pPr>
      <w:r>
        <w:rPr>
          <w:rFonts w:ascii="Times New Roman" w:hAnsi="Times New Roman"/>
          <w:b/>
          <w:smallCaps/>
          <w:noProof/>
          <w:sz w:val="24"/>
        </w:rPr>
        <w:t>3. Egészségügy</w:t>
      </w:r>
    </w:p>
    <w:p>
      <w:pPr>
        <w:pStyle w:val="ListParagraph"/>
        <w:spacing w:after="120"/>
        <w:ind w:left="142"/>
        <w:contextualSpacing w:val="0"/>
        <w:jc w:val="center"/>
        <w:rPr>
          <w:rFonts w:ascii="Times New Roman" w:hAnsi="Times New Roman" w:cs="Times New Roman"/>
          <w:i/>
          <w:noProof/>
          <w:sz w:val="19"/>
          <w:szCs w:val="19"/>
        </w:rPr>
      </w:pPr>
      <w:r>
        <w:rPr>
          <w:rFonts w:ascii="Times New Roman" w:hAnsi="Times New Roman"/>
          <w:i/>
          <w:noProof/>
          <w:sz w:val="19"/>
          <w:szCs w:val="19"/>
        </w:rPr>
        <w:t>A romák helyzete az egészségügy terén (2016)</w:t>
      </w:r>
    </w:p>
    <w:p>
      <w:pPr>
        <w:pStyle w:val="ListParagraph"/>
        <w:pBdr>
          <w:top w:val="single" w:sz="4" w:space="1" w:color="auto"/>
          <w:between w:val="single" w:sz="4" w:space="1" w:color="auto"/>
        </w:pBdr>
        <w:spacing w:before="60"/>
        <w:ind w:left="142"/>
        <w:contextualSpacing w:val="0"/>
        <w:jc w:val="center"/>
        <w:rPr>
          <w:rFonts w:ascii="Times New Roman" w:hAnsi="Times New Roman" w:cs="Times New Roman"/>
          <w:noProof/>
          <w:sz w:val="19"/>
          <w:szCs w:val="19"/>
        </w:rPr>
      </w:pPr>
      <w:r>
        <w:rPr>
          <w:rFonts w:ascii="Times New Roman" w:hAnsi="Times New Roman"/>
          <w:b/>
          <w:noProof/>
          <w:sz w:val="19"/>
          <w:szCs w:val="19"/>
        </w:rPr>
        <w:t>Az alapvető nemzeti egészségbiztosítási rendszer által biztosított romák aránya</w:t>
      </w:r>
      <w:r>
        <w:rPr>
          <w:rFonts w:ascii="Times New Roman" w:hAnsi="Times New Roman"/>
          <w:noProof/>
          <w:sz w:val="19"/>
          <w:szCs w:val="19"/>
        </w:rPr>
        <w:t>: 76 %</w:t>
      </w:r>
    </w:p>
    <w:p>
      <w:pPr>
        <w:pStyle w:val="ListParagraph"/>
        <w:pBdr>
          <w:top w:val="single" w:sz="4" w:space="1" w:color="auto"/>
          <w:between w:val="single" w:sz="4" w:space="1" w:color="auto"/>
        </w:pBdr>
        <w:spacing w:before="60"/>
        <w:ind w:left="142"/>
        <w:contextualSpacing w:val="0"/>
        <w:jc w:val="center"/>
        <w:rPr>
          <w:rFonts w:ascii="Times New Roman" w:hAnsi="Times New Roman" w:cs="Times New Roman"/>
          <w:noProof/>
          <w:sz w:val="19"/>
          <w:szCs w:val="19"/>
        </w:rPr>
      </w:pPr>
      <w:r>
        <w:rPr>
          <w:rFonts w:ascii="Times New Roman" w:hAnsi="Times New Roman"/>
          <w:b/>
          <w:noProof/>
          <w:sz w:val="19"/>
          <w:szCs w:val="19"/>
        </w:rPr>
        <w:t>Az egészségüket „nagyon jónak” vagy „jónak” megítélő romák aránya</w:t>
      </w:r>
      <w:r>
        <w:rPr>
          <w:rFonts w:ascii="Times New Roman" w:hAnsi="Times New Roman"/>
          <w:noProof/>
          <w:sz w:val="19"/>
          <w:szCs w:val="19"/>
        </w:rPr>
        <w:t>: 68 %</w:t>
      </w:r>
    </w:p>
    <w:p>
      <w:pPr>
        <w:pStyle w:val="ListParagraph"/>
        <w:pBdr>
          <w:top w:val="single" w:sz="4" w:space="1" w:color="auto"/>
          <w:between w:val="single" w:sz="4" w:space="1" w:color="auto"/>
        </w:pBdr>
        <w:spacing w:before="60"/>
        <w:ind w:left="142"/>
        <w:contextualSpacing w:val="0"/>
        <w:jc w:val="center"/>
        <w:rPr>
          <w:rFonts w:ascii="Times New Roman" w:hAnsi="Times New Roman" w:cs="Times New Roman"/>
          <w:noProof/>
          <w:sz w:val="19"/>
          <w:szCs w:val="19"/>
        </w:rPr>
      </w:pPr>
      <w:r>
        <w:rPr>
          <w:rFonts w:ascii="Times New Roman" w:hAnsi="Times New Roman"/>
          <w:b/>
          <w:noProof/>
          <w:sz w:val="19"/>
          <w:szCs w:val="19"/>
        </w:rPr>
        <w:t xml:space="preserve">Az egészségük miatt tevékenységeikben magukat korlátozva érző romák aránya: </w:t>
      </w:r>
      <w:r>
        <w:rPr>
          <w:rFonts w:ascii="Times New Roman" w:hAnsi="Times New Roman"/>
          <w:noProof/>
          <w:sz w:val="19"/>
          <w:szCs w:val="19"/>
        </w:rPr>
        <w:t>28 %</w:t>
      </w:r>
    </w:p>
    <w:p>
      <w:pPr>
        <w:pStyle w:val="ListParagraph"/>
        <w:pBdr>
          <w:top w:val="single" w:sz="4" w:space="1" w:color="auto"/>
          <w:bottom w:val="single" w:sz="4" w:space="1" w:color="auto"/>
          <w:between w:val="single" w:sz="4" w:space="1" w:color="auto"/>
        </w:pBdr>
        <w:spacing w:before="60"/>
        <w:ind w:left="142"/>
        <w:contextualSpacing w:val="0"/>
        <w:jc w:val="center"/>
        <w:rPr>
          <w:rFonts w:ascii="Times New Roman" w:hAnsi="Times New Roman" w:cs="Times New Roman"/>
          <w:noProof/>
          <w:sz w:val="19"/>
          <w:szCs w:val="19"/>
        </w:rPr>
      </w:pPr>
      <w:r>
        <w:rPr>
          <w:rFonts w:ascii="Times New Roman" w:hAnsi="Times New Roman"/>
          <w:b/>
          <w:noProof/>
          <w:sz w:val="19"/>
          <w:szCs w:val="19"/>
        </w:rPr>
        <w:t>A tartós betegséggel vagy egészségügyi problémával küzdő romák aránya</w:t>
      </w:r>
      <w:r>
        <w:rPr>
          <w:rFonts w:ascii="Times New Roman" w:hAnsi="Times New Roman"/>
          <w:noProof/>
          <w:sz w:val="19"/>
          <w:szCs w:val="19"/>
        </w:rPr>
        <w:t>:</w:t>
      </w:r>
      <w:r>
        <w:rPr>
          <w:rFonts w:ascii="Times New Roman" w:hAnsi="Times New Roman"/>
          <w:b/>
          <w:noProof/>
          <w:sz w:val="19"/>
          <w:szCs w:val="19"/>
        </w:rPr>
        <w:t xml:space="preserve"> </w:t>
      </w:r>
      <w:r>
        <w:rPr>
          <w:rFonts w:ascii="Times New Roman" w:hAnsi="Times New Roman"/>
          <w:noProof/>
          <w:sz w:val="19"/>
          <w:szCs w:val="19"/>
        </w:rPr>
        <w:t>22 %</w:t>
      </w:r>
    </w:p>
    <w:p>
      <w:pPr>
        <w:spacing w:before="180" w:after="60" w:line="240" w:lineRule="auto"/>
        <w:ind w:right="-142"/>
        <w:outlineLvl w:val="1"/>
        <w:rPr>
          <w:rFonts w:ascii="Times New Roman" w:eastAsia="MS Mincho" w:hAnsi="Times New Roman" w:cs="Times New Roman"/>
          <w:b/>
          <w:bCs/>
          <w:smallCaps/>
          <w:noProof/>
          <w:sz w:val="24"/>
          <w:szCs w:val="24"/>
        </w:rPr>
      </w:pP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i/>
          <w:noProof/>
          <w:sz w:val="24"/>
        </w:rPr>
        <w:t>3.1. Az intézkedések fókusza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tagállamok többsége által bejelentett két legfontosabb intézkedéstípus az egészségügyi ellátás igénybevételének útjában álló általános akadályok megszüntetése és az egészségtudatosság előmozdítása volt (13–14 tagállam), ami egyensúlyt teremt a kínálati és keresleti oldali beavatkozások között. A további releváns intézkedések a célzott oltási programokat és a személyre szabott egészségügyi szolgáltatásokhoz való hozzáférést foglalják magukban (6–7 tagállam).</w:t>
      </w:r>
    </w:p>
    <w:p>
      <w:pPr>
        <w:pStyle w:val="Caption"/>
        <w:keepNext/>
        <w:keepLines/>
        <w:spacing w:before="120" w:after="60"/>
        <w:ind w:right="-913" w:firstLine="720"/>
        <w:rPr>
          <w:rFonts w:ascii="Times New Roman" w:hAnsi="Times New Roman" w:cs="Times New Roman"/>
          <w:noProof/>
          <w:color w:val="auto"/>
        </w:rPr>
      </w:pPr>
      <w:r>
        <w:rPr>
          <w:rFonts w:ascii="Times New Roman" w:hAnsi="Times New Roman"/>
          <w:noProof/>
          <w:color w:val="auto"/>
        </w:rPr>
        <w:t>Az egészségügyi intézkedések megoszlása a tanácsi ajánlás alterületei szempontjából fennálló relevancia szerint</w:t>
      </w:r>
    </w:p>
    <w:tbl>
      <w:tblPr>
        <w:tblStyle w:val="TableGrid"/>
        <w:tblW w:w="9291" w:type="dxa"/>
        <w:tblLook w:val="04A0" w:firstRow="1" w:lastRow="0" w:firstColumn="1" w:lastColumn="0" w:noHBand="0" w:noVBand="1"/>
      </w:tblPr>
      <w:tblGrid>
        <w:gridCol w:w="2517"/>
        <w:gridCol w:w="2551"/>
        <w:gridCol w:w="1157"/>
        <w:gridCol w:w="1708"/>
        <w:gridCol w:w="1358"/>
      </w:tblGrid>
      <w:tr>
        <w:trPr>
          <w:trHeight w:val="369"/>
        </w:trPr>
        <w:tc>
          <w:tcPr>
            <w:tcW w:w="2517"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Tematikus alterület</w:t>
            </w:r>
          </w:p>
          <w:p>
            <w:pPr>
              <w:keepNext/>
              <w:keepLines/>
              <w:rPr>
                <w:rFonts w:ascii="Times New Roman" w:hAnsi="Times New Roman" w:cs="Times New Roman"/>
                <w:b/>
                <w:noProof/>
                <w:sz w:val="16"/>
                <w:szCs w:val="16"/>
              </w:rPr>
            </w:pPr>
          </w:p>
        </w:tc>
        <w:tc>
          <w:tcPr>
            <w:tcW w:w="2551"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Tagállam</w:t>
            </w:r>
          </w:p>
        </w:tc>
        <w:tc>
          <w:tcPr>
            <w:tcW w:w="1157"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Az intézkedések száma </w:t>
            </w:r>
          </w:p>
        </w:tc>
        <w:tc>
          <w:tcPr>
            <w:tcW w:w="1708" w:type="dxa"/>
            <w:shd w:val="clear" w:color="auto" w:fill="EEECE1" w:themeFill="background2"/>
          </w:tcPr>
          <w:p>
            <w:pPr>
              <w:keepNext/>
              <w:keepLines/>
              <w:ind w:left="7" w:right="-187"/>
              <w:rPr>
                <w:rFonts w:ascii="Times New Roman" w:hAnsi="Times New Roman" w:cs="Times New Roman"/>
                <w:b/>
                <w:noProof/>
                <w:sz w:val="16"/>
                <w:szCs w:val="16"/>
              </w:rPr>
            </w:pPr>
            <w:r>
              <w:rPr>
                <w:rFonts w:ascii="Times New Roman" w:hAnsi="Times New Roman"/>
                <w:b/>
                <w:noProof/>
                <w:sz w:val="16"/>
                <w:szCs w:val="16"/>
              </w:rPr>
              <w:t>Bővítési</w:t>
            </w:r>
            <w:r>
              <w:rPr>
                <w:rFonts w:ascii="Times New Roman" w:hAnsi="Times New Roman"/>
                <w:b/>
                <w:noProof/>
                <w:sz w:val="16"/>
                <w:szCs w:val="16"/>
              </w:rPr>
              <w:br/>
              <w:t xml:space="preserve">országok </w:t>
            </w:r>
          </w:p>
        </w:tc>
        <w:tc>
          <w:tcPr>
            <w:tcW w:w="1358"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Az intézkedések száma</w:t>
            </w:r>
          </w:p>
        </w:tc>
      </w:tr>
      <w:tr>
        <w:trPr>
          <w:trHeight w:val="369"/>
        </w:trPr>
        <w:tc>
          <w:tcPr>
            <w:tcW w:w="2517" w:type="dxa"/>
          </w:tcPr>
          <w:p>
            <w:pPr>
              <w:rPr>
                <w:rFonts w:ascii="Times New Roman" w:hAnsi="Times New Roman" w:cs="Times New Roman"/>
                <w:noProof/>
                <w:sz w:val="16"/>
                <w:szCs w:val="16"/>
              </w:rPr>
            </w:pPr>
            <w:r>
              <w:rPr>
                <w:rFonts w:ascii="Times New Roman" w:hAnsi="Times New Roman"/>
                <w:noProof/>
                <w:sz w:val="16"/>
                <w:szCs w:val="16"/>
              </w:rPr>
              <w:t>Az egészségügy igénybevételének útjában álló akadályok megszüntetése</w:t>
            </w:r>
          </w:p>
        </w:tc>
        <w:tc>
          <w:tcPr>
            <w:tcW w:w="2551" w:type="dxa"/>
            <w:vAlign w:val="center"/>
          </w:tcPr>
          <w:p>
            <w:pPr>
              <w:rPr>
                <w:rFonts w:ascii="Times New Roman" w:hAnsi="Times New Roman" w:cs="Times New Roman"/>
                <w:noProof/>
                <w:sz w:val="16"/>
                <w:szCs w:val="16"/>
              </w:rPr>
            </w:pPr>
            <w:r>
              <w:rPr>
                <w:rFonts w:ascii="Times New Roman" w:hAnsi="Times New Roman"/>
                <w:noProof/>
                <w:sz w:val="16"/>
                <w:szCs w:val="16"/>
              </w:rPr>
              <w:t>AT, BE, BG, CZ, EL, ES, HR, HU, IT, RO, SE, SK, UK</w:t>
            </w:r>
          </w:p>
        </w:tc>
        <w:tc>
          <w:tcPr>
            <w:tcW w:w="1157" w:type="dxa"/>
          </w:tcPr>
          <w:p>
            <w:pPr>
              <w:jc w:val="center"/>
              <w:rPr>
                <w:rFonts w:ascii="Times New Roman" w:hAnsi="Times New Roman" w:cs="Times New Roman"/>
                <w:noProof/>
                <w:sz w:val="16"/>
                <w:szCs w:val="16"/>
              </w:rPr>
            </w:pPr>
            <w:r>
              <w:rPr>
                <w:rFonts w:ascii="Times New Roman" w:hAnsi="Times New Roman"/>
                <w:noProof/>
                <w:sz w:val="16"/>
                <w:szCs w:val="16"/>
              </w:rPr>
              <w:t>45</w:t>
            </w:r>
          </w:p>
        </w:tc>
        <w:tc>
          <w:tcPr>
            <w:tcW w:w="1708"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BiH, KOS, ME, MK, RS</w:t>
            </w:r>
          </w:p>
        </w:tc>
        <w:tc>
          <w:tcPr>
            <w:tcW w:w="1358"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15</w:t>
            </w:r>
          </w:p>
        </w:tc>
      </w:tr>
      <w:tr>
        <w:trPr>
          <w:trHeight w:val="369"/>
        </w:trPr>
        <w:tc>
          <w:tcPr>
            <w:tcW w:w="2517" w:type="dxa"/>
          </w:tcPr>
          <w:p>
            <w:pPr>
              <w:rPr>
                <w:rFonts w:ascii="Times New Roman" w:hAnsi="Times New Roman" w:cs="Times New Roman"/>
                <w:noProof/>
                <w:sz w:val="16"/>
                <w:szCs w:val="16"/>
              </w:rPr>
            </w:pPr>
            <w:r>
              <w:rPr>
                <w:rFonts w:ascii="Times New Roman" w:hAnsi="Times New Roman"/>
                <w:noProof/>
                <w:sz w:val="16"/>
                <w:szCs w:val="16"/>
              </w:rPr>
              <w:t>Az egészségtudatosság előmozdítása</w:t>
            </w:r>
          </w:p>
        </w:tc>
        <w:tc>
          <w:tcPr>
            <w:tcW w:w="2551" w:type="dxa"/>
            <w:vAlign w:val="center"/>
          </w:tcPr>
          <w:p>
            <w:pPr>
              <w:rPr>
                <w:rFonts w:ascii="Times New Roman" w:hAnsi="Times New Roman" w:cs="Times New Roman"/>
                <w:noProof/>
                <w:sz w:val="16"/>
                <w:szCs w:val="16"/>
              </w:rPr>
            </w:pPr>
            <w:r>
              <w:rPr>
                <w:rFonts w:ascii="Times New Roman" w:hAnsi="Times New Roman"/>
                <w:noProof/>
                <w:sz w:val="16"/>
                <w:szCs w:val="16"/>
              </w:rPr>
              <w:t>AT, BG, CZ, EL, ES, HR, HU, IT, LV, NL, SE, SI, SK, UK</w:t>
            </w:r>
          </w:p>
        </w:tc>
        <w:tc>
          <w:tcPr>
            <w:tcW w:w="1157" w:type="dxa"/>
          </w:tcPr>
          <w:p>
            <w:pPr>
              <w:jc w:val="center"/>
              <w:rPr>
                <w:rFonts w:ascii="Times New Roman" w:hAnsi="Times New Roman" w:cs="Times New Roman"/>
                <w:noProof/>
                <w:sz w:val="16"/>
                <w:szCs w:val="16"/>
              </w:rPr>
            </w:pPr>
            <w:r>
              <w:rPr>
                <w:rFonts w:ascii="Times New Roman" w:hAnsi="Times New Roman"/>
                <w:noProof/>
                <w:sz w:val="16"/>
                <w:szCs w:val="16"/>
              </w:rPr>
              <w:t>41</w:t>
            </w:r>
          </w:p>
        </w:tc>
        <w:tc>
          <w:tcPr>
            <w:tcW w:w="1708"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BiH, KOS, ME, MK, RS, TR</w:t>
            </w:r>
          </w:p>
        </w:tc>
        <w:tc>
          <w:tcPr>
            <w:tcW w:w="1358"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17</w:t>
            </w:r>
          </w:p>
        </w:tc>
      </w:tr>
      <w:tr>
        <w:trPr>
          <w:trHeight w:val="369"/>
        </w:trPr>
        <w:tc>
          <w:tcPr>
            <w:tcW w:w="2517" w:type="dxa"/>
          </w:tcPr>
          <w:p>
            <w:pPr>
              <w:rPr>
                <w:rFonts w:ascii="Times New Roman" w:hAnsi="Times New Roman" w:cs="Times New Roman"/>
                <w:noProof/>
                <w:sz w:val="16"/>
                <w:szCs w:val="16"/>
              </w:rPr>
            </w:pPr>
            <w:r>
              <w:rPr>
                <w:rFonts w:ascii="Times New Roman" w:hAnsi="Times New Roman"/>
                <w:noProof/>
                <w:sz w:val="16"/>
                <w:szCs w:val="16"/>
              </w:rPr>
              <w:t>A gyermekeket és a legnagyobb kockázatnak kitett csoportokat célzó ingyenes oltási programokhoz való hozzáférés javítása</w:t>
            </w:r>
          </w:p>
        </w:tc>
        <w:tc>
          <w:tcPr>
            <w:tcW w:w="2551" w:type="dxa"/>
            <w:vAlign w:val="center"/>
          </w:tcPr>
          <w:p>
            <w:pPr>
              <w:rPr>
                <w:rFonts w:ascii="Times New Roman" w:hAnsi="Times New Roman" w:cs="Times New Roman"/>
                <w:noProof/>
                <w:sz w:val="16"/>
                <w:szCs w:val="16"/>
              </w:rPr>
            </w:pPr>
            <w:r>
              <w:rPr>
                <w:rFonts w:ascii="Times New Roman" w:hAnsi="Times New Roman"/>
                <w:noProof/>
                <w:sz w:val="16"/>
                <w:szCs w:val="16"/>
              </w:rPr>
              <w:t>AT, BG, EL, HR, HU, SK, UK</w:t>
            </w:r>
          </w:p>
        </w:tc>
        <w:tc>
          <w:tcPr>
            <w:tcW w:w="1157" w:type="dxa"/>
          </w:tcPr>
          <w:p>
            <w:pPr>
              <w:jc w:val="center"/>
              <w:rPr>
                <w:rFonts w:ascii="Times New Roman" w:hAnsi="Times New Roman" w:cs="Times New Roman"/>
                <w:noProof/>
                <w:sz w:val="16"/>
                <w:szCs w:val="16"/>
              </w:rPr>
            </w:pPr>
            <w:r>
              <w:rPr>
                <w:rFonts w:ascii="Times New Roman" w:hAnsi="Times New Roman"/>
                <w:noProof/>
                <w:sz w:val="16"/>
                <w:szCs w:val="16"/>
              </w:rPr>
              <w:t>11</w:t>
            </w:r>
          </w:p>
        </w:tc>
        <w:tc>
          <w:tcPr>
            <w:tcW w:w="1708"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KOS, ME, MK, RS, TR</w:t>
            </w:r>
          </w:p>
        </w:tc>
        <w:tc>
          <w:tcPr>
            <w:tcW w:w="1358"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14</w:t>
            </w:r>
          </w:p>
        </w:tc>
      </w:tr>
      <w:tr>
        <w:trPr>
          <w:trHeight w:val="385"/>
        </w:trPr>
        <w:tc>
          <w:tcPr>
            <w:tcW w:w="2517" w:type="dxa"/>
          </w:tcPr>
          <w:p>
            <w:pPr>
              <w:rPr>
                <w:rFonts w:ascii="Times New Roman" w:hAnsi="Times New Roman" w:cs="Times New Roman"/>
                <w:noProof/>
                <w:sz w:val="16"/>
                <w:szCs w:val="16"/>
              </w:rPr>
            </w:pPr>
            <w:r>
              <w:rPr>
                <w:rFonts w:ascii="Times New Roman" w:hAnsi="Times New Roman"/>
                <w:noProof/>
                <w:sz w:val="16"/>
                <w:szCs w:val="16"/>
              </w:rPr>
              <w:t>Az orvosi ellenőrzésekhez, szülés előtti és szülés utáni gondozáshoz és családtervezéshez való hozzáférés javítása</w:t>
            </w:r>
          </w:p>
        </w:tc>
        <w:tc>
          <w:tcPr>
            <w:tcW w:w="2551" w:type="dxa"/>
            <w:vAlign w:val="center"/>
          </w:tcPr>
          <w:p>
            <w:pPr>
              <w:rPr>
                <w:rFonts w:ascii="Times New Roman" w:hAnsi="Times New Roman" w:cs="Times New Roman"/>
                <w:noProof/>
                <w:sz w:val="16"/>
                <w:szCs w:val="16"/>
              </w:rPr>
            </w:pPr>
            <w:r>
              <w:rPr>
                <w:rFonts w:ascii="Times New Roman" w:hAnsi="Times New Roman"/>
                <w:noProof/>
                <w:sz w:val="16"/>
                <w:szCs w:val="16"/>
              </w:rPr>
              <w:t>AT, ES, HU, SI, SK, UK</w:t>
            </w:r>
          </w:p>
        </w:tc>
        <w:tc>
          <w:tcPr>
            <w:tcW w:w="1157" w:type="dxa"/>
          </w:tcPr>
          <w:p>
            <w:pPr>
              <w:jc w:val="center"/>
              <w:rPr>
                <w:rFonts w:ascii="Times New Roman" w:hAnsi="Times New Roman" w:cs="Times New Roman"/>
                <w:noProof/>
                <w:sz w:val="16"/>
                <w:szCs w:val="16"/>
              </w:rPr>
            </w:pPr>
            <w:r>
              <w:rPr>
                <w:rFonts w:ascii="Times New Roman" w:hAnsi="Times New Roman"/>
                <w:noProof/>
                <w:sz w:val="16"/>
                <w:szCs w:val="16"/>
              </w:rPr>
              <w:t>11</w:t>
            </w:r>
          </w:p>
        </w:tc>
        <w:tc>
          <w:tcPr>
            <w:tcW w:w="1708"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BiH, KOS, ME, MK, RS, TR</w:t>
            </w:r>
          </w:p>
        </w:tc>
        <w:tc>
          <w:tcPr>
            <w:tcW w:w="1358"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13</w:t>
            </w:r>
          </w:p>
        </w:tc>
      </w:tr>
    </w:tbl>
    <w:p>
      <w:pPr>
        <w:spacing w:after="120" w:line="240" w:lineRule="auto"/>
        <w:ind w:right="-142"/>
        <w:jc w:val="both"/>
        <w:rPr>
          <w:rFonts w:ascii="Times New Roman" w:eastAsia="MS Mincho" w:hAnsi="Times New Roman" w:cs="Times New Roman"/>
          <w:noProof/>
          <w:sz w:val="24"/>
          <w:szCs w:val="24"/>
        </w:rPr>
      </w:pP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Mi áll az intézkedések lényegi fókuszában? Az figyelhető meg, hogy a tagállamok gyakran az egészségügyi ellátás kínálati oldalát (személyzet, létesítmények) javító intézkedéseket választják (intézkedések 26 %-a). A keresleti oldallal az egészségtudatosság és információs kampányok révén foglalkoznak (21 %). Az intézkedések további fontos csoportjaiba a helyi szintű egészségügyi és közegészségügyi infrastruktúra javítását célzó általános fellépések és a megelőző szolgáltatások tartoznak (16–17 %). Egyes rendkívül fontos beavatkozások – romák számára egészségbiztosítás nyújtása és egészségügyi szakemberek célbavétele hátrányos megkülönböztetés elleni kampányokkal – sokkal kevésbé elterjedtek (6–7 %).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3.2. Eredmények és kihívások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nemzeti roma kapcsolattartó pontok által leggyakrabban említett eredmények az alábbiak: oltási kampányok</w:t>
      </w:r>
      <w:r>
        <w:rPr>
          <w:rFonts w:ascii="Times New Roman" w:hAnsi="Times New Roman"/>
          <w:noProof/>
          <w:sz w:val="24"/>
          <w:vertAlign w:val="superscript"/>
        </w:rPr>
        <w:footnoteReference w:id="26"/>
      </w:r>
      <w:r>
        <w:rPr>
          <w:rFonts w:ascii="Times New Roman" w:hAnsi="Times New Roman"/>
          <w:noProof/>
          <w:sz w:val="24"/>
        </w:rPr>
        <w:t>; egyéb megelőzési és felderítési programok</w:t>
      </w:r>
      <w:r>
        <w:rPr>
          <w:rFonts w:ascii="Times New Roman" w:hAnsi="Times New Roman"/>
          <w:noProof/>
          <w:sz w:val="24"/>
          <w:vertAlign w:val="superscript"/>
        </w:rPr>
        <w:footnoteReference w:id="27"/>
      </w:r>
      <w:r>
        <w:rPr>
          <w:rFonts w:ascii="Times New Roman" w:hAnsi="Times New Roman"/>
          <w:noProof/>
          <w:sz w:val="24"/>
        </w:rPr>
        <w:t>; higiénia, egészségügyi feltételek és az egészségügyi ellátáshoz való hozzáférés javítása</w:t>
      </w:r>
      <w:r>
        <w:rPr>
          <w:rFonts w:ascii="Times New Roman" w:hAnsi="Times New Roman"/>
          <w:noProof/>
          <w:sz w:val="24"/>
          <w:vertAlign w:val="superscript"/>
        </w:rPr>
        <w:footnoteReference w:id="28"/>
      </w:r>
      <w:r>
        <w:rPr>
          <w:rFonts w:ascii="Times New Roman" w:hAnsi="Times New Roman"/>
          <w:noProof/>
          <w:sz w:val="24"/>
        </w:rPr>
        <w:t>; tudatosságnövelés</w:t>
      </w:r>
      <w:r>
        <w:rPr>
          <w:rFonts w:ascii="Times New Roman" w:hAnsi="Times New Roman"/>
          <w:noProof/>
          <w:sz w:val="24"/>
          <w:vertAlign w:val="superscript"/>
        </w:rPr>
        <w:footnoteReference w:id="29"/>
      </w:r>
      <w:r>
        <w:rPr>
          <w:rFonts w:ascii="Times New Roman" w:hAnsi="Times New Roman"/>
          <w:noProof/>
          <w:sz w:val="24"/>
        </w:rPr>
        <w:t>; egészségügyi közvetítés</w:t>
      </w:r>
      <w:r>
        <w:rPr>
          <w:rFonts w:ascii="Times New Roman" w:hAnsi="Times New Roman"/>
          <w:noProof/>
          <w:sz w:val="24"/>
          <w:vertAlign w:val="superscript"/>
        </w:rPr>
        <w:footnoteReference w:id="30"/>
      </w:r>
      <w:r>
        <w:rPr>
          <w:rFonts w:ascii="Times New Roman" w:hAnsi="Times New Roman"/>
          <w:noProof/>
          <w:sz w:val="24"/>
        </w:rPr>
        <w:t>; és több érdekelt részvételével zajló együttműködés, a nemzeti és helyi hatóságok és civil társadalom bevonásával</w:t>
      </w:r>
      <w:r>
        <w:rPr>
          <w:rFonts w:ascii="Times New Roman" w:hAnsi="Times New Roman"/>
          <w:noProof/>
          <w:sz w:val="24"/>
          <w:vertAlign w:val="superscript"/>
        </w:rPr>
        <w:footnoteReference w:id="31"/>
      </w:r>
      <w:r>
        <w:rPr>
          <w:rFonts w:ascii="Times New Roman" w:hAnsi="Times New Roman"/>
          <w:noProof/>
          <w:sz w:val="24"/>
        </w:rPr>
        <w:t>. Feltűnően kevesen említették a hátrányos megkülönböztetés elleni erőfeszítéseket; a higiéniás életkörülmények javítását; és az egészséges élelmiszerekhez való hozzáférést.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bejelentett kihívások az alábbiakat tartalmazzák: a nemzeti és helyi szintek közti koordináció és hatékony kommunikáció hiánya; a megfelelő (nemzeti és uniós) finanszírozás és személyzet fenntartása</w:t>
      </w:r>
      <w:r>
        <w:rPr>
          <w:rFonts w:ascii="Times New Roman" w:hAnsi="Times New Roman"/>
          <w:noProof/>
          <w:sz w:val="24"/>
          <w:vertAlign w:val="superscript"/>
        </w:rPr>
        <w:footnoteReference w:id="32"/>
      </w:r>
      <w:r>
        <w:rPr>
          <w:rFonts w:ascii="Times New Roman" w:hAnsi="Times New Roman"/>
          <w:noProof/>
          <w:sz w:val="24"/>
        </w:rPr>
        <w:t>; az egészségügyi kérdésekkel kapcsolatos öntudatosság hiánya</w:t>
      </w:r>
      <w:r>
        <w:rPr>
          <w:rFonts w:ascii="Times New Roman" w:hAnsi="Times New Roman"/>
          <w:noProof/>
          <w:sz w:val="24"/>
          <w:vertAlign w:val="superscript"/>
        </w:rPr>
        <w:footnoteReference w:id="33"/>
      </w:r>
      <w:r>
        <w:rPr>
          <w:rFonts w:ascii="Times New Roman" w:hAnsi="Times New Roman"/>
          <w:noProof/>
          <w:sz w:val="24"/>
        </w:rPr>
        <w:t>; a romák egészségbiztosítási lefedettségének hiánya</w:t>
      </w:r>
      <w:r>
        <w:rPr>
          <w:rFonts w:ascii="Times New Roman" w:hAnsi="Times New Roman"/>
          <w:noProof/>
          <w:sz w:val="24"/>
          <w:vertAlign w:val="superscript"/>
        </w:rPr>
        <w:footnoteReference w:id="34"/>
      </w:r>
      <w:r>
        <w:rPr>
          <w:rFonts w:ascii="Times New Roman" w:hAnsi="Times New Roman"/>
          <w:noProof/>
          <w:sz w:val="24"/>
        </w:rPr>
        <w:t>; és az egészségügyi szakemberek roma kérdésekkel kapcsolatos elégtelen ismeretei.</w:t>
      </w:r>
      <w:r>
        <w:rPr>
          <w:rFonts w:ascii="Times New Roman" w:hAnsi="Times New Roman"/>
          <w:noProof/>
          <w:sz w:val="24"/>
          <w:vertAlign w:val="superscript"/>
        </w:rPr>
        <w:footnoteReference w:id="35"/>
      </w:r>
      <w:r>
        <w:rPr>
          <w:rFonts w:ascii="Times New Roman" w:hAnsi="Times New Roman"/>
          <w:noProof/>
          <w:sz w:val="24"/>
        </w:rPr>
        <w:t xml:space="preserve"> Aggályok merültek fel a romák alacsony oltottsági aránya tekintetében is, ami egyes országokban a jelentések szerint hozzájárul a magasabb korai halálozási és megbetegedési arányokhoz</w:t>
      </w:r>
      <w:r>
        <w:rPr>
          <w:rFonts w:ascii="Times New Roman" w:hAnsi="Times New Roman"/>
          <w:noProof/>
          <w:sz w:val="24"/>
          <w:vertAlign w:val="superscript"/>
        </w:rPr>
        <w:footnoteReference w:id="36"/>
      </w:r>
      <w:r>
        <w:rPr>
          <w:rFonts w:ascii="Times New Roman" w:hAnsi="Times New Roman"/>
          <w:noProof/>
          <w:sz w:val="24"/>
        </w:rPr>
        <w:t>. A romák egészségügyi kezdeményezésekben való részvétele és szerepvállalása az írástudatlanság magas aránya és a nyelvi akadályok miatt is kihívást jelent</w:t>
      </w:r>
      <w:r>
        <w:rPr>
          <w:rFonts w:ascii="Times New Roman" w:hAnsi="Times New Roman"/>
          <w:noProof/>
          <w:sz w:val="24"/>
          <w:vertAlign w:val="superscript"/>
        </w:rPr>
        <w:footnoteReference w:id="37"/>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3.3. Szakpolitikai ismeretátadás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Az intézkedések és értékelések sem gyakoriak az egészségügy (valamint a lakhatás) területén, ami korlátozza a szakpolitikák megismerésének és átvételének lehetőségeit. A leggyakrabban alkalmazott ígéretes gyakorlatok az oltási kampányok segítségével történő megelőzésre, valamint a roma egészségügyi közvetítők képzésére és alkalmazására összpontosítanak. Ugyanakkor fontos, hogy a célzott támogató szolgáltatások aktívan törekedjenek az egészségtudatosság növelésére, a hozzáállás megváltoztatására és a romák hosszú távú önállóságának és fősodorbeli intézményekkel való kapcsolatfelvételi képességének kialakítására az állandó közvetítőkre és hosszú távú párhuzamos struktúrákra való támaszkodás helyett. Az egészségügyi szakembereket megcélzó hátrányos megkülönböztetés elleni intézkedéseket előnyben kell részesíteni.</w:t>
      </w:r>
    </w:p>
    <w:tbl>
      <w:tblPr>
        <w:tblStyle w:val="TableGrid"/>
        <w:tblW w:w="9498" w:type="dxa"/>
        <w:tblInd w:w="-5" w:type="dxa"/>
        <w:tblLook w:val="04A0" w:firstRow="1" w:lastRow="0" w:firstColumn="1" w:lastColumn="0" w:noHBand="0" w:noVBand="1"/>
      </w:tblPr>
      <w:tblGrid>
        <w:gridCol w:w="6096"/>
        <w:gridCol w:w="3402"/>
      </w:tblGrid>
      <w:tr>
        <w:tc>
          <w:tcPr>
            <w:tcW w:w="609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Ígéretes megközelítések:</w:t>
            </w:r>
          </w:p>
        </w:tc>
        <w:tc>
          <w:tcPr>
            <w:tcW w:w="340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Érvényesítendő prioritások:</w:t>
            </w:r>
          </w:p>
        </w:tc>
      </w:tr>
      <w:tr>
        <w:tc>
          <w:tcPr>
            <w:tcW w:w="6096" w:type="dxa"/>
          </w:tcPr>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BG, CZ, DK, EL, FR, HU, PL, PT, RO, SE, SI, SK: </w:t>
            </w:r>
            <w:r>
              <w:rPr>
                <w:rFonts w:ascii="Times New Roman" w:hAnsi="Times New Roman"/>
                <w:noProof/>
                <w:sz w:val="19"/>
              </w:rPr>
              <w:t>roma egészségügyi közvetítők (asszisztensek, látogatók, hídépítők) képzése és alkalmazása a romák egészségügyi ellátáshoz való hozzáférésének elősegítése érdekében</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AT, BG, EL, FR, HU, HR, PL, SK, UK: </w:t>
            </w:r>
            <w:r>
              <w:rPr>
                <w:rFonts w:ascii="Times New Roman" w:hAnsi="Times New Roman"/>
                <w:noProof/>
                <w:sz w:val="19"/>
              </w:rPr>
              <w:t>romákat (lányokat, nőket) és marginalizált területeken élőket megcélzó oltási kampányok</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CZ, IT, RO, SI, SK:</w:t>
            </w:r>
            <w:r>
              <w:rPr>
                <w:rFonts w:ascii="Times New Roman" w:hAnsi="Times New Roman"/>
                <w:noProof/>
                <w:sz w:val="19"/>
              </w:rPr>
              <w:t xml:space="preserve"> hosszú távú nemzeti egészségügyi programok, cselekvési tervek, stratégiák</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ES:</w:t>
            </w:r>
            <w:r>
              <w:rPr>
                <w:rFonts w:ascii="Times New Roman" w:hAnsi="Times New Roman"/>
                <w:noProof/>
                <w:sz w:val="19"/>
              </w:rPr>
              <w:t xml:space="preserve"> roma és civil részvétel biztosítása a szociális szolgáltatási szakembereknek szóló betegségmegelőzési és képzési programok tervezése során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FI:</w:t>
            </w:r>
            <w:r>
              <w:rPr>
                <w:rFonts w:ascii="Times New Roman" w:hAnsi="Times New Roman"/>
                <w:noProof/>
                <w:sz w:val="19"/>
              </w:rPr>
              <w:t xml:space="preserve"> az Országos Egészségügyi és Jóléti Intézet által készített roma jóléti tanulmány</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PT:</w:t>
            </w:r>
            <w:r>
              <w:rPr>
                <w:rFonts w:ascii="Times New Roman" w:hAnsi="Times New Roman"/>
                <w:noProof/>
                <w:sz w:val="19"/>
              </w:rPr>
              <w:t xml:space="preserve"> a romák egészségbeli egyenlőtlenségeivel szembeni küzdelemhez szükséges beavatkozások tényeken alapuló tervezése, ideértve a tinédzserkori terhességgel, gyermekgyógyászati nyomon követéssel és egészséges étkezési szokásokkal kapcsolatos információkat és tudatosságnövelő anyagokat</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LT: </w:t>
            </w:r>
            <w:r>
              <w:rPr>
                <w:rFonts w:ascii="Times New Roman" w:hAnsi="Times New Roman"/>
                <w:noProof/>
                <w:sz w:val="19"/>
              </w:rPr>
              <w:t>a megelőző ellátással, szexuális és reprodukciós egészséggel és gyermekgondozással kapcsolatos, roma nőket és fiatalokat megcélzó egészségismereti szemináriumok</w:t>
            </w:r>
          </w:p>
        </w:tc>
        <w:tc>
          <w:tcPr>
            <w:tcW w:w="340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egészségbiztosítási lefedettség növelése, az egészségügyi alapellátásban és a szakorvosi egészségügyi ellátásban lévő hiányok megszüntetése, ideértve a reprodukciós és szexuális egészséget a hátrányos helyzetű területeken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erőfeszítések fokozása a kábítószerfüggőség, dohányzás, HIV, hepatitisz, tuberkulózis, szív- és érrendszeri megbetegedések és korai halál megelőzése és leküzdése érdekében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egészségügyi ellátáshoz való hozzáférés terén fennálló hátrányos megkülönböztetés nyomon követése és leküzdése, valamint az egészségügyi szakemberek ráébresztése a roma szükségletek jelentőségére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annak biztosítása, hogy a roma egészségügyi közvetítők segítsenek a romák hosszú távú önállóságának kialakításában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táplálkozás javítása és a roma nőket és gyermekes családokat sújtó egészségtelen életkörülmények elleni küzdelem</w:t>
            </w:r>
          </w:p>
        </w:tc>
      </w:tr>
    </w:tbl>
    <w:p>
      <w:pPr>
        <w:pStyle w:val="Heading2"/>
        <w:keepNext/>
        <w:keepLines/>
        <w:rPr>
          <w:noProof/>
        </w:rPr>
      </w:pPr>
      <w:r>
        <w:rPr>
          <w:noProof/>
        </w:rPr>
        <w:t>4. Lakhatás</w:t>
      </w:r>
    </w:p>
    <w:p>
      <w:pPr>
        <w:pStyle w:val="ListParagraph"/>
        <w:keepNext/>
        <w:keepLines/>
        <w:spacing w:after="120"/>
        <w:ind w:left="1701" w:firstLine="142"/>
        <w:contextualSpacing w:val="0"/>
        <w:jc w:val="center"/>
        <w:rPr>
          <w:rFonts w:ascii="Times New Roman" w:hAnsi="Times New Roman" w:cs="Times New Roman"/>
          <w:i/>
          <w:noProof/>
          <w:sz w:val="19"/>
          <w:szCs w:val="19"/>
        </w:rPr>
      </w:pPr>
      <w:r>
        <w:rPr>
          <w:rFonts w:ascii="Times New Roman" w:hAnsi="Times New Roman"/>
          <w:i/>
          <w:noProof/>
          <w:sz w:val="19"/>
          <w:szCs w:val="19"/>
        </w:rPr>
        <w:t>A romák helyzete a lakhatás terén (2016)</w:t>
      </w:r>
    </w:p>
    <w:p>
      <w:pPr>
        <w:pStyle w:val="ListParagraph"/>
        <w:keepNext/>
        <w:keepLines/>
        <w:pBdr>
          <w:top w:val="single" w:sz="4" w:space="1" w:color="auto"/>
          <w:between w:val="single" w:sz="4" w:space="1" w:color="auto"/>
        </w:pBdr>
        <w:ind w:left="1701" w:firstLine="142"/>
        <w:contextualSpacing w:val="0"/>
        <w:rPr>
          <w:rFonts w:ascii="Times New Roman" w:hAnsi="Times New Roman" w:cs="Times New Roman"/>
          <w:noProof/>
          <w:sz w:val="19"/>
          <w:szCs w:val="19"/>
        </w:rPr>
      </w:pPr>
      <w:r>
        <w:rPr>
          <w:rFonts w:ascii="Times New Roman" w:hAnsi="Times New Roman"/>
          <w:b/>
          <w:noProof/>
          <w:sz w:val="19"/>
          <w:szCs w:val="19"/>
        </w:rPr>
        <w:t>A teljesen vagy többnyire romák által lakott lakóövezetekben élő romák aránya:</w:t>
      </w:r>
      <w:r>
        <w:rPr>
          <w:rFonts w:ascii="Times New Roman" w:hAnsi="Times New Roman"/>
          <w:noProof/>
          <w:sz w:val="19"/>
          <w:szCs w:val="19"/>
        </w:rPr>
        <w:t xml:space="preserve"> 67 %</w:t>
      </w:r>
    </w:p>
    <w:p>
      <w:pPr>
        <w:pStyle w:val="ListParagraph"/>
        <w:pBdr>
          <w:top w:val="single" w:sz="4" w:space="1" w:color="auto"/>
          <w:between w:val="single" w:sz="4" w:space="1" w:color="auto"/>
        </w:pBdr>
        <w:spacing w:before="120"/>
        <w:ind w:left="1701" w:firstLine="142"/>
        <w:contextualSpacing w:val="0"/>
        <w:rPr>
          <w:rFonts w:ascii="Times New Roman" w:hAnsi="Times New Roman" w:cs="Times New Roman"/>
          <w:noProof/>
          <w:sz w:val="19"/>
          <w:szCs w:val="19"/>
        </w:rPr>
      </w:pPr>
      <w:r>
        <w:rPr>
          <w:rFonts w:ascii="Times New Roman" w:hAnsi="Times New Roman"/>
          <w:b/>
          <w:noProof/>
          <w:sz w:val="19"/>
          <w:szCs w:val="19"/>
        </w:rPr>
        <w:t>Az alábbival rendelkező háztartásban élő romák aránya:</w:t>
      </w:r>
    </w:p>
    <w:p>
      <w:pPr>
        <w:pStyle w:val="ListParagraph"/>
        <w:numPr>
          <w:ilvl w:val="1"/>
          <w:numId w:val="12"/>
        </w:numPr>
        <w:ind w:left="1701" w:firstLine="142"/>
        <w:contextualSpacing w:val="0"/>
        <w:rPr>
          <w:rFonts w:ascii="Times New Roman" w:hAnsi="Times New Roman" w:cs="Times New Roman"/>
          <w:noProof/>
          <w:sz w:val="19"/>
          <w:szCs w:val="19"/>
        </w:rPr>
      </w:pPr>
      <w:r>
        <w:rPr>
          <w:rFonts w:ascii="Times New Roman" w:hAnsi="Times New Roman"/>
          <w:noProof/>
          <w:sz w:val="19"/>
          <w:szCs w:val="19"/>
        </w:rPr>
        <w:t>csapvíz (háztartáson belül): 70 %</w:t>
      </w:r>
    </w:p>
    <w:p>
      <w:pPr>
        <w:pStyle w:val="ListParagraph"/>
        <w:numPr>
          <w:ilvl w:val="1"/>
          <w:numId w:val="12"/>
        </w:numPr>
        <w:ind w:left="1701" w:firstLine="142"/>
        <w:contextualSpacing w:val="0"/>
        <w:rPr>
          <w:rFonts w:ascii="Times New Roman" w:hAnsi="Times New Roman" w:cs="Times New Roman"/>
          <w:noProof/>
          <w:sz w:val="19"/>
          <w:szCs w:val="19"/>
        </w:rPr>
      </w:pPr>
      <w:r>
        <w:rPr>
          <w:rFonts w:ascii="Times New Roman" w:hAnsi="Times New Roman"/>
          <w:noProof/>
          <w:sz w:val="19"/>
          <w:szCs w:val="19"/>
        </w:rPr>
        <w:t>beltéri (vízöblítéses) WC: 55 %</w:t>
      </w:r>
    </w:p>
    <w:p>
      <w:pPr>
        <w:pStyle w:val="ListParagraph"/>
        <w:numPr>
          <w:ilvl w:val="1"/>
          <w:numId w:val="12"/>
        </w:numPr>
        <w:ind w:left="1701" w:firstLine="142"/>
        <w:contextualSpacing w:val="0"/>
        <w:rPr>
          <w:rFonts w:ascii="Times New Roman" w:hAnsi="Times New Roman" w:cs="Times New Roman"/>
          <w:noProof/>
          <w:sz w:val="19"/>
          <w:szCs w:val="19"/>
        </w:rPr>
      </w:pPr>
      <w:r>
        <w:rPr>
          <w:rFonts w:ascii="Times New Roman" w:hAnsi="Times New Roman"/>
          <w:noProof/>
          <w:sz w:val="19"/>
          <w:szCs w:val="19"/>
        </w:rPr>
        <w:t>beltéri zuhany vagy fürdőszoba: 60 %</w:t>
      </w:r>
    </w:p>
    <w:p>
      <w:pPr>
        <w:pStyle w:val="ListParagraph"/>
        <w:pBdr>
          <w:top w:val="single" w:sz="4" w:space="1" w:color="auto"/>
          <w:between w:val="single" w:sz="4" w:space="1" w:color="auto"/>
        </w:pBdr>
        <w:spacing w:before="120"/>
        <w:ind w:left="1701" w:firstLine="142"/>
        <w:contextualSpacing w:val="0"/>
        <w:rPr>
          <w:rFonts w:ascii="Times New Roman" w:hAnsi="Times New Roman" w:cs="Times New Roman"/>
          <w:noProof/>
          <w:sz w:val="19"/>
          <w:szCs w:val="19"/>
        </w:rPr>
      </w:pPr>
      <w:r>
        <w:rPr>
          <w:rFonts w:ascii="Times New Roman" w:hAnsi="Times New Roman"/>
          <w:b/>
          <w:noProof/>
          <w:sz w:val="19"/>
          <w:szCs w:val="19"/>
        </w:rPr>
        <w:t>Az alábbival rendelkező háztartásban élő romák aránya:</w:t>
      </w:r>
    </w:p>
    <w:p>
      <w:pPr>
        <w:pStyle w:val="ListParagraph"/>
        <w:numPr>
          <w:ilvl w:val="1"/>
          <w:numId w:val="12"/>
        </w:numPr>
        <w:ind w:left="1701" w:firstLine="142"/>
        <w:contextualSpacing w:val="0"/>
        <w:rPr>
          <w:rFonts w:ascii="Times New Roman" w:hAnsi="Times New Roman" w:cs="Times New Roman"/>
          <w:noProof/>
          <w:sz w:val="19"/>
          <w:szCs w:val="19"/>
        </w:rPr>
      </w:pPr>
      <w:r>
        <w:rPr>
          <w:rFonts w:ascii="Times New Roman" w:hAnsi="Times New Roman"/>
          <w:noProof/>
          <w:sz w:val="19"/>
          <w:szCs w:val="19"/>
        </w:rPr>
        <w:t>szivárgó tető vagy nedves falak/padlók/alapok vagy rothadás az ablakkeretekben vagy padlóban: 32 %</w:t>
      </w:r>
    </w:p>
    <w:p>
      <w:pPr>
        <w:pStyle w:val="ListParagraph"/>
        <w:numPr>
          <w:ilvl w:val="1"/>
          <w:numId w:val="12"/>
        </w:numPr>
        <w:ind w:left="1701" w:firstLine="142"/>
        <w:contextualSpacing w:val="0"/>
        <w:rPr>
          <w:rFonts w:ascii="Times New Roman" w:hAnsi="Times New Roman" w:cs="Times New Roman"/>
          <w:noProof/>
          <w:sz w:val="19"/>
          <w:szCs w:val="19"/>
        </w:rPr>
      </w:pPr>
      <w:r>
        <w:rPr>
          <w:rFonts w:ascii="Times New Roman" w:hAnsi="Times New Roman"/>
          <w:noProof/>
          <w:sz w:val="19"/>
          <w:szCs w:val="19"/>
        </w:rPr>
        <w:t>szennyezés, kosz vagy egyéb környezeti problémák: 25 %</w:t>
      </w:r>
    </w:p>
    <w:p>
      <w:pPr>
        <w:pStyle w:val="ListParagraph"/>
        <w:numPr>
          <w:ilvl w:val="1"/>
          <w:numId w:val="12"/>
        </w:numPr>
        <w:ind w:left="1701" w:firstLine="142"/>
        <w:contextualSpacing w:val="0"/>
        <w:rPr>
          <w:rFonts w:ascii="Times New Roman" w:hAnsi="Times New Roman" w:cs="Times New Roman"/>
          <w:noProof/>
          <w:sz w:val="19"/>
          <w:szCs w:val="19"/>
        </w:rPr>
      </w:pPr>
      <w:r>
        <w:rPr>
          <w:rFonts w:ascii="Times New Roman" w:hAnsi="Times New Roman"/>
          <w:noProof/>
          <w:sz w:val="19"/>
          <w:szCs w:val="19"/>
        </w:rPr>
        <w:t>bűnözés, erőszak vagy vandalizmus a helyi térségben: 23 %</w:t>
      </w:r>
    </w:p>
    <w:p>
      <w:pPr>
        <w:pStyle w:val="ListParagraph"/>
        <w:pBdr>
          <w:top w:val="single" w:sz="4" w:space="1" w:color="auto"/>
          <w:bottom w:val="single" w:sz="4" w:space="1" w:color="auto"/>
          <w:between w:val="single" w:sz="4" w:space="1" w:color="auto"/>
        </w:pBdr>
        <w:spacing w:before="120"/>
        <w:ind w:left="1701" w:firstLine="142"/>
        <w:contextualSpacing w:val="0"/>
        <w:rPr>
          <w:rFonts w:ascii="Times New Roman" w:hAnsi="Times New Roman" w:cs="Times New Roman"/>
          <w:noProof/>
          <w:sz w:val="19"/>
          <w:szCs w:val="19"/>
        </w:rPr>
      </w:pPr>
      <w:r>
        <w:rPr>
          <w:rFonts w:ascii="Times New Roman" w:hAnsi="Times New Roman"/>
          <w:b/>
          <w:noProof/>
          <w:sz w:val="19"/>
          <w:szCs w:val="19"/>
        </w:rPr>
        <w:t>A túlzsúfolt háztartásokban élő romák aránya</w:t>
      </w:r>
      <w:r>
        <w:rPr>
          <w:rFonts w:ascii="Times New Roman" w:hAnsi="Times New Roman"/>
          <w:noProof/>
          <w:sz w:val="19"/>
          <w:szCs w:val="19"/>
        </w:rPr>
        <w:t xml:space="preserve"> (Eurostat meghatározása szerint): 78 %</w:t>
      </w:r>
    </w:p>
    <w:p>
      <w:pPr>
        <w:keepNext/>
        <w:spacing w:before="12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4.1. Az intézkedések fókusza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tagállamok által leggyakrabban jelentett intézkedések az alábbiakra irányulnak: a közműszolgáltatásokhoz (víz, villamos energia, gáz) és a közmű-infrastruktúrákhoz való hozzáférés biztosítása; a szegregáció felszámolásának támogatása; a szociális lakhatáshoz való megkülönböztetésmentes hozzáférés elősegítése (10–12 tagállam). Csak a tagállamok kisebbsége fektetett be a helyi városrehabilitációs projektek keretében a marginalizálódott közösségeket célzó integrált lakáscélú beavatkozásokba (7 tagállam) vagy használta fel az esb-alapokat közösségvezérelt helyi fejlesztési vagy integrált területi beruházási célokra (4 tagállam). Kizárólag 2 tagállam jelentette, hogy táborhelyeket biztosított a nomád életmódot folytató romák számára.</w:t>
      </w:r>
    </w:p>
    <w:p>
      <w:pPr>
        <w:pStyle w:val="Caption"/>
        <w:keepNext/>
        <w:spacing w:before="120" w:after="60"/>
        <w:ind w:right="-913" w:firstLine="720"/>
        <w:rPr>
          <w:rFonts w:ascii="Times New Roman" w:hAnsi="Times New Roman" w:cs="Times New Roman"/>
          <w:noProof/>
          <w:color w:val="auto"/>
        </w:rPr>
      </w:pPr>
      <w:r>
        <w:rPr>
          <w:rFonts w:ascii="Times New Roman" w:hAnsi="Times New Roman"/>
          <w:noProof/>
          <w:color w:val="auto"/>
        </w:rPr>
        <w:t>A lakhatási intézkedések megoszlása a tanácsi ajánlás alterületei szempontjából fennálló relevancia szerint</w:t>
      </w:r>
    </w:p>
    <w:tbl>
      <w:tblPr>
        <w:tblStyle w:val="TableGrid"/>
        <w:tblW w:w="9247" w:type="dxa"/>
        <w:tblLook w:val="04A0" w:firstRow="1" w:lastRow="0" w:firstColumn="1" w:lastColumn="0" w:noHBand="0" w:noVBand="1"/>
      </w:tblPr>
      <w:tblGrid>
        <w:gridCol w:w="2514"/>
        <w:gridCol w:w="2548"/>
        <w:gridCol w:w="1169"/>
        <w:gridCol w:w="1656"/>
        <w:gridCol w:w="1360"/>
      </w:tblGrid>
      <w:tr>
        <w:trPr>
          <w:trHeight w:val="369"/>
        </w:trPr>
        <w:tc>
          <w:tcPr>
            <w:tcW w:w="2514"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Tematikus alterület</w:t>
            </w:r>
          </w:p>
          <w:p>
            <w:pPr>
              <w:keepNext/>
              <w:keepLines/>
              <w:rPr>
                <w:rFonts w:ascii="Times New Roman" w:hAnsi="Times New Roman" w:cs="Times New Roman"/>
                <w:b/>
                <w:noProof/>
                <w:sz w:val="16"/>
                <w:szCs w:val="16"/>
              </w:rPr>
            </w:pPr>
          </w:p>
        </w:tc>
        <w:tc>
          <w:tcPr>
            <w:tcW w:w="2548"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Tagállam</w:t>
            </w:r>
          </w:p>
        </w:tc>
        <w:tc>
          <w:tcPr>
            <w:tcW w:w="1169"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Az intézkedések száma </w:t>
            </w:r>
          </w:p>
        </w:tc>
        <w:tc>
          <w:tcPr>
            <w:tcW w:w="1656"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Bővítési országok </w:t>
            </w:r>
          </w:p>
        </w:tc>
        <w:tc>
          <w:tcPr>
            <w:tcW w:w="1360"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Az intézkedések száma</w:t>
            </w:r>
          </w:p>
        </w:tc>
      </w:tr>
      <w:tr>
        <w:trPr>
          <w:trHeight w:val="369"/>
        </w:trPr>
        <w:tc>
          <w:tcPr>
            <w:tcW w:w="2514" w:type="dxa"/>
          </w:tcPr>
          <w:p>
            <w:pPr>
              <w:rPr>
                <w:noProof/>
                <w:sz w:val="18"/>
                <w:szCs w:val="18"/>
              </w:rPr>
            </w:pPr>
            <w:r>
              <w:rPr>
                <w:rFonts w:ascii="Times New Roman" w:hAnsi="Times New Roman"/>
                <w:noProof/>
                <w:sz w:val="18"/>
                <w:szCs w:val="18"/>
              </w:rPr>
              <w:t xml:space="preserve">A közműszolgáltatásokhoz és a közmű-infrastruktúrákhoz való hozzáférés biztosítása </w:t>
            </w:r>
          </w:p>
        </w:tc>
        <w:tc>
          <w:tcPr>
            <w:tcW w:w="2548" w:type="dxa"/>
            <w:vAlign w:val="center"/>
          </w:tcPr>
          <w:p>
            <w:pPr>
              <w:rPr>
                <w:noProof/>
                <w:sz w:val="16"/>
                <w:szCs w:val="16"/>
              </w:rPr>
            </w:pPr>
            <w:r>
              <w:rPr>
                <w:rFonts w:ascii="Times New Roman" w:hAnsi="Times New Roman"/>
                <w:noProof/>
                <w:sz w:val="16"/>
                <w:szCs w:val="16"/>
              </w:rPr>
              <w:t>BE, BG, CY, EL, ES, HR, RO, SI, SK, UK</w:t>
            </w:r>
          </w:p>
        </w:tc>
        <w:tc>
          <w:tcPr>
            <w:tcW w:w="1169" w:type="dxa"/>
          </w:tcPr>
          <w:p>
            <w:pPr>
              <w:jc w:val="center"/>
              <w:rPr>
                <w:noProof/>
                <w:sz w:val="16"/>
                <w:szCs w:val="16"/>
              </w:rPr>
            </w:pPr>
            <w:r>
              <w:rPr>
                <w:rFonts w:ascii="Times New Roman" w:hAnsi="Times New Roman"/>
                <w:noProof/>
                <w:sz w:val="16"/>
                <w:szCs w:val="16"/>
              </w:rPr>
              <w:t>26</w:t>
            </w:r>
          </w:p>
        </w:tc>
        <w:tc>
          <w:tcPr>
            <w:tcW w:w="1656" w:type="dxa"/>
          </w:tcPr>
          <w:p>
            <w:pPr>
              <w:rPr>
                <w:noProof/>
                <w:color w:val="000000"/>
                <w:sz w:val="16"/>
                <w:szCs w:val="16"/>
              </w:rPr>
            </w:pPr>
            <w:r>
              <w:rPr>
                <w:rFonts w:ascii="Times New Roman" w:hAnsi="Times New Roman"/>
                <w:noProof/>
                <w:color w:val="000000"/>
                <w:sz w:val="16"/>
                <w:szCs w:val="16"/>
              </w:rPr>
              <w:t>AL, BiH, KOS, ME, MK, RS</w:t>
            </w:r>
          </w:p>
        </w:tc>
        <w:tc>
          <w:tcPr>
            <w:tcW w:w="1360" w:type="dxa"/>
          </w:tcPr>
          <w:p>
            <w:pPr>
              <w:jc w:val="center"/>
              <w:rPr>
                <w:noProof/>
                <w:color w:val="000000"/>
                <w:sz w:val="16"/>
                <w:szCs w:val="16"/>
              </w:rPr>
            </w:pPr>
            <w:r>
              <w:rPr>
                <w:rFonts w:ascii="Times New Roman" w:hAnsi="Times New Roman"/>
                <w:noProof/>
                <w:color w:val="000000"/>
                <w:sz w:val="16"/>
                <w:szCs w:val="16"/>
              </w:rPr>
              <w:t>9</w:t>
            </w:r>
          </w:p>
        </w:tc>
      </w:tr>
      <w:tr>
        <w:trPr>
          <w:trHeight w:val="369"/>
        </w:trPr>
        <w:tc>
          <w:tcPr>
            <w:tcW w:w="2514" w:type="dxa"/>
          </w:tcPr>
          <w:p>
            <w:pPr>
              <w:rPr>
                <w:rFonts w:ascii="Times New Roman" w:hAnsi="Times New Roman" w:cs="Times New Roman"/>
                <w:noProof/>
                <w:sz w:val="16"/>
                <w:szCs w:val="16"/>
              </w:rPr>
            </w:pPr>
            <w:r>
              <w:rPr>
                <w:rFonts w:ascii="Times New Roman" w:hAnsi="Times New Roman"/>
                <w:noProof/>
                <w:sz w:val="18"/>
                <w:szCs w:val="18"/>
              </w:rPr>
              <w:t>A térbeli elkülönülés teljes megszüntetése és a szegregáció felszámolásának előmozdítása</w:t>
            </w:r>
          </w:p>
        </w:tc>
        <w:tc>
          <w:tcPr>
            <w:tcW w:w="2548" w:type="dxa"/>
            <w:vAlign w:val="center"/>
          </w:tcPr>
          <w:p>
            <w:pPr>
              <w:rPr>
                <w:rFonts w:ascii="Times New Roman" w:hAnsi="Times New Roman" w:cs="Times New Roman"/>
                <w:noProof/>
                <w:sz w:val="16"/>
                <w:szCs w:val="16"/>
              </w:rPr>
            </w:pPr>
            <w:r>
              <w:rPr>
                <w:rFonts w:ascii="Times New Roman" w:hAnsi="Times New Roman"/>
                <w:noProof/>
                <w:sz w:val="16"/>
                <w:szCs w:val="16"/>
              </w:rPr>
              <w:t>AT, BE, BG, EL, ES, HU, IT, LT, RO, SK, UK</w:t>
            </w:r>
          </w:p>
        </w:tc>
        <w:tc>
          <w:tcPr>
            <w:tcW w:w="1169" w:type="dxa"/>
          </w:tcPr>
          <w:p>
            <w:pPr>
              <w:jc w:val="center"/>
              <w:rPr>
                <w:rFonts w:ascii="Times New Roman" w:hAnsi="Times New Roman" w:cs="Times New Roman"/>
                <w:noProof/>
                <w:sz w:val="16"/>
                <w:szCs w:val="16"/>
              </w:rPr>
            </w:pPr>
            <w:r>
              <w:rPr>
                <w:rFonts w:ascii="Times New Roman" w:hAnsi="Times New Roman"/>
                <w:noProof/>
                <w:sz w:val="16"/>
                <w:szCs w:val="16"/>
              </w:rPr>
              <w:t>25</w:t>
            </w:r>
          </w:p>
        </w:tc>
        <w:tc>
          <w:tcPr>
            <w:tcW w:w="165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w:t>
            </w:r>
          </w:p>
        </w:tc>
        <w:tc>
          <w:tcPr>
            <w:tcW w:w="1360"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3</w:t>
            </w:r>
          </w:p>
        </w:tc>
      </w:tr>
      <w:tr>
        <w:trPr>
          <w:trHeight w:val="369"/>
        </w:trPr>
        <w:tc>
          <w:tcPr>
            <w:tcW w:w="2514" w:type="dxa"/>
          </w:tcPr>
          <w:p>
            <w:pPr>
              <w:rPr>
                <w:rFonts w:ascii="Times New Roman" w:hAnsi="Times New Roman" w:cs="Times New Roman"/>
                <w:noProof/>
                <w:sz w:val="16"/>
                <w:szCs w:val="16"/>
              </w:rPr>
            </w:pPr>
            <w:r>
              <w:rPr>
                <w:rFonts w:ascii="Times New Roman" w:hAnsi="Times New Roman"/>
                <w:noProof/>
                <w:sz w:val="18"/>
                <w:szCs w:val="18"/>
              </w:rPr>
              <w:t>A szociális lakhatáshoz való megkülönböztetésmentes hozzáférés elősegítése</w:t>
            </w:r>
          </w:p>
        </w:tc>
        <w:tc>
          <w:tcPr>
            <w:tcW w:w="2548" w:type="dxa"/>
            <w:vAlign w:val="center"/>
          </w:tcPr>
          <w:p>
            <w:pPr>
              <w:rPr>
                <w:rFonts w:ascii="Times New Roman" w:hAnsi="Times New Roman" w:cs="Times New Roman"/>
                <w:noProof/>
                <w:sz w:val="16"/>
                <w:szCs w:val="16"/>
              </w:rPr>
            </w:pPr>
            <w:r>
              <w:rPr>
                <w:rFonts w:ascii="Times New Roman" w:hAnsi="Times New Roman"/>
                <w:noProof/>
                <w:sz w:val="16"/>
                <w:szCs w:val="16"/>
              </w:rPr>
              <w:t>AT, CZ, EL, ES, HU, IT, LT, LV, RO, SI, SK, UK</w:t>
            </w:r>
          </w:p>
        </w:tc>
        <w:tc>
          <w:tcPr>
            <w:tcW w:w="1169" w:type="dxa"/>
          </w:tcPr>
          <w:p>
            <w:pPr>
              <w:jc w:val="center"/>
              <w:rPr>
                <w:rFonts w:ascii="Times New Roman" w:hAnsi="Times New Roman" w:cs="Times New Roman"/>
                <w:noProof/>
                <w:sz w:val="16"/>
                <w:szCs w:val="16"/>
              </w:rPr>
            </w:pPr>
            <w:r>
              <w:rPr>
                <w:rFonts w:ascii="Times New Roman" w:hAnsi="Times New Roman"/>
                <w:noProof/>
                <w:sz w:val="16"/>
                <w:szCs w:val="16"/>
              </w:rPr>
              <w:t>22</w:t>
            </w:r>
          </w:p>
        </w:tc>
        <w:tc>
          <w:tcPr>
            <w:tcW w:w="165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KOS, MK, RS</w:t>
            </w:r>
          </w:p>
        </w:tc>
        <w:tc>
          <w:tcPr>
            <w:tcW w:w="1360"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11</w:t>
            </w:r>
          </w:p>
        </w:tc>
      </w:tr>
      <w:tr>
        <w:trPr>
          <w:trHeight w:val="369"/>
        </w:trPr>
        <w:tc>
          <w:tcPr>
            <w:tcW w:w="2514" w:type="dxa"/>
          </w:tcPr>
          <w:p>
            <w:pPr>
              <w:rPr>
                <w:rFonts w:ascii="Times New Roman" w:hAnsi="Times New Roman" w:cs="Times New Roman"/>
                <w:noProof/>
                <w:sz w:val="16"/>
                <w:szCs w:val="16"/>
              </w:rPr>
            </w:pPr>
            <w:r>
              <w:rPr>
                <w:rFonts w:ascii="Times New Roman" w:hAnsi="Times New Roman"/>
                <w:noProof/>
                <w:sz w:val="18"/>
                <w:szCs w:val="18"/>
              </w:rPr>
              <w:t>Annak biztosítása, hogy a városregenerációs projektek a marginalizálódott közösségek lakáshoz juttatását segítő beavatkozásokat is tartalmazzanak</w:t>
            </w:r>
          </w:p>
        </w:tc>
        <w:tc>
          <w:tcPr>
            <w:tcW w:w="2548" w:type="dxa"/>
            <w:vAlign w:val="center"/>
          </w:tcPr>
          <w:p>
            <w:pPr>
              <w:rPr>
                <w:rFonts w:ascii="Times New Roman" w:hAnsi="Times New Roman" w:cs="Times New Roman"/>
                <w:noProof/>
                <w:sz w:val="16"/>
                <w:szCs w:val="16"/>
              </w:rPr>
            </w:pPr>
            <w:r>
              <w:rPr>
                <w:rFonts w:ascii="Times New Roman" w:hAnsi="Times New Roman"/>
                <w:noProof/>
                <w:sz w:val="16"/>
                <w:szCs w:val="16"/>
              </w:rPr>
              <w:t>BE, BG, ES, HR, HU, IT, SK</w:t>
            </w:r>
          </w:p>
        </w:tc>
        <w:tc>
          <w:tcPr>
            <w:tcW w:w="1169" w:type="dxa"/>
          </w:tcPr>
          <w:p>
            <w:pPr>
              <w:jc w:val="center"/>
              <w:rPr>
                <w:rFonts w:ascii="Times New Roman" w:hAnsi="Times New Roman" w:cs="Times New Roman"/>
                <w:noProof/>
                <w:sz w:val="16"/>
                <w:szCs w:val="16"/>
              </w:rPr>
            </w:pPr>
            <w:r>
              <w:rPr>
                <w:rFonts w:ascii="Times New Roman" w:hAnsi="Times New Roman"/>
                <w:noProof/>
                <w:sz w:val="16"/>
                <w:szCs w:val="16"/>
              </w:rPr>
              <w:t>12</w:t>
            </w:r>
          </w:p>
        </w:tc>
        <w:tc>
          <w:tcPr>
            <w:tcW w:w="165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BiH</w:t>
            </w:r>
          </w:p>
        </w:tc>
        <w:tc>
          <w:tcPr>
            <w:tcW w:w="1360"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w:t>
            </w:r>
          </w:p>
        </w:tc>
      </w:tr>
      <w:tr>
        <w:trPr>
          <w:trHeight w:val="385"/>
        </w:trPr>
        <w:tc>
          <w:tcPr>
            <w:tcW w:w="2514" w:type="dxa"/>
            <w:tcBorders>
              <w:bottom w:val="single" w:sz="4" w:space="0" w:color="auto"/>
            </w:tcBorders>
          </w:tcPr>
          <w:p>
            <w:pPr>
              <w:rPr>
                <w:rFonts w:ascii="Times New Roman" w:hAnsi="Times New Roman" w:cs="Times New Roman"/>
                <w:noProof/>
                <w:sz w:val="16"/>
                <w:szCs w:val="16"/>
              </w:rPr>
            </w:pPr>
            <w:r>
              <w:rPr>
                <w:rFonts w:ascii="Times New Roman" w:hAnsi="Times New Roman"/>
                <w:noProof/>
                <w:sz w:val="18"/>
                <w:szCs w:val="18"/>
              </w:rPr>
              <w:t>A közösségvezérelt helyi fejlesztések és/vagy az esb-alapok által támogatott integrált területi beruházások előmozdítása</w:t>
            </w:r>
          </w:p>
        </w:tc>
        <w:tc>
          <w:tcPr>
            <w:tcW w:w="2548" w:type="dxa"/>
            <w:tcBorders>
              <w:bottom w:val="single" w:sz="4" w:space="0" w:color="auto"/>
            </w:tcBorders>
            <w:vAlign w:val="center"/>
          </w:tcPr>
          <w:p>
            <w:pPr>
              <w:rPr>
                <w:rFonts w:ascii="Times New Roman" w:hAnsi="Times New Roman" w:cs="Times New Roman"/>
                <w:noProof/>
                <w:sz w:val="16"/>
                <w:szCs w:val="16"/>
              </w:rPr>
            </w:pPr>
            <w:r>
              <w:rPr>
                <w:rFonts w:ascii="Times New Roman" w:hAnsi="Times New Roman"/>
                <w:noProof/>
                <w:sz w:val="16"/>
                <w:szCs w:val="16"/>
              </w:rPr>
              <w:t>ES, HR, HU, IT</w:t>
            </w:r>
          </w:p>
        </w:tc>
        <w:tc>
          <w:tcPr>
            <w:tcW w:w="1169" w:type="dxa"/>
            <w:tcBorders>
              <w:bottom w:val="single" w:sz="4" w:space="0" w:color="auto"/>
            </w:tcBorders>
          </w:tcPr>
          <w:p>
            <w:pPr>
              <w:jc w:val="center"/>
              <w:rPr>
                <w:rFonts w:ascii="Times New Roman" w:hAnsi="Times New Roman" w:cs="Times New Roman"/>
                <w:noProof/>
                <w:sz w:val="16"/>
                <w:szCs w:val="16"/>
              </w:rPr>
            </w:pPr>
            <w:r>
              <w:rPr>
                <w:rFonts w:ascii="Times New Roman" w:hAnsi="Times New Roman"/>
                <w:noProof/>
                <w:sz w:val="16"/>
                <w:szCs w:val="16"/>
              </w:rPr>
              <w:t>9</w:t>
            </w:r>
          </w:p>
        </w:tc>
        <w:tc>
          <w:tcPr>
            <w:tcW w:w="1656" w:type="dxa"/>
            <w:tcBorders>
              <w:bottom w:val="single" w:sz="4" w:space="0" w:color="auto"/>
            </w:tcBorders>
          </w:tcPr>
          <w:p>
            <w:pPr>
              <w:rPr>
                <w:rFonts w:ascii="Times New Roman" w:hAnsi="Times New Roman" w:cs="Times New Roman"/>
                <w:noProof/>
                <w:color w:val="000000"/>
                <w:sz w:val="16"/>
                <w:szCs w:val="16"/>
              </w:rPr>
            </w:pPr>
            <w:r>
              <w:rPr>
                <w:rFonts w:ascii="Times New Roman" w:hAnsi="Times New Roman"/>
                <w:noProof/>
                <w:color w:val="000000"/>
                <w:sz w:val="16"/>
                <w:szCs w:val="16"/>
              </w:rPr>
              <w:t>MK, RS</w:t>
            </w:r>
          </w:p>
        </w:tc>
        <w:tc>
          <w:tcPr>
            <w:tcW w:w="1360" w:type="dxa"/>
            <w:tcBorders>
              <w:bottom w:val="single" w:sz="4" w:space="0" w:color="auto"/>
            </w:tcBorders>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w:t>
            </w:r>
          </w:p>
        </w:tc>
      </w:tr>
      <w:tr>
        <w:trPr>
          <w:trHeight w:val="385"/>
        </w:trPr>
        <w:tc>
          <w:tcPr>
            <w:tcW w:w="2514"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cs="Times New Roman"/>
                <w:noProof/>
                <w:sz w:val="18"/>
                <w:szCs w:val="18"/>
              </w:rPr>
            </w:pPr>
            <w:r>
              <w:rPr>
                <w:rFonts w:ascii="Times New Roman" w:hAnsi="Times New Roman"/>
                <w:noProof/>
                <w:sz w:val="18"/>
                <w:szCs w:val="18"/>
              </w:rPr>
              <w:t>Táborhelyek biztosítása a nomád életmódot folytató romák számára</w:t>
            </w:r>
          </w:p>
        </w:tc>
        <w:tc>
          <w:tcPr>
            <w:tcW w:w="2548"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cs="Times New Roman"/>
                <w:noProof/>
                <w:sz w:val="18"/>
                <w:szCs w:val="18"/>
              </w:rPr>
            </w:pPr>
            <w:r>
              <w:rPr>
                <w:rFonts w:ascii="Times New Roman" w:hAnsi="Times New Roman"/>
                <w:noProof/>
                <w:sz w:val="16"/>
                <w:szCs w:val="16"/>
              </w:rPr>
              <w:t>AT, UK</w:t>
            </w:r>
          </w:p>
        </w:tc>
        <w:tc>
          <w:tcPr>
            <w:tcW w:w="1169"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cs="Times New Roman"/>
                <w:noProof/>
                <w:sz w:val="18"/>
                <w:szCs w:val="18"/>
              </w:rPr>
            </w:pPr>
            <w:r>
              <w:rPr>
                <w:rFonts w:ascii="Times New Roman" w:hAnsi="Times New Roman"/>
                <w:noProof/>
                <w:sz w:val="18"/>
                <w:szCs w:val="18"/>
              </w:rPr>
              <w:t>5</w:t>
            </w:r>
          </w:p>
        </w:tc>
        <w:tc>
          <w:tcPr>
            <w:tcW w:w="1656"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cs="Times New Roman"/>
                <w:noProof/>
                <w:sz w:val="18"/>
                <w:szCs w:val="18"/>
              </w:rPr>
            </w:pPr>
          </w:p>
        </w:tc>
        <w:tc>
          <w:tcPr>
            <w:tcW w:w="1360"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cs="Times New Roman"/>
                <w:noProof/>
                <w:sz w:val="18"/>
                <w:szCs w:val="18"/>
              </w:rPr>
            </w:pPr>
            <w:r>
              <w:rPr>
                <w:rFonts w:ascii="Times New Roman" w:hAnsi="Times New Roman"/>
                <w:noProof/>
                <w:sz w:val="18"/>
                <w:szCs w:val="18"/>
              </w:rPr>
              <w:t>0</w:t>
            </w:r>
          </w:p>
        </w:tc>
      </w:tr>
    </w:tbl>
    <w:p>
      <w:pPr>
        <w:spacing w:after="120" w:line="240" w:lineRule="auto"/>
        <w:ind w:right="-142"/>
        <w:jc w:val="both"/>
        <w:rPr>
          <w:rFonts w:ascii="Times New Roman" w:eastAsia="MS Mincho" w:hAnsi="Times New Roman" w:cs="Times New Roman"/>
          <w:noProof/>
          <w:sz w:val="24"/>
          <w:szCs w:val="24"/>
        </w:rPr>
      </w:pP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Mi áll az intézkedések lényegi fókuszában? Az figyelhető meg, hogy a tagállamok leggyakrabban az önkormányzati és szociális lakások fenntartására, biztosítására és javítására (27 %); a roma településeken lévő közmű-infrastruktúrára (16 %); valamint jogalkotási intézkedésekre, építési engedélyekre vagy az informális lakhatás legalizálására összpontosítanak (13 %). A szegregáció kifejezett felszámolása, ideértve a nyomornegyedek felszámolását, valamint integrált területi intézkedések vagy a hajléktalanok számára nyújtott szociális/infrastrukturális támogatás sokkal ritkábban áll a befektetések középpontjában (mindegyik intézkedés 7 % esetében).</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4.2. Eredmények és kihívások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nemzeti roma kapcsolattartó pontok jelentése szerint a legjelentősebb eredmények a szociális lakáshoz jutás terén voltak</w:t>
      </w:r>
      <w:r>
        <w:rPr>
          <w:rFonts w:ascii="Times New Roman" w:hAnsi="Times New Roman"/>
          <w:noProof/>
          <w:sz w:val="24"/>
          <w:vertAlign w:val="superscript"/>
        </w:rPr>
        <w:footnoteReference w:id="38"/>
      </w:r>
      <w:r>
        <w:rPr>
          <w:rFonts w:ascii="Times New Roman" w:hAnsi="Times New Roman"/>
          <w:noProof/>
          <w:sz w:val="24"/>
        </w:rPr>
        <w:t>. A több nemzeti roma kapcsolattartó pont által említett másik fontos eredménycsoport a nyomornegyedek és a térbeli elkülönülés megszüntetése volt</w:t>
      </w:r>
      <w:r>
        <w:rPr>
          <w:rFonts w:ascii="Times New Roman" w:hAnsi="Times New Roman"/>
          <w:noProof/>
          <w:sz w:val="24"/>
          <w:vertAlign w:val="superscript"/>
        </w:rPr>
        <w:footnoteReference w:id="39"/>
      </w:r>
      <w:r>
        <w:rPr>
          <w:rFonts w:ascii="Times New Roman" w:hAnsi="Times New Roman"/>
          <w:noProof/>
          <w:sz w:val="24"/>
        </w:rPr>
        <w:t>. A nemzeti roma kapcsolattartó pontok a táborhelyek biztosítása</w:t>
      </w:r>
      <w:r>
        <w:rPr>
          <w:rFonts w:ascii="Times New Roman" w:hAnsi="Times New Roman"/>
          <w:noProof/>
          <w:sz w:val="24"/>
          <w:vertAlign w:val="superscript"/>
        </w:rPr>
        <w:footnoteReference w:id="40"/>
      </w:r>
      <w:r>
        <w:rPr>
          <w:rFonts w:ascii="Times New Roman" w:hAnsi="Times New Roman"/>
          <w:noProof/>
          <w:sz w:val="24"/>
        </w:rPr>
        <w:t>, a közműszolgáltatásokhoz (pl. víz, villamos energia, gáz) és a közmű-infrastruktúrákhoz való hozzáférés biztosítása a lakóhelyeken</w:t>
      </w:r>
      <w:r>
        <w:rPr>
          <w:rFonts w:ascii="Times New Roman" w:hAnsi="Times New Roman"/>
          <w:noProof/>
          <w:sz w:val="24"/>
          <w:vertAlign w:val="superscript"/>
        </w:rPr>
        <w:footnoteReference w:id="41"/>
      </w:r>
      <w:r>
        <w:rPr>
          <w:rFonts w:ascii="Times New Roman" w:hAnsi="Times New Roman"/>
          <w:noProof/>
          <w:sz w:val="24"/>
        </w:rPr>
        <w:t>; a lakhatás legalizálása</w:t>
      </w:r>
      <w:r>
        <w:rPr>
          <w:rFonts w:ascii="Times New Roman" w:hAnsi="Times New Roman"/>
          <w:noProof/>
          <w:sz w:val="24"/>
          <w:vertAlign w:val="superscript"/>
        </w:rPr>
        <w:footnoteReference w:id="42"/>
      </w:r>
      <w:r>
        <w:rPr>
          <w:rFonts w:ascii="Times New Roman" w:hAnsi="Times New Roman"/>
          <w:noProof/>
          <w:sz w:val="24"/>
        </w:rPr>
        <w:t>; és a városrehabilitáció</w:t>
      </w:r>
      <w:r>
        <w:rPr>
          <w:rFonts w:ascii="Times New Roman" w:hAnsi="Times New Roman"/>
          <w:noProof/>
          <w:sz w:val="24"/>
          <w:vertAlign w:val="superscript"/>
        </w:rPr>
        <w:footnoteReference w:id="43"/>
      </w:r>
      <w:r>
        <w:rPr>
          <w:rFonts w:ascii="Times New Roman" w:hAnsi="Times New Roman"/>
          <w:noProof/>
          <w:sz w:val="24"/>
        </w:rPr>
        <w:t xml:space="preserve"> területén elért eredményeket is említették.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bejelentett kihívások közé tartoznak az alábbiak: térbeli elkülönülés</w:t>
      </w:r>
      <w:r>
        <w:rPr>
          <w:rFonts w:ascii="Times New Roman" w:hAnsi="Times New Roman"/>
          <w:noProof/>
          <w:sz w:val="24"/>
          <w:vertAlign w:val="superscript"/>
        </w:rPr>
        <w:footnoteReference w:id="44"/>
      </w:r>
      <w:r>
        <w:rPr>
          <w:rFonts w:ascii="Times New Roman" w:hAnsi="Times New Roman"/>
          <w:noProof/>
          <w:sz w:val="24"/>
        </w:rPr>
        <w:t>; a magánszektorbeli lakáshoz jutás tekintetében a romák előtt álló akadályok</w:t>
      </w:r>
      <w:r>
        <w:rPr>
          <w:rFonts w:ascii="Times New Roman" w:hAnsi="Times New Roman"/>
          <w:noProof/>
          <w:sz w:val="24"/>
          <w:vertAlign w:val="superscript"/>
        </w:rPr>
        <w:footnoteReference w:id="45"/>
      </w:r>
      <w:r>
        <w:rPr>
          <w:rFonts w:ascii="Times New Roman" w:hAnsi="Times New Roman"/>
          <w:noProof/>
          <w:sz w:val="24"/>
        </w:rPr>
        <w:t>; valamint a szociális lakáshoz jutással kapcsolatos állami támogatás és jogszabályok</w:t>
      </w:r>
      <w:r>
        <w:rPr>
          <w:rFonts w:ascii="Times New Roman" w:hAnsi="Times New Roman"/>
          <w:noProof/>
          <w:sz w:val="24"/>
          <w:vertAlign w:val="superscript"/>
        </w:rPr>
        <w:footnoteReference w:id="46"/>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4.3. Szakpolitikai ismeretátadás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lakhatás az a szakpolitika, melynek esetében a legkevesebb példát lehet találni a több ország esetében közös ígéretes megközelítésekre. Szintén ez az a terület, ahol különösen kritikusnak tartották a hosszú távú, integrált és átfogó megközelítéseket, ideértve az alábbiakat: a rendelkezésre bocsátott lakások foglalkoztatási, oktatási, egészségügyi és közösségfejlesztési elemeket kombináló kísérő támogatással való kiegészítése; valamint a beavatkozásoknak a földdel és szociális lakhatással kapcsolatos szélesebb körű nemzeti szakpolitikákba és jogszabályokba foglalása. A térbeli elkülönülés felszámolásának előmozdításához célzott, koordinált és részvételi folyamatra van szükség: a roma kedvezményezettek bevonása a közösségi és egyéni lakhatási lehetőségek tervezésébe és végrehajtásába; az infrastrukturális és emberi befektetések kombinálása; és az etnikai feszültségek csökkentése, illetve a többségi társadalom ellenállásának legyőzése érdekében tett tudatosságnövelés. Az előnyben részesítendő egyéb területek közé az alábbiak tartoznak: a szociális lakásállomány fejlesztése a romák jobb hozzáférésének biztosítása érdekében; a kényszer-kilakoltatások meggátolása egy több érdekelt felet érintő, széles körű lakhatási megközelítés részeként; valamint elegendő és kulturális szempontból megfelelő táborhely biztosítása a nomád életmódot folytató romák számára.</w:t>
      </w:r>
    </w:p>
    <w:tbl>
      <w:tblPr>
        <w:tblStyle w:val="TableGrid"/>
        <w:tblW w:w="9498" w:type="dxa"/>
        <w:tblInd w:w="-5" w:type="dxa"/>
        <w:tblLook w:val="04A0" w:firstRow="1" w:lastRow="0" w:firstColumn="1" w:lastColumn="0" w:noHBand="0" w:noVBand="1"/>
      </w:tblPr>
      <w:tblGrid>
        <w:gridCol w:w="6237"/>
        <w:gridCol w:w="3261"/>
      </w:tblGrid>
      <w:tr>
        <w:tc>
          <w:tcPr>
            <w:tcW w:w="6237"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Ígéretes megközelítések:</w:t>
            </w:r>
          </w:p>
        </w:tc>
        <w:tc>
          <w:tcPr>
            <w:tcW w:w="3261"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Érvényesítendő prioritások:</w:t>
            </w:r>
          </w:p>
        </w:tc>
      </w:tr>
      <w:tr>
        <w:tc>
          <w:tcPr>
            <w:tcW w:w="6237"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ES:</w:t>
            </w:r>
            <w:r>
              <w:rPr>
                <w:rFonts w:ascii="Times New Roman" w:hAnsi="Times New Roman"/>
                <w:noProof/>
                <w:sz w:val="19"/>
              </w:rPr>
              <w:t xml:space="preserve"> az elmúlt 15 évben a helyi és regionális kormányzatok NGO-támogatással jelentős mértékben csökkentették a viskótelepek gyakoriságát, ami az integrált megközelítés részeként a szegregáció felszámolását eredményezte, miközben az oktatás, egészségügy és foglalkoztatás területén is fenntartható fejlődés történt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CZ: </w:t>
            </w:r>
            <w:r>
              <w:rPr>
                <w:rFonts w:ascii="Times New Roman" w:hAnsi="Times New Roman"/>
                <w:noProof/>
                <w:sz w:val="19"/>
              </w:rPr>
              <w:t xml:space="preserve">az esb-alapok támogatják a helyi önkormányzatok, a szociális lakások bérletével foglalkozó ügynökség és az NGO-k által sikeresen végrehajtott szociális lakhatási kísérleti modelleken alapuló „lakhatás mindenekelőtt” kezdeményezések megerősítését, kizárva a szegregált területeken való lakhatást (a </w:t>
            </w:r>
            <w:hyperlink r:id="rId18">
              <w:r>
                <w:rPr>
                  <w:rFonts w:ascii="Times New Roman" w:hAnsi="Times New Roman"/>
                  <w:noProof/>
                  <w:sz w:val="19"/>
                </w:rPr>
                <w:t>lakóhely szerinti elkülönülés meghatározásának</w:t>
              </w:r>
            </w:hyperlink>
            <w:r>
              <w:rPr>
                <w:rFonts w:ascii="Times New Roman" w:hAnsi="Times New Roman"/>
                <w:noProof/>
                <w:sz w:val="19"/>
              </w:rPr>
              <w:t xml:space="preserve"> módszertanát kísérleti jelleggel a Munkaügyi Minisztérium és 12 önkormányzat alkotta meg)</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EL:</w:t>
            </w:r>
            <w:r>
              <w:rPr>
                <w:rFonts w:ascii="Times New Roman" w:hAnsi="Times New Roman"/>
                <w:noProof/>
                <w:sz w:val="19"/>
              </w:rPr>
              <w:t xml:space="preserve"> új előírások az alábbiak elősegítésére: táborokból és telepekről való áttelepítés; infrastrukturális fejlesztés; a lakótömbök védelmi rendszerének és önigazgatásának megteremtése; valamint bérleti támogatás az integrált körülmények közti otthonteremtéshez</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FR:</w:t>
            </w:r>
            <w:r>
              <w:rPr>
                <w:rFonts w:ascii="Times New Roman" w:hAnsi="Times New Roman"/>
                <w:noProof/>
                <w:sz w:val="19"/>
              </w:rPr>
              <w:t xml:space="preserve"> több érdekelt felet érintő, átfogó „lakhatás mindenekelőtt” kezdeményezés Toulouse-ban a romák táborokból integrált területekre való költözésének elősegítésére, melyet szociális támogatás, olvasás- és írástanítás, egyéb képzések, illetve az oktatáshoz, foglalkoztatáshoz és egészségügyhöz való hozzáférés kísér</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SI: </w:t>
            </w:r>
            <w:r>
              <w:rPr>
                <w:rFonts w:ascii="Times New Roman" w:hAnsi="Times New Roman"/>
                <w:noProof/>
                <w:sz w:val="19"/>
              </w:rPr>
              <w:t>a kommunális alapinfrastruktúrával (víz, villamos energia, utak) kapcsolatos közbeszerzések, melyek a romák által lakott településekre irányulnak</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LT:</w:t>
            </w:r>
            <w:r>
              <w:rPr>
                <w:rFonts w:ascii="Times New Roman" w:hAnsi="Times New Roman"/>
                <w:noProof/>
                <w:sz w:val="19"/>
              </w:rPr>
              <w:t xml:space="preserve"> áttelepítés, valamint a több gyermekes családoknak támogatott bérleti díjak mellett felajánlott szociális lakások révén az elkülönülés felszámolását célzó folyamat Vilnius Kirtimai nevű telepén.</w:t>
            </w:r>
            <w:r>
              <w:rPr>
                <w:rFonts w:ascii="Times New Roman" w:hAnsi="Times New Roman"/>
                <w:b/>
                <w:noProof/>
                <w:sz w:val="19"/>
              </w:rPr>
              <w:t xml:space="preserve"> </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SE: </w:t>
            </w:r>
            <w:r>
              <w:rPr>
                <w:rFonts w:ascii="Times New Roman" w:hAnsi="Times New Roman"/>
                <w:noProof/>
                <w:sz w:val="19"/>
              </w:rPr>
              <w:t>a főbérlőknek biztosítandó útmutatás és képzés az ismeretek növelése és a romákkal szembeni hátrányos megkülönböztetés elleni küzdelem érdekében</w:t>
            </w:r>
          </w:p>
        </w:tc>
        <w:tc>
          <w:tcPr>
            <w:tcW w:w="3261"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integrált területeken lévő megfizethető és megfelelő szociális lakásállományba való befektetés, valamint a jogosultsági feltételek hozzáférhetőségének biztosítása a romák számára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legkiszolgáltatottabb helyzetben lévőket célzó lakhatási támogatás biztosítása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lakhatás legalizálása és a kényszer-kilakoltatások meggátolása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szegregáció átfogó, hosszú távú felszámolásának kombinálása a közvélemény támogatását és az interetnikus közösségi kapcsolatokat kiépítő előkészítő és kísérő intézkedésekkel, valamint a közösségek tervezési és végrehajtási folyamatban való részvételének biztosítása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tiszta vízhez, alapvető kényelmi és közszolgáltatásokhoz való hozzáférés mindenki számára történő biztosítása, a romáknak nyújtott kifejezett biztosítékok mellett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(szociális és magán)lakásokhoz való hozzáférés terén fennálló hátrányos megkülönböztetés elleni küzdelem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elégséges számú, megfelelően karbantartott és kulturális szempontból megfelelő táborhely biztosítása a vándorlók számára</w:t>
            </w:r>
          </w:p>
        </w:tc>
      </w:tr>
    </w:tbl>
    <w:p>
      <w:pPr>
        <w:pStyle w:val="Heading1"/>
        <w:ind w:right="0"/>
        <w:rPr>
          <w:noProof/>
        </w:rPr>
      </w:pPr>
      <w:r>
        <w:rPr>
          <w:noProof/>
        </w:rPr>
        <w:t>II. A hátrányos megkülönböztetés és cigányellenesség elleni küzdelem</w:t>
      </w:r>
    </w:p>
    <w:p>
      <w:pPr>
        <w:pStyle w:val="ListParagraph"/>
        <w:keepNext/>
        <w:keepLines/>
        <w:spacing w:after="120"/>
        <w:ind w:left="1724" w:hanging="284"/>
        <w:contextualSpacing w:val="0"/>
        <w:jc w:val="center"/>
        <w:rPr>
          <w:rFonts w:ascii="Times New Roman" w:hAnsi="Times New Roman" w:cs="Times New Roman"/>
          <w:i/>
          <w:noProof/>
          <w:sz w:val="18"/>
          <w:szCs w:val="18"/>
        </w:rPr>
      </w:pPr>
      <w:r>
        <w:rPr>
          <w:rFonts w:ascii="Times New Roman" w:hAnsi="Times New Roman"/>
          <w:i/>
          <w:noProof/>
          <w:sz w:val="18"/>
          <w:szCs w:val="18"/>
        </w:rPr>
        <w:t xml:space="preserve">A romák hátrányos megkülönböztetéssel kapcsolatos tapasztalatai (2016) </w:t>
      </w:r>
    </w:p>
    <w:p>
      <w:pPr>
        <w:pStyle w:val="ListParagraph"/>
        <w:keepNext/>
        <w:keepLines/>
        <w:pBdr>
          <w:top w:val="single" w:sz="4" w:space="1" w:color="auto"/>
          <w:between w:val="single" w:sz="4" w:space="1" w:color="auto"/>
        </w:pBdr>
        <w:ind w:left="2439" w:hanging="284"/>
        <w:contextualSpacing w:val="0"/>
        <w:rPr>
          <w:rFonts w:ascii="Times New Roman" w:hAnsi="Times New Roman" w:cs="Times New Roman"/>
          <w:noProof/>
          <w:sz w:val="18"/>
          <w:szCs w:val="18"/>
        </w:rPr>
      </w:pPr>
      <w:r>
        <w:rPr>
          <w:rFonts w:ascii="Times New Roman" w:hAnsi="Times New Roman"/>
          <w:b/>
          <w:noProof/>
          <w:sz w:val="18"/>
          <w:szCs w:val="18"/>
        </w:rPr>
        <w:t>Az elmúlt 5 évben hátrányos megkülönböztetést tapasztaló romák aránya</w:t>
      </w:r>
      <w:r>
        <w:rPr>
          <w:rFonts w:ascii="Times New Roman" w:hAnsi="Times New Roman"/>
          <w:noProof/>
          <w:sz w:val="18"/>
          <w:szCs w:val="18"/>
        </w:rPr>
        <w:t>:</w:t>
      </w:r>
    </w:p>
    <w:p>
      <w:pPr>
        <w:pStyle w:val="ListParagraph"/>
        <w:keepNext/>
        <w:keepLines/>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a gyermek iskolájával való érintkezés során: 12 %</w:t>
      </w:r>
    </w:p>
    <w:p>
      <w:pPr>
        <w:pStyle w:val="ListParagraph"/>
        <w:keepNext/>
        <w:keepLines/>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az oktatásban való részvétel során: 12 %</w:t>
      </w:r>
    </w:p>
    <w:p>
      <w:pPr>
        <w:pStyle w:val="ListParagraph"/>
        <w:keepNext/>
        <w:keepLines/>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álláskeresés során: 43 %</w:t>
      </w:r>
    </w:p>
    <w:p>
      <w:pPr>
        <w:pStyle w:val="ListParagraph"/>
        <w:keepNext/>
        <w:keepLines/>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munka közben: 19 %</w:t>
      </w:r>
    </w:p>
    <w:p>
      <w:pPr>
        <w:pStyle w:val="ListParagraph"/>
        <w:keepNext/>
        <w:keepLines/>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lakás bérlése vagy vásárlása közben: 43 %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Étterembe, éjszakai mulatóhelyre vagy szállodába való belépéskor: 21 %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üzletbe való belépéskor: 17 %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a közigazgatással való érintkezés során: 16 %</w:t>
      </w:r>
    </w:p>
    <w:p>
      <w:pPr>
        <w:pStyle w:val="ListParagraph"/>
        <w:keepNext/>
        <w:keepLines/>
        <w:pBdr>
          <w:top w:val="single" w:sz="4" w:space="1" w:color="auto"/>
          <w:between w:val="single" w:sz="4" w:space="1" w:color="auto"/>
        </w:pBdr>
        <w:ind w:left="2439" w:hanging="284"/>
        <w:contextualSpacing w:val="0"/>
        <w:rPr>
          <w:rFonts w:ascii="Times New Roman" w:hAnsi="Times New Roman" w:cs="Times New Roman"/>
          <w:b/>
          <w:noProof/>
          <w:sz w:val="18"/>
          <w:szCs w:val="18"/>
        </w:rPr>
      </w:pPr>
      <w:r>
        <w:rPr>
          <w:rFonts w:ascii="Times New Roman" w:hAnsi="Times New Roman"/>
          <w:b/>
          <w:noProof/>
          <w:sz w:val="18"/>
          <w:szCs w:val="18"/>
        </w:rPr>
        <w:t>Azon romák aránya, akik úgy érezték, hogy hátrányos megkülönböztetés áldozataivá váltak és jelentették az esetet: 12</w:t>
      </w:r>
      <w:r>
        <w:rPr>
          <w:rFonts w:ascii="Times New Roman" w:hAnsi="Times New Roman"/>
          <w:noProof/>
          <w:sz w:val="18"/>
          <w:szCs w:val="18"/>
        </w:rPr>
        <w:t> </w:t>
      </w:r>
      <w:r>
        <w:rPr>
          <w:rFonts w:ascii="Times New Roman" w:hAnsi="Times New Roman"/>
          <w:b/>
          <w:noProof/>
          <w:sz w:val="18"/>
          <w:szCs w:val="18"/>
        </w:rPr>
        <w:t>%</w:t>
      </w:r>
    </w:p>
    <w:p>
      <w:pPr>
        <w:pStyle w:val="ListParagraph"/>
        <w:keepNext/>
        <w:keepLines/>
        <w:pBdr>
          <w:top w:val="single" w:sz="4" w:space="1" w:color="auto"/>
          <w:between w:val="single" w:sz="4" w:space="1" w:color="auto"/>
        </w:pBdr>
        <w:ind w:left="2439" w:hanging="284"/>
        <w:contextualSpacing w:val="0"/>
        <w:rPr>
          <w:rFonts w:ascii="Times New Roman" w:hAnsi="Times New Roman" w:cs="Times New Roman"/>
          <w:b/>
          <w:noProof/>
          <w:sz w:val="18"/>
          <w:szCs w:val="18"/>
        </w:rPr>
      </w:pPr>
      <w:r>
        <w:rPr>
          <w:rFonts w:ascii="Times New Roman" w:hAnsi="Times New Roman"/>
          <w:b/>
          <w:noProof/>
          <w:sz w:val="18"/>
          <w:szCs w:val="18"/>
        </w:rPr>
        <w:t>Az elmúlt évben roma hátterük miatt személyes zaklatásnak kitett romák aránya:</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sértő vagy fenyegető megjegyzések: 20 %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sértő gesztusok vagy nem megfelelő bámulás: 23 %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személyes erőszakkal való fenyegetés: 7 %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összesen: 29 %</w:t>
      </w:r>
    </w:p>
    <w:p>
      <w:pPr>
        <w:pStyle w:val="ListParagraph"/>
        <w:keepNext/>
        <w:keepLines/>
        <w:pBdr>
          <w:top w:val="single" w:sz="4" w:space="1" w:color="auto"/>
          <w:between w:val="single" w:sz="4" w:space="1" w:color="auto"/>
        </w:pBdr>
        <w:ind w:left="2439" w:hanging="284"/>
        <w:contextualSpacing w:val="0"/>
        <w:rPr>
          <w:rFonts w:ascii="Times New Roman" w:hAnsi="Times New Roman" w:cs="Times New Roman"/>
          <w:b/>
          <w:noProof/>
          <w:sz w:val="18"/>
          <w:szCs w:val="18"/>
        </w:rPr>
      </w:pPr>
      <w:r>
        <w:rPr>
          <w:rFonts w:ascii="Times New Roman" w:hAnsi="Times New Roman"/>
          <w:b/>
          <w:noProof/>
          <w:sz w:val="18"/>
          <w:szCs w:val="18"/>
        </w:rPr>
        <w:t>Azon romák aránya, akik:</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hallották már az egyenlőséggel foglalkozó szervről: 29 %</w:t>
      </w:r>
    </w:p>
    <w:p>
      <w:pPr>
        <w:pStyle w:val="ListParagraph"/>
        <w:numPr>
          <w:ilvl w:val="1"/>
          <w:numId w:val="12"/>
        </w:numPr>
        <w:ind w:left="3164"/>
        <w:contextualSpacing w:val="0"/>
        <w:rPr>
          <w:rFonts w:ascii="Times New Roman" w:hAnsi="Times New Roman" w:cs="Times New Roman"/>
          <w:noProof/>
          <w:sz w:val="18"/>
          <w:szCs w:val="18"/>
        </w:rPr>
      </w:pPr>
      <w:r>
        <w:rPr>
          <w:rFonts w:ascii="Times New Roman" w:hAnsi="Times New Roman"/>
          <w:noProof/>
          <w:sz w:val="18"/>
          <w:szCs w:val="18"/>
        </w:rPr>
        <w:t>megbíznak a rendőrségben: 37 %</w:t>
      </w:r>
    </w:p>
    <w:p>
      <w:pPr>
        <w:pStyle w:val="ListParagraph"/>
        <w:numPr>
          <w:ilvl w:val="1"/>
          <w:numId w:val="12"/>
        </w:numPr>
        <w:ind w:left="3142"/>
        <w:contextualSpacing w:val="0"/>
        <w:rPr>
          <w:rFonts w:ascii="Times New Roman" w:hAnsi="Times New Roman" w:cs="Times New Roman"/>
          <w:noProof/>
          <w:sz w:val="18"/>
          <w:szCs w:val="18"/>
        </w:rPr>
      </w:pPr>
      <w:r>
        <w:rPr>
          <w:rFonts w:ascii="Times New Roman" w:hAnsi="Times New Roman"/>
          <w:noProof/>
          <w:sz w:val="18"/>
          <w:szCs w:val="18"/>
        </w:rPr>
        <w:t>megbíznak az ország jogrendszerében: 29 %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1. Az intézkedések fókusza</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tagállamok által leggyakrabban bejelentett hátrányos megkülönböztetés elleni intézkedések az alábbiak: a cigányellenesség elleni küzdelem a roma integráció előnyeinek tudatosítása révén; a sokféleséggel kapcsolatos tudatosság növelése; és a romaellenes retorika és gyűlöletbeszéd elleni küzdelem (10–12 tagállam). Csak néhány tagállam fektet be olyan intézkedésekbe, melyek a roma nők és gyermekek védelmére irányulnak a többszörös megkülönböztetés, (kapcsolati) erőszak vagy fiatalkorúak között kötött és kényszerházasságok leküzdése révén (2–4 tagállam). Csak 4 tagállam számolt be a faji egyenlőségről szóló (2000/43/EK) irányelv hatékony érvényesítésének biztosításával kapcsolatos intézkedésekbe való befektetésről. Még ennél is kevesebb tagállam említi a helyi vagy regionális szegregációellenes intézkedéseket (3 tagállam) vagy az emberkereskedelem elleni küzdelmet (2 tagállam). Kizárólag egy tagállam számolt be a jogtalan kilakoltatások vagy a gyermekekkel való kéregetés megakadályozása; illetve a határokon átnyúló együttműködés ösztönzése érdekében tett intézkedésekről.</w:t>
      </w:r>
    </w:p>
    <w:p>
      <w:pPr>
        <w:pStyle w:val="Caption"/>
        <w:keepNext/>
        <w:keepLines/>
        <w:spacing w:before="120" w:after="60"/>
        <w:ind w:right="-913" w:firstLine="720"/>
        <w:rPr>
          <w:rFonts w:ascii="Times New Roman" w:hAnsi="Times New Roman" w:cs="Times New Roman"/>
          <w:noProof/>
          <w:color w:val="auto"/>
        </w:rPr>
      </w:pPr>
      <w:r>
        <w:rPr>
          <w:rFonts w:ascii="Times New Roman" w:hAnsi="Times New Roman"/>
          <w:noProof/>
          <w:color w:val="auto"/>
        </w:rPr>
        <w:t>A megkülönböztetésellenes intézkedések megoszlása a tanácsi ajánlás alterületei szempontjából fennálló relevancia szerint</w:t>
      </w:r>
    </w:p>
    <w:tbl>
      <w:tblPr>
        <w:tblStyle w:val="TableGrid"/>
        <w:tblW w:w="9208" w:type="dxa"/>
        <w:tblLook w:val="04A0" w:firstRow="1" w:lastRow="0" w:firstColumn="1" w:lastColumn="0" w:noHBand="0" w:noVBand="1"/>
      </w:tblPr>
      <w:tblGrid>
        <w:gridCol w:w="2907"/>
        <w:gridCol w:w="2197"/>
        <w:gridCol w:w="1088"/>
        <w:gridCol w:w="1928"/>
        <w:gridCol w:w="1088"/>
      </w:tblGrid>
      <w:tr>
        <w:trPr>
          <w:trHeight w:val="369"/>
        </w:trPr>
        <w:tc>
          <w:tcPr>
            <w:tcW w:w="2972" w:type="dxa"/>
            <w:shd w:val="clear" w:color="auto" w:fill="EEECE1" w:themeFill="background2"/>
          </w:tcPr>
          <w:p>
            <w:pPr>
              <w:keepNext/>
              <w:keepLines/>
              <w:rPr>
                <w:rFonts w:ascii="Times New Roman" w:hAnsi="Times New Roman" w:cs="Times New Roman"/>
                <w:b/>
                <w:noProof/>
                <w:sz w:val="16"/>
                <w:szCs w:val="16"/>
              </w:rPr>
            </w:pPr>
            <w:r>
              <w:rPr>
                <w:noProof/>
              </w:rPr>
              <w:br w:type="page"/>
            </w:r>
            <w:r>
              <w:rPr>
                <w:rFonts w:ascii="Times New Roman" w:hAnsi="Times New Roman"/>
                <w:b/>
                <w:noProof/>
                <w:sz w:val="16"/>
                <w:szCs w:val="16"/>
              </w:rPr>
              <w:t>Tematikus alterület</w:t>
            </w:r>
          </w:p>
          <w:p>
            <w:pPr>
              <w:keepNext/>
              <w:keepLines/>
              <w:rPr>
                <w:rFonts w:ascii="Times New Roman" w:hAnsi="Times New Roman" w:cs="Times New Roman"/>
                <w:b/>
                <w:noProof/>
                <w:sz w:val="16"/>
                <w:szCs w:val="16"/>
              </w:rPr>
            </w:pPr>
          </w:p>
        </w:tc>
        <w:tc>
          <w:tcPr>
            <w:tcW w:w="2268"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Tagállam</w:t>
            </w:r>
          </w:p>
        </w:tc>
        <w:tc>
          <w:tcPr>
            <w:tcW w:w="991"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Az intézkedések száma </w:t>
            </w:r>
          </w:p>
        </w:tc>
        <w:tc>
          <w:tcPr>
            <w:tcW w:w="1986"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 xml:space="preserve">Bővítési országok </w:t>
            </w:r>
          </w:p>
        </w:tc>
        <w:tc>
          <w:tcPr>
            <w:tcW w:w="991" w:type="dxa"/>
            <w:shd w:val="clear" w:color="auto" w:fill="EEECE1" w:themeFill="background2"/>
          </w:tcPr>
          <w:p>
            <w:pPr>
              <w:keepNext/>
              <w:keepLines/>
              <w:rPr>
                <w:rFonts w:ascii="Times New Roman" w:hAnsi="Times New Roman" w:cs="Times New Roman"/>
                <w:b/>
                <w:noProof/>
                <w:sz w:val="16"/>
                <w:szCs w:val="16"/>
              </w:rPr>
            </w:pPr>
            <w:r>
              <w:rPr>
                <w:rFonts w:ascii="Times New Roman" w:hAnsi="Times New Roman"/>
                <w:b/>
                <w:noProof/>
                <w:sz w:val="16"/>
                <w:szCs w:val="16"/>
              </w:rPr>
              <w:t>Az intézkedések száma</w:t>
            </w:r>
          </w:p>
        </w:tc>
      </w:tr>
      <w:tr>
        <w:trPr>
          <w:trHeight w:val="369"/>
        </w:trPr>
        <w:tc>
          <w:tcPr>
            <w:tcW w:w="2972" w:type="dxa"/>
          </w:tcPr>
          <w:p>
            <w:pPr>
              <w:keepNext/>
              <w:keepLines/>
              <w:rPr>
                <w:rFonts w:ascii="Times New Roman" w:hAnsi="Times New Roman" w:cs="Times New Roman"/>
                <w:noProof/>
                <w:sz w:val="16"/>
                <w:szCs w:val="16"/>
              </w:rPr>
            </w:pPr>
            <w:r>
              <w:rPr>
                <w:rFonts w:ascii="Times New Roman" w:hAnsi="Times New Roman"/>
                <w:noProof/>
                <w:sz w:val="18"/>
                <w:szCs w:val="18"/>
              </w:rPr>
              <w:t>A cigányellenesség elleni küzdelem a roma integráció előnyeinek tudatosítása révén</w:t>
            </w:r>
          </w:p>
        </w:tc>
        <w:tc>
          <w:tcPr>
            <w:tcW w:w="2268" w:type="dxa"/>
            <w:vAlign w:val="center"/>
          </w:tcPr>
          <w:p>
            <w:pPr>
              <w:keepNext/>
              <w:keepLines/>
              <w:rPr>
                <w:rFonts w:ascii="Times New Roman" w:hAnsi="Times New Roman" w:cs="Times New Roman"/>
                <w:noProof/>
                <w:sz w:val="16"/>
                <w:szCs w:val="16"/>
              </w:rPr>
            </w:pPr>
            <w:r>
              <w:rPr>
                <w:rFonts w:ascii="Times New Roman" w:hAnsi="Times New Roman"/>
                <w:noProof/>
                <w:sz w:val="16"/>
                <w:szCs w:val="16"/>
              </w:rPr>
              <w:t>AT, BE, BG, CZ, ES, IT, LT, LV, PT, SK, SE</w:t>
            </w:r>
          </w:p>
        </w:tc>
        <w:tc>
          <w:tcPr>
            <w:tcW w:w="991" w:type="dxa"/>
          </w:tcPr>
          <w:p>
            <w:pPr>
              <w:keepNext/>
              <w:keepLines/>
              <w:jc w:val="center"/>
              <w:rPr>
                <w:rFonts w:ascii="Times New Roman" w:hAnsi="Times New Roman" w:cs="Times New Roman"/>
                <w:noProof/>
                <w:sz w:val="16"/>
                <w:szCs w:val="16"/>
              </w:rPr>
            </w:pPr>
            <w:r>
              <w:rPr>
                <w:rFonts w:ascii="Times New Roman" w:hAnsi="Times New Roman"/>
                <w:noProof/>
                <w:sz w:val="16"/>
                <w:szCs w:val="16"/>
              </w:rPr>
              <w:t>35</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MK, RS, TR</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27</w:t>
            </w:r>
          </w:p>
        </w:tc>
      </w:tr>
      <w:tr>
        <w:trPr>
          <w:trHeight w:val="369"/>
        </w:trPr>
        <w:tc>
          <w:tcPr>
            <w:tcW w:w="2972" w:type="dxa"/>
          </w:tcPr>
          <w:p>
            <w:pPr>
              <w:keepNext/>
              <w:keepLines/>
              <w:rPr>
                <w:rFonts w:ascii="Times New Roman" w:eastAsia="Times New Roman" w:hAnsi="Times New Roman" w:cs="Times New Roman"/>
                <w:noProof/>
                <w:sz w:val="18"/>
                <w:szCs w:val="18"/>
              </w:rPr>
            </w:pPr>
            <w:r>
              <w:rPr>
                <w:rFonts w:ascii="Times New Roman" w:hAnsi="Times New Roman"/>
                <w:noProof/>
                <w:sz w:val="18"/>
                <w:szCs w:val="18"/>
              </w:rPr>
              <w:t xml:space="preserve">A cigányellenesség elleni küzdelem a sokféleség tudatosítása révén </w:t>
            </w:r>
          </w:p>
        </w:tc>
        <w:tc>
          <w:tcPr>
            <w:tcW w:w="2268" w:type="dxa"/>
            <w:vAlign w:val="center"/>
          </w:tcPr>
          <w:p>
            <w:pPr>
              <w:keepNext/>
              <w:keepLines/>
              <w:rPr>
                <w:rFonts w:ascii="Times New Roman" w:hAnsi="Times New Roman" w:cs="Times New Roman"/>
                <w:noProof/>
                <w:sz w:val="16"/>
                <w:szCs w:val="16"/>
              </w:rPr>
            </w:pPr>
            <w:r>
              <w:rPr>
                <w:rFonts w:ascii="Times New Roman" w:hAnsi="Times New Roman"/>
                <w:noProof/>
                <w:sz w:val="16"/>
                <w:szCs w:val="16"/>
              </w:rPr>
              <w:t>AT, BE, BG, CZ, EE, ES, IT, LT, LV, PT, SE, SK</w:t>
            </w:r>
          </w:p>
        </w:tc>
        <w:tc>
          <w:tcPr>
            <w:tcW w:w="991" w:type="dxa"/>
          </w:tcPr>
          <w:p>
            <w:pPr>
              <w:keepNext/>
              <w:keepLines/>
              <w:jc w:val="center"/>
              <w:rPr>
                <w:rFonts w:ascii="Times New Roman" w:hAnsi="Times New Roman" w:cs="Times New Roman"/>
                <w:noProof/>
                <w:sz w:val="16"/>
                <w:szCs w:val="16"/>
              </w:rPr>
            </w:pPr>
            <w:r>
              <w:rPr>
                <w:rFonts w:ascii="Times New Roman" w:hAnsi="Times New Roman"/>
                <w:noProof/>
                <w:sz w:val="16"/>
                <w:szCs w:val="16"/>
              </w:rPr>
              <w:t>31</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MK, RS, TR</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28</w:t>
            </w:r>
          </w:p>
        </w:tc>
      </w:tr>
      <w:tr>
        <w:trPr>
          <w:trHeight w:val="369"/>
        </w:trPr>
        <w:tc>
          <w:tcPr>
            <w:tcW w:w="2972" w:type="dxa"/>
          </w:tcPr>
          <w:p>
            <w:pPr>
              <w:rPr>
                <w:rFonts w:ascii="Times New Roman" w:hAnsi="Times New Roman" w:cs="Times New Roman"/>
                <w:noProof/>
                <w:sz w:val="16"/>
                <w:szCs w:val="16"/>
              </w:rPr>
            </w:pPr>
            <w:r>
              <w:rPr>
                <w:rFonts w:ascii="Times New Roman" w:hAnsi="Times New Roman"/>
                <w:noProof/>
                <w:sz w:val="18"/>
                <w:szCs w:val="18"/>
              </w:rPr>
              <w:t>A cigányellenesség elleni küzdelem a romaellenes retorika és gyűlöletbeszéd leküzdése révén</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AT, BG, CZ, ES, HU, IT, LT, LV, SK, UK</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27</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ME, TR</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6</w:t>
            </w:r>
          </w:p>
        </w:tc>
      </w:tr>
      <w:tr>
        <w:trPr>
          <w:trHeight w:val="369"/>
        </w:trPr>
        <w:tc>
          <w:tcPr>
            <w:tcW w:w="2972" w:type="dxa"/>
          </w:tcPr>
          <w:p>
            <w:pPr>
              <w:rPr>
                <w:rFonts w:ascii="Times New Roman" w:hAnsi="Times New Roman" w:cs="Times New Roman"/>
                <w:noProof/>
                <w:sz w:val="16"/>
                <w:szCs w:val="16"/>
              </w:rPr>
            </w:pPr>
            <w:r>
              <w:rPr>
                <w:rFonts w:ascii="Times New Roman" w:hAnsi="Times New Roman"/>
                <w:noProof/>
                <w:sz w:val="18"/>
                <w:szCs w:val="18"/>
              </w:rPr>
              <w:t>A nőkkel és lányokkal szembeni erőszak elleni küzdelem, ideértve a kapcsolati erőszakot is</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AT, ES, IT, NL</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11</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RS, TR</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4</w:t>
            </w:r>
          </w:p>
        </w:tc>
      </w:tr>
      <w:tr>
        <w:trPr>
          <w:trHeight w:val="369"/>
        </w:trPr>
        <w:tc>
          <w:tcPr>
            <w:tcW w:w="2972" w:type="dxa"/>
          </w:tcPr>
          <w:p>
            <w:pPr>
              <w:rPr>
                <w:rFonts w:ascii="Times New Roman" w:hAnsi="Times New Roman" w:cs="Times New Roman"/>
                <w:noProof/>
                <w:sz w:val="16"/>
                <w:szCs w:val="16"/>
              </w:rPr>
            </w:pPr>
            <w:r>
              <w:rPr>
                <w:rFonts w:ascii="Times New Roman" w:hAnsi="Times New Roman"/>
                <w:noProof/>
                <w:sz w:val="18"/>
                <w:szCs w:val="18"/>
              </w:rPr>
              <w:t>A gyermekek és nők által tapasztalt (többszörös) megkülönböztetés elleni küzdelem valamennyi érdekelt fél bevonásával</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AT, ES, IT, NL</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8</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MK, RS, TR</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23</w:t>
            </w:r>
          </w:p>
        </w:tc>
      </w:tr>
      <w:tr>
        <w:trPr>
          <w:trHeight w:val="369"/>
        </w:trPr>
        <w:tc>
          <w:tcPr>
            <w:tcW w:w="2972" w:type="dxa"/>
          </w:tcPr>
          <w:p>
            <w:pPr>
              <w:rPr>
                <w:rFonts w:ascii="Times New Roman" w:eastAsia="Times New Roman" w:hAnsi="Times New Roman" w:cs="Times New Roman"/>
                <w:noProof/>
                <w:sz w:val="18"/>
                <w:szCs w:val="18"/>
              </w:rPr>
            </w:pPr>
            <w:r>
              <w:rPr>
                <w:rFonts w:ascii="Times New Roman" w:hAnsi="Times New Roman"/>
                <w:noProof/>
                <w:sz w:val="18"/>
                <w:szCs w:val="18"/>
              </w:rPr>
              <w:t>A fiatalkorúak között kötött és kényszerházasságok elleni küzdelem</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AT, NL</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6</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RS</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w:t>
            </w:r>
          </w:p>
        </w:tc>
      </w:tr>
      <w:tr>
        <w:trPr>
          <w:trHeight w:val="369"/>
        </w:trPr>
        <w:tc>
          <w:tcPr>
            <w:tcW w:w="2972" w:type="dxa"/>
          </w:tcPr>
          <w:p>
            <w:pPr>
              <w:rPr>
                <w:rFonts w:ascii="Times New Roman" w:hAnsi="Times New Roman" w:cs="Times New Roman"/>
                <w:noProof/>
                <w:sz w:val="16"/>
                <w:szCs w:val="16"/>
              </w:rPr>
            </w:pPr>
            <w:r>
              <w:rPr>
                <w:rFonts w:ascii="Times New Roman" w:hAnsi="Times New Roman"/>
                <w:noProof/>
                <w:sz w:val="18"/>
                <w:szCs w:val="18"/>
              </w:rPr>
              <w:t>A 2000/43/EK irányelv hatékony gyakorlati érvényesítésének biztosítása</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CZ, HR, IT, LT</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6</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MK, RS, TR</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24</w:t>
            </w:r>
          </w:p>
        </w:tc>
      </w:tr>
      <w:tr>
        <w:trPr>
          <w:trHeight w:val="211"/>
        </w:trPr>
        <w:tc>
          <w:tcPr>
            <w:tcW w:w="2972" w:type="dxa"/>
          </w:tcPr>
          <w:p>
            <w:pPr>
              <w:rPr>
                <w:rFonts w:ascii="Times New Roman" w:hAnsi="Times New Roman" w:cs="Times New Roman"/>
                <w:noProof/>
                <w:sz w:val="16"/>
                <w:szCs w:val="16"/>
              </w:rPr>
            </w:pPr>
            <w:r>
              <w:rPr>
                <w:rFonts w:ascii="Times New Roman" w:hAnsi="Times New Roman"/>
                <w:noProof/>
                <w:sz w:val="18"/>
                <w:szCs w:val="18"/>
              </w:rPr>
              <w:t>Az emberkereskedelem elleni küzdelem</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AT, HU</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6</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MK, RS</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8</w:t>
            </w:r>
          </w:p>
        </w:tc>
      </w:tr>
      <w:tr>
        <w:trPr>
          <w:trHeight w:val="369"/>
        </w:trPr>
        <w:tc>
          <w:tcPr>
            <w:tcW w:w="2972" w:type="dxa"/>
          </w:tcPr>
          <w:p>
            <w:pPr>
              <w:rPr>
                <w:rFonts w:ascii="Times New Roman" w:hAnsi="Times New Roman" w:cs="Times New Roman"/>
                <w:noProof/>
                <w:sz w:val="16"/>
                <w:szCs w:val="16"/>
              </w:rPr>
            </w:pPr>
            <w:r>
              <w:rPr>
                <w:rFonts w:ascii="Times New Roman" w:hAnsi="Times New Roman"/>
                <w:noProof/>
                <w:sz w:val="18"/>
                <w:szCs w:val="18"/>
              </w:rPr>
              <w:t>A szegregáció megszüntetésére irányuló intézkedések regionális és helyi szinten való végrehajtása</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HU, NL, UK</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3</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ME, RS</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14</w:t>
            </w:r>
          </w:p>
        </w:tc>
      </w:tr>
      <w:tr>
        <w:trPr>
          <w:trHeight w:val="369"/>
        </w:trPr>
        <w:tc>
          <w:tcPr>
            <w:tcW w:w="2972" w:type="dxa"/>
          </w:tcPr>
          <w:p>
            <w:pPr>
              <w:rPr>
                <w:rFonts w:ascii="Times New Roman" w:hAnsi="Times New Roman" w:cs="Times New Roman"/>
                <w:noProof/>
                <w:sz w:val="16"/>
                <w:szCs w:val="16"/>
              </w:rPr>
            </w:pPr>
            <w:r>
              <w:rPr>
                <w:rFonts w:ascii="Times New Roman" w:hAnsi="Times New Roman"/>
                <w:noProof/>
                <w:sz w:val="18"/>
                <w:szCs w:val="18"/>
              </w:rPr>
              <w:t>A kilakoltatások uniós jogszabályoknak és egyéb nemzetközi emberi jogi kötelezettségeknek való megfelelésének biztosítása</w:t>
            </w:r>
          </w:p>
        </w:tc>
        <w:tc>
          <w:tcPr>
            <w:tcW w:w="2268" w:type="dxa"/>
            <w:vAlign w:val="center"/>
          </w:tcPr>
          <w:p>
            <w:pPr>
              <w:rPr>
                <w:rFonts w:ascii="Times New Roman" w:hAnsi="Times New Roman" w:cs="Times New Roman"/>
                <w:noProof/>
                <w:sz w:val="16"/>
                <w:szCs w:val="16"/>
              </w:rPr>
            </w:pPr>
            <w:r>
              <w:rPr>
                <w:rFonts w:ascii="Times New Roman" w:hAnsi="Times New Roman"/>
                <w:noProof/>
                <w:sz w:val="16"/>
                <w:szCs w:val="16"/>
              </w:rPr>
              <w:t>IT</w:t>
            </w:r>
          </w:p>
        </w:tc>
        <w:tc>
          <w:tcPr>
            <w:tcW w:w="991" w:type="dxa"/>
          </w:tcPr>
          <w:p>
            <w:pPr>
              <w:jc w:val="center"/>
              <w:rPr>
                <w:rFonts w:ascii="Times New Roman" w:hAnsi="Times New Roman" w:cs="Times New Roman"/>
                <w:noProof/>
                <w:sz w:val="16"/>
                <w:szCs w:val="16"/>
              </w:rPr>
            </w:pPr>
            <w:r>
              <w:rPr>
                <w:rFonts w:ascii="Times New Roman" w:hAnsi="Times New Roman"/>
                <w:noProof/>
                <w:sz w:val="16"/>
                <w:szCs w:val="16"/>
              </w:rPr>
              <w:t>1</w:t>
            </w:r>
          </w:p>
        </w:tc>
        <w:tc>
          <w:tcPr>
            <w:tcW w:w="1986" w:type="dxa"/>
          </w:tcPr>
          <w:p>
            <w:pPr>
              <w:rPr>
                <w:rFonts w:ascii="Times New Roman" w:hAnsi="Times New Roman" w:cs="Times New Roman"/>
                <w:noProof/>
                <w:color w:val="000000"/>
                <w:sz w:val="16"/>
                <w:szCs w:val="16"/>
              </w:rPr>
            </w:pPr>
            <w:r>
              <w:rPr>
                <w:rFonts w:ascii="Times New Roman" w:hAnsi="Times New Roman"/>
                <w:noProof/>
                <w:color w:val="000000"/>
                <w:sz w:val="16"/>
                <w:szCs w:val="16"/>
              </w:rPr>
              <w:t>AL, MK, RS</w:t>
            </w:r>
          </w:p>
        </w:tc>
        <w:tc>
          <w:tcPr>
            <w:tcW w:w="991" w:type="dxa"/>
          </w:tcPr>
          <w:p>
            <w:pPr>
              <w:jc w:val="center"/>
              <w:rPr>
                <w:rFonts w:ascii="Times New Roman" w:hAnsi="Times New Roman" w:cs="Times New Roman"/>
                <w:noProof/>
                <w:color w:val="000000"/>
                <w:sz w:val="16"/>
                <w:szCs w:val="16"/>
              </w:rPr>
            </w:pPr>
            <w:r>
              <w:rPr>
                <w:rFonts w:ascii="Times New Roman" w:hAnsi="Times New Roman"/>
                <w:noProof/>
                <w:color w:val="000000"/>
                <w:sz w:val="16"/>
                <w:szCs w:val="16"/>
              </w:rPr>
              <w:t>3</w:t>
            </w:r>
          </w:p>
        </w:tc>
      </w:tr>
      <w:tr>
        <w:trPr>
          <w:trHeight w:val="369"/>
        </w:trPr>
        <w:tc>
          <w:tcPr>
            <w:tcW w:w="2972" w:type="dxa"/>
          </w:tcPr>
          <w:p>
            <w:pPr>
              <w:rPr>
                <w:rFonts w:ascii="Times New Roman" w:eastAsia="Times New Roman" w:hAnsi="Times New Roman" w:cs="Times New Roman"/>
                <w:noProof/>
                <w:sz w:val="18"/>
                <w:szCs w:val="18"/>
              </w:rPr>
            </w:pPr>
            <w:r>
              <w:rPr>
                <w:rFonts w:ascii="Times New Roman" w:hAnsi="Times New Roman"/>
                <w:noProof/>
                <w:sz w:val="18"/>
                <w:szCs w:val="18"/>
              </w:rPr>
              <w:t>A gyermekek részvételével folytatott koldulás elleni küzdelem a jogszabályok érvényesítése révén</w:t>
            </w:r>
          </w:p>
        </w:tc>
        <w:tc>
          <w:tcPr>
            <w:tcW w:w="2268" w:type="dxa"/>
            <w:vAlign w:val="center"/>
          </w:tcPr>
          <w:p>
            <w:pPr>
              <w:rPr>
                <w:rFonts w:ascii="Times New Roman" w:eastAsia="Times New Roman" w:hAnsi="Times New Roman" w:cs="Times New Roman"/>
                <w:noProof/>
                <w:sz w:val="18"/>
                <w:szCs w:val="18"/>
              </w:rPr>
            </w:pPr>
            <w:r>
              <w:rPr>
                <w:rFonts w:ascii="Times New Roman" w:hAnsi="Times New Roman"/>
                <w:noProof/>
                <w:sz w:val="16"/>
                <w:szCs w:val="16"/>
              </w:rPr>
              <w:t>AT</w:t>
            </w:r>
          </w:p>
        </w:tc>
        <w:tc>
          <w:tcPr>
            <w:tcW w:w="991" w:type="dxa"/>
          </w:tcPr>
          <w:p>
            <w:pPr>
              <w:jc w:val="center"/>
              <w:rPr>
                <w:rFonts w:ascii="Times New Roman" w:eastAsia="Times New Roman" w:hAnsi="Times New Roman" w:cs="Times New Roman"/>
                <w:noProof/>
                <w:sz w:val="18"/>
                <w:szCs w:val="18"/>
              </w:rPr>
            </w:pPr>
            <w:r>
              <w:rPr>
                <w:rFonts w:ascii="Times New Roman" w:hAnsi="Times New Roman"/>
                <w:noProof/>
                <w:sz w:val="18"/>
                <w:szCs w:val="18"/>
              </w:rPr>
              <w:t>1</w:t>
            </w:r>
          </w:p>
        </w:tc>
        <w:tc>
          <w:tcPr>
            <w:tcW w:w="1986" w:type="dxa"/>
          </w:tcPr>
          <w:p>
            <w:pPr>
              <w:rPr>
                <w:rFonts w:ascii="Times New Roman" w:eastAsia="Times New Roman" w:hAnsi="Times New Roman" w:cs="Times New Roman"/>
                <w:noProof/>
                <w:sz w:val="18"/>
                <w:szCs w:val="18"/>
              </w:rPr>
            </w:pPr>
            <w:r>
              <w:rPr>
                <w:rFonts w:ascii="Times New Roman" w:hAnsi="Times New Roman"/>
                <w:noProof/>
                <w:sz w:val="18"/>
                <w:szCs w:val="18"/>
              </w:rPr>
              <w:t>AL, RS</w:t>
            </w:r>
          </w:p>
        </w:tc>
        <w:tc>
          <w:tcPr>
            <w:tcW w:w="991" w:type="dxa"/>
          </w:tcPr>
          <w:p>
            <w:pPr>
              <w:jc w:val="center"/>
              <w:rPr>
                <w:rFonts w:ascii="Times New Roman" w:eastAsia="Times New Roman" w:hAnsi="Times New Roman" w:cs="Times New Roman"/>
                <w:noProof/>
                <w:sz w:val="18"/>
                <w:szCs w:val="18"/>
              </w:rPr>
            </w:pPr>
            <w:r>
              <w:rPr>
                <w:rFonts w:ascii="Times New Roman" w:hAnsi="Times New Roman"/>
                <w:noProof/>
                <w:sz w:val="18"/>
                <w:szCs w:val="18"/>
              </w:rPr>
              <w:t>3</w:t>
            </w:r>
          </w:p>
        </w:tc>
      </w:tr>
      <w:tr>
        <w:trPr>
          <w:trHeight w:val="369"/>
        </w:trPr>
        <w:tc>
          <w:tcPr>
            <w:tcW w:w="2972" w:type="dxa"/>
          </w:tcPr>
          <w:p>
            <w:pPr>
              <w:rPr>
                <w:rFonts w:ascii="Times New Roman" w:eastAsia="Times New Roman" w:hAnsi="Times New Roman" w:cs="Times New Roman"/>
                <w:noProof/>
                <w:sz w:val="18"/>
                <w:szCs w:val="18"/>
              </w:rPr>
            </w:pPr>
            <w:r>
              <w:rPr>
                <w:rFonts w:ascii="Times New Roman" w:hAnsi="Times New Roman"/>
                <w:noProof/>
                <w:sz w:val="18"/>
                <w:szCs w:val="18"/>
              </w:rPr>
              <w:t>A tagállami együttműködés ösztönzése a határokon átnyúló dimenzióval rendelkező helyzetekben</w:t>
            </w:r>
          </w:p>
        </w:tc>
        <w:tc>
          <w:tcPr>
            <w:tcW w:w="2268" w:type="dxa"/>
            <w:vAlign w:val="center"/>
          </w:tcPr>
          <w:p>
            <w:pPr>
              <w:rPr>
                <w:rFonts w:ascii="Times New Roman" w:eastAsia="Times New Roman" w:hAnsi="Times New Roman" w:cs="Times New Roman"/>
                <w:noProof/>
                <w:sz w:val="18"/>
                <w:szCs w:val="18"/>
              </w:rPr>
            </w:pPr>
            <w:r>
              <w:rPr>
                <w:rFonts w:ascii="Times New Roman" w:hAnsi="Times New Roman"/>
                <w:noProof/>
                <w:sz w:val="16"/>
                <w:szCs w:val="16"/>
              </w:rPr>
              <w:t>AT</w:t>
            </w:r>
          </w:p>
        </w:tc>
        <w:tc>
          <w:tcPr>
            <w:tcW w:w="991" w:type="dxa"/>
          </w:tcPr>
          <w:p>
            <w:pPr>
              <w:jc w:val="center"/>
              <w:rPr>
                <w:rFonts w:ascii="Times New Roman" w:eastAsia="Times New Roman" w:hAnsi="Times New Roman" w:cs="Times New Roman"/>
                <w:noProof/>
                <w:sz w:val="18"/>
                <w:szCs w:val="18"/>
              </w:rPr>
            </w:pPr>
            <w:r>
              <w:rPr>
                <w:rFonts w:ascii="Times New Roman" w:hAnsi="Times New Roman"/>
                <w:noProof/>
                <w:sz w:val="18"/>
                <w:szCs w:val="18"/>
              </w:rPr>
              <w:t>1</w:t>
            </w:r>
          </w:p>
        </w:tc>
        <w:tc>
          <w:tcPr>
            <w:tcW w:w="1986" w:type="dxa"/>
          </w:tcPr>
          <w:p>
            <w:pPr>
              <w:rPr>
                <w:rFonts w:ascii="Times New Roman" w:eastAsia="Times New Roman" w:hAnsi="Times New Roman" w:cs="Times New Roman"/>
                <w:noProof/>
                <w:sz w:val="18"/>
                <w:szCs w:val="18"/>
                <w:lang w:eastAsia="en-GB"/>
              </w:rPr>
            </w:pPr>
          </w:p>
        </w:tc>
        <w:tc>
          <w:tcPr>
            <w:tcW w:w="991" w:type="dxa"/>
          </w:tcPr>
          <w:p>
            <w:pPr>
              <w:jc w:val="center"/>
              <w:rPr>
                <w:rFonts w:ascii="Times New Roman" w:eastAsia="Times New Roman" w:hAnsi="Times New Roman" w:cs="Times New Roman"/>
                <w:noProof/>
                <w:sz w:val="18"/>
                <w:szCs w:val="18"/>
              </w:rPr>
            </w:pPr>
            <w:r>
              <w:rPr>
                <w:rFonts w:ascii="Times New Roman" w:hAnsi="Times New Roman"/>
                <w:noProof/>
                <w:sz w:val="18"/>
                <w:szCs w:val="18"/>
              </w:rPr>
              <w:t>0</w:t>
            </w:r>
          </w:p>
        </w:tc>
      </w:tr>
    </w:tbl>
    <w:p>
      <w:pPr>
        <w:spacing w:after="120" w:line="240" w:lineRule="auto"/>
        <w:ind w:right="-142"/>
        <w:jc w:val="both"/>
        <w:rPr>
          <w:rFonts w:ascii="Times New Roman" w:eastAsia="MS Mincho" w:hAnsi="Times New Roman" w:cs="Times New Roman"/>
          <w:noProof/>
          <w:sz w:val="24"/>
          <w:szCs w:val="24"/>
        </w:rPr>
      </w:pP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Mi áll az intézkedések lényegi fókuszában? Az figyelhető meg, hogy a tagállamok leggyakrabban a roma kultúra és örökség előmozdításába mint a lakosság körében végrehajtott tudatosságnövelés és cigányellenesség elleni küzdelem közvetett módjába fektetnek be (22 %). Valamivel kevesebb intézkedés irányul a hátrányos megkülönböztetés és intolerancia elleni közvetlen küzdelmet célzó tudatosságnövelésre (18 %). További intézkedések az intézmények kapacitásfejlesztésére (15 %), a roma civil társadalomra (12 %) és az emberi jogok ellenőrzését szolgáló mechanizmusra (11 %) összpontosítanak. A kevesebb figyelmet kapó kulcsfontosságú területek közé tartozik a jogsegélynyújtás, a roma nők társadalmi szerepvállalásának növelése és a szegregáció megszüntetése (5–6 %). A bejelentett hátrányos megkülönböztetés elleni intézkedéseknek csak 16 %-a irányult kifejezetten a roma fiatalokra, és 10 %-a irányult roma nőkre.</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2. Eredmények és kihívások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nemzeti roma kapcsolattartó pontok által leggyakrabban említett eredmények az alábbiak: a roma nők és gyermekek körülményeinek javítása</w:t>
      </w:r>
      <w:r>
        <w:rPr>
          <w:rFonts w:ascii="Times New Roman" w:hAnsi="Times New Roman"/>
          <w:noProof/>
          <w:sz w:val="24"/>
          <w:vertAlign w:val="superscript"/>
        </w:rPr>
        <w:footnoteReference w:id="47"/>
      </w:r>
      <w:r>
        <w:rPr>
          <w:rFonts w:ascii="Times New Roman" w:hAnsi="Times New Roman"/>
          <w:noProof/>
          <w:sz w:val="24"/>
        </w:rPr>
        <w:t>; cigányellenesség elleni küzdelem a sztereotípiák ledöntése vagy a roma kultúra és történelem ösztönzése révén</w:t>
      </w:r>
      <w:r>
        <w:rPr>
          <w:rFonts w:ascii="Times New Roman" w:hAnsi="Times New Roman"/>
          <w:noProof/>
          <w:sz w:val="24"/>
          <w:vertAlign w:val="superscript"/>
        </w:rPr>
        <w:footnoteReference w:id="48"/>
      </w:r>
      <w:r>
        <w:rPr>
          <w:rFonts w:ascii="Times New Roman" w:hAnsi="Times New Roman"/>
          <w:noProof/>
          <w:sz w:val="24"/>
        </w:rPr>
        <w:t>; és valamennyi érintett szereplő (közigazgatási szervek, civil társadalom és roma közösségek) bevonása a megkülönböztetésmentesség elősegítését célzó erőfeszítésekbe</w:t>
      </w:r>
      <w:r>
        <w:rPr>
          <w:rFonts w:ascii="Times New Roman" w:hAnsi="Times New Roman"/>
          <w:noProof/>
          <w:sz w:val="24"/>
          <w:vertAlign w:val="superscript"/>
        </w:rPr>
        <w:footnoteReference w:id="49"/>
      </w:r>
      <w:r>
        <w:rPr>
          <w:rFonts w:ascii="Times New Roman" w:hAnsi="Times New Roman"/>
          <w:noProof/>
          <w:sz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Számos nemzeti roma kapcsolattartó pont említette a jogvédelemhez való jobb hozzáféréssel kapcsolatos kihívásokat és a jogtudatosságot</w:t>
      </w:r>
      <w:r>
        <w:rPr>
          <w:rFonts w:ascii="Times New Roman" w:hAnsi="Times New Roman"/>
          <w:noProof/>
          <w:sz w:val="24"/>
          <w:vertAlign w:val="superscript"/>
        </w:rPr>
        <w:footnoteReference w:id="50"/>
      </w:r>
      <w:r>
        <w:rPr>
          <w:rFonts w:ascii="Times New Roman" w:hAnsi="Times New Roman"/>
          <w:noProof/>
          <w:sz w:val="24"/>
        </w:rPr>
        <w:t>, valamint a sztereotípiák elleni küzdelem nehézségeit</w:t>
      </w:r>
      <w:r>
        <w:rPr>
          <w:rFonts w:ascii="Times New Roman" w:hAnsi="Times New Roman"/>
          <w:noProof/>
          <w:sz w:val="24"/>
          <w:vertAlign w:val="superscript"/>
        </w:rPr>
        <w:footnoteReference w:id="51"/>
      </w:r>
      <w:r>
        <w:rPr>
          <w:rFonts w:ascii="Times New Roman" w:hAnsi="Times New Roman"/>
          <w:noProof/>
          <w:sz w:val="24"/>
        </w:rPr>
        <w:t xml:space="preserve"> és a roma nők és gyermekek helyzetének javítását.</w:t>
      </w:r>
      <w:r>
        <w:rPr>
          <w:rFonts w:ascii="Times New Roman" w:hAnsi="Times New Roman"/>
          <w:noProof/>
          <w:sz w:val="24"/>
          <w:vertAlign w:val="superscript"/>
        </w:rPr>
        <w:footnoteReference w:id="52"/>
      </w:r>
      <w:r>
        <w:rPr>
          <w:rFonts w:ascii="Times New Roman" w:hAnsi="Times New Roman"/>
          <w:noProof/>
          <w:sz w:val="24"/>
        </w:rPr>
        <w:t xml:space="preserve"> A puszta tény, hogy számos tagállam</w:t>
      </w:r>
      <w:r>
        <w:rPr>
          <w:rFonts w:ascii="Times New Roman" w:hAnsi="Times New Roman"/>
          <w:noProof/>
          <w:sz w:val="24"/>
          <w:vertAlign w:val="superscript"/>
        </w:rPr>
        <w:footnoteReference w:id="53"/>
      </w:r>
      <w:r>
        <w:rPr>
          <w:rFonts w:ascii="Times New Roman" w:hAnsi="Times New Roman"/>
          <w:noProof/>
          <w:sz w:val="24"/>
        </w:rPr>
        <w:t xml:space="preserve"> – ideértve a nagy roma közösségekkel és a romák által érzékelt megkülönböztetés nagyon magas arányával rendelkező tagállamokat – semmilyen hátrányos megkülönböztetés elleni intézkedésről nem számolt be, kiemeli az e területen fennálló kihívások súlyosságát.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3. Szakpolitikai ismeretátadás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 xml:space="preserve">A romaintegrációs intézkedésekkel kapcsolatos tapasztalatok azt mutatják, hogy a bármely szakpolitikai területen elért hosszú távú változáshoz a cigányellenesség és a romákkal szembeni hátrányos megkülönböztetés leküzdése, valamint a roma és nem roma közösségek közti bizalom kiépítése szükséges. A siker érdekében a romaintegrációs intézkedéseknek valamennyi szakpolitikai területen a közös értékekhez kell kapcsolódniuk, illetve a lakosság körében végrehajtott tudatosságnövelést is magukban kell foglalniuk. A sztereotípiák, gyűlöletbeszéd és gyűlölet-bűncselekmény elleni küzdelemhez a romákkal kapcsolatos pozitív narratíva többségi társadalomban való kialakítására, valamint a roma identitás megerősítésére van szükség, amit a cigányellenesség leküzdésére és a roma történelem (ideértve a holokausztot) elismerésének ösztönzésére irányuló célzott egyedi intézkedések segítségével kell elérni. A legsikeresebb fellépések nemcsak igazodnak a többségi struktúrákhoz és szakpolitikákhoz, hanem át is alakítják azokat az előítéletek és sztereotípiák elleni küzdelem, valamint a romákról alkotott pozitív kép politikai döntéshozók és egyéb érdekeltek között való kialakítása révén. </w:t>
      </w:r>
    </w:p>
    <w:tbl>
      <w:tblPr>
        <w:tblStyle w:val="TableGrid"/>
        <w:tblW w:w="9752" w:type="dxa"/>
        <w:tblInd w:w="-5" w:type="dxa"/>
        <w:tblLook w:val="04A0" w:firstRow="1" w:lastRow="0" w:firstColumn="1" w:lastColumn="0" w:noHBand="0" w:noVBand="1"/>
      </w:tblPr>
      <w:tblGrid>
        <w:gridCol w:w="6492"/>
        <w:gridCol w:w="3260"/>
      </w:tblGrid>
      <w:tr>
        <w:tc>
          <w:tcPr>
            <w:tcW w:w="649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Ígéretes megközelítések:</w:t>
            </w:r>
          </w:p>
        </w:tc>
        <w:tc>
          <w:tcPr>
            <w:tcW w:w="3260"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Érvényesítendő prioritások:</w:t>
            </w:r>
          </w:p>
        </w:tc>
      </w:tr>
      <w:tr>
        <w:tc>
          <w:tcPr>
            <w:tcW w:w="649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AT:</w:t>
            </w:r>
            <w:r>
              <w:rPr>
                <w:rFonts w:ascii="Times New Roman" w:hAnsi="Times New Roman"/>
                <w:noProof/>
                <w:sz w:val="19"/>
              </w:rPr>
              <w:t xml:space="preserve"> a nemzeti romaintegrációs stratégiáról folytatott online konzultáció eredményeképpen fokozódtak a cigányellenesség kezelésére fordított erőfeszítések. A felülvizsgált stratégia prioritásként kezeli a cigányellenesség elleni küzdelmet, mely az osztrák uniós elnökség célzott eseményének középpontjában állt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DE:</w:t>
            </w:r>
            <w:r>
              <w:rPr>
                <w:rFonts w:ascii="Times New Roman" w:hAnsi="Times New Roman"/>
                <w:noProof/>
                <w:sz w:val="19"/>
              </w:rPr>
              <w:t xml:space="preserve"> cigányellenességgel foglalkozó független szakértői bizottságot állítottak fel, mely konkrét ajánlásokat fogalmaz meg a kormány számára a szintik és romák németországi történelmére, üldöztetésére és hátrányos megkülönböztetésére, valamint a cigányellenesség jelenlegi leküzdési módjaira vonatkozóan.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roma holokauszt elismerése és a rasszizmus elleni bizottság romák részvételével való felállítása (</w:t>
            </w:r>
            <w:r>
              <w:rPr>
                <w:rFonts w:ascii="Times New Roman" w:hAnsi="Times New Roman"/>
                <w:b/>
                <w:noProof/>
                <w:sz w:val="19"/>
              </w:rPr>
              <w:t>SK</w:t>
            </w:r>
            <w:r>
              <w:rPr>
                <w:rFonts w:ascii="Times New Roman" w:hAnsi="Times New Roman"/>
                <w:noProof/>
                <w:sz w:val="19"/>
              </w:rPr>
              <w:t>); emlékművek, kiállítások és online platform a holokauszt roma áldozatairól való megemlékezés céljából (</w:t>
            </w:r>
            <w:r>
              <w:rPr>
                <w:rFonts w:ascii="Times New Roman" w:hAnsi="Times New Roman"/>
                <w:b/>
                <w:noProof/>
                <w:sz w:val="19"/>
              </w:rPr>
              <w:t>NL</w:t>
            </w:r>
            <w:r>
              <w:rPr>
                <w:rFonts w:ascii="Times New Roman" w:hAnsi="Times New Roman"/>
                <w:noProof/>
                <w:sz w:val="19"/>
              </w:rPr>
              <w:t>); a roma holokauszt emléknapján való éves megemlékezés az auschwitz-birkenaui koncentrációs táborban (</w:t>
            </w:r>
            <w:r>
              <w:rPr>
                <w:rFonts w:ascii="Times New Roman" w:hAnsi="Times New Roman"/>
                <w:b/>
                <w:noProof/>
                <w:sz w:val="19"/>
              </w:rPr>
              <w:t>PL</w:t>
            </w:r>
            <w:r>
              <w:rPr>
                <w:rFonts w:ascii="Times New Roman" w:hAnsi="Times New Roman"/>
                <w:noProof/>
                <w:sz w:val="19"/>
              </w:rPr>
              <w:t>); roma történelmi és művészeti múzeum, valamint a kényszermunka áldozatainak kompenzálása (</w:t>
            </w:r>
            <w:r>
              <w:rPr>
                <w:rFonts w:ascii="Times New Roman" w:hAnsi="Times New Roman"/>
                <w:b/>
                <w:noProof/>
                <w:sz w:val="19"/>
              </w:rPr>
              <w:t>LV</w:t>
            </w:r>
            <w:r>
              <w:rPr>
                <w:rFonts w:ascii="Times New Roman" w:hAnsi="Times New Roman"/>
                <w:noProof/>
                <w:sz w:val="19"/>
              </w:rPr>
              <w: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CZ:</w:t>
            </w:r>
            <w:r>
              <w:rPr>
                <w:rFonts w:ascii="Times New Roman" w:hAnsi="Times New Roman"/>
                <w:noProof/>
                <w:sz w:val="19"/>
              </w:rPr>
              <w:t xml:space="preserve"> a kormány megvásárolta a Lety u Písku korábbi koncentrációs tábor területén lévő sertéstenyésztő gazdaságot. A roma holokauszt áldozatainak emlékművét az EGT-alapokból származó támogatás felhasználásával építik meg</w:t>
            </w:r>
          </w:p>
          <w:p>
            <w:pPr>
              <w:keepNext/>
              <w:keepLines/>
              <w:pageBreakBefore/>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SE:</w:t>
            </w:r>
            <w:r>
              <w:rPr>
                <w:rFonts w:ascii="Times New Roman" w:hAnsi="Times New Roman"/>
                <w:noProof/>
                <w:sz w:val="19"/>
              </w:rPr>
              <w:t xml:space="preserve"> a cigányellenesség elleni bizottság munkája a történelmi és mai cigányellenesség elismeréséhez vezetett; a gyűlölet-bűncselekmények elleni különleges rendőri egységek együttműködnek a kisebbségekkel, ideértve a romákat is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ES:</w:t>
            </w:r>
            <w:r>
              <w:rPr>
                <w:rFonts w:ascii="Times New Roman" w:hAnsi="Times New Roman"/>
                <w:noProof/>
                <w:sz w:val="19"/>
              </w:rPr>
              <w:t xml:space="preserve"> a sztereotípiák elleni küzdelemmel és a roma kultúra elterjesztésével kapcsolatos, a roma kulturális intézet és a regionális kormányzatok által, a roma civil társadalom részvételével szervezett kampányok; a madridi, barcelonai, malagai, sevillai és cordobai ügyvédi kamarák által nyújtott ingyenes jogsegélyszolgálat a hátrányos megkülönböztetés és gyűlölet-bűncselekmények áldozatainak; a spanyol tartományokban jelen lévő gyűlölet-bűncselekményekre és hátrányos megkülönböztetésre szakosodott ügyész</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IT:</w:t>
            </w:r>
            <w:r>
              <w:rPr>
                <w:rFonts w:ascii="Times New Roman" w:hAnsi="Times New Roman"/>
                <w:noProof/>
                <w:sz w:val="19"/>
              </w:rPr>
              <w:t xml:space="preserve"> az egyenlőséggel foglalkozó szerv (és a nemzeti roma kapcsolattartó pont) a gyűlölet-bűncselekményekkel kapcsolatos panaszok vonatkozásában létrehozott egy, az áldozatoknak támogatást és jogsegélyt biztosító tájékoztató központot, valamint egy média és internet megfigyelőközpontot, ahol a roma és nem roma fiatalok gyűlöletbeszéd nyomon követésével, megszüntetésével és bejelentésével kapcsolatos képzése zajlik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FI:</w:t>
            </w:r>
            <w:r>
              <w:rPr>
                <w:rFonts w:ascii="Times New Roman" w:hAnsi="Times New Roman"/>
                <w:noProof/>
                <w:sz w:val="19"/>
              </w:rPr>
              <w:t xml:space="preserve"> NGO-k által, romák részvételével, a gyűlölet-bűncselekmények és gyűlöletbeszéd elleni küzdelem érdekében szervezett hátrányos megkülönböztetés elleni kampányok; a romák körében a családon belüli nemi szerepek tekintetében végrehajtott tudatosságnövelés; önkormányzatok és nagyobb munkáltatók kötelező, a hátrányos megkülönböztetés elleni ombudsman által nyomon követett esélyegyenlőségi tervezése</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IE:</w:t>
            </w:r>
            <w:r>
              <w:rPr>
                <w:rFonts w:ascii="Times New Roman" w:hAnsi="Times New Roman"/>
                <w:noProof/>
                <w:sz w:val="19"/>
              </w:rPr>
              <w:t xml:space="preserve"> az ír rendőrség etikai kódexe, mely külön megemlíti a vándorló közösséggel szembeni hátrányos megkülönböztetés elleni küzdelmet; 277 etnikai összekötő tisztviselő kinevezése a vándorlók és a rendőrség közti bizalom kiépítése céljából</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CZ, EL, HU SK, RO:</w:t>
            </w:r>
            <w:r>
              <w:rPr>
                <w:rFonts w:ascii="Times New Roman" w:hAnsi="Times New Roman"/>
                <w:noProof/>
                <w:sz w:val="19"/>
              </w:rPr>
              <w:t xml:space="preserve"> azon társadalmilag kirekesztett/roma közösségek feltérképezése, amelyekre a többek között az esb-alapok által támogatott beavatkozások irányulhatnak</w:t>
            </w:r>
          </w:p>
          <w:p>
            <w:pPr>
              <w:numPr>
                <w:ilvl w:val="0"/>
                <w:numId w:val="11"/>
              </w:numPr>
              <w:spacing w:before="60" w:after="60"/>
              <w:ind w:left="154" w:hanging="173"/>
              <w:jc w:val="both"/>
              <w:rPr>
                <w:rFonts w:ascii="Times New Roman" w:eastAsia="MS Mincho" w:hAnsi="Times New Roman" w:cs="Times New Roman"/>
                <w:noProof/>
                <w:sz w:val="19"/>
                <w:szCs w:val="19"/>
              </w:rPr>
            </w:pPr>
            <w:r>
              <w:rPr>
                <w:rFonts w:ascii="Times New Roman" w:hAnsi="Times New Roman"/>
                <w:b/>
                <w:noProof/>
                <w:sz w:val="19"/>
              </w:rPr>
              <w:t>UK:</w:t>
            </w:r>
            <w:r>
              <w:rPr>
                <w:rFonts w:ascii="Times New Roman" w:hAnsi="Times New Roman"/>
                <w:noProof/>
                <w:sz w:val="19"/>
              </w:rPr>
              <w:t xml:space="preserve"> a gyűlölet-bűncselekmények online bejelentésére szolgáló eszköz</w:t>
            </w:r>
          </w:p>
        </w:tc>
        <w:tc>
          <w:tcPr>
            <w:tcW w:w="3260"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etnikai származás alapján lebontott (anonimizált) adatok gyűjtésének kidolgozása a cigányellenesség, hátrányos megkülönböztetés és a közpolitikák romákra gyakorolt hatásának nyomon követése érdekében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egész társadalomra irányuló – átfogóbb rasszizmusellenes stratégiákhoz kapcsolódó – fellépések roma civil társadalmi szereplők részvételével történő kidolgozása a cigányellenesség, gyűlölet-bűncselekmények és gyűlöletbeszéd leküzdése, nagyobb fokú tudatosítása, nyomon követése és szankcionálása érdekében</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az egyenlőséget előmozdító jogszabályok érvényesítésének biztosítása és a bűnüldöző és egyéb közigazgatási szervek által tanúsított megkülönböztető bánásmód vizsgálatok, visszatartó erejű szankciók, érzékenyítés és hátrányos megkülönböztetés elleni képzések segítségével való kezelése</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romák igazságszolgáltatáshoz való jogának támogatása, a többszörös megkülönböztetés áldozataira (nők, LMBTI-személyek, állampolgársággal nem rendelkező romák) összpontosítva, valamint az egyenlőséggel foglalkozó szervek kapacitásának megerősítése a romákkal szembeni hátrányos megkülönböztetés kezelése érdekében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romák által vezetett igazságkeresési és megbékélési folyamatok kialakítása a romák elleni múltbeli visszaélések feltárása, dokumentálása és nagyobb fokú tudatosítása, valamint a bizalom és megbékélés előmozdítása érdekében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romák teljes körű részvételének lehetővé tétele a politikai, kulturális és társadalmi életben, illetve a szakpolitikai folyamat valamennyi szakaszában</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a nemekre és gyermekekre érzékeny holisztikus megközelítés alkalmazása; küzdelem a gyermekbántalmazás, korai házasságok, gyermekek részvételével folytatott koldulás (a gyermekjogok védelméről szóló jogszabályok érvényesítése révén), erőszak ellen, ideértve az emberkereskedelmet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 kéregetés társadalmi költségeinek csökkentése és az emberi méltóság fenntartása</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III. Roma integráció a bővítési régióban</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nyugat-balkáni államok ambíciói meghaladták az előzetes várakozásokat és mandátumukat:</w:t>
      </w:r>
      <w:r>
        <w:rPr>
          <w:rFonts w:ascii="Cambria" w:hAnsi="Cambria"/>
          <w:noProof/>
          <w:sz w:val="24"/>
          <w:vertAlign w:val="superscript"/>
        </w:rPr>
        <w:footnoteReference w:id="54"/>
      </w:r>
      <w:r>
        <w:rPr>
          <w:rFonts w:ascii="Times New Roman" w:hAnsi="Times New Roman"/>
          <w:noProof/>
          <w:sz w:val="24"/>
        </w:rPr>
        <w:t xml:space="preserve"> a tagállamokkal azonos romaintegrációs célkitűzéseket és munkamódszereket</w:t>
      </w:r>
      <w:r>
        <w:rPr>
          <w:rFonts w:ascii="Times New Roman" w:hAnsi="Times New Roman"/>
          <w:noProof/>
          <w:sz w:val="24"/>
          <w:vertAlign w:val="superscript"/>
        </w:rPr>
        <w:footnoteReference w:id="55"/>
      </w:r>
      <w:r>
        <w:rPr>
          <w:rFonts w:ascii="Times New Roman" w:hAnsi="Times New Roman"/>
          <w:noProof/>
          <w:sz w:val="24"/>
        </w:rPr>
        <w:t xml:space="preserve"> fogadtak el. Az EU-hoz való közeledés érdekében szilárd és tartós fejlődésre van szükség a romák integrációja terén. A korábbi csatlakozások által – különösen a személyek szabad mozgása területén – gyakorolt hatások figyelembevétele céljából a roma integráció előrehaladása először szerepel a csatlakozási folyamat „igazságszolgáltatás és az alapvető jogok” elnevezésű 23. fejezetéről zajló tárgyalások teljes körű elemeként. A Nyugat-Balkánon élő romák társadalmi-gazdasági helyzetére vonatkozó 2017-es felmérés eredményei lehetővé tettek a partnerek számára, hogy új kihívásokat azonosítsanak, mint például a régióba visszatérő személyek sikeres reintegrációjához biztosított fokozott támogatás, továbbá szilárd alapot alakítsanak ki a jövőbeli roma szakpolitika követelményeinek meghatározásához. Első alkalommal összpontosít a közlemény egy külön melléklete a bővítési régióban zajló roma integrációra, melynek keretében részletes horizontális és országspecifikus információkat is közölnek.</w:t>
      </w:r>
    </w:p>
    <w:p>
      <w:pPr>
        <w:spacing w:before="240" w:after="120" w:line="240" w:lineRule="auto"/>
        <w:ind w:right="-142"/>
        <w:outlineLvl w:val="0"/>
        <w:rPr>
          <w:rFonts w:ascii="Times New Roman" w:eastAsia="MS Mincho" w:hAnsi="Times New Roman" w:cs="Times New Roman"/>
          <w:b/>
          <w:bCs/>
          <w:smallCaps/>
          <w:noProof/>
          <w:sz w:val="24"/>
          <w:szCs w:val="24"/>
        </w:rPr>
      </w:pPr>
      <w:r>
        <w:rPr>
          <w:rFonts w:ascii="Times New Roman" w:hAnsi="Times New Roman"/>
          <w:b/>
          <w:smallCaps/>
          <w:noProof/>
          <w:sz w:val="24"/>
        </w:rPr>
        <w:t>IV. Következtetések</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A romaintegrációs intézkedések felülvizsgálatában a Bizottság kiemeli annak szükségességét, hogy a romák aktív részvételével határozzanak meg és dolgozzanak ki olyan intézkedéseket, amelyek: a kihívásokra válaszolnak és arányosak azok mértékével; mérhető eredményeket ígérnek; és reális lehetőségeket kínálnak az egész társadalom általi elfogadáshoz. A romaintegrációs intézkedések tervezéséhez, végrehajtásához és nyomon követéséhez szükséges sikertényezőket a következőkben határozták meg:</w:t>
      </w:r>
    </w:p>
    <w:p>
      <w:pPr>
        <w:spacing w:after="120" w:line="240" w:lineRule="auto"/>
        <w:ind w:right="-142"/>
        <w:jc w:val="both"/>
        <w:rPr>
          <w:rFonts w:ascii="Times New Roman" w:eastAsia="MS Mincho" w:hAnsi="Times New Roman" w:cs="Times New Roman"/>
          <w:noProof/>
          <w:sz w:val="24"/>
          <w:szCs w:val="24"/>
        </w:rPr>
      </w:pP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elegendő </w:t>
      </w:r>
      <w:r>
        <w:rPr>
          <w:rFonts w:ascii="Times New Roman" w:hAnsi="Times New Roman"/>
          <w:b/>
          <w:noProof/>
        </w:rPr>
        <w:t>idő</w:t>
      </w:r>
      <w:r>
        <w:rPr>
          <w:rFonts w:ascii="Times New Roman" w:hAnsi="Times New Roman"/>
          <w:noProof/>
        </w:rPr>
        <w:t xml:space="preserve"> biztosítása nemcsak a megvalósításhoz, hanem a tervezéshez, a konzultációhoz, az érdekelt felek bevonásához, a közösségek bizalmának megteremtéséhez, a nyomon követéshez, az értékeléshez és a szakpolitikai felülvizsgálathoz</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nem és életkor alapján lebontott, megbízható </w:t>
      </w:r>
      <w:r>
        <w:rPr>
          <w:rFonts w:ascii="Times New Roman" w:hAnsi="Times New Roman"/>
          <w:b/>
          <w:noProof/>
        </w:rPr>
        <w:t>adatok</w:t>
      </w:r>
      <w:r>
        <w:rPr>
          <w:rFonts w:ascii="Times New Roman" w:hAnsi="Times New Roman"/>
          <w:noProof/>
        </w:rPr>
        <w:t xml:space="preserve"> szisztematikus gyűjtéseaz igény- és kontextuselemzések elvégzéséhez; a kiindulási adatok meghatározásához; a célok kitűzéséhez; valamint az eredmény- és hatásmutatók konkrét értékének meghatározásához</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célzott </w:t>
      </w:r>
      <w:r>
        <w:rPr>
          <w:rFonts w:ascii="Times New Roman" w:hAnsi="Times New Roman"/>
          <w:b/>
          <w:noProof/>
        </w:rPr>
        <w:t>intézkedések általános</w:t>
      </w:r>
      <w:r>
        <w:rPr>
          <w:rFonts w:ascii="Times New Roman" w:hAnsi="Times New Roman"/>
          <w:noProof/>
        </w:rPr>
        <w:t xml:space="preserve"> </w:t>
      </w:r>
      <w:r>
        <w:rPr>
          <w:rFonts w:ascii="Times New Roman" w:hAnsi="Times New Roman"/>
          <w:b/>
          <w:noProof/>
        </w:rPr>
        <w:t>szakpolitikai és jogi keretekbe foglalása</w:t>
      </w:r>
      <w:r>
        <w:rPr>
          <w:rFonts w:ascii="Times New Roman" w:hAnsi="Times New Roman"/>
          <w:noProof/>
        </w:rPr>
        <w:t xml:space="preserve"> annak biztosítása érdekében, hogy ezek az intézkedések átmenetiek maradjanak, így tartós párhuzamos struktúrák létrehozása helyett hatékony és egyenlő hozzáférést biztosítsanak a romák számára az általános szolgáltatásokhoz</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több érdekelt fél részvételével működő erős partnerség</w:t>
      </w:r>
      <w:r>
        <w:rPr>
          <w:rFonts w:ascii="Times New Roman" w:hAnsi="Times New Roman"/>
          <w:noProof/>
        </w:rPr>
        <w:t xml:space="preserve"> annak érdekében, hogy az érintettek magukénak érezzék az intézkedéseket, közösen vállaljanak felelősséget értük és biztosítsák a fenntarthatóságukat</w:t>
      </w:r>
      <w:r>
        <w:rPr>
          <w:rFonts w:ascii="Times New Roman" w:hAnsi="Times New Roman"/>
          <w:noProof/>
          <w:vertAlign w:val="superscript"/>
        </w:rPr>
        <w:footnoteReference w:id="56"/>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a romák</w:t>
      </w:r>
      <w:r>
        <w:rPr>
          <w:rFonts w:ascii="Times New Roman" w:hAnsi="Times New Roman"/>
          <w:noProof/>
        </w:rPr>
        <w:t xml:space="preserve"> és valamennyi érdekelt fél </w:t>
      </w:r>
      <w:r>
        <w:rPr>
          <w:rFonts w:ascii="Times New Roman" w:hAnsi="Times New Roman"/>
          <w:b/>
          <w:noProof/>
        </w:rPr>
        <w:t xml:space="preserve">aktív részvétele </w:t>
      </w:r>
      <w:r>
        <w:rPr>
          <w:rFonts w:ascii="Times New Roman" w:hAnsi="Times New Roman"/>
          <w:noProof/>
        </w:rPr>
        <w:t>valamennyi szakaszban (tervezés, végrehajtás, nyomon követés, értékelés és a szakpolitika felülvizsgálata)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interszekcionális, ágazatokat átfogó, integrált</w:t>
      </w:r>
      <w:r>
        <w:rPr>
          <w:rFonts w:ascii="Times New Roman" w:hAnsi="Times New Roman"/>
          <w:noProof/>
        </w:rPr>
        <w:t xml:space="preserve"> megközelítések a halmozott megkülönböztetés és a többdimenziós kirekesztés leküzdésére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a nemek közötti egyenlőséget és gyermeket figyelembe vevő</w:t>
      </w:r>
      <w:r>
        <w:rPr>
          <w:rFonts w:ascii="Times New Roman" w:hAnsi="Times New Roman"/>
          <w:noProof/>
        </w:rPr>
        <w:t xml:space="preserve"> megközelítés: a roma nők és gyermekek igényeinek elemzésén alapuló tervezés; átfogó megközelítés; és folyamatos támogatás, különösen a kritikus átmenetekben</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a romák közötti </w:t>
      </w:r>
      <w:r>
        <w:rPr>
          <w:rFonts w:ascii="Times New Roman" w:hAnsi="Times New Roman"/>
          <w:b/>
          <w:noProof/>
        </w:rPr>
        <w:t>sokféleség</w:t>
      </w:r>
      <w:r>
        <w:rPr>
          <w:rFonts w:ascii="Times New Roman" w:hAnsi="Times New Roman"/>
          <w:noProof/>
        </w:rPr>
        <w:t xml:space="preserve"> figyelembevétele: a valós igények tükrözése; a helyi körülmények figyelembevétele; és a konkrét roma közösségekkel szemben megnyilvánuló kirekesztő és megkülönböztető minták kezelése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a mélyszegénység leküzdése</w:t>
      </w:r>
      <w:r>
        <w:rPr>
          <w:rFonts w:ascii="Times New Roman" w:hAnsi="Times New Roman"/>
          <w:noProof/>
        </w:rPr>
        <w:t xml:space="preserve"> átfogó intézkedések keretében a területi és csoportcélzottság kombinálásával, a hosszú távú változások elősegítése érdekében</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 xml:space="preserve">kifejezett, de nem kizárólagos </w:t>
      </w:r>
      <w:r>
        <w:rPr>
          <w:rFonts w:ascii="Times New Roman" w:hAnsi="Times New Roman"/>
          <w:noProof/>
        </w:rPr>
        <w:t>célzottság a tágabb kontextus figyelembevételének biztosítása, valamint más hátrányos helyzetben lévő csoportok neheztelésének megelőzése érdekében</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a </w:t>
      </w:r>
      <w:r>
        <w:rPr>
          <w:rFonts w:ascii="Times New Roman" w:hAnsi="Times New Roman"/>
          <w:b/>
          <w:noProof/>
        </w:rPr>
        <w:t>megelőzés</w:t>
      </w:r>
      <w:r>
        <w:rPr>
          <w:rFonts w:ascii="Times New Roman" w:hAnsi="Times New Roman"/>
          <w:noProof/>
        </w:rPr>
        <w:t xml:space="preserve"> és </w:t>
      </w:r>
      <w:r>
        <w:rPr>
          <w:rFonts w:ascii="Times New Roman" w:hAnsi="Times New Roman"/>
          <w:b/>
          <w:noProof/>
        </w:rPr>
        <w:t>korai beavatkozás</w:t>
      </w:r>
      <w:r>
        <w:rPr>
          <w:rFonts w:ascii="Times New Roman" w:hAnsi="Times New Roman"/>
          <w:noProof/>
        </w:rPr>
        <w:t xml:space="preserve"> előnyben részesítése a költséghatékonyság biztosítása és a hosszú távú, fenntartható változás előidézése érdekében</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a szegregált viszonyok minőségének javítása helyett hosszú távú prioritásként </w:t>
      </w:r>
      <w:r>
        <w:rPr>
          <w:rFonts w:ascii="Times New Roman" w:hAnsi="Times New Roman"/>
          <w:b/>
          <w:noProof/>
        </w:rPr>
        <w:t>a szegregáció megszüntetése</w:t>
      </w:r>
      <w:r>
        <w:rPr>
          <w:rFonts w:ascii="Times New Roman" w:hAnsi="Times New Roman"/>
          <w:noProof/>
        </w:rPr>
        <w:t xml:space="preserve"> (az oktatás és lakhatás területén)</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a cigányellenesség elismerése</w:t>
      </w:r>
      <w:r>
        <w:rPr>
          <w:rFonts w:ascii="Times New Roman" w:hAnsi="Times New Roman"/>
          <w:noProof/>
        </w:rPr>
        <w:t xml:space="preserve"> az erőteljes megkülönböztetésellenes megközelítés ösztönzése érdekében valamennyi romaintegrációs beavatkozási területen</w:t>
      </w:r>
      <w:r>
        <w:rPr>
          <w:rStyle w:val="FootnoteReference"/>
          <w:rFonts w:ascii="Times New Roman" w:hAnsi="Times New Roman"/>
          <w:noProof/>
        </w:rPr>
        <w:footnoteReference w:id="57"/>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 xml:space="preserve">szakértelem </w:t>
      </w:r>
      <w:r>
        <w:rPr>
          <w:rFonts w:ascii="Times New Roman" w:hAnsi="Times New Roman"/>
          <w:noProof/>
        </w:rPr>
        <w:t>a minőségi és megkülönböztetéstől mentes szolgáltatások biztosítása érdekében</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a civil társadalom, a közigazgatás és a romák </w:t>
      </w:r>
      <w:r>
        <w:rPr>
          <w:rFonts w:ascii="Times New Roman" w:hAnsi="Times New Roman"/>
          <w:b/>
          <w:noProof/>
        </w:rPr>
        <w:t>kapacitásfejlesztése</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látható, hosszú távú </w:t>
      </w:r>
      <w:r>
        <w:rPr>
          <w:rFonts w:ascii="Times New Roman" w:hAnsi="Times New Roman"/>
          <w:b/>
          <w:noProof/>
        </w:rPr>
        <w:t>politikai</w:t>
      </w:r>
      <w:r>
        <w:rPr>
          <w:rFonts w:ascii="Times New Roman" w:hAnsi="Times New Roman"/>
          <w:noProof/>
        </w:rPr>
        <w:t xml:space="preserve"> és elégséges </w:t>
      </w:r>
      <w:r>
        <w:rPr>
          <w:rFonts w:ascii="Times New Roman" w:hAnsi="Times New Roman"/>
          <w:b/>
          <w:noProof/>
        </w:rPr>
        <w:t>pénzügyi támogatás</w:t>
      </w:r>
      <w:r>
        <w:rPr>
          <w:rFonts w:ascii="Times New Roman" w:hAnsi="Times New Roman"/>
          <w:noProof/>
        </w:rPr>
        <w:t xml:space="preserve"> (ideértve a nemzeti költségvetésből érkező forrásokat) az ígéretes gyakorlatok intézményesítésének, valamint a fenntarthatóságnak a biztosítására</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b/>
          <w:noProof/>
        </w:rPr>
        <w:t>rugalmasság</w:t>
      </w:r>
      <w:r>
        <w:rPr>
          <w:rFonts w:ascii="Times New Roman" w:hAnsi="Times New Roman"/>
          <w:noProof/>
        </w:rPr>
        <w:t xml:space="preserve"> annak érdekében, hogy a szakpolitikai ismeretátadás és kiigazítás lehetővé tételével biztosítható legyen a siker</w:t>
      </w:r>
    </w:p>
    <w:p>
      <w:pPr>
        <w:pStyle w:val="ListParagraph"/>
        <w:numPr>
          <w:ilvl w:val="0"/>
          <w:numId w:val="15"/>
        </w:numPr>
        <w:spacing w:after="120"/>
        <w:ind w:right="-142"/>
        <w:jc w:val="both"/>
        <w:rPr>
          <w:rFonts w:ascii="Times New Roman" w:eastAsia="MS Mincho" w:hAnsi="Times New Roman" w:cs="Times New Roman"/>
          <w:noProof/>
        </w:rPr>
      </w:pPr>
      <w:r>
        <w:rPr>
          <w:rFonts w:ascii="Times New Roman" w:hAnsi="Times New Roman"/>
          <w:noProof/>
        </w:rPr>
        <w:t xml:space="preserve">független minőségi és mennyiségi </w:t>
      </w:r>
      <w:r>
        <w:rPr>
          <w:rFonts w:ascii="Times New Roman" w:hAnsi="Times New Roman"/>
          <w:b/>
          <w:noProof/>
        </w:rPr>
        <w:t xml:space="preserve">nyomon követés és értékelés </w:t>
      </w:r>
      <w:r>
        <w:rPr>
          <w:rFonts w:ascii="Times New Roman" w:hAnsi="Times New Roman"/>
          <w:noProof/>
        </w:rPr>
        <w:t>az előrehaladás mérésére és a szakpolitika felülvizsgálatának biztosítására</w:t>
      </w:r>
    </w:p>
    <w:sectPr>
      <w:headerReference w:type="even" r:id="rId19"/>
      <w:headerReference w:type="default" r:id="rId20"/>
      <w:footerReference w:type="even" r:id="rId21"/>
      <w:footerReference w:type="default" r:id="rId22"/>
      <w:headerReference w:type="first" r:id="rId23"/>
      <w:footerReference w:type="first" r:id="rId24"/>
      <w:pgSz w:w="11900" w:h="16840"/>
      <w:pgMar w:top="1134" w:right="1127"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4945061"/>
      <w:docPartObj>
        <w:docPartGallery w:val="Page Numbers (Bottom of Page)"/>
        <w:docPartUnique/>
      </w:docPartObj>
    </w:sdtPr>
    <w:sdtEndPr>
      <w:rPr>
        <w:noProof/>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14</w:t>
        </w:r>
        <w:r>
          <w:rPr>
            <w:rFonts w:ascii="Times New Roman" w:hAnsi="Times New Roman" w:cs="Times New Roman"/>
            <w:noProof/>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1"/>
        <w:ind w:right="-99"/>
        <w:contextualSpacing/>
        <w:rPr>
          <w:sz w:val="18"/>
          <w:szCs w:val="18"/>
        </w:rPr>
      </w:pPr>
      <w:r>
        <w:rPr>
          <w:rStyle w:val="FootnoteReference"/>
          <w:sz w:val="18"/>
        </w:rPr>
        <w:footnoteRef/>
      </w:r>
      <w:r>
        <w:rPr>
          <w:sz w:val="18"/>
        </w:rPr>
        <w:t xml:space="preserve"> </w:t>
      </w:r>
      <w:r>
        <w:rPr>
          <w:rFonts w:ascii="Times New Roman" w:hAnsi="Times New Roman"/>
          <w:sz w:val="18"/>
        </w:rPr>
        <w:t>COM(2011) 173. A keretrendszert jóváhagyó tanácsi következtetésekkel (EPSCO 106665/11) összhangban a tagállamoknak ki kellett dolgozniuk „a romák befogadását célzó stratégiáikat vagy azokat az integrált szakpolitikai intézkedéscsomagjaikat, amelyek a társadalmi befogadási politikák tágabb keretén belül a romák helyzetének javítására irányulnak.” A „nemzeti romaintegrációs stratégia” és a „stratégia” kifejezések is az integrált szakpolitikai intézkedéscsomagra utalnak.</w:t>
      </w:r>
    </w:p>
  </w:footnote>
  <w:footnote w:id="2">
    <w:p>
      <w:pPr>
        <w:pStyle w:val="FootnoteText1"/>
        <w:ind w:right="-99"/>
        <w:contextualSpacing/>
        <w:rPr>
          <w:sz w:val="18"/>
          <w:szCs w:val="18"/>
        </w:rPr>
      </w:pPr>
      <w:r>
        <w:rPr>
          <w:rStyle w:val="FootnoteReference"/>
          <w:sz w:val="18"/>
        </w:rPr>
        <w:footnoteRef/>
      </w:r>
      <w:r>
        <w:rPr>
          <w:sz w:val="18"/>
        </w:rPr>
        <w:t xml:space="preserve"> </w:t>
      </w:r>
      <w:r>
        <w:rPr>
          <w:rFonts w:ascii="Times New Roman" w:hAnsi="Times New Roman"/>
          <w:sz w:val="18"/>
        </w:rPr>
        <w:t>COM(2018) 785. A „roma” kifejezés különböző csoportokra (pl. roma, szinti, káló, cigányok, romničel, beás, askáli, egyiptomi, yenis, dom, lom, rom és abdal) utal és a vándorlókat is magában foglalja, anélkül, hogy kétségbe vonná ezen csoportok sajátosságait.</w:t>
      </w:r>
    </w:p>
  </w:footnote>
  <w:footnote w:id="3">
    <w:p>
      <w:pPr>
        <w:pStyle w:val="FootnoteText1"/>
        <w:ind w:right="-99"/>
        <w:contextualSpacing/>
        <w:rPr>
          <w:rFonts w:ascii="Times New Roman" w:hAnsi="Times New Roman" w:cs="Times New Roman"/>
          <w:sz w:val="18"/>
          <w:szCs w:val="18"/>
        </w:rPr>
      </w:pPr>
      <w:r>
        <w:rPr>
          <w:rStyle w:val="FootnoteReference"/>
          <w:sz w:val="18"/>
        </w:rPr>
        <w:footnoteRef/>
      </w:r>
      <w:r>
        <w:rPr>
          <w:rFonts w:ascii="Times New Roman" w:hAnsi="Times New Roman"/>
          <w:sz w:val="18"/>
        </w:rPr>
        <w:t>Az országrövidítéseket lásd:</w:t>
      </w:r>
      <w:r>
        <w:rPr>
          <w:sz w:val="18"/>
        </w:rPr>
        <w:t xml:space="preserve"> </w:t>
      </w:r>
      <w:hyperlink r:id="rId1" w:anchor="Codes.2C_names_and_protocol_order_of_European_Union_.28EU.29_Member_States">
        <w:r>
          <w:rPr>
            <w:rStyle w:val="Hyperlink1"/>
            <w:sz w:val="18"/>
          </w:rPr>
          <w:t>www.ec.europa.eu/eurostat</w:t>
        </w:r>
      </w:hyperlink>
      <w:r>
        <w:rPr>
          <w:sz w:val="18"/>
        </w:rPr>
        <w:t xml:space="preserve"> </w:t>
      </w:r>
      <w:r>
        <w:rPr>
          <w:rFonts w:ascii="Times New Roman" w:hAnsi="Times New Roman"/>
          <w:sz w:val="18"/>
        </w:rPr>
        <w:t>Dánia, Finnország és Írország (valamint a roma közösséggel nem rendelkező Málta) kivételével 2018-ban valamennyi tagállam benyújtotta jelentését. Mivel a német jelentést későn nyújtották be, ezért azt csak az 1. mellékletben szerepeltettük (országonkénti összefoglalók), de azt a közleménybe és a bizottsági szolgálati munkadokumentumba foglalt tematikus elemzés nem tartalmazza.</w:t>
      </w:r>
    </w:p>
  </w:footnote>
  <w:footnote w:id="4">
    <w:p>
      <w:pPr>
        <w:pStyle w:val="FootnoteText1"/>
        <w:ind w:right="-99"/>
        <w:contextualSpacing/>
        <w:rPr>
          <w:rFonts w:ascii="Times New Roman" w:hAnsi="Times New Roman" w:cs="Times New Roman"/>
          <w:sz w:val="18"/>
          <w:szCs w:val="18"/>
        </w:rPr>
      </w:pPr>
      <w:r>
        <w:rPr>
          <w:rStyle w:val="FootnoteReference"/>
          <w:sz w:val="18"/>
        </w:rPr>
        <w:footnoteRef/>
      </w:r>
      <w:r>
        <w:rPr>
          <w:sz w:val="18"/>
        </w:rPr>
        <w:t xml:space="preserve"> </w:t>
      </w:r>
      <w:r>
        <w:rPr>
          <w:rFonts w:ascii="Times New Roman" w:hAnsi="Times New Roman"/>
          <w:sz w:val="18"/>
        </w:rPr>
        <w:t>1. melléklet</w:t>
      </w:r>
    </w:p>
  </w:footnote>
  <w:footnote w:id="5">
    <w:p>
      <w:pPr>
        <w:pStyle w:val="FootnoteText1"/>
        <w:ind w:right="-99"/>
        <w:contextualSpacing/>
        <w:rPr>
          <w:sz w:val="18"/>
          <w:szCs w:val="18"/>
        </w:rPr>
      </w:pPr>
      <w:r>
        <w:rPr>
          <w:rStyle w:val="FootnoteReference"/>
          <w:sz w:val="18"/>
        </w:rPr>
        <w:footnoteRef/>
      </w:r>
      <w:r>
        <w:rPr>
          <w:sz w:val="18"/>
        </w:rPr>
        <w:t xml:space="preserve"> </w:t>
      </w:r>
      <w:r>
        <w:rPr>
          <w:rFonts w:ascii="Times New Roman" w:hAnsi="Times New Roman"/>
          <w:sz w:val="18"/>
        </w:rPr>
        <w:t>Bizottsági szolgálati munkadokumentum</w:t>
      </w:r>
    </w:p>
  </w:footnote>
  <w:footnote w:id="6">
    <w:p>
      <w:pPr>
        <w:pStyle w:val="FootnoteText1"/>
        <w:ind w:right="-99"/>
        <w:contextualSpacing/>
        <w:rPr>
          <w:sz w:val="18"/>
          <w:szCs w:val="18"/>
        </w:rPr>
      </w:pPr>
      <w:r>
        <w:rPr>
          <w:rStyle w:val="FootnoteReference"/>
          <w:sz w:val="18"/>
        </w:rPr>
        <w:footnoteRef/>
      </w:r>
      <w:r>
        <w:rPr>
          <w:sz w:val="18"/>
        </w:rPr>
        <w:t xml:space="preserve"> </w:t>
      </w:r>
      <w:r>
        <w:rPr>
          <w:rFonts w:ascii="Times New Roman" w:hAnsi="Times New Roman"/>
          <w:sz w:val="18"/>
        </w:rPr>
        <w:t>A romaintegrációs beavatkozások metaértékelése, Európai Bizottság, Közös Kutatóközpont, várható megjelenés: 2019</w:t>
      </w:r>
    </w:p>
  </w:footnote>
  <w:footnote w:id="7">
    <w:p>
      <w:pPr>
        <w:pStyle w:val="FootnoteText1"/>
        <w:ind w:right="-99"/>
        <w:contextualSpacing/>
        <w:rPr>
          <w:sz w:val="18"/>
          <w:szCs w:val="18"/>
        </w:rPr>
      </w:pPr>
      <w:r>
        <w:rPr>
          <w:rStyle w:val="FootnoteReference"/>
          <w:sz w:val="18"/>
        </w:rPr>
        <w:footnoteRef/>
      </w:r>
      <w:r>
        <w:rPr>
          <w:sz w:val="18"/>
        </w:rPr>
        <w:t xml:space="preserve"> </w:t>
      </w:r>
      <w:r>
        <w:rPr>
          <w:rFonts w:ascii="Times New Roman" w:hAnsi="Times New Roman"/>
          <w:sz w:val="18"/>
        </w:rPr>
        <w:t>Uott.</w:t>
      </w:r>
    </w:p>
  </w:footnote>
  <w:footnote w:id="8">
    <w:p>
      <w:pPr>
        <w:pStyle w:val="FootnoteText1"/>
        <w:contextualSpacing/>
        <w:rPr>
          <w:rFonts w:ascii="Times New Roman" w:hAnsi="Times New Roman" w:cs="Times New Roman"/>
          <w:sz w:val="18"/>
          <w:szCs w:val="18"/>
        </w:rPr>
      </w:pPr>
      <w:r>
        <w:rPr>
          <w:rStyle w:val="FootnoteReference"/>
        </w:rPr>
        <w:footnoteRef/>
      </w:r>
      <w:r>
        <w:t xml:space="preserve"> </w:t>
      </w:r>
      <w:r>
        <w:rPr>
          <w:rFonts w:ascii="Times New Roman" w:hAnsi="Times New Roman"/>
          <w:sz w:val="18"/>
        </w:rPr>
        <w:t>2013/C 378/01</w:t>
      </w:r>
    </w:p>
  </w:footnote>
  <w:footnote w:id="9">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AT, FR, EL, ES, IT, LV, RO</w:t>
      </w:r>
    </w:p>
  </w:footnote>
  <w:footnote w:id="10">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pl. CZ, SK</w:t>
      </w:r>
    </w:p>
  </w:footnote>
  <w:footnote w:id="11">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pl. HU, ES, LV</w:t>
      </w:r>
    </w:p>
  </w:footnote>
  <w:footnote w:id="12">
    <w:p>
      <w:pPr>
        <w:pStyle w:val="FootnoteText1"/>
        <w:rPr>
          <w:lang w:val="de-DE"/>
        </w:rPr>
      </w:pPr>
      <w:r>
        <w:rPr>
          <w:rStyle w:val="FootnoteReference"/>
          <w:rFonts w:ascii="Times New Roman" w:hAnsi="Times New Roman"/>
          <w:sz w:val="18"/>
        </w:rPr>
        <w:footnoteRef/>
      </w:r>
      <w:r>
        <w:rPr>
          <w:rFonts w:ascii="Times New Roman" w:hAnsi="Times New Roman"/>
          <w:sz w:val="18"/>
        </w:rPr>
        <w:t xml:space="preserve"> pl. AT, ES, IT, PT</w:t>
      </w:r>
    </w:p>
  </w:footnote>
  <w:footnote w:id="13">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AT, CY, EE, EL, ES, FR, HR, LT, NL</w:t>
      </w:r>
    </w:p>
  </w:footnote>
  <w:footnote w:id="14">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ES, HR, RO</w:t>
      </w:r>
    </w:p>
  </w:footnote>
  <w:footnote w:id="15">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LV, SE, SK </w:t>
      </w:r>
    </w:p>
  </w:footnote>
  <w:footnote w:id="16">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ES, LT, LV, PL </w:t>
      </w:r>
    </w:p>
  </w:footnote>
  <w:footnote w:id="17">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EL, ES</w:t>
      </w:r>
    </w:p>
  </w:footnote>
  <w:footnote w:id="18">
    <w:p>
      <w:pPr>
        <w:pStyle w:val="FootnoteText1"/>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rPr>
        <w:t xml:space="preserve"> AT, BG, EL</w:t>
      </w:r>
    </w:p>
  </w:footnote>
  <w:footnote w:id="19">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HR, IT, PT</w:t>
      </w:r>
    </w:p>
  </w:footnote>
  <w:footnote w:id="20">
    <w:p>
      <w:pPr>
        <w:ind w:right="-99"/>
        <w:contextualSpacing/>
        <w:jc w:val="both"/>
        <w:rPr>
          <w:rFonts w:ascii="Times New Roman" w:hAnsi="Times New Roman" w:cs="Times New Roman"/>
          <w:color w:val="0000FF"/>
          <w:sz w:val="18"/>
          <w:szCs w:val="18"/>
          <w:u w:val="single"/>
        </w:rPr>
      </w:pPr>
      <w:r>
        <w:rPr>
          <w:rStyle w:val="FootnoteReference"/>
          <w:rFonts w:ascii="Times New Roman" w:hAnsi="Times New Roman"/>
          <w:sz w:val="18"/>
        </w:rPr>
        <w:footnoteRef/>
      </w:r>
      <w:r>
        <w:rPr>
          <w:rFonts w:ascii="Times New Roman" w:hAnsi="Times New Roman"/>
          <w:sz w:val="18"/>
        </w:rPr>
        <w:t xml:space="preserve"> </w:t>
      </w:r>
      <w:hyperlink r:id="rId2">
        <w:r>
          <w:rPr>
            <w:rStyle w:val="Hyperlink1"/>
            <w:rFonts w:ascii="Times New Roman" w:hAnsi="Times New Roman"/>
            <w:sz w:val="18"/>
          </w:rPr>
          <w:t>http://www.romaeducationfund.org/sites/default/files/publications/desegregation_toolkit__2015_web.pdf</w:t>
        </w:r>
      </w:hyperlink>
    </w:p>
  </w:footnote>
  <w:footnote w:id="21">
    <w:p>
      <w:pPr>
        <w:pStyle w:val="FootnoteText1"/>
        <w:rPr>
          <w:rFonts w:ascii="Times New Roman" w:hAnsi="Times New Roman" w:cs="Times New Roman"/>
          <w:sz w:val="18"/>
          <w:szCs w:val="18"/>
          <w:lang w:val="de-DE"/>
        </w:rPr>
      </w:pPr>
      <w:r>
        <w:rPr>
          <w:rStyle w:val="FootnoteReference"/>
          <w:rFonts w:ascii="Times New Roman" w:hAnsi="Times New Roman"/>
          <w:sz w:val="18"/>
        </w:rPr>
        <w:footnoteRef/>
      </w:r>
      <w:r>
        <w:rPr>
          <w:rFonts w:ascii="Times New Roman" w:hAnsi="Times New Roman"/>
          <w:sz w:val="18"/>
        </w:rPr>
        <w:t xml:space="preserve"> BG, ES, HR </w:t>
      </w:r>
    </w:p>
  </w:footnote>
  <w:footnote w:id="22">
    <w:p>
      <w:pPr>
        <w:pStyle w:val="FootnoteText1"/>
        <w:rPr>
          <w:rFonts w:ascii="Times New Roman" w:hAnsi="Times New Roman" w:cs="Times New Roman"/>
          <w:sz w:val="18"/>
          <w:szCs w:val="18"/>
          <w:lang w:val="de-DE"/>
        </w:rPr>
      </w:pPr>
      <w:r>
        <w:rPr>
          <w:rStyle w:val="FootnoteReference"/>
          <w:rFonts w:ascii="Times New Roman" w:hAnsi="Times New Roman"/>
          <w:sz w:val="18"/>
        </w:rPr>
        <w:footnoteRef/>
      </w:r>
      <w:r>
        <w:rPr>
          <w:rFonts w:ascii="Times New Roman" w:hAnsi="Times New Roman"/>
          <w:sz w:val="18"/>
        </w:rPr>
        <w:t xml:space="preserve"> AT, BG, CZ, ES, FR, HR, HU, LV, NL, SK</w:t>
      </w:r>
    </w:p>
  </w:footnote>
  <w:footnote w:id="23">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AT, EL, PL, PT, SK</w:t>
      </w:r>
    </w:p>
  </w:footnote>
  <w:footnote w:id="24">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EE, ES, LT, LV, NL, PT, RO</w:t>
      </w:r>
    </w:p>
  </w:footnote>
  <w:footnote w:id="25">
    <w:p>
      <w:pPr>
        <w:pStyle w:val="FootnoteText1"/>
        <w:rPr>
          <w:lang w:val="es-ES"/>
        </w:rPr>
      </w:pPr>
      <w:r>
        <w:rPr>
          <w:rStyle w:val="FootnoteReference"/>
          <w:rFonts w:ascii="Times New Roman" w:hAnsi="Times New Roman"/>
          <w:sz w:val="18"/>
        </w:rPr>
        <w:footnoteRef/>
      </w:r>
      <w:r>
        <w:rPr>
          <w:rFonts w:ascii="Times New Roman" w:hAnsi="Times New Roman"/>
          <w:sz w:val="18"/>
        </w:rPr>
        <w:t xml:space="preserve"> BG, EE, FR, NL, PT</w:t>
      </w:r>
    </w:p>
  </w:footnote>
  <w:footnote w:id="26">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FR, HU, HR </w:t>
      </w:r>
    </w:p>
  </w:footnote>
  <w:footnote w:id="27">
    <w:p>
      <w:pPr>
        <w:pStyle w:val="FootnoteText1"/>
        <w:rPr>
          <w:rFonts w:ascii="Times New Roman" w:hAnsi="Times New Roman" w:cs="Times New Roman"/>
          <w:sz w:val="18"/>
          <w:szCs w:val="18"/>
          <w:lang w:val="nb-NO"/>
        </w:rPr>
      </w:pPr>
      <w:r>
        <w:rPr>
          <w:rStyle w:val="FootnoteReference"/>
          <w:rFonts w:ascii="Times New Roman" w:hAnsi="Times New Roman"/>
          <w:sz w:val="18"/>
        </w:rPr>
        <w:footnoteRef/>
      </w:r>
      <w:r>
        <w:rPr>
          <w:rFonts w:ascii="Times New Roman" w:hAnsi="Times New Roman"/>
          <w:sz w:val="18"/>
        </w:rPr>
        <w:t xml:space="preserve"> HU, PL, SI</w:t>
      </w:r>
    </w:p>
  </w:footnote>
  <w:footnote w:id="28">
    <w:p>
      <w:pPr>
        <w:pStyle w:val="FootnoteText1"/>
        <w:rPr>
          <w:rFonts w:ascii="Times New Roman" w:hAnsi="Times New Roman" w:cs="Times New Roman"/>
          <w:sz w:val="18"/>
          <w:szCs w:val="18"/>
          <w:lang w:val="nb-NO"/>
        </w:rPr>
      </w:pPr>
      <w:r>
        <w:rPr>
          <w:rStyle w:val="FootnoteReference"/>
          <w:rFonts w:ascii="Times New Roman" w:hAnsi="Times New Roman"/>
          <w:sz w:val="18"/>
        </w:rPr>
        <w:footnoteRef/>
      </w:r>
      <w:r>
        <w:rPr>
          <w:rFonts w:ascii="Times New Roman" w:hAnsi="Times New Roman"/>
          <w:sz w:val="18"/>
        </w:rPr>
        <w:t xml:space="preserve"> AT, HU, RO</w:t>
      </w:r>
    </w:p>
  </w:footnote>
  <w:footnote w:id="29">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CZ, HU, LT, SI</w:t>
      </w:r>
    </w:p>
  </w:footnote>
  <w:footnote w:id="30">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FR, RO, SE, SK</w:t>
      </w:r>
    </w:p>
  </w:footnote>
  <w:footnote w:id="31">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RO</w:t>
      </w:r>
    </w:p>
  </w:footnote>
  <w:footnote w:id="32">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HU, LT, SE, RO</w:t>
      </w:r>
    </w:p>
  </w:footnote>
  <w:footnote w:id="33">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BG, CZ, EL, HR</w:t>
      </w:r>
    </w:p>
  </w:footnote>
  <w:footnote w:id="34">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ES, HR, RO</w:t>
      </w:r>
    </w:p>
  </w:footnote>
  <w:footnote w:id="35">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AT, CZ, </w:t>
      </w:r>
    </w:p>
  </w:footnote>
  <w:footnote w:id="36">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ES, EL</w:t>
      </w:r>
    </w:p>
  </w:footnote>
  <w:footnote w:id="37">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PL, SK,</w:t>
      </w:r>
    </w:p>
  </w:footnote>
  <w:footnote w:id="38">
    <w:p>
      <w:pPr>
        <w:pStyle w:val="FootnoteText1"/>
      </w:pPr>
      <w:r>
        <w:rPr>
          <w:rStyle w:val="FootnoteReference"/>
        </w:rPr>
        <w:footnoteRef/>
      </w:r>
      <w:r>
        <w:t xml:space="preserve"> AT, CZ, EL, HU, LV, LT, PT, RO</w:t>
      </w:r>
    </w:p>
  </w:footnote>
  <w:footnote w:id="39">
    <w:p>
      <w:pPr>
        <w:pStyle w:val="FootnoteText1"/>
        <w:rPr>
          <w:lang w:val="de-DE"/>
        </w:rPr>
      </w:pPr>
      <w:r>
        <w:rPr>
          <w:rStyle w:val="FootnoteReference"/>
        </w:rPr>
        <w:footnoteRef/>
      </w:r>
      <w:r>
        <w:t xml:space="preserve"> ES, FR, HU, IT, LT</w:t>
      </w:r>
    </w:p>
  </w:footnote>
  <w:footnote w:id="40">
    <w:p>
      <w:pPr>
        <w:pStyle w:val="FootnoteText1"/>
        <w:rPr>
          <w:lang w:val="de-DE"/>
        </w:rPr>
      </w:pPr>
      <w:r>
        <w:rPr>
          <w:rStyle w:val="FootnoteReference"/>
        </w:rPr>
        <w:footnoteRef/>
      </w:r>
      <w:r>
        <w:t xml:space="preserve"> FR, NL</w:t>
      </w:r>
    </w:p>
  </w:footnote>
  <w:footnote w:id="41">
    <w:p>
      <w:pPr>
        <w:pStyle w:val="FootnoteText1"/>
        <w:rPr>
          <w:lang w:val="de-DE"/>
        </w:rPr>
      </w:pPr>
      <w:r>
        <w:rPr>
          <w:rStyle w:val="FootnoteReference"/>
        </w:rPr>
        <w:footnoteRef/>
      </w:r>
      <w:r>
        <w:t xml:space="preserve"> SI</w:t>
      </w:r>
    </w:p>
  </w:footnote>
  <w:footnote w:id="42">
    <w:p>
      <w:pPr>
        <w:pStyle w:val="FootnoteText1"/>
        <w:rPr>
          <w:lang w:val="de-DE"/>
        </w:rPr>
      </w:pPr>
      <w:r>
        <w:rPr>
          <w:rStyle w:val="FootnoteReference"/>
        </w:rPr>
        <w:footnoteRef/>
      </w:r>
      <w:r>
        <w:t xml:space="preserve"> HR</w:t>
      </w:r>
    </w:p>
  </w:footnote>
  <w:footnote w:id="43">
    <w:p>
      <w:pPr>
        <w:pStyle w:val="FootnoteText1"/>
        <w:rPr>
          <w:lang w:val="de-DE"/>
        </w:rPr>
      </w:pPr>
      <w:r>
        <w:rPr>
          <w:rStyle w:val="FootnoteReference"/>
        </w:rPr>
        <w:footnoteRef/>
      </w:r>
      <w:r>
        <w:t xml:space="preserve"> BG</w:t>
      </w:r>
    </w:p>
  </w:footnote>
  <w:footnote w:id="44">
    <w:p>
      <w:pPr>
        <w:pStyle w:val="FootnoteText1"/>
        <w:rPr>
          <w:lang w:val="de-DE"/>
        </w:rPr>
      </w:pPr>
      <w:r>
        <w:rPr>
          <w:rStyle w:val="FootnoteReference"/>
        </w:rPr>
        <w:footnoteRef/>
      </w:r>
      <w:r>
        <w:t xml:space="preserve"> BG, CY, ES, SK</w:t>
      </w:r>
    </w:p>
  </w:footnote>
  <w:footnote w:id="45">
    <w:p>
      <w:pPr>
        <w:pStyle w:val="FootnoteText1"/>
        <w:rPr>
          <w:lang w:val="de-DE"/>
        </w:rPr>
      </w:pPr>
      <w:r>
        <w:rPr>
          <w:rStyle w:val="FootnoteReference"/>
        </w:rPr>
        <w:footnoteRef/>
      </w:r>
      <w:r>
        <w:t xml:space="preserve"> ES, LT, LV, NL</w:t>
      </w:r>
    </w:p>
  </w:footnote>
  <w:footnote w:id="46">
    <w:p>
      <w:pPr>
        <w:pStyle w:val="FootnoteText1"/>
        <w:rPr>
          <w:lang w:val="de-DE"/>
        </w:rPr>
      </w:pPr>
      <w:r>
        <w:rPr>
          <w:rStyle w:val="FootnoteReference"/>
        </w:rPr>
        <w:footnoteRef/>
      </w:r>
      <w:r>
        <w:t xml:space="preserve"> CZ, BG</w:t>
      </w:r>
    </w:p>
  </w:footnote>
  <w:footnote w:id="47">
    <w:p>
      <w:pPr>
        <w:pStyle w:val="FootnoteText1"/>
        <w:rPr>
          <w:lang w:val="es-ES"/>
        </w:rPr>
      </w:pPr>
      <w:r>
        <w:rPr>
          <w:rStyle w:val="FootnoteReference"/>
        </w:rPr>
        <w:footnoteRef/>
      </w:r>
      <w:r>
        <w:t xml:space="preserve"> BG, EE, ES, HU, HR, PT, SK</w:t>
      </w:r>
    </w:p>
  </w:footnote>
  <w:footnote w:id="48">
    <w:p>
      <w:pPr>
        <w:pStyle w:val="FootnoteText1"/>
        <w:rPr>
          <w:lang w:val="es-ES"/>
        </w:rPr>
      </w:pPr>
      <w:r>
        <w:rPr>
          <w:rStyle w:val="FootnoteReference"/>
        </w:rPr>
        <w:footnoteRef/>
      </w:r>
      <w:r>
        <w:t xml:space="preserve"> ES, FR, HU, LV</w:t>
      </w:r>
    </w:p>
  </w:footnote>
  <w:footnote w:id="49">
    <w:p>
      <w:pPr>
        <w:pStyle w:val="FootnoteText1"/>
        <w:rPr>
          <w:lang w:val="es-ES"/>
        </w:rPr>
      </w:pPr>
      <w:r>
        <w:rPr>
          <w:rStyle w:val="FootnoteReference"/>
        </w:rPr>
        <w:footnoteRef/>
      </w:r>
      <w:r>
        <w:t xml:space="preserve"> IT, ES, SI</w:t>
      </w:r>
    </w:p>
  </w:footnote>
  <w:footnote w:id="50">
    <w:p>
      <w:pPr>
        <w:pStyle w:val="FootnoteText1"/>
        <w:rPr>
          <w:lang w:val="es-ES"/>
        </w:rPr>
      </w:pPr>
      <w:r>
        <w:rPr>
          <w:rStyle w:val="FootnoteReference"/>
        </w:rPr>
        <w:footnoteRef/>
      </w:r>
      <w:r>
        <w:t xml:space="preserve"> AT, CZ, LT, PT</w:t>
      </w:r>
    </w:p>
  </w:footnote>
  <w:footnote w:id="51">
    <w:p>
      <w:pPr>
        <w:pStyle w:val="FootnoteText1"/>
        <w:rPr>
          <w:lang w:val="es-ES"/>
        </w:rPr>
      </w:pPr>
      <w:r>
        <w:rPr>
          <w:rStyle w:val="FootnoteReference"/>
        </w:rPr>
        <w:footnoteRef/>
      </w:r>
      <w:r>
        <w:t xml:space="preserve"> EE, ES, HR, LV</w:t>
      </w:r>
    </w:p>
  </w:footnote>
  <w:footnote w:id="52">
    <w:p>
      <w:pPr>
        <w:pStyle w:val="FootnoteText1"/>
      </w:pPr>
      <w:r>
        <w:rPr>
          <w:rStyle w:val="FootnoteReference"/>
        </w:rPr>
        <w:footnoteRef/>
      </w:r>
      <w:r>
        <w:t xml:space="preserve"> BG, ES, SK</w:t>
      </w:r>
    </w:p>
  </w:footnote>
  <w:footnote w:id="53">
    <w:p>
      <w:pPr>
        <w:pStyle w:val="FootnoteText1"/>
      </w:pPr>
      <w:r>
        <w:rPr>
          <w:rStyle w:val="FootnoteReference"/>
        </w:rPr>
        <w:footnoteRef/>
      </w:r>
      <w:r>
        <w:t xml:space="preserve"> CY, FR, EL, PL, RO</w:t>
      </w:r>
    </w:p>
  </w:footnote>
  <w:footnote w:id="54">
    <w:p>
      <w:pPr>
        <w:pStyle w:val="FootnoteText1"/>
        <w:rPr>
          <w:rFonts w:ascii="Times New Roman" w:hAnsi="Times New Roman" w:cs="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6. pont: „ A romák integrációjának elősegítése az EU-n kívül: a bővítésben érintett országok konkrét helyzete.” A bővítésben érintett országok számára három célkitűzést határoztak meg: az IPA-alapok jobb felhasználása; fokozottabb nyomon követés; civil társadalommal való szorosabb együttműködés.</w:t>
      </w:r>
    </w:p>
  </w:footnote>
  <w:footnote w:id="55">
    <w:p>
      <w:pPr>
        <w:pStyle w:val="FootnoteText1"/>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Évenkénti jelentés a végrehajtásról; kinevezett nemzeti roma kapcsolattartó pontok; éves nemzeti platformok tartása a civil társadalmi szervezetek szoros bevonása mellett; roma szemináriumok tartása; jelentés a kötelezettségvállalások teljesítéséről a bővítési csomagban és a Stabilizációs és Társulási Megállapodás megfelelő albizottságaiban.</w:t>
      </w:r>
    </w:p>
  </w:footnote>
  <w:footnote w:id="56">
    <w:p>
      <w:pPr>
        <w:pStyle w:val="FootnoteText1"/>
        <w:rPr>
          <w:sz w:val="18"/>
          <w:szCs w:val="18"/>
        </w:rPr>
      </w:pPr>
      <w:r>
        <w:rPr>
          <w:rStyle w:val="FootnoteReference"/>
        </w:rPr>
        <w:footnoteRef/>
      </w:r>
      <w:r>
        <w:t xml:space="preserve"> </w:t>
      </w:r>
      <w:r>
        <w:rPr>
          <w:rFonts w:ascii="Times New Roman" w:hAnsi="Times New Roman"/>
          <w:sz w:val="18"/>
        </w:rPr>
        <w:t>Ehhez szükséges a romákkal dolgozó, valamint az általános közpolitikákat kidolgozó és végrehajtó érdekelt felek szoros együttműködése, továbbá a helyi köz- és magánszolgáltatók és a roma közösségekkel szorosan együttműködő civil társadalom együttműködése is.</w:t>
      </w:r>
    </w:p>
  </w:footnote>
  <w:footnote w:id="5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Ennek ki kell terjednie a következők sajátosságainak elismerésére is: a cigányellenesség, a gyűlölet-bűncselekmények és a romaellenes retorika, valamint az igazságszolgáltatási rendszerhez való fordulás, a védelem és a támogatás tekintetében a roma áldozatok előtt álló kihívások (például többek között a hátrányos megkülönböztetéstől vagy a nyomozó hatóságok megtorlásától való félelem miatti alacsony bejelentési arány, az ismételt áldozattá válás kockázata, a hatóságok saját elfogult hozzáállása a büntetőjogi lépésekhez stb.).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34F1D"/>
    <w:multiLevelType w:val="hybridMultilevel"/>
    <w:tmpl w:val="8A346698"/>
    <w:lvl w:ilvl="0" w:tplc="DDBACED8">
      <w:start w:val="1"/>
      <w:numFmt w:val="bullet"/>
      <w:lvlText w:val="٠"/>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6795E5C"/>
    <w:multiLevelType w:val="hybridMultilevel"/>
    <w:tmpl w:val="83586FE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3A02FED"/>
    <w:multiLevelType w:val="hybridMultilevel"/>
    <w:tmpl w:val="84809C30"/>
    <w:lvl w:ilvl="0" w:tplc="DDBACED8">
      <w:start w:val="1"/>
      <w:numFmt w:val="bullet"/>
      <w:lvlText w:val="٠"/>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70A0"/>
    <w:multiLevelType w:val="hybridMultilevel"/>
    <w:tmpl w:val="18BAE8E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47F22"/>
    <w:multiLevelType w:val="hybridMultilevel"/>
    <w:tmpl w:val="05480814"/>
    <w:lvl w:ilvl="0" w:tplc="DDBACED8">
      <w:start w:val="1"/>
      <w:numFmt w:val="bullet"/>
      <w:lvlText w:val="٠"/>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C13E2"/>
    <w:multiLevelType w:val="hybridMultilevel"/>
    <w:tmpl w:val="EEC4774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37B1A"/>
    <w:multiLevelType w:val="hybridMultilevel"/>
    <w:tmpl w:val="B21A3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23434E2"/>
    <w:multiLevelType w:val="hybridMultilevel"/>
    <w:tmpl w:val="DD549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843CF3"/>
    <w:multiLevelType w:val="hybridMultilevel"/>
    <w:tmpl w:val="F2A8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A0D40A0"/>
    <w:multiLevelType w:val="hybridMultilevel"/>
    <w:tmpl w:val="0D54C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9041E9"/>
    <w:multiLevelType w:val="hybridMultilevel"/>
    <w:tmpl w:val="8482D3A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E5B39"/>
    <w:multiLevelType w:val="hybridMultilevel"/>
    <w:tmpl w:val="E4B6CE6A"/>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4274F"/>
    <w:multiLevelType w:val="hybridMultilevel"/>
    <w:tmpl w:val="2F4A89C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21DAA"/>
    <w:multiLevelType w:val="hybridMultilevel"/>
    <w:tmpl w:val="9926B814"/>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6"/>
  </w:num>
  <w:num w:numId="5">
    <w:abstractNumId w:val="14"/>
  </w:num>
  <w:num w:numId="6">
    <w:abstractNumId w:val="11"/>
  </w:num>
  <w:num w:numId="7">
    <w:abstractNumId w:val="4"/>
  </w:num>
  <w:num w:numId="8">
    <w:abstractNumId w:val="0"/>
  </w:num>
  <w:num w:numId="9">
    <w:abstractNumId w:val="2"/>
  </w:num>
  <w:num w:numId="10">
    <w:abstractNumId w:val="8"/>
  </w:num>
  <w:num w:numId="11">
    <w:abstractNumId w:val="3"/>
  </w:num>
  <w:num w:numId="12">
    <w:abstractNumId w:val="9"/>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de-DE"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5B95C20-96BA-4402-8331-B41146B29646"/>
    <w:docVar w:name="LW_COVERPAGE_TYPE" w:val="1"/>
    <w:docVar w:name="LW_CROSSREFERENCE" w:val="{SWD(2019) 320 final}"/>
    <w:docVar w:name="LW_DocType" w:val="NORMAL"/>
    <w:docVar w:name="LW_EMISSION" w:val="2019.9.5."/>
    <w:docVar w:name="LW_EMISSION_ISODATE" w:val="2019-09-05"/>
    <w:docVar w:name="LW_EMISSION_LOCATION" w:val="BRX"/>
    <w:docVar w:name="LW_EMISSION_PREFIX" w:val="Brüsszel, "/>
    <w:docVar w:name="LW_EMISSION_SUFFIX" w:val=" "/>
    <w:docVar w:name="LW_ID_DOCTYPE_NONLW" w:val="CP-012"/>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 nemzeti romaintegrációs stratégiák végrehajtásáról szóló 2019. évi jelentés&lt;/FMT&gt;_x000d__x000d__x000b_"/>
    <w:docVar w:name="LW_TYPE.DOC.CP" w:val="A BIZOTTSÁG KÖZLEMÉNYE AZ EURÓPAI PARLAMENTNEK ÉS A TANÁCS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hu-HU"/>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hu-HU"/>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hu-HU"/>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link w:val="FootnoteTextChar"/>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link w:val="FootnoteText1"/>
    <w:uiPriority w:val="99"/>
    <w:rPr>
      <w:rFonts w:eastAsia="Cambria"/>
      <w:sz w:val="20"/>
      <w:szCs w:val="20"/>
      <w:lang w:val="hu-HU"/>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rPr>
  </w:style>
  <w:style w:type="character" w:customStyle="1" w:styleId="CommentTextChar">
    <w:name w:val="Comment Text Char"/>
    <w:basedOn w:val="DefaultParagraphFont"/>
    <w:link w:val="CommentText"/>
    <w:uiPriority w:val="99"/>
    <w:semiHidden/>
    <w:rPr>
      <w:sz w:val="24"/>
      <w:szCs w:val="24"/>
      <w:lang w:eastAsia="hu-HU"/>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hu-HU"/>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hu-HU"/>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hu-HU" w:eastAsia="hu-HU"/>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Caption">
    <w:name w:val="caption"/>
    <w:basedOn w:val="Normal"/>
    <w:next w:val="Normal"/>
    <w:uiPriority w:val="35"/>
    <w:unhideWhenUsed/>
    <w:qFormat/>
    <w:pPr>
      <w:spacing w:line="240" w:lineRule="auto"/>
      <w:jc w:val="both"/>
    </w:pPr>
    <w:rPr>
      <w:rFonts w:eastAsiaTheme="minorHAnsi"/>
      <w:i/>
      <w:iCs/>
      <w:color w:val="1F497D" w:themeColor="text2"/>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hu-HU"/>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hu-HU"/>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hu-HU"/>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link w:val="FootnoteTextChar"/>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link w:val="FootnoteText1"/>
    <w:uiPriority w:val="99"/>
    <w:rPr>
      <w:rFonts w:eastAsia="Cambria"/>
      <w:sz w:val="20"/>
      <w:szCs w:val="20"/>
      <w:lang w:val="hu-HU"/>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rPr>
  </w:style>
  <w:style w:type="character" w:customStyle="1" w:styleId="CommentTextChar">
    <w:name w:val="Comment Text Char"/>
    <w:basedOn w:val="DefaultParagraphFont"/>
    <w:link w:val="CommentText"/>
    <w:uiPriority w:val="99"/>
    <w:semiHidden/>
    <w:rPr>
      <w:sz w:val="24"/>
      <w:szCs w:val="24"/>
      <w:lang w:eastAsia="hu-HU"/>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hu-HU"/>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hu-HU"/>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hu-HU" w:eastAsia="hu-HU"/>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Caption">
    <w:name w:val="caption"/>
    <w:basedOn w:val="Normal"/>
    <w:next w:val="Normal"/>
    <w:uiPriority w:val="35"/>
    <w:unhideWhenUsed/>
    <w:qFormat/>
    <w:pPr>
      <w:spacing w:line="240" w:lineRule="auto"/>
      <w:jc w:val="both"/>
    </w:pPr>
    <w:rPr>
      <w:rFonts w:eastAsiaTheme="minorHAnsi"/>
      <w:i/>
      <w:iCs/>
      <w:color w:val="1F497D" w:themeColor="text2"/>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kgi-upol.maps.arcgis.com/apps/webappviewer/index.html?id=c6cedcef4aef45ae99484107a2f8f2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romaeducationfund.org/sites/default/files/publications/desegregation_toolkit__2015_web.pdf" TargetMode="External"/><Relationship Id="rId1" Type="http://schemas.openxmlformats.org/officeDocument/2006/relationships/hyperlink" Target="https://ec.europa.eu/eurostat/statistics-explained/index.php?title=Tutorial:Country_codes_and_protocol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42DA7E-0258-46CD-8D64-A4F0D16A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6311</Words>
  <Characters>43862</Characters>
  <Application>Microsoft Office Word</Application>
  <DocSecurity>0</DocSecurity>
  <Lines>1020</Lines>
  <Paragraphs>432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2019-08-13T08:07:00Z</cp:lastPrinted>
  <dcterms:created xsi:type="dcterms:W3CDTF">2019-09-04T11:29:00Z</dcterms:created>
  <dcterms:modified xsi:type="dcterms:W3CDTF">2019-09-05T08:10:00Z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